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753DF7" w:rsidRDefault="00006EF8" w:rsidP="00753DF7">
      <w:pPr>
        <w:pStyle w:val="AERfactsheetsubtitle"/>
        <w:rPr>
          <w:sz w:val="12"/>
        </w:rPr>
      </w:pPr>
      <w:r w:rsidRPr="00CD74B2">
        <w:rPr>
          <w:noProof/>
          <w:lang w:eastAsia="en-AU"/>
        </w:rPr>
        <mc:AlternateContent>
          <mc:Choice Requires="wpg">
            <w:drawing>
              <wp:anchor distT="0" distB="0" distL="114300" distR="114300" simplePos="0" relativeHeight="251657216" behindDoc="0" locked="0" layoutInCell="1" allowOverlap="1" wp14:anchorId="197682AF" wp14:editId="72802ADE">
                <wp:simplePos x="0" y="0"/>
                <wp:positionH relativeFrom="column">
                  <wp:posOffset>-457200</wp:posOffset>
                </wp:positionH>
                <wp:positionV relativeFrom="paragraph">
                  <wp:posOffset>172720</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4B1" w:rsidRPr="00142DD1" w:rsidRDefault="00FE44B1" w:rsidP="001D49FD">
                              <w:pPr>
                                <w:ind w:left="567"/>
                                <w:rPr>
                                  <w:rFonts w:cs="Calibri"/>
                                  <w:color w:val="FFFFFF"/>
                                  <w:sz w:val="36"/>
                                </w:rPr>
                              </w:pPr>
                            </w:p>
                            <w:p w:rsidR="00FE44B1" w:rsidRPr="00142DD1" w:rsidRDefault="00FE44B1" w:rsidP="001D49FD">
                              <w:pPr>
                                <w:ind w:left="567"/>
                                <w:rPr>
                                  <w:rFonts w:ascii="MS Reference Sans Serif" w:hAnsi="MS Reference Sans Serif" w:cs="Tunga"/>
                                  <w:color w:val="FFFFFF"/>
                                  <w:spacing w:val="10"/>
                                  <w:w w:val="99"/>
                                  <w:kern w:val="44"/>
                                  <w:sz w:val="44"/>
                                  <w:szCs w:val="48"/>
                                </w:rPr>
                              </w:pPr>
                              <w:r w:rsidRPr="00142DD1">
                                <w:rPr>
                                  <w:rFonts w:ascii="MS Reference Sans Serif" w:hAnsi="MS Reference Sans Serif" w:cs="Tunga"/>
                                  <w:color w:val="FFFFFF"/>
                                  <w:spacing w:val="10"/>
                                  <w:w w:val="99"/>
                                  <w:kern w:val="44"/>
                                  <w:sz w:val="44"/>
                                  <w:szCs w:val="48"/>
                                </w:rPr>
                                <w:t>Better Regu</w:t>
                              </w:r>
                              <w:r w:rsidRPr="00142DD1">
                                <w:rPr>
                                  <w:rFonts w:ascii="Trebuchet MS" w:hAnsi="Trebuchet MS" w:cs="Tunga"/>
                                  <w:color w:val="FFFFFF"/>
                                  <w:spacing w:val="10"/>
                                  <w:w w:val="99"/>
                                  <w:kern w:val="44"/>
                                  <w:sz w:val="44"/>
                                  <w:szCs w:val="48"/>
                                </w:rPr>
                                <w:t>l</w:t>
                              </w:r>
                              <w:r w:rsidRPr="00142DD1">
                                <w:rPr>
                                  <w:rFonts w:ascii="MS Reference Sans Serif" w:hAnsi="MS Reference Sans Serif" w:cs="Tunga"/>
                                  <w:color w:val="FFFFFF"/>
                                  <w:spacing w:val="10"/>
                                  <w:w w:val="99"/>
                                  <w:kern w:val="44"/>
                                  <w:sz w:val="44"/>
                                  <w:szCs w:val="48"/>
                                </w:rPr>
                                <w:t>ation:</w:t>
                              </w:r>
                            </w:p>
                            <w:p w:rsidR="00FE44B1" w:rsidRPr="00142DD1" w:rsidRDefault="00FE44B1" w:rsidP="004D1DC0">
                              <w:pPr>
                                <w:ind w:left="567"/>
                                <w:rPr>
                                  <w:rFonts w:ascii="MS Reference Sans Serif" w:hAnsi="MS Reference Sans Serif" w:cs="Tunga"/>
                                  <w:color w:val="FFFFFF"/>
                                  <w:spacing w:val="10"/>
                                  <w:w w:val="99"/>
                                  <w:kern w:val="44"/>
                                  <w:sz w:val="44"/>
                                  <w:szCs w:val="48"/>
                                </w:rPr>
                              </w:pPr>
                              <w:r w:rsidRPr="00142DD1">
                                <w:rPr>
                                  <w:rFonts w:ascii="MS Reference Sans Serif" w:hAnsi="MS Reference Sans Serif" w:cs="Tunga"/>
                                  <w:color w:val="FFFFFF"/>
                                  <w:spacing w:val="10"/>
                                  <w:w w:val="99"/>
                                  <w:kern w:val="44"/>
                                  <w:sz w:val="44"/>
                                  <w:szCs w:val="48"/>
                                </w:rPr>
                                <w:t>Expenditure forecast assessment guideline</w:t>
                              </w:r>
                            </w:p>
                            <w:p w:rsidR="00FE44B1" w:rsidRDefault="00FE44B1" w:rsidP="001D49FD">
                              <w:pPr>
                                <w:ind w:left="567" w:right="681"/>
                                <w:jc w:val="right"/>
                                <w:rPr>
                                  <w:rFonts w:ascii="MS Reference Sans Serif" w:hAnsi="MS Reference Sans Serif" w:cs="Tunga"/>
                                  <w:b/>
                                  <w:color w:val="FFFFFF"/>
                                  <w:w w:val="95"/>
                                  <w:kern w:val="44"/>
                                </w:rPr>
                              </w:pPr>
                            </w:p>
                            <w:p w:rsidR="00FE44B1" w:rsidRPr="00E83166" w:rsidRDefault="00FE44B1" w:rsidP="001D49FD">
                              <w:pPr>
                                <w:ind w:left="567" w:right="681"/>
                                <w:jc w:val="right"/>
                                <w:rPr>
                                  <w:rFonts w:ascii="MS Reference Sans Serif" w:hAnsi="MS Reference Sans Serif" w:cs="Tunga"/>
                                  <w:color w:val="FFFFFF"/>
                                </w:rPr>
                              </w:pPr>
                            </w:p>
                            <w:p w:rsidR="00FE44B1" w:rsidRPr="00390BEB" w:rsidRDefault="00FE44B1"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13.6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AKDtfi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AF6EFE" w:rsidRPr="00142DD1" w:rsidRDefault="00AF6EFE" w:rsidP="001D49FD">
                        <w:pPr>
                          <w:ind w:left="567"/>
                          <w:rPr>
                            <w:rFonts w:cs="Calibri"/>
                            <w:color w:val="FFFFFF"/>
                            <w:sz w:val="36"/>
                          </w:rPr>
                        </w:pPr>
                      </w:p>
                      <w:p w:rsidR="00AF6EFE" w:rsidRPr="00142DD1" w:rsidRDefault="00AF6EFE" w:rsidP="001D49FD">
                        <w:pPr>
                          <w:ind w:left="567"/>
                          <w:rPr>
                            <w:rFonts w:ascii="MS Reference Sans Serif" w:hAnsi="MS Reference Sans Serif" w:cs="Tunga"/>
                            <w:color w:val="FFFFFF"/>
                            <w:spacing w:val="10"/>
                            <w:w w:val="99"/>
                            <w:kern w:val="44"/>
                            <w:sz w:val="44"/>
                            <w:szCs w:val="48"/>
                          </w:rPr>
                        </w:pPr>
                        <w:r w:rsidRPr="00142DD1">
                          <w:rPr>
                            <w:rFonts w:ascii="MS Reference Sans Serif" w:hAnsi="MS Reference Sans Serif" w:cs="Tunga"/>
                            <w:color w:val="FFFFFF"/>
                            <w:spacing w:val="10"/>
                            <w:w w:val="99"/>
                            <w:kern w:val="44"/>
                            <w:sz w:val="44"/>
                            <w:szCs w:val="48"/>
                          </w:rPr>
                          <w:t>Better Regu</w:t>
                        </w:r>
                        <w:r w:rsidRPr="00142DD1">
                          <w:rPr>
                            <w:rFonts w:ascii="Trebuchet MS" w:hAnsi="Trebuchet MS" w:cs="Tunga"/>
                            <w:color w:val="FFFFFF"/>
                            <w:spacing w:val="10"/>
                            <w:w w:val="99"/>
                            <w:kern w:val="44"/>
                            <w:sz w:val="44"/>
                            <w:szCs w:val="48"/>
                          </w:rPr>
                          <w:t>l</w:t>
                        </w:r>
                        <w:r w:rsidRPr="00142DD1">
                          <w:rPr>
                            <w:rFonts w:ascii="MS Reference Sans Serif" w:hAnsi="MS Reference Sans Serif" w:cs="Tunga"/>
                            <w:color w:val="FFFFFF"/>
                            <w:spacing w:val="10"/>
                            <w:w w:val="99"/>
                            <w:kern w:val="44"/>
                            <w:sz w:val="44"/>
                            <w:szCs w:val="48"/>
                          </w:rPr>
                          <w:t>ation:</w:t>
                        </w:r>
                      </w:p>
                      <w:p w:rsidR="00AF6EFE" w:rsidRPr="00142DD1" w:rsidRDefault="00AF6EFE" w:rsidP="004D1DC0">
                        <w:pPr>
                          <w:ind w:left="567"/>
                          <w:rPr>
                            <w:rFonts w:ascii="MS Reference Sans Serif" w:hAnsi="MS Reference Sans Serif" w:cs="Tunga"/>
                            <w:color w:val="FFFFFF"/>
                            <w:spacing w:val="10"/>
                            <w:w w:val="99"/>
                            <w:kern w:val="44"/>
                            <w:sz w:val="44"/>
                            <w:szCs w:val="48"/>
                          </w:rPr>
                        </w:pPr>
                        <w:r w:rsidRPr="00142DD1">
                          <w:rPr>
                            <w:rFonts w:ascii="MS Reference Sans Serif" w:hAnsi="MS Reference Sans Serif" w:cs="Tunga"/>
                            <w:color w:val="FFFFFF"/>
                            <w:spacing w:val="10"/>
                            <w:w w:val="99"/>
                            <w:kern w:val="44"/>
                            <w:sz w:val="44"/>
                            <w:szCs w:val="48"/>
                          </w:rPr>
                          <w:t>Expenditure forecast assessment guideline</w:t>
                        </w:r>
                      </w:p>
                      <w:p w:rsidR="00AF6EFE" w:rsidRDefault="00AF6EFE" w:rsidP="001D49FD">
                        <w:pPr>
                          <w:ind w:left="567" w:right="681"/>
                          <w:jc w:val="right"/>
                          <w:rPr>
                            <w:rFonts w:ascii="MS Reference Sans Serif" w:hAnsi="MS Reference Sans Serif" w:cs="Tunga"/>
                            <w:b/>
                            <w:color w:val="FFFFFF"/>
                            <w:w w:val="95"/>
                            <w:kern w:val="44"/>
                          </w:rPr>
                        </w:pPr>
                      </w:p>
                      <w:p w:rsidR="00AF6EFE" w:rsidRPr="00E83166" w:rsidRDefault="00AF6EFE" w:rsidP="001D49FD">
                        <w:pPr>
                          <w:ind w:left="567" w:right="681"/>
                          <w:jc w:val="right"/>
                          <w:rPr>
                            <w:rFonts w:ascii="MS Reference Sans Serif" w:hAnsi="MS Reference Sans Serif" w:cs="Tunga"/>
                            <w:color w:val="FFFFFF"/>
                          </w:rPr>
                        </w:pPr>
                      </w:p>
                      <w:p w:rsidR="00AF6EFE" w:rsidRPr="00390BEB" w:rsidRDefault="00AF6EFE"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8" o:title=""/>
                  <v:path arrowok="t"/>
                </v:shape>
                <w10:wrap type="topAndBottom"/>
              </v:group>
            </w:pict>
          </mc:Fallback>
        </mc:AlternateContent>
      </w:r>
    </w:p>
    <w:p w:rsidR="007434B0" w:rsidRPr="005D7586" w:rsidRDefault="007434B0" w:rsidP="006D3FFE">
      <w:pPr>
        <w:pStyle w:val="AERfactsheetsubtitle"/>
        <w:rPr>
          <w:sz w:val="16"/>
        </w:rPr>
      </w:pPr>
    </w:p>
    <w:p w:rsidR="00CD4428" w:rsidRPr="00CD4428" w:rsidRDefault="003A615F" w:rsidP="006D3FFE">
      <w:pPr>
        <w:pStyle w:val="AERfactsheetsubtitle"/>
        <w:rPr>
          <w:sz w:val="10"/>
        </w:rPr>
      </w:pPr>
      <w:r>
        <w:t>O</w:t>
      </w:r>
      <w:r w:rsidR="00697FF1" w:rsidRPr="00CD74B2">
        <w:t xml:space="preserve">ur </w:t>
      </w:r>
      <w:r w:rsidR="007168F1" w:rsidRPr="00CD74B2">
        <w:t>expenditur</w:t>
      </w:r>
      <w:r w:rsidR="00F932D8">
        <w:t>e forecast assessment guideline</w:t>
      </w:r>
      <w:r w:rsidR="00FD328E">
        <w:t xml:space="preserve"> </w:t>
      </w:r>
      <w:r w:rsidR="00CD74B2" w:rsidRPr="00CD74B2">
        <w:t>describe</w:t>
      </w:r>
      <w:r w:rsidR="00F932D8">
        <w:t>s</w:t>
      </w:r>
      <w:r w:rsidR="00CD74B2" w:rsidRPr="00CD74B2">
        <w:t xml:space="preserve"> the process, techniques and associated data requirements for our approach to </w:t>
      </w:r>
      <w:r w:rsidR="00A96D09">
        <w:t xml:space="preserve">setting efficient </w:t>
      </w:r>
      <w:r w:rsidR="009C1FC0">
        <w:t>expenditure</w:t>
      </w:r>
      <w:r w:rsidR="00CD74B2" w:rsidRPr="00CD74B2">
        <w:t xml:space="preserve"> allowances</w:t>
      </w:r>
      <w:r w:rsidR="00A96D09">
        <w:t xml:space="preserve"> for network businesses</w:t>
      </w:r>
      <w:r w:rsidR="00CD74B2" w:rsidRPr="00CD74B2">
        <w:t>.</w:t>
      </w:r>
      <w:r w:rsidR="00FD328E">
        <w:t xml:space="preserve"> Our approach to </w:t>
      </w:r>
      <w:r w:rsidR="00640E0A">
        <w:t xml:space="preserve">assessing </w:t>
      </w:r>
      <w:r w:rsidR="00FD328E">
        <w:t xml:space="preserve">efficient expenditure is closely linked to </w:t>
      </w:r>
      <w:r w:rsidR="00640782">
        <w:t>our</w:t>
      </w:r>
      <w:r w:rsidR="00FD328E">
        <w:t xml:space="preserve"> </w:t>
      </w:r>
      <w:r w:rsidR="00142DD1">
        <w:t xml:space="preserve">expenditure </w:t>
      </w:r>
      <w:r w:rsidR="00FD328E">
        <w:t>incentive</w:t>
      </w:r>
      <w:r w:rsidR="00142DD1">
        <w:t xml:space="preserve"> measures</w:t>
      </w:r>
      <w:r w:rsidR="00FD328E">
        <w:t>.</w:t>
      </w:r>
      <w:r w:rsidR="00FD328E" w:rsidRPr="00FD328E">
        <w:t xml:space="preserve"> </w:t>
      </w:r>
      <w:r w:rsidR="00FD328E">
        <w:t xml:space="preserve">This factsheet should be read alongside our expenditure incentives factsheet. </w:t>
      </w:r>
    </w:p>
    <w:p w:rsidR="001A795A" w:rsidRPr="005D7586" w:rsidRDefault="001A795A" w:rsidP="004D1DC0">
      <w:pPr>
        <w:pStyle w:val="AERfactsheetbodytext"/>
        <w:rPr>
          <w:sz w:val="14"/>
        </w:rPr>
      </w:pPr>
    </w:p>
    <w:p w:rsidR="006D3FFE" w:rsidRPr="00241B78" w:rsidRDefault="006D3FFE" w:rsidP="004D1DC0">
      <w:pPr>
        <w:pStyle w:val="AERfactsheetbodytext"/>
        <w:rPr>
          <w:sz w:val="22"/>
        </w:rPr>
        <w:sectPr w:rsidR="006D3FFE" w:rsidRPr="00241B78" w:rsidSect="00BE5A7F">
          <w:pgSz w:w="11906" w:h="16838"/>
          <w:pgMar w:top="720" w:right="720" w:bottom="720" w:left="720" w:header="708" w:footer="708" w:gutter="0"/>
          <w:cols w:space="284"/>
          <w:docGrid w:linePitch="360"/>
        </w:sectPr>
      </w:pPr>
    </w:p>
    <w:p w:rsidR="00AC0236" w:rsidRPr="00697FF1" w:rsidRDefault="009C1FC0" w:rsidP="00697FF1">
      <w:pPr>
        <w:pStyle w:val="AERFactsheetHeading1"/>
      </w:pPr>
      <w:r>
        <w:lastRenderedPageBreak/>
        <w:t xml:space="preserve">What is expenditure forecast assessment? </w:t>
      </w:r>
    </w:p>
    <w:p w:rsidR="00F67AE1" w:rsidRDefault="000A366A" w:rsidP="004546C3">
      <w:pPr>
        <w:pStyle w:val="AERfactsheetbodytext"/>
      </w:pPr>
      <w:r>
        <w:t>N</w:t>
      </w:r>
      <w:r w:rsidR="009C1FC0" w:rsidRPr="009C1FC0">
        <w:t xml:space="preserve">etwork </w:t>
      </w:r>
      <w:r w:rsidR="005D2C56">
        <w:t>business</w:t>
      </w:r>
      <w:r>
        <w:t>es plan</w:t>
      </w:r>
      <w:r w:rsidR="009C1FC0" w:rsidRPr="009C1FC0">
        <w:t xml:space="preserve"> the expenditure </w:t>
      </w:r>
      <w:r>
        <w:t xml:space="preserve">they </w:t>
      </w:r>
      <w:r w:rsidR="00DD4B97">
        <w:t xml:space="preserve">need </w:t>
      </w:r>
      <w:r w:rsidR="009C1FC0" w:rsidRPr="009C1FC0">
        <w:t xml:space="preserve">to </w:t>
      </w:r>
      <w:r w:rsidR="00A96D09">
        <w:t>provide a safe and reliable supply of electricity for consumers over the next five year period</w:t>
      </w:r>
      <w:r w:rsidR="004546C3">
        <w:t xml:space="preserve">. </w:t>
      </w:r>
      <w:r>
        <w:t>Businesses then put</w:t>
      </w:r>
      <w:r w:rsidR="009C1FC0" w:rsidRPr="009C1FC0">
        <w:t xml:space="preserve"> </w:t>
      </w:r>
      <w:r w:rsidR="00A96D09">
        <w:t>these</w:t>
      </w:r>
      <w:r w:rsidR="009C1FC0" w:rsidRPr="009C1FC0">
        <w:t xml:space="preserve"> </w:t>
      </w:r>
      <w:r w:rsidR="00DD4B97">
        <w:t xml:space="preserve">expenditure </w:t>
      </w:r>
      <w:r w:rsidR="00153E7F">
        <w:t xml:space="preserve">plans to us as part of a </w:t>
      </w:r>
      <w:r w:rsidR="004353D3">
        <w:t xml:space="preserve">revenue </w:t>
      </w:r>
      <w:r w:rsidR="00153E7F">
        <w:t>proposal.</w:t>
      </w:r>
      <w:r w:rsidR="00F67AE1">
        <w:t xml:space="preserve"> </w:t>
      </w:r>
    </w:p>
    <w:p w:rsidR="00400620" w:rsidRDefault="00EC151D" w:rsidP="00F44A65">
      <w:pPr>
        <w:pStyle w:val="AERfactsheetbodytext"/>
      </w:pPr>
      <w:r>
        <w:t xml:space="preserve">We then assess this </w:t>
      </w:r>
      <w:r w:rsidR="004353D3">
        <w:t xml:space="preserve">revenue </w:t>
      </w:r>
      <w:r>
        <w:t>proposal to determine whether the total operating and capital</w:t>
      </w:r>
      <w:r w:rsidR="0096336B">
        <w:t xml:space="preserve"> expenditure</w:t>
      </w:r>
      <w:r>
        <w:t xml:space="preserve"> (opex and capex) forecasts reasonably reflect the efficient costs of providing a safe and reliable supply of electricity. If we do not consider </w:t>
      </w:r>
      <w:r w:rsidR="00FD3C5B">
        <w:t xml:space="preserve">the proposal </w:t>
      </w:r>
      <w:r>
        <w:t xml:space="preserve">is reasonable, we must </w:t>
      </w:r>
      <w:r w:rsidR="00EB047A">
        <w:t xml:space="preserve">replace it with </w:t>
      </w:r>
      <w:r>
        <w:t>our own forecast of efficient costs.</w:t>
      </w:r>
      <w:r w:rsidR="0096336B">
        <w:t xml:space="preserve"> </w:t>
      </w:r>
    </w:p>
    <w:p w:rsidR="00400620" w:rsidRDefault="00400620" w:rsidP="007F2A0C">
      <w:pPr>
        <w:pStyle w:val="AERFactsheetHeading1"/>
      </w:pPr>
      <w:r>
        <w:t>What’s in the expenditure forecast assessment guideline?</w:t>
      </w:r>
    </w:p>
    <w:p w:rsidR="0096336B" w:rsidRDefault="0096336B" w:rsidP="00F44A65">
      <w:pPr>
        <w:pStyle w:val="AERfactsheetbodytext"/>
      </w:pPr>
      <w:r>
        <w:t>Our e</w:t>
      </w:r>
      <w:r w:rsidR="00153E7F">
        <w:t xml:space="preserve">xpenditure forecast assessment </w:t>
      </w:r>
      <w:r>
        <w:t xml:space="preserve">guideline sets out how we assess </w:t>
      </w:r>
      <w:r w:rsidR="00400620">
        <w:t>a business’</w:t>
      </w:r>
      <w:r w:rsidR="00640E0A">
        <w:t>s</w:t>
      </w:r>
      <w:r w:rsidR="00400620">
        <w:t xml:space="preserve"> </w:t>
      </w:r>
      <w:r w:rsidR="004353D3">
        <w:t xml:space="preserve">revenue </w:t>
      </w:r>
      <w:r>
        <w:t xml:space="preserve">proposal and how we determine a substitute forecast </w:t>
      </w:r>
      <w:r w:rsidR="00FD3C5B">
        <w:t>when</w:t>
      </w:r>
      <w:r>
        <w:t xml:space="preserve"> required.</w:t>
      </w:r>
    </w:p>
    <w:p w:rsidR="0096336B" w:rsidRDefault="0096336B" w:rsidP="0096336B">
      <w:pPr>
        <w:pStyle w:val="AERfactsheetbodytext"/>
      </w:pPr>
      <w:r>
        <w:t xml:space="preserve">The assessment techniques we use are underpinned by a nationally </w:t>
      </w:r>
      <w:r w:rsidRPr="00F0459E">
        <w:t>consistent</w:t>
      </w:r>
      <w:r>
        <w:t xml:space="preserve"> framework for network businesses to report information to us. This consistent approach to </w:t>
      </w:r>
      <w:r w:rsidR="00400620">
        <w:t xml:space="preserve">information </w:t>
      </w:r>
      <w:r>
        <w:t xml:space="preserve">reporting </w:t>
      </w:r>
      <w:r w:rsidR="00400620">
        <w:t xml:space="preserve">lets </w:t>
      </w:r>
      <w:r>
        <w:t>us compare the costs of conducting similar activities across networks.  The guideline explains what data we need and why, when we intend to collect it and how we will collect it.</w:t>
      </w:r>
    </w:p>
    <w:p w:rsidR="005064F3" w:rsidRDefault="005064F3" w:rsidP="00F44A65">
      <w:pPr>
        <w:pStyle w:val="AERfactsheetbodytext"/>
      </w:pPr>
      <w:r>
        <w:rPr>
          <w:noProof/>
          <w:lang w:eastAsia="en-AU"/>
        </w:rPr>
        <mc:AlternateContent>
          <mc:Choice Requires="wps">
            <w:drawing>
              <wp:inline distT="0" distB="0" distL="0" distR="0" wp14:anchorId="39F988CD" wp14:editId="3501E795">
                <wp:extent cx="3214370" cy="875132"/>
                <wp:effectExtent l="0" t="0" r="24130" b="2032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75132"/>
                        </a:xfrm>
                        <a:prstGeom prst="rect">
                          <a:avLst/>
                        </a:prstGeom>
                        <a:solidFill>
                          <a:srgbClr val="DBE5F1"/>
                        </a:solidFill>
                        <a:ln w="9525">
                          <a:solidFill>
                            <a:srgbClr val="006A99"/>
                          </a:solidFill>
                          <a:miter lim="800000"/>
                          <a:headEnd/>
                          <a:tailEnd/>
                        </a:ln>
                      </wps:spPr>
                      <wps:txbx>
                        <w:txbxContent>
                          <w:p w:rsidR="00FE44B1" w:rsidRDefault="00FE44B1" w:rsidP="009F3237">
                            <w:pPr>
                              <w:pStyle w:val="AERfactsheetbodytext"/>
                            </w:pPr>
                            <w:r>
                              <w:t>Our assessment</w:t>
                            </w:r>
                            <w:r w:rsidRPr="00CE640F">
                              <w:t xml:space="preserve"> approaches </w:t>
                            </w:r>
                            <w:r>
                              <w:t>are r</w:t>
                            </w:r>
                            <w:r w:rsidRPr="00CE640F">
                              <w:t>igorous, transparent and cost effective.</w:t>
                            </w:r>
                            <w:r>
                              <w:t xml:space="preserve"> Businesses </w:t>
                            </w:r>
                            <w:r w:rsidRPr="001C4EA5">
                              <w:t xml:space="preserve">need to </w:t>
                            </w:r>
                            <w:r>
                              <w:t xml:space="preserve">invest in electricity </w:t>
                            </w:r>
                            <w:r w:rsidRPr="001C4EA5">
                              <w:t>netwo</w:t>
                            </w:r>
                            <w:r>
                              <w:t>rks to provide a safe and reliable supply,</w:t>
                            </w:r>
                            <w:r w:rsidRPr="001C4EA5">
                              <w:t xml:space="preserve"> </w:t>
                            </w:r>
                            <w:r>
                              <w:t xml:space="preserve">but we’ll focus on the efficiency of that expenditure so </w:t>
                            </w:r>
                            <w:r w:rsidRPr="001C4EA5">
                              <w:t>consum</w:t>
                            </w:r>
                            <w:r>
                              <w:t>ers pay no more than necessary.</w:t>
                            </w:r>
                          </w:p>
                          <w:p w:rsidR="00FE44B1" w:rsidRPr="00697FF1" w:rsidRDefault="00FE44B1" w:rsidP="005064F3">
                            <w:pPr>
                              <w:pStyle w:val="AERfactsheetbodytext"/>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30" type="#_x0000_t202" style="width:253.1pt;height:6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" fillcolor="#dbe5f1" strokecolor="#006a99">
                <v:textbox>
                  <w:txbxContent>
                    <w:p w:rsidR="00FE44B1" w:rsidRDefault="00FE44B1" w:rsidP="009F3237">
                      <w:pPr>
                        <w:pStyle w:val="AERfactsheetbodytext"/>
                      </w:pPr>
                      <w:r>
                        <w:t>Our assessment</w:t>
                      </w:r>
                      <w:r w:rsidRPr="00CE640F">
                        <w:t xml:space="preserve"> approaches </w:t>
                      </w:r>
                      <w:r>
                        <w:t>are r</w:t>
                      </w:r>
                      <w:r w:rsidRPr="00CE640F">
                        <w:t>igorous, transparent and cost effective.</w:t>
                      </w:r>
                      <w:r>
                        <w:t xml:space="preserve"> Businesses </w:t>
                      </w:r>
                      <w:r w:rsidRPr="001C4EA5">
                        <w:t xml:space="preserve">need to </w:t>
                      </w:r>
                      <w:r>
                        <w:t xml:space="preserve">invest in electricity </w:t>
                      </w:r>
                      <w:r w:rsidRPr="001C4EA5">
                        <w:t>netwo</w:t>
                      </w:r>
                      <w:r>
                        <w:t>rks to provide a safe and reliable supply,</w:t>
                      </w:r>
                      <w:r w:rsidRPr="001C4EA5">
                        <w:t xml:space="preserve"> </w:t>
                      </w:r>
                      <w:r>
                        <w:t xml:space="preserve">but we’ll focus on the efficiency of that expenditure so </w:t>
                      </w:r>
                      <w:r w:rsidRPr="001C4EA5">
                        <w:t>consum</w:t>
                      </w:r>
                      <w:r>
                        <w:t>ers pay no more than necessary.</w:t>
                      </w:r>
                    </w:p>
                    <w:p w:rsidR="00FE44B1" w:rsidRPr="00697FF1" w:rsidRDefault="00FE44B1" w:rsidP="005064F3">
                      <w:pPr>
                        <w:pStyle w:val="AERfactsheetbodytext"/>
                      </w:pPr>
                    </w:p>
                  </w:txbxContent>
                </v:textbox>
                <w10:anchorlock/>
              </v:shape>
            </w:pict>
          </mc:Fallback>
        </mc:AlternateContent>
      </w:r>
    </w:p>
    <w:p w:rsidR="00A85FDD" w:rsidRDefault="00713B21" w:rsidP="00FD1508">
      <w:pPr>
        <w:pStyle w:val="AERFactsheetHeading1"/>
      </w:pPr>
      <w:r>
        <w:t xml:space="preserve">How will we </w:t>
      </w:r>
      <w:r w:rsidR="00A97450">
        <w:t xml:space="preserve">set </w:t>
      </w:r>
      <w:r w:rsidR="00F02C1D">
        <w:t xml:space="preserve">efficient </w:t>
      </w:r>
      <w:r w:rsidR="00FD1508">
        <w:t xml:space="preserve">expenditure </w:t>
      </w:r>
      <w:r w:rsidR="00D2443E">
        <w:t>forecasts</w:t>
      </w:r>
      <w:r w:rsidR="00FD1508">
        <w:t>?</w:t>
      </w:r>
    </w:p>
    <w:p w:rsidR="009C0ED8" w:rsidRDefault="00E360BF" w:rsidP="009C0ED8">
      <w:pPr>
        <w:pStyle w:val="AERfactsheetbodytext"/>
      </w:pPr>
      <w:r w:rsidRPr="00697FF1">
        <w:rPr>
          <w:noProof/>
          <w:lang w:eastAsia="en-AU"/>
        </w:rPr>
        <w:drawing>
          <wp:anchor distT="0" distB="0" distL="114300" distR="114300" simplePos="0" relativeHeight="251664384" behindDoc="0" locked="0" layoutInCell="1" allowOverlap="1" wp14:anchorId="251E0111" wp14:editId="0B1BBD06">
            <wp:simplePos x="0" y="0"/>
            <wp:positionH relativeFrom="column">
              <wp:posOffset>-591185</wp:posOffset>
            </wp:positionH>
            <wp:positionV relativeFrom="page">
              <wp:posOffset>10211273</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9C0ED8">
        <w:t xml:space="preserve">To assess </w:t>
      </w:r>
      <w:r w:rsidR="003D72BA">
        <w:t>a business’</w:t>
      </w:r>
      <w:r w:rsidR="00640E0A">
        <w:t>s</w:t>
      </w:r>
      <w:r w:rsidR="003D72BA">
        <w:t xml:space="preserve"> </w:t>
      </w:r>
      <w:r w:rsidR="004353D3">
        <w:t xml:space="preserve">revenue </w:t>
      </w:r>
      <w:r w:rsidR="009C0ED8">
        <w:t>proposal, we apply a range of techniques that typically involve comparing the proposal to estimates we develop from relevant information sources</w:t>
      </w:r>
      <w:r w:rsidR="0080141A">
        <w:t>.</w:t>
      </w:r>
      <w:r w:rsidR="009C0ED8">
        <w:t xml:space="preserve"> </w:t>
      </w:r>
      <w:r w:rsidR="0080141A">
        <w:t>W</w:t>
      </w:r>
      <w:r w:rsidR="0080141A" w:rsidRPr="0080141A">
        <w:t xml:space="preserve">here these techniques indicate </w:t>
      </w:r>
      <w:r w:rsidR="0080141A">
        <w:t xml:space="preserve">the </w:t>
      </w:r>
      <w:r w:rsidR="0080141A" w:rsidRPr="0080141A">
        <w:t>expenditure</w:t>
      </w:r>
      <w:r w:rsidR="00B1703A">
        <w:t xml:space="preserve">s are </w:t>
      </w:r>
      <w:r w:rsidR="0080141A">
        <w:t xml:space="preserve">not </w:t>
      </w:r>
      <w:r w:rsidR="0080141A" w:rsidRPr="0080141A">
        <w:t>efficient, we will set our own efficient forecast</w:t>
      </w:r>
      <w:r w:rsidR="0080141A">
        <w:t xml:space="preserve">. </w:t>
      </w:r>
    </w:p>
    <w:p w:rsidR="00864726" w:rsidRDefault="007B18D8" w:rsidP="007B18D8">
      <w:pPr>
        <w:pStyle w:val="AERFactsheetHeading1"/>
      </w:pPr>
      <w:r>
        <w:lastRenderedPageBreak/>
        <w:t xml:space="preserve">What’s </w:t>
      </w:r>
      <w:r w:rsidR="00400620">
        <w:t xml:space="preserve">our </w:t>
      </w:r>
      <w:r>
        <w:t>general approach to assessment?</w:t>
      </w:r>
    </w:p>
    <w:p w:rsidR="007B18D8" w:rsidRDefault="00A168AF" w:rsidP="00D44ABA">
      <w:pPr>
        <w:pStyle w:val="AERfactsheetbodytext"/>
      </w:pPr>
      <w:r w:rsidRPr="00A168AF">
        <w:t xml:space="preserve">Our general approach is </w:t>
      </w:r>
      <w:r>
        <w:t>to assess the efficiency of a network business and determine whether previous spending is</w:t>
      </w:r>
      <w:r w:rsidRPr="00A168AF">
        <w:t xml:space="preserve"> an appropriate starting point.</w:t>
      </w:r>
      <w:r>
        <w:t xml:space="preserve"> </w:t>
      </w:r>
      <w:r w:rsidR="00D44ABA">
        <w:t xml:space="preserve">If a business is efficient and has been responding to our expenditure incentives measures, </w:t>
      </w:r>
      <w:r w:rsidR="00D47EF5">
        <w:t xml:space="preserve">its </w:t>
      </w:r>
      <w:r w:rsidR="007B18D8">
        <w:t xml:space="preserve">past expenditure </w:t>
      </w:r>
      <w:r w:rsidR="00D47EF5">
        <w:t xml:space="preserve">is often a </w:t>
      </w:r>
      <w:r w:rsidR="007B18D8">
        <w:t xml:space="preserve">good indicator of </w:t>
      </w:r>
      <w:r w:rsidR="00D47EF5">
        <w:t xml:space="preserve">how much it will need to spend in </w:t>
      </w:r>
      <w:r w:rsidR="004353D3">
        <w:t>future</w:t>
      </w:r>
      <w:r w:rsidR="007B18D8">
        <w:t xml:space="preserve">. </w:t>
      </w:r>
    </w:p>
    <w:p w:rsidR="007B18D8" w:rsidRDefault="007B18D8" w:rsidP="007B18D8">
      <w:pPr>
        <w:pStyle w:val="AERfactsheetbodytext"/>
      </w:pPr>
      <w:r>
        <w:rPr>
          <w:noProof/>
          <w:lang w:eastAsia="en-AU"/>
        </w:rPr>
        <mc:AlternateContent>
          <mc:Choice Requires="wps">
            <w:drawing>
              <wp:inline distT="0" distB="0" distL="0" distR="0" wp14:anchorId="422F4C79" wp14:editId="2B9587C3">
                <wp:extent cx="3214370" cy="681644"/>
                <wp:effectExtent l="0" t="0" r="24130" b="2349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681644"/>
                        </a:xfrm>
                        <a:prstGeom prst="rect">
                          <a:avLst/>
                        </a:prstGeom>
                        <a:solidFill>
                          <a:srgbClr val="DBE5F1"/>
                        </a:solidFill>
                        <a:ln w="9525">
                          <a:solidFill>
                            <a:srgbClr val="006A99"/>
                          </a:solidFill>
                          <a:miter lim="800000"/>
                          <a:headEnd/>
                          <a:tailEnd/>
                        </a:ln>
                      </wps:spPr>
                      <wps:txbx>
                        <w:txbxContent>
                          <w:p w:rsidR="00FE44B1" w:rsidRDefault="00FE44B1" w:rsidP="007B18D8">
                            <w:pPr>
                              <w:pStyle w:val="AERfactsheetbodytext"/>
                            </w:pPr>
                            <w:r>
                              <w:t>Our expenditure incentives measures work together with our techniques for assessing revenue proposals. More information on these incentives is in our expenditure incentives factsheet.</w:t>
                            </w:r>
                          </w:p>
                          <w:p w:rsidR="00FE44B1" w:rsidRPr="00697FF1" w:rsidRDefault="00FE44B1" w:rsidP="007B18D8">
                            <w:pPr>
                              <w:pStyle w:val="AERfactsheetbodytext"/>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31" type="#_x0000_t202" style="width:253.1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" fillcolor="#dbe5f1" strokecolor="#006a99">
                <v:textbox>
                  <w:txbxContent>
                    <w:p w:rsidR="00AF6EFE" w:rsidRDefault="00AF6EFE" w:rsidP="007B18D8">
                      <w:pPr>
                        <w:pStyle w:val="AERfactsheetbodytext"/>
                      </w:pPr>
                      <w:r>
                        <w:t>Our expenditure incentives measures work together with our techniques for assessing revenue proposals. More information on these incentives is in our expenditure incentives factsheet.</w:t>
                      </w:r>
                    </w:p>
                    <w:p w:rsidR="00AF6EFE" w:rsidRPr="00697FF1" w:rsidRDefault="00AF6EFE" w:rsidP="007B18D8">
                      <w:pPr>
                        <w:pStyle w:val="AERfactsheetbodytext"/>
                      </w:pPr>
                    </w:p>
                  </w:txbxContent>
                </v:textbox>
                <w10:anchorlock/>
              </v:shape>
            </w:pict>
          </mc:Fallback>
        </mc:AlternateContent>
      </w:r>
    </w:p>
    <w:p w:rsidR="007B18D8" w:rsidRDefault="00D44ABA" w:rsidP="009C0ED8">
      <w:pPr>
        <w:pStyle w:val="AERfactsheetbodytext"/>
      </w:pPr>
      <w:r>
        <w:t xml:space="preserve">We use our assessment techniques to </w:t>
      </w:r>
      <w:r w:rsidR="007B18D8">
        <w:t xml:space="preserve">test </w:t>
      </w:r>
      <w:r>
        <w:t xml:space="preserve">the efficiency </w:t>
      </w:r>
      <w:r w:rsidR="00E33B43">
        <w:t xml:space="preserve">of a network business’s expenditure. </w:t>
      </w:r>
      <w:r>
        <w:t>These techniques include:</w:t>
      </w:r>
    </w:p>
    <w:p w:rsidR="00F01727" w:rsidRPr="003D72BA" w:rsidRDefault="00853416" w:rsidP="003D72BA">
      <w:pPr>
        <w:pStyle w:val="AERfactsheetbulletlist"/>
      </w:pPr>
      <w:r w:rsidRPr="003D72BA">
        <w:t>e</w:t>
      </w:r>
      <w:r w:rsidR="00F01727" w:rsidRPr="003D72BA">
        <w:t>conomic benchmarking</w:t>
      </w:r>
      <w:r w:rsidR="00BD1485" w:rsidRPr="003D72BA">
        <w:t>—</w:t>
      </w:r>
      <w:r w:rsidRPr="003D72BA">
        <w:t xml:space="preserve">productivity measures </w:t>
      </w:r>
      <w:r w:rsidR="005C6C40" w:rsidRPr="003D72BA">
        <w:t xml:space="preserve">used </w:t>
      </w:r>
      <w:r w:rsidRPr="003D72BA">
        <w:t>to assess a business’</w:t>
      </w:r>
      <w:r w:rsidR="0048659F">
        <w:t>s</w:t>
      </w:r>
      <w:r w:rsidRPr="003D72BA">
        <w:t xml:space="preserve"> efficiency overall</w:t>
      </w:r>
    </w:p>
    <w:p w:rsidR="00F01727" w:rsidRPr="007B18D8" w:rsidRDefault="00F01727" w:rsidP="007F2A0C">
      <w:pPr>
        <w:pStyle w:val="AERfactsheetbulletlist"/>
      </w:pPr>
      <w:r w:rsidRPr="007B18D8">
        <w:t xml:space="preserve">category </w:t>
      </w:r>
      <w:r w:rsidR="00853416">
        <w:t xml:space="preserve">level </w:t>
      </w:r>
      <w:r w:rsidR="00640E0A">
        <w:t>analy</w:t>
      </w:r>
      <w:bookmarkStart w:id="0" w:name="_GoBack"/>
      <w:bookmarkEnd w:id="0"/>
      <w:r w:rsidR="00640E0A">
        <w:t>sis</w:t>
      </w:r>
      <w:r w:rsidR="00AB5C33">
        <w:t>—</w:t>
      </w:r>
      <w:r w:rsidR="00853416">
        <w:t xml:space="preserve">comparing </w:t>
      </w:r>
      <w:r w:rsidR="00640E0A">
        <w:t xml:space="preserve">how well a business delivers services </w:t>
      </w:r>
      <w:r w:rsidR="00F662AF">
        <w:t xml:space="preserve">for </w:t>
      </w:r>
      <w:r w:rsidR="00640E0A">
        <w:t xml:space="preserve">a range of </w:t>
      </w:r>
      <w:r w:rsidR="00F662AF">
        <w:t xml:space="preserve">individual </w:t>
      </w:r>
      <w:r w:rsidR="00640E0A">
        <w:t>activities and functions, including over time and with its peers</w:t>
      </w:r>
    </w:p>
    <w:p w:rsidR="00DD1105" w:rsidRPr="00241B78" w:rsidRDefault="00DD1105" w:rsidP="003D72BA">
      <w:pPr>
        <w:pStyle w:val="AERfactsheetbulletlist"/>
      </w:pPr>
      <w:r w:rsidRPr="007B18D8">
        <w:t>predictive modelling</w:t>
      </w:r>
      <w:r w:rsidR="00AB5C33">
        <w:t>—</w:t>
      </w:r>
      <w:r>
        <w:t>statistical analysis to predict future spending needs</w:t>
      </w:r>
      <w:r w:rsidR="005C6C40">
        <w:t>,</w:t>
      </w:r>
      <w:r>
        <w:t xml:space="preserve"> currently used to assess the need for upgrades or replacement as demand changes </w:t>
      </w:r>
      <w:r w:rsidRPr="00241B78">
        <w:t xml:space="preserve">(augmentation </w:t>
      </w:r>
      <w:proofErr w:type="spellStart"/>
      <w:r w:rsidRPr="00241B78">
        <w:t>capex</w:t>
      </w:r>
      <w:proofErr w:type="spellEnd"/>
      <w:r w:rsidRPr="00241B78">
        <w:t xml:space="preserve">, or </w:t>
      </w:r>
      <w:proofErr w:type="spellStart"/>
      <w:r w:rsidRPr="00241B78">
        <w:t>augex</w:t>
      </w:r>
      <w:proofErr w:type="spellEnd"/>
      <w:r w:rsidRPr="00241B78">
        <w:t>)</w:t>
      </w:r>
      <w:r>
        <w:t xml:space="preserve"> and </w:t>
      </w:r>
      <w:r w:rsidRPr="00241B78">
        <w:t xml:space="preserve">expenditure needed to replace aging assets (replacement </w:t>
      </w:r>
      <w:proofErr w:type="spellStart"/>
      <w:r w:rsidRPr="00241B78">
        <w:t>capex</w:t>
      </w:r>
      <w:proofErr w:type="spellEnd"/>
      <w:r w:rsidRPr="00241B78">
        <w:t xml:space="preserve">, or </w:t>
      </w:r>
      <w:proofErr w:type="spellStart"/>
      <w:r>
        <w:t>repex</w:t>
      </w:r>
      <w:proofErr w:type="spellEnd"/>
      <w:r>
        <w:t>)</w:t>
      </w:r>
    </w:p>
    <w:p w:rsidR="00DD1105" w:rsidRPr="007B18D8" w:rsidRDefault="00DD1105" w:rsidP="003D72BA">
      <w:pPr>
        <w:pStyle w:val="AERfactsheetbulletlist"/>
      </w:pPr>
      <w:r w:rsidRPr="007B18D8">
        <w:t>trend analysis</w:t>
      </w:r>
      <w:r w:rsidR="00AB5C33">
        <w:t>—</w:t>
      </w:r>
      <w:r w:rsidR="006804DF">
        <w:t xml:space="preserve">forecasting future expenditure </w:t>
      </w:r>
      <w:r w:rsidR="00E360BF">
        <w:t xml:space="preserve">based on historical information, particularly useful for </w:t>
      </w:r>
      <w:proofErr w:type="spellStart"/>
      <w:r w:rsidR="00E360BF">
        <w:t>opex</w:t>
      </w:r>
      <w:proofErr w:type="spellEnd"/>
      <w:r w:rsidR="00E360BF">
        <w:t xml:space="preserve"> where spending is largely recurrent </w:t>
      </w:r>
      <w:r w:rsidR="005C6C40">
        <w:t>and predictable</w:t>
      </w:r>
    </w:p>
    <w:p w:rsidR="00DD1105" w:rsidRPr="007B18D8" w:rsidRDefault="00DD1105" w:rsidP="003D72BA">
      <w:pPr>
        <w:pStyle w:val="AERfactsheetbulletlist"/>
      </w:pPr>
      <w:r w:rsidRPr="007B18D8">
        <w:t>cost benefit analysis</w:t>
      </w:r>
      <w:r w:rsidR="00AB5C33">
        <w:t>—</w:t>
      </w:r>
      <w:r w:rsidR="006804DF">
        <w:t xml:space="preserve">assessing whether the business has chosen spending options that </w:t>
      </w:r>
      <w:r w:rsidR="00F662AF">
        <w:t>reflect the best value for money</w:t>
      </w:r>
    </w:p>
    <w:p w:rsidR="00DD1105" w:rsidRPr="007B18D8" w:rsidRDefault="00DD1105">
      <w:pPr>
        <w:pStyle w:val="AERfactsheetbulletlist"/>
      </w:pPr>
      <w:r w:rsidRPr="007B18D8">
        <w:t>project review</w:t>
      </w:r>
      <w:r w:rsidR="00AB5C33">
        <w:t>—</w:t>
      </w:r>
      <w:r w:rsidR="006804DF">
        <w:t>a detailed e</w:t>
      </w:r>
      <w:r w:rsidR="006804DF" w:rsidRPr="007B18D8">
        <w:t xml:space="preserve">ngineering </w:t>
      </w:r>
      <w:r w:rsidR="006804DF">
        <w:t xml:space="preserve">examination of specific </w:t>
      </w:r>
      <w:r w:rsidR="005C6C40">
        <w:t xml:space="preserve">proposed </w:t>
      </w:r>
      <w:r w:rsidR="006804DF">
        <w:t>projects or programs</w:t>
      </w:r>
    </w:p>
    <w:p w:rsidR="00F01727" w:rsidRPr="007B18D8" w:rsidRDefault="002275E2" w:rsidP="003D72BA">
      <w:pPr>
        <w:pStyle w:val="AERfactsheetbulletlist"/>
      </w:pPr>
      <w:r>
        <w:rPr>
          <w:noProof/>
          <w:lang w:eastAsia="en-AU"/>
        </w:rPr>
        <w:lastRenderedPageBreak/>
        <mc:AlternateContent>
          <mc:Choice Requires="wpc">
            <w:drawing>
              <wp:anchor distT="0" distB="0" distL="114300" distR="114300" simplePos="0" relativeHeight="251671552" behindDoc="0" locked="0" layoutInCell="1" allowOverlap="1" wp14:anchorId="5937B299" wp14:editId="48CB7CA9">
                <wp:simplePos x="0" y="0"/>
                <wp:positionH relativeFrom="column">
                  <wp:posOffset>495300</wp:posOffset>
                </wp:positionH>
                <wp:positionV relativeFrom="page">
                  <wp:posOffset>856615</wp:posOffset>
                </wp:positionV>
                <wp:extent cx="5637600" cy="2955600"/>
                <wp:effectExtent l="0" t="0" r="0" b="0"/>
                <wp:wrapNone/>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Shape 6"/>
                        <wps:cNvSpPr/>
                        <wps:spPr>
                          <a:xfrm rot="4106373">
                            <a:off x="1339581" y="654277"/>
                            <a:ext cx="2455581" cy="1648086"/>
                          </a:xfrm>
                          <a:prstGeom prst="swooshArrow">
                            <a:avLst>
                              <a:gd name="adj1" fmla="val 16310"/>
                              <a:gd name="adj2" fmla="val 31370"/>
                            </a:avLst>
                          </a:prstGeom>
                          <a:solidFill>
                            <a:srgbClr val="006A99"/>
                          </a:solidFill>
                          <a:effectLst/>
                          <a:scene3d>
                            <a:camera prst="orthographicFront"/>
                            <a:lightRig rig="threePt" dir="t">
                              <a:rot lat="0" lon="0" rev="7500000"/>
                            </a:lightRig>
                          </a:scene3d>
                          <a:sp3d prstMaterial="plastic">
                            <a:bevelT w="0" h="0" prst="relaxedInset"/>
                          </a:sp3d>
                        </wps:spPr>
                        <wps:style>
                          <a:lnRef idx="0">
                            <a:schemeClr val="lt2">
                              <a:hueOff val="0"/>
                              <a:satOff val="0"/>
                              <a:lumOff val="0"/>
                              <a:alphaOff val="0"/>
                            </a:schemeClr>
                          </a:lnRef>
                          <a:fillRef idx="3">
                            <a:scrgbClr r="0" g="0" b="0"/>
                          </a:fillRef>
                          <a:effectRef idx="2">
                            <a:scrgbClr r="0" g="0" b="0"/>
                          </a:effectRef>
                          <a:fontRef idx="minor">
                            <a:schemeClr val="lt1"/>
                          </a:fontRef>
                        </wps:style>
                        <wps:bodyPr/>
                      </wps:wsp>
                      <wps:wsp>
                        <wps:cNvPr id="7" name="Rectangle 7"/>
                        <wps:cNvSpPr>
                          <a:spLocks noChangeArrowheads="1"/>
                        </wps:cNvSpPr>
                        <wps:spPr bwMode="auto">
                          <a:xfrm>
                            <a:off x="38805" y="381163"/>
                            <a:ext cx="2072384" cy="229476"/>
                          </a:xfrm>
                          <a:prstGeom prst="rect">
                            <a:avLst/>
                          </a:prstGeom>
                          <a:solidFill>
                            <a:srgbClr val="DBE5F1"/>
                          </a:solidFill>
                          <a:ln w="19050">
                            <a:noFill/>
                          </a:ln>
                          <a:extLst/>
                        </wps:spPr>
                        <wps:txbx>
                          <w:txbxContent>
                            <w:p w:rsidR="00FE44B1" w:rsidRPr="00AC1DA2" w:rsidRDefault="00FE44B1" w:rsidP="002275E2">
                              <w:pPr>
                                <w:pStyle w:val="NormalWeb"/>
                                <w:spacing w:before="0" w:beforeAutospacing="0" w:after="0" w:afterAutospacing="0" w:line="276" w:lineRule="auto"/>
                                <w:jc w:val="center"/>
                                <w:rPr>
                                  <w:b/>
                                </w:rPr>
                              </w:pPr>
                              <w:r w:rsidRPr="00AC1DA2">
                                <w:rPr>
                                  <w:rFonts w:ascii="Tunga" w:eastAsia="Calibri" w:hAnsi="Tunga" w:cs="Tunga"/>
                                  <w:b/>
                                  <w:color w:val="000000"/>
                                  <w:sz w:val="16"/>
                                  <w:szCs w:val="16"/>
                                </w:rPr>
                                <w:t>Network business regulatory proposal</w:t>
                              </w:r>
                            </w:p>
                          </w:txbxContent>
                        </wps:txbx>
                        <wps:bodyPr rot="0" vert="horz" wrap="square" lIns="91440" tIns="36000" rIns="91440" bIns="36000" anchor="ctr" anchorCtr="0" upright="1">
                          <a:noAutofit/>
                        </wps:bodyPr>
                      </wps:wsp>
                      <wps:wsp>
                        <wps:cNvPr id="15" name="Rectangle 15"/>
                        <wps:cNvSpPr>
                          <a:spLocks noChangeArrowheads="1"/>
                        </wps:cNvSpPr>
                        <wps:spPr bwMode="auto">
                          <a:xfrm>
                            <a:off x="374195" y="877971"/>
                            <a:ext cx="1198800" cy="230400"/>
                          </a:xfrm>
                          <a:prstGeom prst="rect">
                            <a:avLst/>
                          </a:prstGeom>
                          <a:solidFill>
                            <a:schemeClr val="bg1"/>
                          </a:solidFill>
                          <a:ln w="12700">
                            <a:solidFill>
                              <a:srgbClr val="006A99"/>
                            </a:solidFill>
                          </a:ln>
                          <a:extLst/>
                        </wps:spPr>
                        <wps:txbx>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Detailed assessment</w:t>
                              </w:r>
                            </w:p>
                          </w:txbxContent>
                        </wps:txbx>
                        <wps:bodyPr rot="0" vert="horz" wrap="square" lIns="91440" tIns="36000" rIns="91440" bIns="36000" anchor="ctr" anchorCtr="0" upright="1">
                          <a:noAutofit/>
                        </wps:bodyPr>
                      </wps:wsp>
                      <wps:wsp>
                        <wps:cNvPr id="16" name="Rectangle 16"/>
                        <wps:cNvSpPr>
                          <a:spLocks noChangeArrowheads="1"/>
                        </wps:cNvSpPr>
                        <wps:spPr bwMode="auto">
                          <a:xfrm>
                            <a:off x="1310000" y="1256880"/>
                            <a:ext cx="1198800" cy="230400"/>
                          </a:xfrm>
                          <a:prstGeom prst="rect">
                            <a:avLst/>
                          </a:prstGeom>
                          <a:solidFill>
                            <a:srgbClr val="006A99"/>
                          </a:solidFill>
                          <a:ln w="19050">
                            <a:noFill/>
                          </a:ln>
                          <a:extLst/>
                        </wps:spPr>
                        <wps:txbx>
                          <w:txbxContent>
                            <w:p w:rsidR="00FE44B1" w:rsidRPr="00AC1DA2" w:rsidRDefault="00FE44B1" w:rsidP="002275E2">
                              <w:pPr>
                                <w:pStyle w:val="NormalWeb"/>
                                <w:spacing w:before="0" w:beforeAutospacing="0" w:after="0" w:afterAutospacing="0" w:line="276" w:lineRule="auto"/>
                                <w:jc w:val="center"/>
                                <w:rPr>
                                  <w:b/>
                                  <w:color w:val="FFFFFF" w:themeColor="background1"/>
                                </w:rPr>
                              </w:pPr>
                              <w:r w:rsidRPr="00AC1DA2">
                                <w:rPr>
                                  <w:rFonts w:ascii="Tunga" w:eastAsia="Calibri" w:hAnsi="Tunga" w:cs="Tunga"/>
                                  <w:b/>
                                  <w:color w:val="FFFFFF" w:themeColor="background1"/>
                                  <w:sz w:val="16"/>
                                  <w:szCs w:val="16"/>
                                </w:rPr>
                                <w:t xml:space="preserve">AER draft </w:t>
                              </w:r>
                              <w:r>
                                <w:rPr>
                                  <w:rFonts w:ascii="Tunga" w:eastAsia="Calibri" w:hAnsi="Tunga" w:cs="Tunga"/>
                                  <w:b/>
                                  <w:color w:val="FFFFFF" w:themeColor="background1"/>
                                  <w:sz w:val="16"/>
                                  <w:szCs w:val="16"/>
                                </w:rPr>
                                <w:t>decision</w:t>
                              </w:r>
                            </w:p>
                          </w:txbxContent>
                        </wps:txbx>
                        <wps:bodyPr rot="0" vert="horz" wrap="square" lIns="91440" tIns="36000" rIns="91440" bIns="36000" anchor="ctr" anchorCtr="0" upright="1">
                          <a:noAutofit/>
                        </wps:bodyPr>
                      </wps:wsp>
                      <wps:wsp>
                        <wps:cNvPr id="17" name="Rectangle 17"/>
                        <wps:cNvSpPr>
                          <a:spLocks noChangeArrowheads="1"/>
                        </wps:cNvSpPr>
                        <wps:spPr bwMode="auto">
                          <a:xfrm>
                            <a:off x="3338597" y="746829"/>
                            <a:ext cx="1198800" cy="230400"/>
                          </a:xfrm>
                          <a:prstGeom prst="rect">
                            <a:avLst/>
                          </a:prstGeom>
                          <a:solidFill>
                            <a:srgbClr val="006A99"/>
                          </a:solidFill>
                          <a:ln w="19050">
                            <a:noFill/>
                          </a:ln>
                          <a:extLst/>
                        </wps:spPr>
                        <wps:txbx>
                          <w:txbxContent>
                            <w:p w:rsidR="00FE44B1" w:rsidRDefault="00FE44B1" w:rsidP="002275E2">
                              <w:pPr>
                                <w:pStyle w:val="NormalWeb"/>
                                <w:spacing w:before="0" w:beforeAutospacing="0" w:after="0" w:afterAutospacing="0" w:line="276" w:lineRule="auto"/>
                                <w:jc w:val="center"/>
                              </w:pPr>
                              <w:r>
                                <w:rPr>
                                  <w:rFonts w:ascii="Tunga" w:eastAsia="Calibri" w:hAnsi="Tunga" w:cs="Tunga"/>
                                  <w:b/>
                                  <w:bCs/>
                                  <w:color w:val="FFFFFF"/>
                                  <w:sz w:val="16"/>
                                  <w:szCs w:val="16"/>
                                </w:rPr>
                                <w:t>AER issues paper</w:t>
                              </w:r>
                            </w:p>
                          </w:txbxContent>
                        </wps:txbx>
                        <wps:bodyPr rot="0" vert="horz" wrap="square" lIns="91440" tIns="36000" rIns="91440" bIns="36000" anchor="ctr" anchorCtr="0" upright="1">
                          <a:noAutofit/>
                        </wps:bodyPr>
                      </wps:wsp>
                      <wps:wsp>
                        <wps:cNvPr id="18" name="Rectangle 18"/>
                        <wps:cNvSpPr>
                          <a:spLocks noChangeArrowheads="1"/>
                        </wps:cNvSpPr>
                        <wps:spPr bwMode="auto">
                          <a:xfrm>
                            <a:off x="2972027" y="2456856"/>
                            <a:ext cx="1198800" cy="230400"/>
                          </a:xfrm>
                          <a:prstGeom prst="rect">
                            <a:avLst/>
                          </a:prstGeom>
                          <a:solidFill>
                            <a:srgbClr val="006A99"/>
                          </a:solidFill>
                          <a:ln w="19050">
                            <a:noFill/>
                          </a:ln>
                          <a:extLst/>
                        </wps:spPr>
                        <wps:txbx>
                          <w:txbxContent>
                            <w:p w:rsidR="00FE44B1" w:rsidRPr="006D6601" w:rsidRDefault="00FE44B1" w:rsidP="002275E2">
                              <w:pPr>
                                <w:pStyle w:val="NormalWeb"/>
                                <w:spacing w:before="0" w:beforeAutospacing="0" w:after="0" w:afterAutospacing="0" w:line="276" w:lineRule="auto"/>
                                <w:jc w:val="center"/>
                                <w:rPr>
                                  <w:color w:val="FFFFFF" w:themeColor="background1"/>
                                </w:rPr>
                              </w:pPr>
                              <w:r w:rsidRPr="006D6601">
                                <w:rPr>
                                  <w:rFonts w:ascii="Tunga" w:eastAsia="Calibri" w:hAnsi="Tunga" w:cs="Tunga"/>
                                  <w:b/>
                                  <w:bCs/>
                                  <w:color w:val="FFFFFF" w:themeColor="background1"/>
                                  <w:sz w:val="16"/>
                                  <w:szCs w:val="16"/>
                                </w:rPr>
                                <w:t xml:space="preserve">AER final </w:t>
                              </w:r>
                              <w:r>
                                <w:rPr>
                                  <w:rFonts w:ascii="Tunga" w:eastAsia="Calibri" w:hAnsi="Tunga" w:cs="Tunga"/>
                                  <w:b/>
                                  <w:bCs/>
                                  <w:color w:val="FFFFFF" w:themeColor="background1"/>
                                  <w:sz w:val="16"/>
                                  <w:szCs w:val="16"/>
                                </w:rPr>
                                <w:t>decisio</w:t>
                              </w:r>
                              <w:r w:rsidRPr="006D6601">
                                <w:rPr>
                                  <w:rFonts w:ascii="Tunga" w:eastAsia="Calibri" w:hAnsi="Tunga" w:cs="Tunga"/>
                                  <w:b/>
                                  <w:bCs/>
                                  <w:color w:val="FFFFFF" w:themeColor="background1"/>
                                  <w:sz w:val="16"/>
                                  <w:szCs w:val="16"/>
                                </w:rPr>
                                <w:t>n</w:t>
                              </w:r>
                            </w:p>
                          </w:txbxContent>
                        </wps:txbx>
                        <wps:bodyPr rot="0" vert="horz" wrap="square" lIns="91440" tIns="36000" rIns="91440" bIns="36000" anchor="ctr" anchorCtr="0" upright="1">
                          <a:noAutofit/>
                        </wps:bodyPr>
                      </wps:wsp>
                      <wps:wsp>
                        <wps:cNvPr id="20" name="Rectangle 20"/>
                        <wps:cNvSpPr>
                          <a:spLocks noChangeArrowheads="1"/>
                        </wps:cNvSpPr>
                        <wps:spPr bwMode="auto">
                          <a:xfrm>
                            <a:off x="3924827" y="2054746"/>
                            <a:ext cx="1198800" cy="230400"/>
                          </a:xfrm>
                          <a:prstGeom prst="rect">
                            <a:avLst/>
                          </a:prstGeom>
                          <a:solidFill>
                            <a:schemeClr val="bg1"/>
                          </a:solidFill>
                          <a:ln w="12700">
                            <a:solidFill>
                              <a:srgbClr val="006A99"/>
                            </a:solidFill>
                          </a:ln>
                          <a:extLst/>
                        </wps:spPr>
                        <wps:txbx>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Detailed assessment</w:t>
                              </w:r>
                            </w:p>
                          </w:txbxContent>
                        </wps:txbx>
                        <wps:bodyPr rot="0" vert="horz" wrap="square" lIns="91440" tIns="36000" rIns="91440" bIns="36000" anchor="ctr" anchorCtr="0" upright="1">
                          <a:noAutofit/>
                        </wps:bodyPr>
                      </wps:wsp>
                      <wps:wsp>
                        <wps:cNvPr id="21" name="Rectangle 21"/>
                        <wps:cNvSpPr>
                          <a:spLocks noChangeArrowheads="1"/>
                        </wps:cNvSpPr>
                        <wps:spPr bwMode="auto">
                          <a:xfrm>
                            <a:off x="2424061" y="392310"/>
                            <a:ext cx="1198800" cy="230400"/>
                          </a:xfrm>
                          <a:prstGeom prst="rect">
                            <a:avLst/>
                          </a:prstGeom>
                          <a:solidFill>
                            <a:schemeClr val="bg1"/>
                          </a:solidFill>
                          <a:ln w="12700">
                            <a:solidFill>
                              <a:srgbClr val="006A99"/>
                            </a:solidFill>
                          </a:ln>
                          <a:extLst/>
                        </wps:spPr>
                        <wps:txbx>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Benchmarking report</w:t>
                              </w:r>
                            </w:p>
                          </w:txbxContent>
                        </wps:txbx>
                        <wps:bodyPr rot="0" vert="horz" wrap="square" lIns="91440" tIns="36000" rIns="91440" bIns="36000" anchor="ctr" anchorCtr="0" upright="1">
                          <a:noAutofit/>
                        </wps:bodyPr>
                      </wps:wsp>
                      <wps:wsp>
                        <wps:cNvPr id="22" name="Rectangle 22"/>
                        <wps:cNvSpPr>
                          <a:spLocks noChangeArrowheads="1"/>
                        </wps:cNvSpPr>
                        <wps:spPr bwMode="auto">
                          <a:xfrm>
                            <a:off x="4244009" y="363457"/>
                            <a:ext cx="1198330" cy="230400"/>
                          </a:xfrm>
                          <a:prstGeom prst="rect">
                            <a:avLst/>
                          </a:prstGeom>
                          <a:solidFill>
                            <a:schemeClr val="bg1"/>
                          </a:solidFill>
                          <a:ln w="12700">
                            <a:solidFill>
                              <a:srgbClr val="006A99"/>
                            </a:solidFill>
                          </a:ln>
                          <a:extLst/>
                        </wps:spPr>
                        <wps:txbx>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First pass assessment</w:t>
                              </w:r>
                            </w:p>
                          </w:txbxContent>
                        </wps:txbx>
                        <wps:bodyPr rot="0" vert="horz" wrap="square" lIns="91440" tIns="36000" rIns="91440" bIns="36000" anchor="ctr" anchorCtr="0" upright="1">
                          <a:noAutofit/>
                        </wps:bodyPr>
                      </wps:wsp>
                      <wps:wsp>
                        <wps:cNvPr id="23" name="Bent-Up Arrow 23"/>
                        <wps:cNvSpPr/>
                        <wps:spPr>
                          <a:xfrm rot="5400000">
                            <a:off x="925033" y="1108607"/>
                            <a:ext cx="336648" cy="336177"/>
                          </a:xfrm>
                          <a:prstGeom prst="bentUpArrow">
                            <a:avLst/>
                          </a:prstGeom>
                          <a:solidFill>
                            <a:schemeClr val="bg1"/>
                          </a:solidFill>
                          <a:ln w="12700">
                            <a:solidFill>
                              <a:srgbClr val="006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Bent-Up Arrow 24"/>
                        <wps:cNvSpPr/>
                        <wps:spPr>
                          <a:xfrm rot="5400000">
                            <a:off x="2971704" y="623028"/>
                            <a:ext cx="336550" cy="335915"/>
                          </a:xfrm>
                          <a:prstGeom prst="bentUpArrow">
                            <a:avLst/>
                          </a:prstGeom>
                          <a:solidFill>
                            <a:schemeClr val="bg1"/>
                          </a:solidFill>
                          <a:ln w="12700">
                            <a:solidFill>
                              <a:srgbClr val="006A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B1" w:rsidRPr="006D6601" w:rsidRDefault="00FE44B1" w:rsidP="002275E2">
                              <w:pPr>
                                <w:rPr>
                                  <w:rFonts w:eastAsia="Times New Roman"/>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Bent-Up Arrow 25"/>
                        <wps:cNvSpPr/>
                        <wps:spPr>
                          <a:xfrm rot="16200000" flipH="1">
                            <a:off x="4570933" y="594209"/>
                            <a:ext cx="336550" cy="335915"/>
                          </a:xfrm>
                          <a:prstGeom prst="bentUpArrow">
                            <a:avLst/>
                          </a:prstGeom>
                          <a:solidFill>
                            <a:schemeClr val="bg1"/>
                          </a:solidFill>
                          <a:ln w="12700">
                            <a:solidFill>
                              <a:srgbClr val="006A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B1" w:rsidRPr="006D6601" w:rsidRDefault="00FE44B1" w:rsidP="002275E2">
                              <w:pPr>
                                <w:rPr>
                                  <w:rFonts w:eastAsia="Times New Roman"/>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Bent-Up Arrow 26"/>
                        <wps:cNvSpPr/>
                        <wps:spPr>
                          <a:xfrm rot="16200000" flipH="1">
                            <a:off x="4233440" y="2291983"/>
                            <a:ext cx="336550" cy="335280"/>
                          </a:xfrm>
                          <a:prstGeom prst="bentUpArrow">
                            <a:avLst/>
                          </a:prstGeom>
                          <a:solidFill>
                            <a:schemeClr val="bg1"/>
                          </a:solidFill>
                          <a:ln w="12700">
                            <a:solidFill>
                              <a:srgbClr val="006A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B1" w:rsidRPr="006D6601" w:rsidRDefault="00FE44B1" w:rsidP="002275E2">
                              <w:pPr>
                                <w:pStyle w:val="NormalWeb"/>
                                <w:spacing w:before="0" w:beforeAutospacing="0" w:after="200" w:afterAutospacing="0" w:line="276" w:lineRule="auto"/>
                                <w:rPr>
                                  <w:color w:val="000000" w:themeColor="text1"/>
                                </w:rPr>
                              </w:pPr>
                              <w:r w:rsidRPr="006D6601">
                                <w:rPr>
                                  <w:color w:val="000000" w:themeColor="text1"/>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a:spLocks noChangeArrowheads="1"/>
                        </wps:cNvSpPr>
                        <wps:spPr bwMode="auto">
                          <a:xfrm>
                            <a:off x="3307931" y="1474411"/>
                            <a:ext cx="2072005" cy="229235"/>
                          </a:xfrm>
                          <a:prstGeom prst="rect">
                            <a:avLst/>
                          </a:prstGeom>
                          <a:solidFill>
                            <a:srgbClr val="DBE5F1"/>
                          </a:solidFill>
                          <a:ln w="19050">
                            <a:noFill/>
                          </a:ln>
                          <a:extLst/>
                        </wps:spPr>
                        <wps:txbx>
                          <w:txbxContent>
                            <w:p w:rsidR="00FE44B1" w:rsidRDefault="00FE44B1" w:rsidP="002275E2">
                              <w:pPr>
                                <w:pStyle w:val="NormalWeb"/>
                                <w:spacing w:before="0" w:beforeAutospacing="0" w:after="0" w:afterAutospacing="0" w:line="276" w:lineRule="auto"/>
                                <w:jc w:val="center"/>
                              </w:pPr>
                              <w:r>
                                <w:rPr>
                                  <w:rFonts w:ascii="Tunga" w:eastAsia="Calibri" w:hAnsi="Tunga" w:cs="Tunga"/>
                                  <w:b/>
                                  <w:bCs/>
                                  <w:color w:val="000000"/>
                                  <w:sz w:val="16"/>
                                  <w:szCs w:val="16"/>
                                </w:rPr>
                                <w:t>Network business revised proposal</w:t>
                              </w:r>
                            </w:p>
                          </w:txbxContent>
                        </wps:txbx>
                        <wps:bodyPr rot="0" vert="horz" wrap="square" lIns="91440" tIns="36000" rIns="91440" bIns="36000" anchor="ctr" anchorCtr="0" upright="1">
                          <a:noAutofit/>
                        </wps:bodyPr>
                      </wps:wsp>
                      <wps:wsp>
                        <wps:cNvPr id="28" name="Rectangle 28"/>
                        <wps:cNvSpPr>
                          <a:spLocks noChangeArrowheads="1"/>
                        </wps:cNvSpPr>
                        <wps:spPr bwMode="auto">
                          <a:xfrm>
                            <a:off x="38805" y="0"/>
                            <a:ext cx="4246245"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FE44B1" w:rsidRDefault="00FE44B1" w:rsidP="002275E2">
                              <w:pPr>
                                <w:pStyle w:val="NormalWeb"/>
                                <w:spacing w:before="0" w:beforeAutospacing="0" w:after="0" w:afterAutospacing="0" w:line="288" w:lineRule="auto"/>
                              </w:pPr>
                              <w:r>
                                <w:rPr>
                                  <w:rFonts w:ascii="Tunga" w:hAnsi="Tunga"/>
                                  <w:b/>
                                  <w:bCs/>
                                  <w:color w:val="000000"/>
                                  <w:kern w:val="24"/>
                                </w:rPr>
                                <w:t>A typical assessment process</w:t>
                              </w:r>
                            </w:p>
                          </w:txbxContent>
                        </wps:txbx>
                        <wps:bodyPr rot="0" vert="horz" wrap="square" lIns="91440" tIns="36000" rIns="91440" bIns="3600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Canvas 29" o:spid="_x0000_s1032" editas="canvas" style="position:absolute;left:0;text-align:left;margin-left:39pt;margin-top:67.45pt;width:443.9pt;height:232.7pt;z-index:251671552;mso-position-horizontal-relative:text;mso-position-vertical-relative:page" coordsize="56375,2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6375;height:29552;visibility:visible;mso-wrap-style:square">
                  <v:fill o:detectmouseclick="t"/>
                  <v:path o:connecttype="none"/>
                </v:shape>
                <v:shape id="Shape 6" o:spid="_x0000_s1034" style="position:absolute;left:13396;top:6542;width:24556;height:16481;rotation:4485254fd;visibility:visible;mso-wrap-style:square;v-text-anchor:top" coordsize="2455581,1648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V3MIA&#10;AADaAAAADwAAAGRycy9kb3ducmV2LnhtbESPT4vCMBTE7wt+h/CEva2pPRSpRlEXQfEg/gGvj+bZ&#10;BpuX2mS1u59+Iwgeh5n5DTOZdbYWd2q9caxgOEhAEBdOGy4VnI6rrxEIH5A11o5JwS95mE17HxPM&#10;tXvwnu6HUIoIYZ+jgiqEJpfSFxVZ9APXEEfv4lqLIcq2lLrFR4TbWqZJkkmLhuNChQ0tKyquhx+r&#10;QG6y1Ottdy6WW71amNu32aV/Sn32u/kYRKAuvMOv9loryOB5Jd4A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BXcwgAAANoAAAAPAAAAAAAAAAAAAAAAAJgCAABkcnMvZG93&#10;bnJldi54bWxQSwUGAAAAAAQABAD1AAAAhwMAAAAA&#10;" path="m,1648086c272843,915603,919035,434912,1938576,206011l1915365,r540216,258008l1992075,680824,1968863,474814c1065551,566374,409263,957465,,1648086xe" fillcolor="#006a99" stroked="f">
                  <v:path arrowok="t" o:connecttype="custom" o:connectlocs="0,1648086;1938576,206011;1915365,0;2455581,258008;1992075,680824;1968863,474814;0,1648086" o:connectangles="0,0,0,0,0,0,0"/>
                </v:shape>
                <v:rect id="Rectangle 7" o:spid="_x0000_s1035" style="position:absolute;left:388;top:3811;width:20723;height:2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f88MA&#10;AADaAAAADwAAAGRycy9kb3ducmV2LnhtbESPQWvCQBSE74L/YXmCN92oJZbUVVRQCiWH2F56e2Rf&#10;k2D2bciuZv33bqHQ4zAz3zCbXTCtuFPvGssKFvMEBHFpdcOVgq/P0+wVhPPIGlvLpOBBDnbb8WiD&#10;mbYDF3S/+EpECLsMFdTed5mUrqzJoJvbjjh6P7Y36KPsK6l7HCLctHKZJKk02HBcqLGjY03l9XIz&#10;CvJVsV+np482x+ERXsKhy8/pt1LTSdi/gfAU/H/4r/2uFazh90q8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kf88MAAADaAAAADwAAAAAAAAAAAAAAAACYAgAAZHJzL2Rv&#10;d25yZXYueG1sUEsFBgAAAAAEAAQA9QAAAIgDAAAAAA==&#10;" fillcolor="#dbe5f1" stroked="f" strokeweight="1.5pt">
                  <v:textbox inset=",1mm,,1mm">
                    <w:txbxContent>
                      <w:p w:rsidR="00FE44B1" w:rsidRPr="00AC1DA2" w:rsidRDefault="00FE44B1" w:rsidP="002275E2">
                        <w:pPr>
                          <w:pStyle w:val="NormalWeb"/>
                          <w:spacing w:before="0" w:beforeAutospacing="0" w:after="0" w:afterAutospacing="0" w:line="276" w:lineRule="auto"/>
                          <w:jc w:val="center"/>
                          <w:rPr>
                            <w:b/>
                          </w:rPr>
                        </w:pPr>
                        <w:r w:rsidRPr="00AC1DA2">
                          <w:rPr>
                            <w:rFonts w:ascii="Tunga" w:eastAsia="Calibri" w:hAnsi="Tunga" w:cs="Tunga"/>
                            <w:b/>
                            <w:color w:val="000000"/>
                            <w:sz w:val="16"/>
                            <w:szCs w:val="16"/>
                          </w:rPr>
                          <w:t>Network business regulatory proposal</w:t>
                        </w:r>
                      </w:p>
                    </w:txbxContent>
                  </v:textbox>
                </v:rect>
                <v:rect id="Rectangle 15" o:spid="_x0000_s1036" style="position:absolute;left:3741;top:8779;width:11988;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cIA&#10;AADbAAAADwAAAGRycy9kb3ducmV2LnhtbERP24rCMBB9X/Afwiz4tqarKFKNsiqirCD18gFDM7Zl&#10;m0lpoq1+vVkQfJvDuc503ppS3Kh2hWUF370IBHFqdcGZgvNp/TUG4TyyxtIyKbiTg/ms8zHFWNuG&#10;D3Q7+kyEEHYxKsi9r2IpXZqTQdezFXHgLrY26AOsM6lrbEK4KWU/ikbSYMGhIceKljmlf8erUTAa&#10;7rPmdxMtB/fdYLWuDsljwYlS3c/2ZwLCU+vf4pd7q8P8Ifz/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P71wgAAANsAAAAPAAAAAAAAAAAAAAAAAJgCAABkcnMvZG93&#10;bnJldi54bWxQSwUGAAAAAAQABAD1AAAAhwMAAAAA&#10;" fillcolor="white [3212]" strokecolor="#006a99" strokeweight="1pt">
                  <v:textbox inset=",1mm,,1mm">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Detailed assessment</w:t>
                        </w:r>
                      </w:p>
                    </w:txbxContent>
                  </v:textbox>
                </v:rect>
                <v:rect id="Rectangle 16" o:spid="_x0000_s1037" style="position:absolute;left:13100;top:12568;width:11988;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zGsIA&#10;AADbAAAADwAAAGRycy9kb3ducmV2LnhtbERPTUvDQBC9C/6HZQQv0m6MEmzabVGLJSfBWnoestMk&#10;NDsbs9Mm/fddQfA2j/c5i9XoWnWmPjSeDTxOE1DEpbcNVwZ23x+TF1BBkC22nsnAhQKslrc3C8yt&#10;H/iLzlupVAzhkKOBWqTLtQ5lTQ7D1HfEkTv43qFE2Ffa9jjEcNfqNEky7bDh2FBjR+81lcftyRlI&#10;i3QjxfBg1z/Z/umQvM2ePy9izP3d+DoHJTTKv/jPXdg4P4PfX+IBe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rMawgAAANsAAAAPAAAAAAAAAAAAAAAAAJgCAABkcnMvZG93&#10;bnJldi54bWxQSwUGAAAAAAQABAD1AAAAhwMAAAAA&#10;" fillcolor="#006a99" stroked="f" strokeweight="1.5pt">
                  <v:textbox inset=",1mm,,1mm">
                    <w:txbxContent>
                      <w:p w:rsidR="00FE44B1" w:rsidRPr="00AC1DA2" w:rsidRDefault="00FE44B1" w:rsidP="002275E2">
                        <w:pPr>
                          <w:pStyle w:val="NormalWeb"/>
                          <w:spacing w:before="0" w:beforeAutospacing="0" w:after="0" w:afterAutospacing="0" w:line="276" w:lineRule="auto"/>
                          <w:jc w:val="center"/>
                          <w:rPr>
                            <w:b/>
                            <w:color w:val="FFFFFF" w:themeColor="background1"/>
                          </w:rPr>
                        </w:pPr>
                        <w:r w:rsidRPr="00AC1DA2">
                          <w:rPr>
                            <w:rFonts w:ascii="Tunga" w:eastAsia="Calibri" w:hAnsi="Tunga" w:cs="Tunga"/>
                            <w:b/>
                            <w:color w:val="FFFFFF" w:themeColor="background1"/>
                            <w:sz w:val="16"/>
                            <w:szCs w:val="16"/>
                          </w:rPr>
                          <w:t xml:space="preserve">AER draft </w:t>
                        </w:r>
                        <w:r>
                          <w:rPr>
                            <w:rFonts w:ascii="Tunga" w:eastAsia="Calibri" w:hAnsi="Tunga" w:cs="Tunga"/>
                            <w:b/>
                            <w:color w:val="FFFFFF" w:themeColor="background1"/>
                            <w:sz w:val="16"/>
                            <w:szCs w:val="16"/>
                          </w:rPr>
                          <w:t>decision</w:t>
                        </w:r>
                      </w:p>
                    </w:txbxContent>
                  </v:textbox>
                </v:rect>
                <v:rect id="Rectangle 17" o:spid="_x0000_s1038" style="position:absolute;left:33385;top:7468;width:11988;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WgcMA&#10;AADbAAAADwAAAGRycy9kb3ducmV2LnhtbERPS0vDQBC+C/0PyxS8SLtplKqx29IHSk6CrXgestMk&#10;mJ1Ns2OT/ntXKHibj+85i9XgGnWmLtSeDcymCSjiwtuaSwOfh9fJE6ggyBYbz2TgQgFWy9HNAjPr&#10;e/6g815KFUM4ZGigEmkzrUNRkcMw9S1x5I6+cygRdqW2HfYx3DU6TZK5dlhzbKiwpW1Fxff+xxlI&#10;8/RN8v7O7k7zr/tjsnl+eL+IMbfjYf0CSmiQf/HVnds4/xH+fo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oWgcMAAADbAAAADwAAAAAAAAAAAAAAAACYAgAAZHJzL2Rv&#10;d25yZXYueG1sUEsFBgAAAAAEAAQA9QAAAIgDAAAAAA==&#10;" fillcolor="#006a99" stroked="f" strokeweight="1.5pt">
                  <v:textbox inset=",1mm,,1mm">
                    <w:txbxContent>
                      <w:p w:rsidR="00FE44B1" w:rsidRDefault="00FE44B1" w:rsidP="002275E2">
                        <w:pPr>
                          <w:pStyle w:val="NormalWeb"/>
                          <w:spacing w:before="0" w:beforeAutospacing="0" w:after="0" w:afterAutospacing="0" w:line="276" w:lineRule="auto"/>
                          <w:jc w:val="center"/>
                        </w:pPr>
                        <w:r>
                          <w:rPr>
                            <w:rFonts w:ascii="Tunga" w:eastAsia="Calibri" w:hAnsi="Tunga" w:cs="Tunga"/>
                            <w:b/>
                            <w:bCs/>
                            <w:color w:val="FFFFFF"/>
                            <w:sz w:val="16"/>
                            <w:szCs w:val="16"/>
                          </w:rPr>
                          <w:t>AER issues paper</w:t>
                        </w:r>
                      </w:p>
                    </w:txbxContent>
                  </v:textbox>
                </v:rect>
                <v:rect id="Rectangle 18" o:spid="_x0000_s1039" style="position:absolute;left:29720;top:24568;width:11988;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C88QA&#10;AADbAAAADwAAAGRycy9kb3ducmV2LnhtbESPQUvDQBCF70L/wzKCF7EboxSN3ZaqKDkV2ornITtN&#10;gtnZmB2b9N87B8HbDO/Ne98s11PozImG1EZ2cDvPwBBX0bdcO/g4vN08gEmC7LGLTA7OlGC9ml0s&#10;sfBx5B2d9lIbDeFUoINGpC+sTVVDAdM89sSqHeMQUHQdausHHDU8dDbPsoUN2LI2NNjTS0PV1/4n&#10;OMjL/F3K8dq/fi8+747Z8+P99izOXV1OmycwQpP8m/+uS6/4Cqu/6AB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FgvPEAAAA2wAAAA8AAAAAAAAAAAAAAAAAmAIAAGRycy9k&#10;b3ducmV2LnhtbFBLBQYAAAAABAAEAPUAAACJAwAAAAA=&#10;" fillcolor="#006a99" stroked="f" strokeweight="1.5pt">
                  <v:textbox inset=",1mm,,1mm">
                    <w:txbxContent>
                      <w:p w:rsidR="00FE44B1" w:rsidRPr="006D6601" w:rsidRDefault="00FE44B1" w:rsidP="002275E2">
                        <w:pPr>
                          <w:pStyle w:val="NormalWeb"/>
                          <w:spacing w:before="0" w:beforeAutospacing="0" w:after="0" w:afterAutospacing="0" w:line="276" w:lineRule="auto"/>
                          <w:jc w:val="center"/>
                          <w:rPr>
                            <w:color w:val="FFFFFF" w:themeColor="background1"/>
                          </w:rPr>
                        </w:pPr>
                        <w:r w:rsidRPr="006D6601">
                          <w:rPr>
                            <w:rFonts w:ascii="Tunga" w:eastAsia="Calibri" w:hAnsi="Tunga" w:cs="Tunga"/>
                            <w:b/>
                            <w:bCs/>
                            <w:color w:val="FFFFFF" w:themeColor="background1"/>
                            <w:sz w:val="16"/>
                            <w:szCs w:val="16"/>
                          </w:rPr>
                          <w:t xml:space="preserve">AER final </w:t>
                        </w:r>
                        <w:r>
                          <w:rPr>
                            <w:rFonts w:ascii="Tunga" w:eastAsia="Calibri" w:hAnsi="Tunga" w:cs="Tunga"/>
                            <w:b/>
                            <w:bCs/>
                            <w:color w:val="FFFFFF" w:themeColor="background1"/>
                            <w:sz w:val="16"/>
                            <w:szCs w:val="16"/>
                          </w:rPr>
                          <w:t>decisio</w:t>
                        </w:r>
                        <w:r w:rsidRPr="006D6601">
                          <w:rPr>
                            <w:rFonts w:ascii="Tunga" w:eastAsia="Calibri" w:hAnsi="Tunga" w:cs="Tunga"/>
                            <w:b/>
                            <w:bCs/>
                            <w:color w:val="FFFFFF" w:themeColor="background1"/>
                            <w:sz w:val="16"/>
                            <w:szCs w:val="16"/>
                          </w:rPr>
                          <w:t>n</w:t>
                        </w:r>
                      </w:p>
                    </w:txbxContent>
                  </v:textbox>
                </v:rect>
                <v:rect id="Rectangle 20" o:spid="_x0000_s1040" style="position:absolute;left:39248;top:20547;width:11988;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0MIA&#10;AADbAAAADwAAAGRycy9kb3ducmV2LnhtbERPyWrDMBC9F/oPYgq5NXJjGoIT2bQppiWFkO0DBmtq&#10;m1ojYyle+vXRoZDj4+2bbDSN6KlztWUFL/MIBHFhdc2lgss5f16BcB5ZY2OZFEzkIEsfHzaYaDvw&#10;kfqTL0UIYZeggsr7NpHSFRUZdHPbEgfux3YGfYBdKXWHQwg3jVxE0VIarDk0VNjStqLi93Q1Cpav&#10;+3LYfUbbePqOP/L2ePh754NSs6fxbQ3C0+jv4n/3l1awCOvDl/A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5fQwgAAANsAAAAPAAAAAAAAAAAAAAAAAJgCAABkcnMvZG93&#10;bnJldi54bWxQSwUGAAAAAAQABAD1AAAAhwMAAAAA&#10;" fillcolor="white [3212]" strokecolor="#006a99" strokeweight="1pt">
                  <v:textbox inset=",1mm,,1mm">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Detailed assessment</w:t>
                        </w:r>
                      </w:p>
                    </w:txbxContent>
                  </v:textbox>
                </v:rect>
                <v:rect id="Rectangle 21" o:spid="_x0000_s1041" style="position:absolute;left:24240;top:3923;width:11988;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yS8UA&#10;AADbAAAADwAAAGRycy9kb3ducmV2LnhtbESP3WrCQBSE7wXfYTlC73RjQkWiq2hKaGmh+PcAh+wx&#10;CWbPhuzWxD59t1Do5TAz3zDr7WAacafO1ZYVzGcRCOLC6ppLBZdzPl2CcB5ZY2OZFDzIwXYzHq0x&#10;1bbnI91PvhQBwi5FBZX3bSqlKyoy6Ga2JQ7e1XYGfZBdKXWHfYCbRsZRtJAGaw4LFbaUVVTcTl9G&#10;weL5s+zfX6MseXwkL3l7PHzv+aDU02TYrUB4Gvx/+K/9phXE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zJLxQAAANsAAAAPAAAAAAAAAAAAAAAAAJgCAABkcnMv&#10;ZG93bnJldi54bWxQSwUGAAAAAAQABAD1AAAAigMAAAAA&#10;" fillcolor="white [3212]" strokecolor="#006a99" strokeweight="1pt">
                  <v:textbox inset=",1mm,,1mm">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Benchmarking report</w:t>
                        </w:r>
                      </w:p>
                    </w:txbxContent>
                  </v:textbox>
                </v:rect>
                <v:rect id="Rectangle 22" o:spid="_x0000_s1042" style="position:absolute;left:42440;top:3634;width:11983;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sPMQA&#10;AADbAAAADwAAAGRycy9kb3ducmV2LnhtbESP3YrCMBSE7xf2HcJZ8G5Nt6Is1SiuIorC4t8DHJpj&#10;W2xOShNt9emNIHg5zMw3zGjSmlJcqXaFZQU/3QgEcWp1wZmC42Hx/QvCeWSNpWVScCMHk/HnxwgT&#10;bRve0XXvMxEg7BJUkHtfJVK6NCeDrmsr4uCdbG3QB1lnUtfYBLgpZRxFA2mw4LCQY0WznNLz/mIU&#10;DPr/WbNeRrPebdObL6rd9v7HW6U6X+10CMJT69/hV3ulFcQxPL+EH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xrDzEAAAA2wAAAA8AAAAAAAAAAAAAAAAAmAIAAGRycy9k&#10;b3ducmV2LnhtbFBLBQYAAAAABAAEAPUAAACJAwAAAAA=&#10;" fillcolor="white [3212]" strokecolor="#006a99" strokeweight="1pt">
                  <v:textbox inset=",1mm,,1mm">
                    <w:txbxContent>
                      <w:p w:rsidR="00FE44B1" w:rsidRPr="006D6601" w:rsidRDefault="00FE44B1" w:rsidP="002275E2">
                        <w:pPr>
                          <w:pStyle w:val="NormalWeb"/>
                          <w:spacing w:before="0" w:beforeAutospacing="0" w:after="0" w:afterAutospacing="0" w:line="276" w:lineRule="auto"/>
                          <w:jc w:val="center"/>
                          <w:rPr>
                            <w:color w:val="000000" w:themeColor="text1"/>
                          </w:rPr>
                        </w:pPr>
                        <w:r w:rsidRPr="006D6601">
                          <w:rPr>
                            <w:rFonts w:ascii="Tunga" w:eastAsia="Calibri" w:hAnsi="Tunga" w:cs="Tunga"/>
                            <w:color w:val="000000" w:themeColor="text1"/>
                            <w:sz w:val="16"/>
                            <w:szCs w:val="16"/>
                          </w:rPr>
                          <w:t>First pass assessment</w:t>
                        </w:r>
                      </w:p>
                    </w:txbxContent>
                  </v:textbox>
                </v:rect>
                <v:shape id="Bent-Up Arrow 23" o:spid="_x0000_s1043" style="position:absolute;left:9249;top:11086;width:3367;height:3362;rotation:90;visibility:visible;mso-wrap-style:square;v-text-anchor:middle" coordsize="336648,33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ERMIA&#10;AADbAAAADwAAAGRycy9kb3ducmV2LnhtbESPUWvCMBSF34X9h3AF3zRVQaQzypCNDQai1R9waW6b&#10;YnNTkqzt/v0yEHw8nHO+w9kdRtuKnnxoHCtYLjIQxKXTDdcKbteP+RZEiMgaW8ek4JcCHPYvkx3m&#10;2g18ob6ItUgQDjkqMDF2uZShNGQxLFxHnLzKeYsxSV9L7XFIcNvKVZZtpMWG04LBjo6GynvxYxV8&#10;ngZ5L777Y1F5c71sq3N8l2elZtPx7RVEpDE+w4/2l1awWsP/l/Q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AREwgAAANsAAAAPAAAAAAAAAAAAAAAAAJgCAABkcnMvZG93&#10;bnJldi54bWxQSwUGAAAAAAQABAD1AAAAhwMAAAAA&#10;" path="m,252133r210582,l210582,84044r-42022,l252604,r84044,84044l294626,84044r,252133l,336177,,252133xe" fillcolor="white [3212]" strokecolor="#006a99" strokeweight="1pt">
                  <v:path arrowok="t" o:connecttype="custom" o:connectlocs="0,252133;210582,252133;210582,84044;168560,84044;252604,0;336648,84044;294626,84044;294626,336177;0,336177;0,252133" o:connectangles="0,0,0,0,0,0,0,0,0,0"/>
                </v:shape>
                <v:shape id="Bent-Up Arrow 24" o:spid="_x0000_s1044" style="position:absolute;left:29717;top:6230;width:3365;height:3359;rotation:90;visibility:visible;mso-wrap-style:square;v-text-anchor:middle" coordsize="336550,335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2+B8UA&#10;AADbAAAADwAAAGRycy9kb3ducmV2LnhtbESPQWvCQBSE7wX/w/IEL1I3SmtK6ipSKNVT1fTi7ZF9&#10;JtHs25Bdk/jvXUHocZiZb5jFqjeVaKlxpWUF00kEgjizuuRcwV/6/foBwnlkjZVlUnAjB6vl4GWB&#10;ibYd76k9+FwECLsEFRTe14mULivIoJvYmjh4J9sY9EE2udQNdgFuKjmLork0WHJYKLCmr4Kyy+Fq&#10;FFx4/BMff9MqfT/vtm3cHeN8Uys1GvbrTxCeev8ffrY3WsHsDR5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b4HxQAAANsAAAAPAAAAAAAAAAAAAAAAAJgCAABkcnMv&#10;ZG93bnJldi54bWxQSwUGAAAAAAQABAD1AAAAigMAAAAA&#10;" adj="-11796480,,5400" path="m,251936r210582,l210582,83979r-41989,l252571,r83979,83979l294561,83979r,251936l,335915,,251936xe" fillcolor="white [3212]" strokecolor="#006a99" strokeweight="1pt">
                  <v:stroke joinstyle="miter"/>
                  <v:formulas/>
                  <v:path arrowok="t" o:connecttype="custom" o:connectlocs="0,251936;210582,251936;210582,83979;168593,83979;252571,0;336550,83979;294561,83979;294561,335915;0,335915;0,251936" o:connectangles="0,0,0,0,0,0,0,0,0,0" textboxrect="0,0,336550,335915"/>
                  <v:textbox>
                    <w:txbxContent>
                      <w:p w:rsidR="00FE44B1" w:rsidRPr="006D6601" w:rsidRDefault="00FE44B1" w:rsidP="002275E2">
                        <w:pPr>
                          <w:rPr>
                            <w:rFonts w:eastAsia="Times New Roman"/>
                            <w:color w:val="000000" w:themeColor="text1"/>
                          </w:rPr>
                        </w:pPr>
                      </w:p>
                    </w:txbxContent>
                  </v:textbox>
                </v:shape>
                <v:shape id="Bent-Up Arrow 25" o:spid="_x0000_s1045" style="position:absolute;left:45709;top:5941;width:3366;height:3359;rotation:90;flip:x;visibility:visible;mso-wrap-style:square;v-text-anchor:middle" coordsize="336550,335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SPMQA&#10;AADbAAAADwAAAGRycy9kb3ducmV2LnhtbESP3YrCMBSE7wXfIRxhb2RN/Vu1GkUWlPVKt+sDHJpj&#10;W2xOShO1+vRmQfBymJlvmMWqMaW4Uu0Kywr6vQgEcWp1wZmC49/mcwrCeWSNpWVScCcHq2W7tcBY&#10;2xv/0jXxmQgQdjEqyL2vYildmpNB17MVcfBOtjbog6wzqWu8Bbgp5SCKvqTBgsNCjhV955Sek4tR&#10;MNn6/uRx6FZns79sdrNktC2HI6U+Os16DsJT49/hV/tHKxiM4f9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BkjzEAAAA2wAAAA8AAAAAAAAAAAAAAAAAmAIAAGRycy9k&#10;b3ducmV2LnhtbFBLBQYAAAAABAAEAPUAAACJAwAAAAA=&#10;" adj="-11796480,,5400" path="m,251936r210582,l210582,83979r-41989,l252571,r83979,83979l294561,83979r,251936l,335915,,251936xe" fillcolor="white [3212]" strokecolor="#006a99" strokeweight="1pt">
                  <v:stroke joinstyle="miter"/>
                  <v:formulas/>
                  <v:path arrowok="t" o:connecttype="custom" o:connectlocs="0,251936;210582,251936;210582,83979;168593,83979;252571,0;336550,83979;294561,83979;294561,335915;0,335915;0,251936" o:connectangles="0,0,0,0,0,0,0,0,0,0" textboxrect="0,0,336550,335915"/>
                  <v:textbox>
                    <w:txbxContent>
                      <w:p w:rsidR="00FE44B1" w:rsidRPr="006D6601" w:rsidRDefault="00FE44B1" w:rsidP="002275E2">
                        <w:pPr>
                          <w:rPr>
                            <w:rFonts w:eastAsia="Times New Roman"/>
                            <w:color w:val="000000" w:themeColor="text1"/>
                          </w:rPr>
                        </w:pPr>
                      </w:p>
                    </w:txbxContent>
                  </v:textbox>
                </v:shape>
                <v:shape id="Bent-Up Arrow 26" o:spid="_x0000_s1046" style="position:absolute;left:42334;top:22919;width:3365;height:3353;rotation:90;flip:x;visibility:visible;mso-wrap-style:square;v-text-anchor:middle" coordsize="336550,3352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eHcQA&#10;AADbAAAADwAAAGRycy9kb3ducmV2LnhtbESPQWvCQBSE70L/w/IKvZldPYikWUUqhaK12KTeH9nX&#10;JDT7NmRXk/bXuwXB4zAz3zDZerStuFDvG8caZokCQVw603Cl4at4nS5B+IBssHVMGn7Jw3r1MMkw&#10;NW7gT7rkoRIRwj5FDXUIXSqlL2uy6BPXEUfv2/UWQ5R9JU2PQ4TbVs6VWkiLDceFGjt6qan8yc9W&#10;w7s6FR9/m3yLh2G/PJ5auTt3Uuunx3HzDCLQGO7hW/vNaJgv4P9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g3h3EAAAA2wAAAA8AAAAAAAAAAAAAAAAAmAIAAGRycy9k&#10;b3ducmV2LnhtbFBLBQYAAAAABAAEAPUAAACJAwAAAAA=&#10;" adj="-11796480,,5400" path="m,251460r210820,l210820,83820r-41910,l252730,r83820,83820l294640,83820r,251460l,335280,,251460xe" fillcolor="white [3212]" strokecolor="#006a99" strokeweight="1pt">
                  <v:stroke joinstyle="miter"/>
                  <v:formulas/>
                  <v:path arrowok="t" o:connecttype="custom" o:connectlocs="0,251460;210820,251460;210820,83820;168910,83820;252730,0;336550,83820;294640,83820;294640,335280;0,335280;0,251460" o:connectangles="0,0,0,0,0,0,0,0,0,0" textboxrect="0,0,336550,335280"/>
                  <v:textbox>
                    <w:txbxContent>
                      <w:p w:rsidR="00FE44B1" w:rsidRPr="006D6601" w:rsidRDefault="00FE44B1" w:rsidP="002275E2">
                        <w:pPr>
                          <w:pStyle w:val="NormalWeb"/>
                          <w:spacing w:before="0" w:beforeAutospacing="0" w:after="200" w:afterAutospacing="0" w:line="276" w:lineRule="auto"/>
                          <w:rPr>
                            <w:color w:val="000000" w:themeColor="text1"/>
                          </w:rPr>
                        </w:pPr>
                        <w:r w:rsidRPr="006D6601">
                          <w:rPr>
                            <w:color w:val="000000" w:themeColor="text1"/>
                            <w:sz w:val="22"/>
                            <w:szCs w:val="22"/>
                          </w:rPr>
                          <w:t> </w:t>
                        </w:r>
                      </w:p>
                    </w:txbxContent>
                  </v:textbox>
                </v:shape>
                <v:rect id="Rectangle 27" o:spid="_x0000_s1047" style="position:absolute;left:33079;top:14744;width:20720;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Uj8QA&#10;AADbAAAADwAAAGRycy9kb3ducmV2LnhtbESPT4vCMBTE7wt+h/AEb2uqLlWqUXRBWVh68M/F26N5&#10;tsXmpTRZG7+9WVjY4zAzv2FWm2Aa8aDO1ZYVTMYJCOLC6ppLBZfz/n0BwnlkjY1lUvAkB5v14G2F&#10;mbY9H+lx8qWIEHYZKqi8bzMpXVGRQTe2LXH0brYz6KPsSqk77CPcNHKaJKk0WHNcqLClz4qK++nH&#10;KMhnx+083X83OfbP8BF2bX5Ir0qNhmG7BOEp+P/wX/tLK5jO4fd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FI/EAAAA2wAAAA8AAAAAAAAAAAAAAAAAmAIAAGRycy9k&#10;b3ducmV2LnhtbFBLBQYAAAAABAAEAPUAAACJAwAAAAA=&#10;" fillcolor="#dbe5f1" stroked="f" strokeweight="1.5pt">
                  <v:textbox inset=",1mm,,1mm">
                    <w:txbxContent>
                      <w:p w:rsidR="00FE44B1" w:rsidRDefault="00FE44B1" w:rsidP="002275E2">
                        <w:pPr>
                          <w:pStyle w:val="NormalWeb"/>
                          <w:spacing w:before="0" w:beforeAutospacing="0" w:after="0" w:afterAutospacing="0" w:line="276" w:lineRule="auto"/>
                          <w:jc w:val="center"/>
                        </w:pPr>
                        <w:r>
                          <w:rPr>
                            <w:rFonts w:ascii="Tunga" w:eastAsia="Calibri" w:hAnsi="Tunga" w:cs="Tunga"/>
                            <w:b/>
                            <w:bCs/>
                            <w:color w:val="000000"/>
                            <w:sz w:val="16"/>
                            <w:szCs w:val="16"/>
                          </w:rPr>
                          <w:t>Network business revised proposal</w:t>
                        </w:r>
                      </w:p>
                    </w:txbxContent>
                  </v:textbox>
                </v:rect>
                <v:rect id="Rectangle 28" o:spid="_x0000_s1048" style="position:absolute;left:388;width:42462;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CPMAA&#10;AADbAAAADwAAAGRycy9kb3ducmV2LnhtbERPz2vCMBS+C/sfwhO82dQeRLpGGRuCUjzYCdvxkby1&#10;Zc1LSTKt/705CDt+fL+r3WQHcSUfescKVlkOglg703Or4PK5X25AhIhscHBMCu4UYLd9mVVYGnfj&#10;M12b2IoUwqFEBV2MYyll0B1ZDJkbiRP347zFmKBvpfF4S+F2kEWer6XFnlNDhyO9d6R/mz+roPaN&#10;PB5OvR+/92Hzpaku2o9aqcV8ensFEWmK/+Kn+2AUFGls+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tCPMAAAADbAAAADwAAAAAAAAAAAAAAAACYAgAAZHJzL2Rvd25y&#10;ZXYueG1sUEsFBgAAAAAEAAQA9QAAAIUDAAAAAA==&#10;" filled="f" fillcolor="#006a99" stroked="f" strokeweight="2pt">
                  <v:textbox inset=",1mm,,1mm">
                    <w:txbxContent>
                      <w:p w:rsidR="00FE44B1" w:rsidRDefault="00FE44B1" w:rsidP="002275E2">
                        <w:pPr>
                          <w:pStyle w:val="NormalWeb"/>
                          <w:spacing w:before="0" w:beforeAutospacing="0" w:after="0" w:afterAutospacing="0" w:line="288" w:lineRule="auto"/>
                        </w:pPr>
                        <w:r>
                          <w:rPr>
                            <w:rFonts w:ascii="Tunga" w:hAnsi="Tunga"/>
                            <w:b/>
                            <w:bCs/>
                            <w:color w:val="000000"/>
                            <w:kern w:val="24"/>
                          </w:rPr>
                          <w:t>A typical assessment process</w:t>
                        </w:r>
                      </w:p>
                    </w:txbxContent>
                  </v:textbox>
                </v:rect>
                <w10:wrap anchory="page"/>
              </v:group>
            </w:pict>
          </mc:Fallback>
        </mc:AlternateContent>
      </w:r>
      <w:r w:rsidR="005F5B54">
        <w:rPr>
          <w:noProof/>
          <w:lang w:eastAsia="en-AU"/>
        </w:rPr>
        <mc:AlternateContent>
          <mc:Choice Requires="wpg">
            <w:drawing>
              <wp:anchor distT="0" distB="0" distL="114300" distR="114300" simplePos="0" relativeHeight="251661312" behindDoc="1" locked="0" layoutInCell="1" allowOverlap="0" wp14:anchorId="37B73A3A" wp14:editId="0B4194D2">
                <wp:simplePos x="0" y="0"/>
                <wp:positionH relativeFrom="column">
                  <wp:posOffset>-517071</wp:posOffset>
                </wp:positionH>
                <wp:positionV relativeFrom="page">
                  <wp:posOffset>414020</wp:posOffset>
                </wp:positionV>
                <wp:extent cx="7642800" cy="324000"/>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800" cy="324000"/>
                          <a:chOff x="-23668" y="0"/>
                          <a:chExt cx="7646044" cy="323850"/>
                        </a:xfrm>
                      </wpg:grpSpPr>
                      <wps:wsp>
                        <wps:cNvPr id="11" name="Text Box 2"/>
                        <wps:cNvSpPr txBox="1">
                          <a:spLocks noChangeArrowheads="1"/>
                        </wps:cNvSpPr>
                        <wps:spPr bwMode="auto">
                          <a:xfrm>
                            <a:off x="-23668" y="0"/>
                            <a:ext cx="7635238"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4B1" w:rsidRPr="006B1EE6" w:rsidRDefault="00FE44B1"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EXPENDITURE FORECAST ASSESSMENT GUIDELINE</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22389"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49" style="position:absolute;left:0;text-align:left;margin-left:-40.7pt;margin-top:32.6pt;width:601.8pt;height:25.5pt;z-index:-251655168;mso-position-horizontal-relative:text;mso-position-vertical-relative:page;mso-width-relative:margin;mso-height-relative:margin" coordorigin="-236"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" o:allowoverlap="f">
                <v:shapetype id="_x0000_t202" coordsize="21600,21600" o:spt="202" path="m,l,21600r21600,l21600,xe">
                  <v:stroke joinstyle="miter"/>
                  <v:path gradientshapeok="t" o:connecttype="rect"/>
                </v:shapetype>
                <v:shape id="Text Box 2" o:spid="_x0000_s1050" type="#_x0000_t202" style="position:absolute;left:-236;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FE44B1" w:rsidRPr="006B1EE6" w:rsidRDefault="00FE44B1"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EXPENDITURE FORECAST ASSESSMENT GUIDELINE</w:t>
                        </w:r>
                      </w:p>
                    </w:txbxContent>
                  </v:textbox>
                </v:shape>
                <v:line id="Straight Connector 6" o:spid="_x0000_s1051" style="position:absolute;visibility:visible;mso-wrap-style:square" from="-223,3238" to="76223,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anchory="page"/>
              </v:group>
            </w:pict>
          </mc:Fallback>
        </mc:AlternateContent>
      </w:r>
      <w:r w:rsidR="00F01727" w:rsidRPr="007B18D8">
        <w:t>methodology review</w:t>
      </w:r>
      <w:r w:rsidR="00AB5C33">
        <w:t>—</w:t>
      </w:r>
      <w:r w:rsidR="00DD1105">
        <w:t>examining process</w:t>
      </w:r>
      <w:r w:rsidR="005C6C40">
        <w:t xml:space="preserve">es, </w:t>
      </w:r>
      <w:r w:rsidR="00DD1105" w:rsidRPr="00AE7D27">
        <w:t>assumptions, inputs and models</w:t>
      </w:r>
      <w:r w:rsidR="00DD1105">
        <w:t xml:space="preserve"> that the business used </w:t>
      </w:r>
      <w:r w:rsidR="004A2BD0">
        <w:t xml:space="preserve">to </w:t>
      </w:r>
      <w:r w:rsidR="00DD1105">
        <w:t>develop its proposal</w:t>
      </w:r>
    </w:p>
    <w:p w:rsidR="00F01727" w:rsidRPr="007B18D8" w:rsidRDefault="00F01727" w:rsidP="003D72BA">
      <w:pPr>
        <w:pStyle w:val="AERfactsheetbulletlist"/>
      </w:pPr>
      <w:proofErr w:type="gramStart"/>
      <w:r w:rsidRPr="007B18D8">
        <w:t>governance</w:t>
      </w:r>
      <w:proofErr w:type="gramEnd"/>
      <w:r w:rsidRPr="007B18D8">
        <w:t xml:space="preserve"> and policy review</w:t>
      </w:r>
      <w:r w:rsidR="00AB5C33">
        <w:t>—</w:t>
      </w:r>
      <w:r w:rsidR="00DD1105">
        <w:t xml:space="preserve">examining the </w:t>
      </w:r>
      <w:r w:rsidR="004A2BD0">
        <w:t>business’</w:t>
      </w:r>
      <w:r w:rsidR="00F662AF">
        <w:t>s</w:t>
      </w:r>
      <w:r w:rsidR="004A2BD0">
        <w:t xml:space="preserve"> </w:t>
      </w:r>
      <w:r w:rsidR="00DD1105">
        <w:t>strategic planning, risk management, asset management and prioritisation.</w:t>
      </w:r>
    </w:p>
    <w:p w:rsidR="007B18D8" w:rsidRPr="00DD1105" w:rsidRDefault="006804DF" w:rsidP="00DD1105">
      <w:r>
        <w:rPr>
          <w:noProof/>
          <w:lang w:eastAsia="en-AU"/>
        </w:rPr>
        <mc:AlternateContent>
          <mc:Choice Requires="wps">
            <w:drawing>
              <wp:inline distT="0" distB="0" distL="0" distR="0" wp14:anchorId="1A0625FC" wp14:editId="78EBE3E6">
                <wp:extent cx="3214370" cy="824643"/>
                <wp:effectExtent l="0" t="0" r="24130" b="139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24643"/>
                        </a:xfrm>
                        <a:prstGeom prst="rect">
                          <a:avLst/>
                        </a:prstGeom>
                        <a:solidFill>
                          <a:srgbClr val="DBE5F1"/>
                        </a:solidFill>
                        <a:ln w="9525">
                          <a:solidFill>
                            <a:srgbClr val="006A99"/>
                          </a:solidFill>
                          <a:miter lim="800000"/>
                          <a:headEnd/>
                          <a:tailEnd/>
                        </a:ln>
                      </wps:spPr>
                      <wps:txbx>
                        <w:txbxContent>
                          <w:p w:rsidR="00FE44B1" w:rsidRPr="00697FF1" w:rsidRDefault="00FE44B1" w:rsidP="006804DF">
                            <w:pPr>
                              <w:pStyle w:val="AERfactsheetbodytext"/>
                            </w:pPr>
                            <w:r>
                              <w:t xml:space="preserve">The guideline sets out our principles for </w:t>
                            </w:r>
                            <w:r w:rsidR="0048659F">
                              <w:t>guiding our reliance</w:t>
                            </w:r>
                            <w:r w:rsidR="00EB047A">
                              <w:t xml:space="preserve"> on assessment techniques and a business’s forecasting approach</w:t>
                            </w:r>
                            <w:r>
                              <w:t>. Th</w:t>
                            </w:r>
                            <w:r w:rsidR="00EB047A">
                              <w:t>ese</w:t>
                            </w:r>
                            <w:r>
                              <w:t xml:space="preserve"> include validity, accuracy</w:t>
                            </w:r>
                            <w:r w:rsidR="00EB047A">
                              <w:t xml:space="preserve"> and reliability</w:t>
                            </w:r>
                            <w:r>
                              <w:t>,</w:t>
                            </w:r>
                            <w:r w:rsidR="00EB047A">
                              <w:t xml:space="preserve"> parsimony,</w:t>
                            </w:r>
                            <w:r>
                              <w:t xml:space="preserve"> robustness</w:t>
                            </w:r>
                            <w:r w:rsidR="00EB047A">
                              <w:t>,</w:t>
                            </w:r>
                            <w:r>
                              <w:t xml:space="preserve"> transparency</w:t>
                            </w:r>
                            <w:r w:rsidR="00EB047A">
                              <w:t xml:space="preserve"> and fitness for purpose</w:t>
                            </w:r>
                            <w:r>
                              <w:t>.</w:t>
                            </w:r>
                          </w:p>
                        </w:txbxContent>
                      </wps:txbx>
                      <wps:bodyPr rot="0" vert="horz" wrap="square" lIns="91440" tIns="45720" rIns="91440" bIns="45720" anchor="t" anchorCtr="0" upright="1">
                        <a:noAutofit/>
                      </wps:bodyPr>
                    </wps:wsp>
                  </a:graphicData>
                </a:graphic>
              </wp:inline>
            </w:drawing>
          </mc:Choice>
          <mc:Fallback>
            <w:pict>
              <v:shape id="Text Box 9" o:spid="_x0000_s1052" type="#_x0000_t202" style="width:253.1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" fillcolor="#dbe5f1" strokecolor="#006a99">
                <v:textbox>
                  <w:txbxContent>
                    <w:p w:rsidR="00FE44B1" w:rsidRPr="00697FF1" w:rsidRDefault="00FE44B1" w:rsidP="006804DF">
                      <w:pPr>
                        <w:pStyle w:val="AERfactsheetbodytext"/>
                      </w:pPr>
                      <w:r>
                        <w:t xml:space="preserve">The guideline sets out our principles for </w:t>
                      </w:r>
                      <w:r w:rsidR="0048659F">
                        <w:t>guiding our reliance</w:t>
                      </w:r>
                      <w:r w:rsidR="00EB047A">
                        <w:t xml:space="preserve"> on assessment techniques and a business’s forecasting approach</w:t>
                      </w:r>
                      <w:r>
                        <w:t>. Th</w:t>
                      </w:r>
                      <w:r w:rsidR="00EB047A">
                        <w:t>ese</w:t>
                      </w:r>
                      <w:r>
                        <w:t xml:space="preserve"> include validity, accuracy</w:t>
                      </w:r>
                      <w:r w:rsidR="00EB047A">
                        <w:t xml:space="preserve"> and reliability</w:t>
                      </w:r>
                      <w:r>
                        <w:t>,</w:t>
                      </w:r>
                      <w:r w:rsidR="00EB047A">
                        <w:t xml:space="preserve"> parsimony,</w:t>
                      </w:r>
                      <w:r>
                        <w:t xml:space="preserve"> robustness</w:t>
                      </w:r>
                      <w:r w:rsidR="00EB047A">
                        <w:t>,</w:t>
                      </w:r>
                      <w:r>
                        <w:t xml:space="preserve"> transparency</w:t>
                      </w:r>
                      <w:r w:rsidR="00EB047A">
                        <w:t xml:space="preserve"> and fitness for purpose</w:t>
                      </w:r>
                      <w:r>
                        <w:t>.</w:t>
                      </w:r>
                    </w:p>
                  </w:txbxContent>
                </v:textbox>
                <w10:anchorlock/>
              </v:shape>
            </w:pict>
          </mc:Fallback>
        </mc:AlternateContent>
      </w:r>
    </w:p>
    <w:p w:rsidR="007B18D8" w:rsidRPr="00DD1105" w:rsidRDefault="00640782" w:rsidP="00DD1105">
      <w:pPr>
        <w:pStyle w:val="AERFactsheetHeading1"/>
      </w:pPr>
      <w:r>
        <w:t xml:space="preserve">How will </w:t>
      </w:r>
      <w:r w:rsidR="00FE44B1">
        <w:t xml:space="preserve">we </w:t>
      </w:r>
      <w:r>
        <w:t xml:space="preserve">assess </w:t>
      </w:r>
      <w:proofErr w:type="spellStart"/>
      <w:r>
        <w:t>c</w:t>
      </w:r>
      <w:r w:rsidR="007B18D8" w:rsidRPr="00DD1105">
        <w:t>apex</w:t>
      </w:r>
      <w:proofErr w:type="spellEnd"/>
      <w:r>
        <w:t xml:space="preserve"> proposals?</w:t>
      </w:r>
    </w:p>
    <w:p w:rsidR="00640782" w:rsidRDefault="00640782" w:rsidP="00640782">
      <w:pPr>
        <w:pStyle w:val="AERfactsheetbodytext"/>
      </w:pPr>
      <w:r w:rsidRPr="00640782">
        <w:t xml:space="preserve">We will assess </w:t>
      </w:r>
      <w:r w:rsidR="004A2BD0">
        <w:t>business</w:t>
      </w:r>
      <w:r w:rsidR="00F662AF">
        <w:t>es</w:t>
      </w:r>
      <w:r w:rsidR="004A2BD0">
        <w:t xml:space="preserve">’ </w:t>
      </w:r>
      <w:proofErr w:type="spellStart"/>
      <w:r w:rsidRPr="00640782">
        <w:t>capex</w:t>
      </w:r>
      <w:proofErr w:type="spellEnd"/>
      <w:r w:rsidRPr="00640782">
        <w:t xml:space="preserve"> </w:t>
      </w:r>
      <w:r w:rsidR="004A6D72">
        <w:t>proposals by considering the need for the expenditure</w:t>
      </w:r>
      <w:r w:rsidR="004A2BD0">
        <w:t>,</w:t>
      </w:r>
      <w:r w:rsidR="004A6D72">
        <w:t xml:space="preserve"> and </w:t>
      </w:r>
      <w:r w:rsidRPr="00640782">
        <w:t>the efficiency of the proposed projects</w:t>
      </w:r>
      <w:r w:rsidR="004A6D72">
        <w:t xml:space="preserve">. </w:t>
      </w:r>
      <w:r w:rsidRPr="00640782">
        <w:t>This is likely to include</w:t>
      </w:r>
      <w:r w:rsidR="004A6D72">
        <w:t xml:space="preserve"> a detailed consideration of the demand forecast and the </w:t>
      </w:r>
      <w:r w:rsidRPr="00640782">
        <w:t xml:space="preserve">timing, scope, scale and level of expenditure associated with proposed projects. </w:t>
      </w:r>
    </w:p>
    <w:p w:rsidR="004A6D72" w:rsidRDefault="004A6D72" w:rsidP="00640782">
      <w:pPr>
        <w:pStyle w:val="AERfactsheetbodytext"/>
      </w:pPr>
      <w:proofErr w:type="spellStart"/>
      <w:r>
        <w:t>Capex</w:t>
      </w:r>
      <w:proofErr w:type="spellEnd"/>
      <w:r>
        <w:t xml:space="preserve"> will be assessed in four subcategories. </w:t>
      </w:r>
      <w:proofErr w:type="spellStart"/>
      <w:r>
        <w:t>Repex</w:t>
      </w:r>
      <w:proofErr w:type="spellEnd"/>
      <w:r>
        <w:t xml:space="preserve"> and </w:t>
      </w:r>
      <w:proofErr w:type="spellStart"/>
      <w:r>
        <w:t>augex</w:t>
      </w:r>
      <w:proofErr w:type="spellEnd"/>
      <w:r>
        <w:t xml:space="preserve"> </w:t>
      </w:r>
      <w:r w:rsidR="004A2BD0">
        <w:t xml:space="preserve">were </w:t>
      </w:r>
      <w:r>
        <w:t xml:space="preserve">described above. We’ll also consider </w:t>
      </w:r>
      <w:proofErr w:type="spellStart"/>
      <w:r>
        <w:t>capex</w:t>
      </w:r>
      <w:proofErr w:type="spellEnd"/>
      <w:r>
        <w:t xml:space="preserve"> forecasts associated with connections and other customer driven work and non-network </w:t>
      </w:r>
      <w:proofErr w:type="spellStart"/>
      <w:r>
        <w:t>capex</w:t>
      </w:r>
      <w:proofErr w:type="spellEnd"/>
      <w:r>
        <w:t xml:space="preserve"> (for example IT equipment). We will apply different assessment techniques to each subcategory. For example, we may benchmark the costs of connecting a customer across networks.</w:t>
      </w:r>
    </w:p>
    <w:p w:rsidR="00846E8E" w:rsidRDefault="00846E8E" w:rsidP="00640782">
      <w:pPr>
        <w:pStyle w:val="AERfactsheetbodytext"/>
      </w:pPr>
      <w:r>
        <w:t xml:space="preserve">We also use these assessment techniques to review past </w:t>
      </w:r>
      <w:proofErr w:type="spellStart"/>
      <w:r>
        <w:t>capex</w:t>
      </w:r>
      <w:proofErr w:type="spellEnd"/>
      <w:r>
        <w:t xml:space="preserve"> as set out in our </w:t>
      </w:r>
      <w:proofErr w:type="spellStart"/>
      <w:r>
        <w:t>capex</w:t>
      </w:r>
      <w:proofErr w:type="spellEnd"/>
      <w:r>
        <w:t xml:space="preserve"> incentive</w:t>
      </w:r>
      <w:r w:rsidR="003D72BA">
        <w:t>s</w:t>
      </w:r>
      <w:r>
        <w:t xml:space="preserve"> guideline.</w:t>
      </w:r>
    </w:p>
    <w:p w:rsidR="007B18D8" w:rsidRPr="00DD1105" w:rsidRDefault="004A2BD0" w:rsidP="004353D3">
      <w:pPr>
        <w:pStyle w:val="AERFactsheetHeading1"/>
      </w:pPr>
      <w:r w:rsidRPr="00697FF1">
        <w:rPr>
          <w:b w:val="0"/>
          <w:iCs w:val="0"/>
          <w:noProof/>
          <w:lang w:eastAsia="en-AU"/>
        </w:rPr>
        <w:drawing>
          <wp:anchor distT="0" distB="0" distL="114300" distR="114300" simplePos="0" relativeHeight="251668480" behindDoc="0" locked="0" layoutInCell="1" allowOverlap="1" wp14:anchorId="0C92E6F8" wp14:editId="7AB367AC">
            <wp:simplePos x="0" y="0"/>
            <wp:positionH relativeFrom="column">
              <wp:posOffset>-612775</wp:posOffset>
            </wp:positionH>
            <wp:positionV relativeFrom="page">
              <wp:posOffset>10203815</wp:posOffset>
            </wp:positionV>
            <wp:extent cx="8827135" cy="492760"/>
            <wp:effectExtent l="0" t="0" r="0" b="2540"/>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640782">
        <w:t xml:space="preserve">How will </w:t>
      </w:r>
      <w:r w:rsidR="00FE44B1">
        <w:t xml:space="preserve">we </w:t>
      </w:r>
      <w:r w:rsidR="00640782">
        <w:t xml:space="preserve">assess </w:t>
      </w:r>
      <w:proofErr w:type="spellStart"/>
      <w:r w:rsidR="00640782">
        <w:t>o</w:t>
      </w:r>
      <w:r w:rsidR="00640782" w:rsidRPr="00DD1105">
        <w:t>pex</w:t>
      </w:r>
      <w:proofErr w:type="spellEnd"/>
      <w:r w:rsidR="00640782">
        <w:t xml:space="preserve"> proposals?</w:t>
      </w:r>
    </w:p>
    <w:p w:rsidR="004353D3" w:rsidRDefault="00846E8E" w:rsidP="004353D3">
      <w:pPr>
        <w:pStyle w:val="AERfactsheetbodytext"/>
      </w:pPr>
      <w:r>
        <w:t xml:space="preserve">As </w:t>
      </w:r>
      <w:proofErr w:type="spellStart"/>
      <w:r w:rsidR="00496AED">
        <w:t>opex</w:t>
      </w:r>
      <w:proofErr w:type="spellEnd"/>
      <w:r w:rsidR="00496AED">
        <w:t xml:space="preserve"> is </w:t>
      </w:r>
      <w:r>
        <w:t xml:space="preserve">largely </w:t>
      </w:r>
      <w:r w:rsidR="00496AED">
        <w:t>recurrent</w:t>
      </w:r>
      <w:r w:rsidR="004353D3">
        <w:t xml:space="preserve"> and predictable,</w:t>
      </w:r>
      <w:r w:rsidR="006C7FEC">
        <w:t xml:space="preserve"> </w:t>
      </w:r>
      <w:r w:rsidR="004353D3" w:rsidRPr="00697FF1">
        <w:rPr>
          <w:noProof/>
          <w:lang w:eastAsia="en-AU"/>
        </w:rPr>
        <w:drawing>
          <wp:anchor distT="0" distB="0" distL="114300" distR="114300" simplePos="0" relativeHeight="251670528" behindDoc="1" locked="0" layoutInCell="1" allowOverlap="1" wp14:anchorId="4F9D186F" wp14:editId="58BF4A31">
            <wp:simplePos x="0" y="0"/>
            <wp:positionH relativeFrom="column">
              <wp:posOffset>-551180</wp:posOffset>
            </wp:positionH>
            <wp:positionV relativeFrom="page">
              <wp:posOffset>10200005</wp:posOffset>
            </wp:positionV>
            <wp:extent cx="8827135" cy="492760"/>
            <wp:effectExtent l="0" t="0" r="0" b="2540"/>
            <wp:wrapNone/>
            <wp:docPr id="8" name="Picture 8"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4353D3">
        <w:t>w</w:t>
      </w:r>
      <w:r w:rsidR="004353D3" w:rsidRPr="003D7376">
        <w:t>e</w:t>
      </w:r>
      <w:r w:rsidR="00EB047A">
        <w:t xml:space="preserve"> start with </w:t>
      </w:r>
      <w:proofErr w:type="gramStart"/>
      <w:r w:rsidR="00EB047A">
        <w:t xml:space="preserve">the </w:t>
      </w:r>
      <w:r w:rsidR="004353D3" w:rsidRPr="003D7376">
        <w:t xml:space="preserve"> actual</w:t>
      </w:r>
      <w:proofErr w:type="gramEnd"/>
      <w:r w:rsidR="004353D3" w:rsidRPr="003D7376">
        <w:t xml:space="preserve"> </w:t>
      </w:r>
      <w:proofErr w:type="spellStart"/>
      <w:r w:rsidR="004353D3" w:rsidRPr="003D7376">
        <w:t>opex</w:t>
      </w:r>
      <w:proofErr w:type="spellEnd"/>
      <w:r w:rsidR="004353D3" w:rsidRPr="003D7376">
        <w:t xml:space="preserve"> a business spends in one year of the regulatory period to forecast its </w:t>
      </w:r>
      <w:proofErr w:type="spellStart"/>
      <w:r w:rsidR="004353D3" w:rsidRPr="003D7376">
        <w:t>opex</w:t>
      </w:r>
      <w:proofErr w:type="spellEnd"/>
      <w:r w:rsidR="004353D3" w:rsidRPr="003D7376">
        <w:t xml:space="preserve"> needs for the next regulatory period.</w:t>
      </w:r>
      <w:r w:rsidR="004353D3">
        <w:t xml:space="preserve"> We refer to this year as the ‘base year’.</w:t>
      </w:r>
    </w:p>
    <w:p w:rsidR="00496AED" w:rsidRDefault="00496AED" w:rsidP="006C7FEC">
      <w:pPr>
        <w:pStyle w:val="AERfactsheetbodytext"/>
      </w:pPr>
      <w:r>
        <w:t xml:space="preserve">We will use our assessment techniques to determine whether the base year is efficient. </w:t>
      </w:r>
      <w:r w:rsidR="006C7FEC">
        <w:t xml:space="preserve">Once the base year is set, we apply a rate of change to account for changes in prices, productivity and the outputs the business is required to deliver. </w:t>
      </w:r>
    </w:p>
    <w:p w:rsidR="006C7FEC" w:rsidRDefault="006C7FEC" w:rsidP="006C7FEC">
      <w:pPr>
        <w:pStyle w:val="AERfactsheetbodytext"/>
      </w:pPr>
      <w:r>
        <w:lastRenderedPageBreak/>
        <w:t xml:space="preserve">If our assessment shows that the base year </w:t>
      </w:r>
      <w:r w:rsidR="00F662AF">
        <w:t xml:space="preserve">expenditure </w:t>
      </w:r>
      <w:r>
        <w:t xml:space="preserve">is not efficient, we </w:t>
      </w:r>
      <w:r w:rsidRPr="003C4EC5">
        <w:t xml:space="preserve">may adjust </w:t>
      </w:r>
      <w:r w:rsidR="004353D3">
        <w:t xml:space="preserve">it </w:t>
      </w:r>
      <w:r w:rsidRPr="003C4EC5">
        <w:t>or substitut</w:t>
      </w:r>
      <w:r>
        <w:t>e</w:t>
      </w:r>
      <w:r w:rsidRPr="003C4EC5">
        <w:t xml:space="preserve"> an appropriate </w:t>
      </w:r>
      <w:r w:rsidR="00F662AF">
        <w:t>amount</w:t>
      </w:r>
      <w:r w:rsidRPr="003C4EC5">
        <w:t>.</w:t>
      </w:r>
    </w:p>
    <w:p w:rsidR="00DC56E5" w:rsidRDefault="00640782" w:rsidP="00DC56E5">
      <w:pPr>
        <w:pStyle w:val="AERFactsheetHeading1"/>
      </w:pPr>
      <w:r>
        <w:t>H</w:t>
      </w:r>
      <w:r w:rsidR="00864726">
        <w:t xml:space="preserve">ow </w:t>
      </w:r>
      <w:r w:rsidR="003D72BA">
        <w:t>are stakeholders involved</w:t>
      </w:r>
      <w:r w:rsidR="00864726">
        <w:t>?</w:t>
      </w:r>
    </w:p>
    <w:p w:rsidR="005F5B54" w:rsidRDefault="005F5B54" w:rsidP="005F5B54">
      <w:pPr>
        <w:pStyle w:val="AERfactsheetbodytext"/>
      </w:pPr>
      <w:r>
        <w:t>When we receive a business’</w:t>
      </w:r>
      <w:r w:rsidR="00F662AF">
        <w:t>s</w:t>
      </w:r>
      <w:r>
        <w:t xml:space="preserve"> revenue proposal we publish it on our website and invite stakeholders to comment. We use our assessment techniques to provide a high level ‘first pass’ preliminary view o</w:t>
      </w:r>
      <w:r w:rsidR="0048659F">
        <w:t>f</w:t>
      </w:r>
      <w:r>
        <w:t xml:space="preserve"> the proposal. This is in </w:t>
      </w:r>
      <w:r w:rsidR="004353D3">
        <w:t xml:space="preserve">the </w:t>
      </w:r>
      <w:r>
        <w:t xml:space="preserve">issues paper we publish before our formal draft decision. </w:t>
      </w:r>
    </w:p>
    <w:p w:rsidR="005F5B54" w:rsidRDefault="005F5B54" w:rsidP="005F5B54">
      <w:pPr>
        <w:pStyle w:val="AERfactsheetbodytext"/>
      </w:pPr>
      <w:r>
        <w:t>We then publish a draft decision that set</w:t>
      </w:r>
      <w:r w:rsidR="00A2425D">
        <w:t>s</w:t>
      </w:r>
      <w:r>
        <w:t xml:space="preserve"> out, among other things, our </w:t>
      </w:r>
      <w:r w:rsidR="008048DF">
        <w:t xml:space="preserve">views </w:t>
      </w:r>
      <w:r>
        <w:t>o</w:t>
      </w:r>
      <w:r w:rsidR="00A2425D">
        <w:t>n</w:t>
      </w:r>
      <w:r>
        <w:t xml:space="preserve"> the capex and opex forecasts. </w:t>
      </w:r>
      <w:r w:rsidR="00AF6EFE">
        <w:t>We will outline our reasons i</w:t>
      </w:r>
      <w:r>
        <w:t xml:space="preserve">f we have substituted our own forecast in place of the original proposal. </w:t>
      </w:r>
      <w:r w:rsidR="00AF6EFE">
        <w:t>S</w:t>
      </w:r>
      <w:r>
        <w:t xml:space="preserve">takeholders </w:t>
      </w:r>
      <w:r w:rsidR="00AF6EFE">
        <w:t xml:space="preserve">are invited to make submissions </w:t>
      </w:r>
      <w:r>
        <w:t xml:space="preserve">on our draft decision and the business </w:t>
      </w:r>
      <w:r w:rsidR="003D72BA">
        <w:t xml:space="preserve">can </w:t>
      </w:r>
      <w:r>
        <w:t xml:space="preserve">revise its proposal. </w:t>
      </w:r>
      <w:r w:rsidR="00A2425D">
        <w:t xml:space="preserve">After considering submissions and the revised proposal, we publish our final decision and analysis. </w:t>
      </w:r>
    </w:p>
    <w:p w:rsidR="003D72BA" w:rsidRDefault="003D72BA" w:rsidP="005F5B54">
      <w:pPr>
        <w:pStyle w:val="AERfactsheetbodytext"/>
      </w:pPr>
      <w:r>
        <w:rPr>
          <w:noProof/>
          <w:lang w:eastAsia="en-AU"/>
        </w:rPr>
        <mc:AlternateContent>
          <mc:Choice Requires="wps">
            <w:drawing>
              <wp:inline distT="0" distB="0" distL="0" distR="0" wp14:anchorId="4BAE6359" wp14:editId="7C2617E2">
                <wp:extent cx="3214370" cy="1138844"/>
                <wp:effectExtent l="0" t="0" r="24130" b="2349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138844"/>
                        </a:xfrm>
                        <a:prstGeom prst="rect">
                          <a:avLst/>
                        </a:prstGeom>
                        <a:solidFill>
                          <a:srgbClr val="DBE5F1"/>
                        </a:solidFill>
                        <a:ln w="9525">
                          <a:solidFill>
                            <a:srgbClr val="006A99"/>
                          </a:solidFill>
                          <a:miter lim="800000"/>
                          <a:headEnd/>
                          <a:tailEnd/>
                        </a:ln>
                      </wps:spPr>
                      <wps:txbx>
                        <w:txbxContent>
                          <w:p w:rsidR="00FE44B1" w:rsidRDefault="00FE44B1" w:rsidP="003D72BA">
                            <w:pPr>
                              <w:pStyle w:val="AERfactsheetbodytext"/>
                            </w:pPr>
                            <w:r>
                              <w:t xml:space="preserve">We are also publishing annual benchmarking reports from September 2014. These provide regular information on the </w:t>
                            </w:r>
                            <w:r w:rsidRPr="00661863">
                              <w:t xml:space="preserve">relative efficiency of </w:t>
                            </w:r>
                            <w:r>
                              <w:t>network businesses. P</w:t>
                            </w:r>
                            <w:r w:rsidRPr="00661863">
                              <w:t xml:space="preserve">ublic scrutiny of </w:t>
                            </w:r>
                            <w:r>
                              <w:t xml:space="preserve">network businesses’ </w:t>
                            </w:r>
                            <w:r w:rsidRPr="00661863">
                              <w:t xml:space="preserve">performance </w:t>
                            </w:r>
                            <w:r>
                              <w:t>in these reports encourages businesses</w:t>
                            </w:r>
                            <w:r w:rsidRPr="00661863">
                              <w:t xml:space="preserve"> to </w:t>
                            </w:r>
                            <w:r>
                              <w:t>improve</w:t>
                            </w:r>
                            <w:r w:rsidRPr="00661863">
                              <w:t xml:space="preserve">, </w:t>
                            </w:r>
                            <w:r>
                              <w:t>and identifies</w:t>
                            </w:r>
                            <w:r w:rsidRPr="00661863">
                              <w:t xml:space="preserve"> areas </w:t>
                            </w:r>
                            <w:r>
                              <w:t xml:space="preserve">we are likely to target in assessing revenue proposals. </w:t>
                            </w:r>
                          </w:p>
                          <w:p w:rsidR="00FE44B1" w:rsidRPr="00697FF1" w:rsidRDefault="00FE44B1" w:rsidP="003D72BA">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41" o:spid="_x0000_s1053" type="#_x0000_t202" style="width:253.1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" fillcolor="#dbe5f1" strokecolor="#006a99">
                <v:textbox>
                  <w:txbxContent>
                    <w:p w:rsidR="003D72BA" w:rsidRDefault="003D72BA" w:rsidP="003D72BA">
                      <w:pPr>
                        <w:pStyle w:val="AERfactsheetbodytext"/>
                      </w:pPr>
                      <w:r>
                        <w:t xml:space="preserve">We are also publishing annual benchmarking reports from September 2014. These provide regular information on the </w:t>
                      </w:r>
                      <w:r w:rsidRPr="00661863">
                        <w:t xml:space="preserve">relative efficiency of </w:t>
                      </w:r>
                      <w:r>
                        <w:t>network businesses. P</w:t>
                      </w:r>
                      <w:r w:rsidRPr="00661863">
                        <w:t xml:space="preserve">ublic scrutiny of </w:t>
                      </w:r>
                      <w:r>
                        <w:t xml:space="preserve">network businesses’ </w:t>
                      </w:r>
                      <w:r w:rsidRPr="00661863">
                        <w:t xml:space="preserve">performance </w:t>
                      </w:r>
                      <w:r>
                        <w:t>in these reports encourages businesses</w:t>
                      </w:r>
                      <w:r w:rsidRPr="00661863">
                        <w:t xml:space="preserve"> to </w:t>
                      </w:r>
                      <w:r>
                        <w:t>improve</w:t>
                      </w:r>
                      <w:r w:rsidRPr="00661863">
                        <w:t xml:space="preserve">, </w:t>
                      </w:r>
                      <w:r>
                        <w:t>and identifies</w:t>
                      </w:r>
                      <w:r w:rsidRPr="00661863">
                        <w:t xml:space="preserve"> areas </w:t>
                      </w:r>
                      <w:r>
                        <w:t xml:space="preserve">we are likely to target in assessing revenue proposals. </w:t>
                      </w:r>
                    </w:p>
                    <w:p w:rsidR="003D72BA" w:rsidRPr="00697FF1" w:rsidRDefault="003D72BA" w:rsidP="003D72BA">
                      <w:pPr>
                        <w:pStyle w:val="AERfactsheetbodytext"/>
                      </w:pPr>
                    </w:p>
                  </w:txbxContent>
                </v:textbox>
                <w10:anchorlock/>
              </v:shape>
            </w:pict>
          </mc:Fallback>
        </mc:AlternateContent>
      </w:r>
    </w:p>
    <w:p w:rsidR="00F67AE1" w:rsidRPr="00697FF1" w:rsidRDefault="00F67AE1" w:rsidP="00F67AE1">
      <w:pPr>
        <w:pStyle w:val="AERFactsheetHeading1"/>
      </w:pPr>
      <w:r>
        <w:t>M</w:t>
      </w:r>
      <w:r w:rsidRPr="00697FF1">
        <w:t>ore information</w:t>
      </w:r>
    </w:p>
    <w:p w:rsidR="00F67AE1" w:rsidRDefault="00F67AE1" w:rsidP="00F67AE1">
      <w:pPr>
        <w:pStyle w:val="AERfactsheetbodytext"/>
      </w:pPr>
      <w:r>
        <w:t xml:space="preserve">The </w:t>
      </w:r>
      <w:r w:rsidRPr="00F67AE1">
        <w:t xml:space="preserve">expenditure forecast assessment guideline </w:t>
      </w:r>
      <w:r>
        <w:t xml:space="preserve">is available on our website at </w:t>
      </w:r>
      <w:hyperlink r:id="rId10" w:history="1">
        <w:r w:rsidRPr="00C3416B">
          <w:rPr>
            <w:rStyle w:val="Hyperlink"/>
          </w:rPr>
          <w:t>http://www.aer.gov.au/node/18864</w:t>
        </w:r>
      </w:hyperlink>
      <w:r>
        <w:t xml:space="preserve">. </w:t>
      </w:r>
    </w:p>
    <w:p w:rsidR="00F67AE1" w:rsidRPr="009C0978" w:rsidRDefault="00F67AE1" w:rsidP="00A2425D">
      <w:pPr>
        <w:pStyle w:val="AERfactsheetbodytext"/>
      </w:pPr>
      <w:r>
        <w:t xml:space="preserve">This guideline forms part of the Better Regulation program. We </w:t>
      </w:r>
      <w:r w:rsidRPr="00697FF1">
        <w:t xml:space="preserve">initiated </w:t>
      </w:r>
      <w:r>
        <w:t xml:space="preserve">this </w:t>
      </w:r>
      <w:r w:rsidRPr="00697FF1">
        <w:t xml:space="preserve">program following </w:t>
      </w:r>
      <w:r>
        <w:t>changes to the regulatory framework in late 2012. The program includes seven new guidelines that outline our revised approach to determining electricity network revenues and prices, and our establishment of the Consumer Challenge Panel.</w:t>
      </w:r>
      <w:r w:rsidR="005F5B54">
        <w:t xml:space="preserve"> </w:t>
      </w:r>
      <w:r w:rsidRPr="00697FF1">
        <w:t xml:space="preserve">For more information </w:t>
      </w:r>
      <w:r>
        <w:t xml:space="preserve">on </w:t>
      </w:r>
      <w:r w:rsidRPr="00697FF1">
        <w:t>the Better Regulati</w:t>
      </w:r>
      <w:r>
        <w:t xml:space="preserve">on program </w:t>
      </w:r>
      <w:r w:rsidRPr="00697FF1">
        <w:t xml:space="preserve">please visit our website </w:t>
      </w:r>
      <w:hyperlink r:id="rId11" w:history="1">
        <w:r w:rsidRPr="00D37AAC">
          <w:rPr>
            <w:rStyle w:val="Hyperlink"/>
          </w:rPr>
          <w:t>www.aer.gov.au/better-regulation-reform-program</w:t>
        </w:r>
      </w:hyperlink>
      <w:r>
        <w:t>.</w:t>
      </w:r>
    </w:p>
    <w:sectPr w:rsidR="00F67AE1" w:rsidRPr="009C0978" w:rsidSect="007F2A0C">
      <w:type w:val="continuous"/>
      <w:pgSz w:w="11906" w:h="16838"/>
      <w:pgMar w:top="6237" w:right="720" w:bottom="851" w:left="720"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auto"/>
    <w:pitch w:val="variable"/>
    <w:sig w:usb0="0004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33989416"/>
    <w:lvl w:ilvl="0" w:tplc="B5ECC14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28130A26"/>
    <w:multiLevelType w:val="hybridMultilevel"/>
    <w:tmpl w:val="26EEF830"/>
    <w:lvl w:ilvl="0" w:tplc="5442D056">
      <w:numFmt w:val="bullet"/>
      <w:lvlText w:val="-"/>
      <w:lvlJc w:val="left"/>
      <w:pPr>
        <w:ind w:left="720" w:hanging="360"/>
      </w:pPr>
      <w:rPr>
        <w:rFonts w:ascii="MS Reference Sans Serif" w:eastAsia="Calibri" w:hAnsi="MS Reference Sans Serif" w:cs="Shrut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15B0364"/>
    <w:multiLevelType w:val="hybridMultilevel"/>
    <w:tmpl w:val="9676B374"/>
    <w:lvl w:ilvl="0" w:tplc="1A0ED600">
      <w:start w:val="1"/>
      <w:numFmt w:val="bullet"/>
      <w:lvlText w:val=""/>
      <w:lvlJc w:val="left"/>
      <w:pPr>
        <w:tabs>
          <w:tab w:val="num" w:pos="720"/>
        </w:tabs>
        <w:ind w:left="720" w:hanging="360"/>
      </w:pPr>
      <w:rPr>
        <w:rFonts w:ascii="Wingdings" w:hAnsi="Wingdings" w:hint="default"/>
      </w:rPr>
    </w:lvl>
    <w:lvl w:ilvl="1" w:tplc="53DC9106" w:tentative="1">
      <w:start w:val="1"/>
      <w:numFmt w:val="bullet"/>
      <w:lvlText w:val=""/>
      <w:lvlJc w:val="left"/>
      <w:pPr>
        <w:tabs>
          <w:tab w:val="num" w:pos="1440"/>
        </w:tabs>
        <w:ind w:left="1440" w:hanging="360"/>
      </w:pPr>
      <w:rPr>
        <w:rFonts w:ascii="Wingdings" w:hAnsi="Wingdings" w:hint="default"/>
      </w:rPr>
    </w:lvl>
    <w:lvl w:ilvl="2" w:tplc="2850FAE8" w:tentative="1">
      <w:start w:val="1"/>
      <w:numFmt w:val="bullet"/>
      <w:lvlText w:val=""/>
      <w:lvlJc w:val="left"/>
      <w:pPr>
        <w:tabs>
          <w:tab w:val="num" w:pos="2160"/>
        </w:tabs>
        <w:ind w:left="2160" w:hanging="360"/>
      </w:pPr>
      <w:rPr>
        <w:rFonts w:ascii="Wingdings" w:hAnsi="Wingdings" w:hint="default"/>
      </w:rPr>
    </w:lvl>
    <w:lvl w:ilvl="3" w:tplc="563A679E" w:tentative="1">
      <w:start w:val="1"/>
      <w:numFmt w:val="bullet"/>
      <w:lvlText w:val=""/>
      <w:lvlJc w:val="left"/>
      <w:pPr>
        <w:tabs>
          <w:tab w:val="num" w:pos="2880"/>
        </w:tabs>
        <w:ind w:left="2880" w:hanging="360"/>
      </w:pPr>
      <w:rPr>
        <w:rFonts w:ascii="Wingdings" w:hAnsi="Wingdings" w:hint="default"/>
      </w:rPr>
    </w:lvl>
    <w:lvl w:ilvl="4" w:tplc="9DA65858" w:tentative="1">
      <w:start w:val="1"/>
      <w:numFmt w:val="bullet"/>
      <w:lvlText w:val=""/>
      <w:lvlJc w:val="left"/>
      <w:pPr>
        <w:tabs>
          <w:tab w:val="num" w:pos="3600"/>
        </w:tabs>
        <w:ind w:left="3600" w:hanging="360"/>
      </w:pPr>
      <w:rPr>
        <w:rFonts w:ascii="Wingdings" w:hAnsi="Wingdings" w:hint="default"/>
      </w:rPr>
    </w:lvl>
    <w:lvl w:ilvl="5" w:tplc="7CA2DEFA" w:tentative="1">
      <w:start w:val="1"/>
      <w:numFmt w:val="bullet"/>
      <w:lvlText w:val=""/>
      <w:lvlJc w:val="left"/>
      <w:pPr>
        <w:tabs>
          <w:tab w:val="num" w:pos="4320"/>
        </w:tabs>
        <w:ind w:left="4320" w:hanging="360"/>
      </w:pPr>
      <w:rPr>
        <w:rFonts w:ascii="Wingdings" w:hAnsi="Wingdings" w:hint="default"/>
      </w:rPr>
    </w:lvl>
    <w:lvl w:ilvl="6" w:tplc="C2D8679C" w:tentative="1">
      <w:start w:val="1"/>
      <w:numFmt w:val="bullet"/>
      <w:lvlText w:val=""/>
      <w:lvlJc w:val="left"/>
      <w:pPr>
        <w:tabs>
          <w:tab w:val="num" w:pos="5040"/>
        </w:tabs>
        <w:ind w:left="5040" w:hanging="360"/>
      </w:pPr>
      <w:rPr>
        <w:rFonts w:ascii="Wingdings" w:hAnsi="Wingdings" w:hint="default"/>
      </w:rPr>
    </w:lvl>
    <w:lvl w:ilvl="7" w:tplc="31CA9DF2" w:tentative="1">
      <w:start w:val="1"/>
      <w:numFmt w:val="bullet"/>
      <w:lvlText w:val=""/>
      <w:lvlJc w:val="left"/>
      <w:pPr>
        <w:tabs>
          <w:tab w:val="num" w:pos="5760"/>
        </w:tabs>
        <w:ind w:left="5760" w:hanging="360"/>
      </w:pPr>
      <w:rPr>
        <w:rFonts w:ascii="Wingdings" w:hAnsi="Wingdings" w:hint="default"/>
      </w:rPr>
    </w:lvl>
    <w:lvl w:ilvl="8" w:tplc="D7405FA6" w:tentative="1">
      <w:start w:val="1"/>
      <w:numFmt w:val="bullet"/>
      <w:lvlText w:val=""/>
      <w:lvlJc w:val="left"/>
      <w:pPr>
        <w:tabs>
          <w:tab w:val="num" w:pos="6480"/>
        </w:tabs>
        <w:ind w:left="6480" w:hanging="360"/>
      </w:pPr>
      <w:rPr>
        <w:rFonts w:ascii="Wingdings" w:hAnsi="Wingdings" w:hint="default"/>
      </w:rPr>
    </w:lvl>
  </w:abstractNum>
  <w:abstractNum w:abstractNumId="7">
    <w:nsid w:val="7E3E66ED"/>
    <w:multiLevelType w:val="hybridMultilevel"/>
    <w:tmpl w:val="BD8420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1"/>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804\D13 105940  Factsheet - expenditure assessments - Better Regulation - draft guidelines.DOCX"/>
  </w:docVars>
  <w:rsids>
    <w:rsidRoot w:val="00021F03"/>
    <w:rsid w:val="000065D0"/>
    <w:rsid w:val="00006CEE"/>
    <w:rsid w:val="00006EF8"/>
    <w:rsid w:val="000173D5"/>
    <w:rsid w:val="00021F03"/>
    <w:rsid w:val="00022FCB"/>
    <w:rsid w:val="00035993"/>
    <w:rsid w:val="00040F59"/>
    <w:rsid w:val="000437AC"/>
    <w:rsid w:val="000454A0"/>
    <w:rsid w:val="00046784"/>
    <w:rsid w:val="00054291"/>
    <w:rsid w:val="0007544E"/>
    <w:rsid w:val="0007791B"/>
    <w:rsid w:val="000A366A"/>
    <w:rsid w:val="000A6A1D"/>
    <w:rsid w:val="000B287E"/>
    <w:rsid w:val="000C07AD"/>
    <w:rsid w:val="000C4181"/>
    <w:rsid w:val="000E7619"/>
    <w:rsid w:val="000E7C55"/>
    <w:rsid w:val="000F7A38"/>
    <w:rsid w:val="0010059A"/>
    <w:rsid w:val="001205A8"/>
    <w:rsid w:val="00127B68"/>
    <w:rsid w:val="00137766"/>
    <w:rsid w:val="00142DD1"/>
    <w:rsid w:val="00153E7F"/>
    <w:rsid w:val="00155955"/>
    <w:rsid w:val="001931F4"/>
    <w:rsid w:val="00196AD6"/>
    <w:rsid w:val="001A153E"/>
    <w:rsid w:val="001A23C5"/>
    <w:rsid w:val="001A25E3"/>
    <w:rsid w:val="001A74F1"/>
    <w:rsid w:val="001A795A"/>
    <w:rsid w:val="001B10C7"/>
    <w:rsid w:val="001C109A"/>
    <w:rsid w:val="001C4EA5"/>
    <w:rsid w:val="001C71E1"/>
    <w:rsid w:val="001D49FD"/>
    <w:rsid w:val="002106B5"/>
    <w:rsid w:val="00211FD6"/>
    <w:rsid w:val="002154BA"/>
    <w:rsid w:val="002275E2"/>
    <w:rsid w:val="002333CD"/>
    <w:rsid w:val="00235440"/>
    <w:rsid w:val="00235775"/>
    <w:rsid w:val="00235852"/>
    <w:rsid w:val="00241B78"/>
    <w:rsid w:val="002425E7"/>
    <w:rsid w:val="00263811"/>
    <w:rsid w:val="00277202"/>
    <w:rsid w:val="002952EB"/>
    <w:rsid w:val="002A473F"/>
    <w:rsid w:val="002B7BBC"/>
    <w:rsid w:val="002C71CB"/>
    <w:rsid w:val="002D1DD0"/>
    <w:rsid w:val="002D7AEC"/>
    <w:rsid w:val="002E7F4D"/>
    <w:rsid w:val="002F6565"/>
    <w:rsid w:val="003069A8"/>
    <w:rsid w:val="00306DB3"/>
    <w:rsid w:val="00327423"/>
    <w:rsid w:val="00332DC3"/>
    <w:rsid w:val="00347DE6"/>
    <w:rsid w:val="00354991"/>
    <w:rsid w:val="00357BC1"/>
    <w:rsid w:val="00360C93"/>
    <w:rsid w:val="003644A8"/>
    <w:rsid w:val="00367AED"/>
    <w:rsid w:val="003815BC"/>
    <w:rsid w:val="00385BB9"/>
    <w:rsid w:val="00390169"/>
    <w:rsid w:val="00391B7D"/>
    <w:rsid w:val="003A615F"/>
    <w:rsid w:val="003C6BCB"/>
    <w:rsid w:val="003D0B67"/>
    <w:rsid w:val="003D72BA"/>
    <w:rsid w:val="003F0076"/>
    <w:rsid w:val="003F2D7B"/>
    <w:rsid w:val="003F48D1"/>
    <w:rsid w:val="00400620"/>
    <w:rsid w:val="00404570"/>
    <w:rsid w:val="00420AE9"/>
    <w:rsid w:val="004245D3"/>
    <w:rsid w:val="004310E5"/>
    <w:rsid w:val="004353D3"/>
    <w:rsid w:val="00446285"/>
    <w:rsid w:val="004546C3"/>
    <w:rsid w:val="004548EF"/>
    <w:rsid w:val="00467E54"/>
    <w:rsid w:val="00467F13"/>
    <w:rsid w:val="00474754"/>
    <w:rsid w:val="0048659F"/>
    <w:rsid w:val="00496AED"/>
    <w:rsid w:val="004A2AFB"/>
    <w:rsid w:val="004A2BD0"/>
    <w:rsid w:val="004A6D72"/>
    <w:rsid w:val="004B1331"/>
    <w:rsid w:val="004B40E2"/>
    <w:rsid w:val="004C16AB"/>
    <w:rsid w:val="004C2F50"/>
    <w:rsid w:val="004D1DC0"/>
    <w:rsid w:val="004D2D4C"/>
    <w:rsid w:val="004E2E42"/>
    <w:rsid w:val="0050430D"/>
    <w:rsid w:val="005064F3"/>
    <w:rsid w:val="005324C6"/>
    <w:rsid w:val="00536026"/>
    <w:rsid w:val="00543A0A"/>
    <w:rsid w:val="00550A48"/>
    <w:rsid w:val="005524C5"/>
    <w:rsid w:val="0057185E"/>
    <w:rsid w:val="00586EAD"/>
    <w:rsid w:val="00596B6D"/>
    <w:rsid w:val="005B080E"/>
    <w:rsid w:val="005B3FE9"/>
    <w:rsid w:val="005C1015"/>
    <w:rsid w:val="005C6C40"/>
    <w:rsid w:val="005D2C56"/>
    <w:rsid w:val="005D2EBB"/>
    <w:rsid w:val="005D7586"/>
    <w:rsid w:val="005F2DC5"/>
    <w:rsid w:val="005F5B54"/>
    <w:rsid w:val="006031C4"/>
    <w:rsid w:val="00605B66"/>
    <w:rsid w:val="006253A3"/>
    <w:rsid w:val="0062651D"/>
    <w:rsid w:val="00640782"/>
    <w:rsid w:val="00640E0A"/>
    <w:rsid w:val="006418BF"/>
    <w:rsid w:val="00647113"/>
    <w:rsid w:val="00651F26"/>
    <w:rsid w:val="00660659"/>
    <w:rsid w:val="006611CC"/>
    <w:rsid w:val="00661863"/>
    <w:rsid w:val="00661A9B"/>
    <w:rsid w:val="00662BB4"/>
    <w:rsid w:val="006804DF"/>
    <w:rsid w:val="0069255F"/>
    <w:rsid w:val="00697FF1"/>
    <w:rsid w:val="006A5769"/>
    <w:rsid w:val="006B322A"/>
    <w:rsid w:val="006B39DB"/>
    <w:rsid w:val="006C7FEC"/>
    <w:rsid w:val="006D35EF"/>
    <w:rsid w:val="006D3FFE"/>
    <w:rsid w:val="006D5C4C"/>
    <w:rsid w:val="006E5F60"/>
    <w:rsid w:val="006F2E4F"/>
    <w:rsid w:val="006F7A30"/>
    <w:rsid w:val="00706072"/>
    <w:rsid w:val="00713B21"/>
    <w:rsid w:val="007168F1"/>
    <w:rsid w:val="00726CCA"/>
    <w:rsid w:val="007434B0"/>
    <w:rsid w:val="00753DF7"/>
    <w:rsid w:val="00754FD0"/>
    <w:rsid w:val="00785EBF"/>
    <w:rsid w:val="00787644"/>
    <w:rsid w:val="00790CC6"/>
    <w:rsid w:val="007A0EEB"/>
    <w:rsid w:val="007A40E0"/>
    <w:rsid w:val="007A5349"/>
    <w:rsid w:val="007B0402"/>
    <w:rsid w:val="007B18D8"/>
    <w:rsid w:val="007B6F74"/>
    <w:rsid w:val="007C0E2B"/>
    <w:rsid w:val="007C54FB"/>
    <w:rsid w:val="007D2567"/>
    <w:rsid w:val="007F2A0C"/>
    <w:rsid w:val="0080141A"/>
    <w:rsid w:val="008021C5"/>
    <w:rsid w:val="008048DF"/>
    <w:rsid w:val="00806703"/>
    <w:rsid w:val="008079AA"/>
    <w:rsid w:val="00810CDF"/>
    <w:rsid w:val="00817281"/>
    <w:rsid w:val="00825C3B"/>
    <w:rsid w:val="00830C26"/>
    <w:rsid w:val="008330CE"/>
    <w:rsid w:val="00834B01"/>
    <w:rsid w:val="00846E8E"/>
    <w:rsid w:val="008472A8"/>
    <w:rsid w:val="00853363"/>
    <w:rsid w:val="00853416"/>
    <w:rsid w:val="0085596A"/>
    <w:rsid w:val="00864726"/>
    <w:rsid w:val="00871903"/>
    <w:rsid w:val="008827DA"/>
    <w:rsid w:val="0088374E"/>
    <w:rsid w:val="008868A7"/>
    <w:rsid w:val="00890DA8"/>
    <w:rsid w:val="00893B2B"/>
    <w:rsid w:val="0089664B"/>
    <w:rsid w:val="008972B4"/>
    <w:rsid w:val="008A1C87"/>
    <w:rsid w:val="008B28DF"/>
    <w:rsid w:val="008B4919"/>
    <w:rsid w:val="008B4DBF"/>
    <w:rsid w:val="008D722A"/>
    <w:rsid w:val="008F02F0"/>
    <w:rsid w:val="009248F2"/>
    <w:rsid w:val="00925D19"/>
    <w:rsid w:val="00926EE2"/>
    <w:rsid w:val="00935CAA"/>
    <w:rsid w:val="009612A1"/>
    <w:rsid w:val="0096336B"/>
    <w:rsid w:val="00963F5A"/>
    <w:rsid w:val="00971979"/>
    <w:rsid w:val="00995142"/>
    <w:rsid w:val="009A3443"/>
    <w:rsid w:val="009B4D12"/>
    <w:rsid w:val="009C0978"/>
    <w:rsid w:val="009C0ED8"/>
    <w:rsid w:val="009C1FC0"/>
    <w:rsid w:val="009C7640"/>
    <w:rsid w:val="009D3F78"/>
    <w:rsid w:val="009D5399"/>
    <w:rsid w:val="009D627D"/>
    <w:rsid w:val="009D7926"/>
    <w:rsid w:val="009F3237"/>
    <w:rsid w:val="00A0352C"/>
    <w:rsid w:val="00A10B73"/>
    <w:rsid w:val="00A168AF"/>
    <w:rsid w:val="00A20E64"/>
    <w:rsid w:val="00A2425D"/>
    <w:rsid w:val="00A271C6"/>
    <w:rsid w:val="00A30414"/>
    <w:rsid w:val="00A3190D"/>
    <w:rsid w:val="00A4626E"/>
    <w:rsid w:val="00A5157F"/>
    <w:rsid w:val="00A74A72"/>
    <w:rsid w:val="00A76CE2"/>
    <w:rsid w:val="00A823C8"/>
    <w:rsid w:val="00A85FDD"/>
    <w:rsid w:val="00A96D09"/>
    <w:rsid w:val="00A97450"/>
    <w:rsid w:val="00AA080D"/>
    <w:rsid w:val="00AB5C33"/>
    <w:rsid w:val="00AB64C3"/>
    <w:rsid w:val="00AC0236"/>
    <w:rsid w:val="00AD27CE"/>
    <w:rsid w:val="00AD53EF"/>
    <w:rsid w:val="00AF6EFE"/>
    <w:rsid w:val="00B01429"/>
    <w:rsid w:val="00B0183D"/>
    <w:rsid w:val="00B045B3"/>
    <w:rsid w:val="00B1703A"/>
    <w:rsid w:val="00B20B42"/>
    <w:rsid w:val="00B44B4F"/>
    <w:rsid w:val="00B51188"/>
    <w:rsid w:val="00B55845"/>
    <w:rsid w:val="00B66BD0"/>
    <w:rsid w:val="00B74543"/>
    <w:rsid w:val="00B8588A"/>
    <w:rsid w:val="00B97ACC"/>
    <w:rsid w:val="00BA3C88"/>
    <w:rsid w:val="00BD1485"/>
    <w:rsid w:val="00BD26B5"/>
    <w:rsid w:val="00BD5113"/>
    <w:rsid w:val="00BD5E29"/>
    <w:rsid w:val="00BD6AE4"/>
    <w:rsid w:val="00BE3FCF"/>
    <w:rsid w:val="00BE5A7F"/>
    <w:rsid w:val="00BF4E2D"/>
    <w:rsid w:val="00C005E2"/>
    <w:rsid w:val="00C11E06"/>
    <w:rsid w:val="00C13A11"/>
    <w:rsid w:val="00C162C3"/>
    <w:rsid w:val="00C25593"/>
    <w:rsid w:val="00C42D8E"/>
    <w:rsid w:val="00C71947"/>
    <w:rsid w:val="00C73523"/>
    <w:rsid w:val="00C866CD"/>
    <w:rsid w:val="00C92E99"/>
    <w:rsid w:val="00C97BF5"/>
    <w:rsid w:val="00CA0863"/>
    <w:rsid w:val="00CA367D"/>
    <w:rsid w:val="00CA36B5"/>
    <w:rsid w:val="00CB1183"/>
    <w:rsid w:val="00CB3718"/>
    <w:rsid w:val="00CD4428"/>
    <w:rsid w:val="00CD4C07"/>
    <w:rsid w:val="00CD61A6"/>
    <w:rsid w:val="00CD74B2"/>
    <w:rsid w:val="00CE2164"/>
    <w:rsid w:val="00CE2EE9"/>
    <w:rsid w:val="00CE640F"/>
    <w:rsid w:val="00CF03DF"/>
    <w:rsid w:val="00CF0485"/>
    <w:rsid w:val="00CF228C"/>
    <w:rsid w:val="00CF5286"/>
    <w:rsid w:val="00D10385"/>
    <w:rsid w:val="00D2443E"/>
    <w:rsid w:val="00D41388"/>
    <w:rsid w:val="00D44ABA"/>
    <w:rsid w:val="00D47EF5"/>
    <w:rsid w:val="00D51900"/>
    <w:rsid w:val="00D54590"/>
    <w:rsid w:val="00D555B0"/>
    <w:rsid w:val="00D6695D"/>
    <w:rsid w:val="00D876B6"/>
    <w:rsid w:val="00DC22C6"/>
    <w:rsid w:val="00DC56E5"/>
    <w:rsid w:val="00DD1105"/>
    <w:rsid w:val="00DD41EA"/>
    <w:rsid w:val="00DD4B97"/>
    <w:rsid w:val="00DE5EEE"/>
    <w:rsid w:val="00DF0183"/>
    <w:rsid w:val="00DF7E19"/>
    <w:rsid w:val="00E075A1"/>
    <w:rsid w:val="00E123B8"/>
    <w:rsid w:val="00E1275F"/>
    <w:rsid w:val="00E3077A"/>
    <w:rsid w:val="00E33B43"/>
    <w:rsid w:val="00E342E9"/>
    <w:rsid w:val="00E360BF"/>
    <w:rsid w:val="00E53910"/>
    <w:rsid w:val="00E67143"/>
    <w:rsid w:val="00E76D48"/>
    <w:rsid w:val="00E85F44"/>
    <w:rsid w:val="00E91EBB"/>
    <w:rsid w:val="00EA4E76"/>
    <w:rsid w:val="00EA680F"/>
    <w:rsid w:val="00EB047A"/>
    <w:rsid w:val="00EB545B"/>
    <w:rsid w:val="00EC151D"/>
    <w:rsid w:val="00EE0DF3"/>
    <w:rsid w:val="00EE103B"/>
    <w:rsid w:val="00EE18BA"/>
    <w:rsid w:val="00EE7B16"/>
    <w:rsid w:val="00EF15F2"/>
    <w:rsid w:val="00EF1C49"/>
    <w:rsid w:val="00EF2F9B"/>
    <w:rsid w:val="00F01727"/>
    <w:rsid w:val="00F02C1D"/>
    <w:rsid w:val="00F0459E"/>
    <w:rsid w:val="00F053E6"/>
    <w:rsid w:val="00F0776A"/>
    <w:rsid w:val="00F120E8"/>
    <w:rsid w:val="00F126BC"/>
    <w:rsid w:val="00F15834"/>
    <w:rsid w:val="00F15D8D"/>
    <w:rsid w:val="00F209E0"/>
    <w:rsid w:val="00F421B7"/>
    <w:rsid w:val="00F4414E"/>
    <w:rsid w:val="00F44A65"/>
    <w:rsid w:val="00F56BC0"/>
    <w:rsid w:val="00F63AE2"/>
    <w:rsid w:val="00F65330"/>
    <w:rsid w:val="00F662AF"/>
    <w:rsid w:val="00F673BD"/>
    <w:rsid w:val="00F67AE1"/>
    <w:rsid w:val="00F7252E"/>
    <w:rsid w:val="00F76714"/>
    <w:rsid w:val="00F83140"/>
    <w:rsid w:val="00F83DB0"/>
    <w:rsid w:val="00F932D8"/>
    <w:rsid w:val="00FB1910"/>
    <w:rsid w:val="00FB1E17"/>
    <w:rsid w:val="00FB2164"/>
    <w:rsid w:val="00FB5FDD"/>
    <w:rsid w:val="00FC3BE1"/>
    <w:rsid w:val="00FD10B4"/>
    <w:rsid w:val="00FD1508"/>
    <w:rsid w:val="00FD309C"/>
    <w:rsid w:val="00FD328E"/>
    <w:rsid w:val="00FD3C5B"/>
    <w:rsid w:val="00FD7A58"/>
    <w:rsid w:val="00FE4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EE7B16"/>
    <w:pPr>
      <w:spacing w:before="12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EE7B16"/>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3D72BA"/>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numbering" w:customStyle="1" w:styleId="AERnumberedlist">
    <w:name w:val="AER numbered list"/>
    <w:uiPriority w:val="99"/>
    <w:rsid w:val="00A20E64"/>
  </w:style>
  <w:style w:type="paragraph" w:customStyle="1" w:styleId="AERnumberedlist2first">
    <w:name w:val="AER numbered list 2 first"/>
    <w:basedOn w:val="AERbodytext"/>
    <w:qFormat/>
    <w:rsid w:val="00A20E64"/>
    <w:pPr>
      <w:numPr>
        <w:numId w:val="0"/>
      </w:numPr>
      <w:tabs>
        <w:tab w:val="num" w:pos="360"/>
      </w:tabs>
      <w:ind w:left="357" w:hanging="357"/>
    </w:pPr>
  </w:style>
  <w:style w:type="paragraph" w:customStyle="1" w:styleId="AERnumberedlist2second">
    <w:name w:val="AER numbered list 2 second"/>
    <w:basedOn w:val="AERnumberedlist2first"/>
    <w:qFormat/>
    <w:rsid w:val="00A20E64"/>
    <w:pPr>
      <w:ind w:left="720" w:hanging="363"/>
    </w:pPr>
  </w:style>
  <w:style w:type="paragraph" w:customStyle="1" w:styleId="AERnumberedlist2third">
    <w:name w:val="AER numbered list 2 third"/>
    <w:basedOn w:val="AERnumberedlist2second"/>
    <w:qFormat/>
    <w:rsid w:val="00A20E64"/>
    <w:pPr>
      <w:ind w:left="1077" w:hanging="357"/>
    </w:pPr>
  </w:style>
  <w:style w:type="character" w:customStyle="1" w:styleId="AERbodytextChar">
    <w:name w:val="AER body text Char"/>
    <w:basedOn w:val="DefaultParagraphFont"/>
    <w:link w:val="AERbodytext"/>
    <w:rsid w:val="00A20E64"/>
    <w:rPr>
      <w:rFonts w:ascii="Gautami" w:eastAsia="Times New Roman" w:hAnsi="Gautami"/>
      <w:szCs w:val="24"/>
    </w:rPr>
  </w:style>
  <w:style w:type="paragraph" w:styleId="Revision">
    <w:name w:val="Revision"/>
    <w:hidden/>
    <w:uiPriority w:val="99"/>
    <w:semiHidden/>
    <w:rsid w:val="0069255F"/>
  </w:style>
  <w:style w:type="paragraph" w:customStyle="1" w:styleId="AERbulletlistfirststyle">
    <w:name w:val="AER bullet list (first style)"/>
    <w:basedOn w:val="Normal"/>
    <w:qFormat/>
    <w:rsid w:val="00F01727"/>
    <w:pPr>
      <w:numPr>
        <w:numId w:val="9"/>
      </w:numPr>
      <w:tabs>
        <w:tab w:val="left" w:pos="357"/>
      </w:tabs>
      <w:spacing w:after="200" w:line="288" w:lineRule="auto"/>
      <w:ind w:left="357" w:hanging="357"/>
      <w:jc w:val="both"/>
    </w:pPr>
    <w:rPr>
      <w:rFonts w:ascii="Gautami" w:eastAsia="Times New Roman" w:hAnsi="Gautam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EE7B16"/>
    <w:pPr>
      <w:spacing w:before="12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EE7B16"/>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3D72BA"/>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numbering" w:customStyle="1" w:styleId="AERnumberedlist">
    <w:name w:val="AER numbered list"/>
    <w:uiPriority w:val="99"/>
    <w:rsid w:val="00A20E64"/>
  </w:style>
  <w:style w:type="paragraph" w:customStyle="1" w:styleId="AERnumberedlist2first">
    <w:name w:val="AER numbered list 2 first"/>
    <w:basedOn w:val="AERbodytext"/>
    <w:qFormat/>
    <w:rsid w:val="00A20E64"/>
    <w:pPr>
      <w:numPr>
        <w:numId w:val="0"/>
      </w:numPr>
      <w:tabs>
        <w:tab w:val="num" w:pos="360"/>
      </w:tabs>
      <w:ind w:left="357" w:hanging="357"/>
    </w:pPr>
  </w:style>
  <w:style w:type="paragraph" w:customStyle="1" w:styleId="AERnumberedlist2second">
    <w:name w:val="AER numbered list 2 second"/>
    <w:basedOn w:val="AERnumberedlist2first"/>
    <w:qFormat/>
    <w:rsid w:val="00A20E64"/>
    <w:pPr>
      <w:ind w:left="720" w:hanging="363"/>
    </w:pPr>
  </w:style>
  <w:style w:type="paragraph" w:customStyle="1" w:styleId="AERnumberedlist2third">
    <w:name w:val="AER numbered list 2 third"/>
    <w:basedOn w:val="AERnumberedlist2second"/>
    <w:qFormat/>
    <w:rsid w:val="00A20E64"/>
    <w:pPr>
      <w:ind w:left="1077" w:hanging="357"/>
    </w:pPr>
  </w:style>
  <w:style w:type="character" w:customStyle="1" w:styleId="AERbodytextChar">
    <w:name w:val="AER body text Char"/>
    <w:basedOn w:val="DefaultParagraphFont"/>
    <w:link w:val="AERbodytext"/>
    <w:rsid w:val="00A20E64"/>
    <w:rPr>
      <w:rFonts w:ascii="Gautami" w:eastAsia="Times New Roman" w:hAnsi="Gautami"/>
      <w:szCs w:val="24"/>
    </w:rPr>
  </w:style>
  <w:style w:type="paragraph" w:styleId="Revision">
    <w:name w:val="Revision"/>
    <w:hidden/>
    <w:uiPriority w:val="99"/>
    <w:semiHidden/>
    <w:rsid w:val="0069255F"/>
  </w:style>
  <w:style w:type="paragraph" w:customStyle="1" w:styleId="AERbulletlistfirststyle">
    <w:name w:val="AER bullet list (first style)"/>
    <w:basedOn w:val="Normal"/>
    <w:qFormat/>
    <w:rsid w:val="00F01727"/>
    <w:pPr>
      <w:numPr>
        <w:numId w:val="9"/>
      </w:numPr>
      <w:tabs>
        <w:tab w:val="left" w:pos="357"/>
      </w:tabs>
      <w:spacing w:after="200" w:line="288" w:lineRule="auto"/>
      <w:ind w:left="357" w:hanging="357"/>
      <w:jc w:val="both"/>
    </w:pPr>
    <w:rPr>
      <w:rFonts w:ascii="Gautami" w:eastAsia="Times New Roman" w:hAnsi="Gautam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better-regulation-reform-program" TargetMode="External"/><Relationship Id="rId5" Type="http://schemas.openxmlformats.org/officeDocument/2006/relationships/settings" Target="settings.xml"/><Relationship Id="rId10" Type="http://schemas.openxmlformats.org/officeDocument/2006/relationships/hyperlink" Target="http://www.aer.gov.au/node/18864"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8856-2146-4846-A5C5-918D077C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asast</dc:creator>
  <cp:keywords/>
  <dc:description/>
  <cp:lastModifiedBy>Sastro, Anne</cp:lastModifiedBy>
  <cp:revision>17</cp:revision>
  <cp:lastPrinted>2013-11-26T23:55:00Z</cp:lastPrinted>
  <dcterms:created xsi:type="dcterms:W3CDTF">2013-11-22T05:32:00Z</dcterms:created>
  <dcterms:modified xsi:type="dcterms:W3CDTF">2013-11-27T05:06:00Z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8093877</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\\cbrvpwxfs01\home$\asast\Factsheet - Final Expenditure forecast assessment - Better Regulation - November 2013.DOCX</vt:lpwstr>
  </property>
</Properties>
</file>