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F7" w:rsidRPr="009A2BB4" w:rsidRDefault="00753DF7" w:rsidP="00753DF7">
      <w:pPr>
        <w:pStyle w:val="AERfactsheetsubtitle"/>
        <w:rPr>
          <w:sz w:val="22"/>
        </w:rPr>
      </w:pPr>
      <w:bookmarkStart w:id="0" w:name="_GoBack"/>
      <w:bookmarkEnd w:id="0"/>
    </w:p>
    <w:p w:rsidR="00AA7208" w:rsidRDefault="00AC0236" w:rsidP="00AA7208">
      <w:pPr>
        <w:pStyle w:val="AERfactsheetsubtitle"/>
        <w:rPr>
          <w:lang w:val="en"/>
        </w:rPr>
      </w:pPr>
      <w:r w:rsidRPr="00B0183D">
        <w:rPr>
          <w:noProof/>
          <w:sz w:val="18"/>
          <w:lang w:eastAsia="en-A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55C24ED" wp14:editId="6B018258">
                <wp:simplePos x="0" y="0"/>
                <wp:positionH relativeFrom="column">
                  <wp:posOffset>-457200</wp:posOffset>
                </wp:positionH>
                <wp:positionV relativeFrom="paragraph">
                  <wp:posOffset>-42545</wp:posOffset>
                </wp:positionV>
                <wp:extent cx="7640955" cy="2122805"/>
                <wp:effectExtent l="0" t="0" r="17145" b="29845"/>
                <wp:wrapTopAndBottom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0955" cy="2122805"/>
                          <a:chOff x="0" y="0"/>
                          <a:chExt cx="7641536" cy="2122998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87179"/>
                            <a:ext cx="7632015" cy="1333500"/>
                          </a:xfrm>
                          <a:prstGeom prst="rect">
                            <a:avLst/>
                          </a:prstGeom>
                          <a:solidFill>
                            <a:srgbClr val="006A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5FBF" w:rsidRPr="0008782C" w:rsidRDefault="00AC5FBF" w:rsidP="001D49FD">
                              <w:pPr>
                                <w:ind w:left="567"/>
                                <w:rPr>
                                  <w:rFonts w:cs="Calibri"/>
                                  <w:color w:val="FFFFFF"/>
                                  <w:sz w:val="32"/>
                                </w:rPr>
                              </w:pPr>
                            </w:p>
                            <w:p w:rsidR="00AC5FBF" w:rsidRPr="00225391" w:rsidRDefault="00AC5FBF" w:rsidP="001D49FD">
                              <w:pPr>
                                <w:ind w:left="567"/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8"/>
                                </w:rPr>
                              </w:pPr>
                              <w:r w:rsidRPr="00225391"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8"/>
                                </w:rPr>
                                <w:t>Better Regu</w:t>
                              </w:r>
                              <w:r w:rsidRPr="00225391">
                                <w:rPr>
                                  <w:rFonts w:ascii="Trebuchet MS" w:hAnsi="Trebuchet MS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8"/>
                                </w:rPr>
                                <w:t>l</w:t>
                              </w:r>
                              <w:r w:rsidRPr="00225391"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8"/>
                                </w:rPr>
                                <w:t>ation:</w:t>
                              </w:r>
                            </w:p>
                            <w:p w:rsidR="00AC5FBF" w:rsidRPr="00225391" w:rsidRDefault="00AC5FBF" w:rsidP="004D1DC0">
                              <w:pPr>
                                <w:ind w:left="567"/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8"/>
                                </w:rPr>
                              </w:pPr>
                              <w:r w:rsidRPr="00225391"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8"/>
                                </w:rPr>
                                <w:t xml:space="preserve">Draft </w:t>
                              </w:r>
                              <w:r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8"/>
                                </w:rPr>
                                <w:t>rate of return guideline</w:t>
                              </w:r>
                            </w:p>
                            <w:p w:rsidR="00AC5FBF" w:rsidRPr="00F97D44" w:rsidRDefault="00AC5FBF" w:rsidP="001D49FD">
                              <w:pPr>
                                <w:ind w:left="567" w:right="681"/>
                                <w:jc w:val="right"/>
                                <w:rPr>
                                  <w:rFonts w:ascii="MS Reference Sans Serif" w:hAnsi="MS Reference Sans Serif" w:cs="Tunga"/>
                                  <w:b/>
                                  <w:color w:val="FFFFFF"/>
                                  <w:w w:val="95"/>
                                  <w:sz w:val="16"/>
                                </w:rPr>
                              </w:pPr>
                              <w:r>
                                <w:rPr>
                                  <w:rFonts w:ascii="MS Reference Sans Serif" w:hAnsi="MS Reference Sans Serif" w:cs="Tunga"/>
                                  <w:b/>
                                  <w:color w:val="FFFFFF"/>
                                  <w:w w:val="95"/>
                                  <w:kern w:val="44"/>
                                </w:rPr>
                                <w:t xml:space="preserve">30 August </w:t>
                              </w:r>
                              <w:r w:rsidRPr="00F97D44">
                                <w:rPr>
                                  <w:rFonts w:ascii="MS Reference Sans Serif" w:hAnsi="MS Reference Sans Serif" w:cs="Tunga"/>
                                  <w:b/>
                                  <w:color w:val="FFFFFF"/>
                                  <w:w w:val="95"/>
                                  <w:kern w:val="44"/>
                                </w:rPr>
                                <w:t>2013</w:t>
                              </w:r>
                            </w:p>
                            <w:p w:rsidR="00AC5FBF" w:rsidRPr="00E83166" w:rsidRDefault="00AC5FBF" w:rsidP="001D49FD">
                              <w:pPr>
                                <w:ind w:left="567" w:right="681"/>
                                <w:jc w:val="right"/>
                                <w:rPr>
                                  <w:rFonts w:ascii="MS Reference Sans Serif" w:hAnsi="MS Reference Sans Serif" w:cs="Tunga"/>
                                  <w:color w:val="FFFFFF"/>
                                </w:rPr>
                              </w:pPr>
                            </w:p>
                            <w:p w:rsidR="00AC5FBF" w:rsidRPr="00390BEB" w:rsidRDefault="00AC5FBF" w:rsidP="001D49FD">
                              <w:pPr>
                                <w:ind w:left="567" w:right="941"/>
                                <w:jc w:val="right"/>
                                <w:rPr>
                                  <w:rFonts w:cs="Calibri"/>
                                  <w:b/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  <wps:wsp>
                        <wps:cNvPr id="3" name="Straight Connector 2"/>
                        <wps:cNvCnPr>
                          <a:cxnSpLocks noChangeShapeType="1"/>
                        </wps:cNvCnPr>
                        <wps:spPr bwMode="auto">
                          <a:xfrm>
                            <a:off x="0" y="2122998"/>
                            <a:ext cx="7641536" cy="0"/>
                          </a:xfrm>
                          <a:prstGeom prst="line">
                            <a:avLst/>
                          </a:prstGeom>
                          <a:noFill/>
                          <a:ln w="63500" algn="ctr">
                            <a:solidFill>
                              <a:srgbClr val="92929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835" y="0"/>
                            <a:ext cx="2361537" cy="66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-36pt;margin-top:-3.35pt;width:601.65pt;height:167.15pt;z-index:251657216" coordsize="76415,21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7871;width:76320;height:1333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bMZ8IA&#10;AADaAAAADwAAAGRycy9kb3ducmV2LnhtbESPT2vCQBTE74LfYXmF3nRTD1VTV6kWwYsH/9DzI/ua&#10;DWbfhuwzpv30XUHwOMzMb5jFqve16qiNVWADb+MMFHERbMWlgfNpO5qBioJssQ5MBn4pwmo5HCww&#10;t+HGB+qOUqoE4ZijASfS5FrHwpHHOA4NcfJ+QutRkmxLbVu8Jbiv9STL3rXHitOCw4Y2jorL8eoN&#10;yParu8Ry//c938m0Pmg31fu1Ma8v/ecHKKFenuFHe2cNTOB+Jd0Av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sxnwgAAANoAAAAPAAAAAAAAAAAAAAAAAJgCAABkcnMvZG93&#10;bnJldi54bWxQSwUGAAAAAAQABAD1AAAAhwMAAAAA&#10;" fillcolor="#006a99" stroked="f">
                  <v:textbox>
                    <w:txbxContent>
                      <w:p w:rsidR="004C5F9A" w:rsidRPr="0008782C" w:rsidRDefault="004C5F9A" w:rsidP="001D49FD">
                        <w:pPr>
                          <w:ind w:left="567"/>
                          <w:rPr>
                            <w:rFonts w:cs="Calibri"/>
                            <w:color w:val="FFFFFF"/>
                            <w:sz w:val="32"/>
                          </w:rPr>
                        </w:pPr>
                      </w:p>
                      <w:p w:rsidR="004C5F9A" w:rsidRPr="00225391" w:rsidRDefault="004C5F9A" w:rsidP="001D49FD">
                        <w:pPr>
                          <w:ind w:left="567"/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8"/>
                          </w:rPr>
                        </w:pPr>
                        <w:r w:rsidRPr="00225391"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8"/>
                          </w:rPr>
                          <w:t>Better Regu</w:t>
                        </w:r>
                        <w:r w:rsidRPr="00225391">
                          <w:rPr>
                            <w:rFonts w:ascii="Trebuchet MS" w:hAnsi="Trebuchet MS" w:cs="Tunga"/>
                            <w:color w:val="FFFFFF"/>
                            <w:spacing w:val="10"/>
                            <w:w w:val="99"/>
                            <w:kern w:val="44"/>
                            <w:sz w:val="48"/>
                          </w:rPr>
                          <w:t>l</w:t>
                        </w:r>
                        <w:r w:rsidRPr="00225391"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8"/>
                          </w:rPr>
                          <w:t>ation:</w:t>
                        </w:r>
                      </w:p>
                      <w:p w:rsidR="004C5F9A" w:rsidRPr="00225391" w:rsidRDefault="004C5F9A" w:rsidP="004D1DC0">
                        <w:pPr>
                          <w:ind w:left="567"/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8"/>
                          </w:rPr>
                        </w:pPr>
                        <w:r w:rsidRPr="00225391"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8"/>
                          </w:rPr>
                          <w:t xml:space="preserve">Draft </w:t>
                        </w:r>
                        <w:r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8"/>
                          </w:rPr>
                          <w:t>rate of return guideline</w:t>
                        </w:r>
                      </w:p>
                      <w:p w:rsidR="004C5F9A" w:rsidRPr="00F97D44" w:rsidRDefault="004C5F9A" w:rsidP="001D49FD">
                        <w:pPr>
                          <w:ind w:left="567" w:right="681"/>
                          <w:jc w:val="right"/>
                          <w:rPr>
                            <w:rFonts w:ascii="MS Reference Sans Serif" w:hAnsi="MS Reference Sans Serif" w:cs="Tunga"/>
                            <w:b/>
                            <w:color w:val="FFFFFF"/>
                            <w:w w:val="95"/>
                            <w:sz w:val="16"/>
                          </w:rPr>
                        </w:pPr>
                        <w:r>
                          <w:rPr>
                            <w:rFonts w:ascii="MS Reference Sans Serif" w:hAnsi="MS Reference Sans Serif" w:cs="Tunga"/>
                            <w:b/>
                            <w:color w:val="FFFFFF"/>
                            <w:w w:val="95"/>
                            <w:kern w:val="44"/>
                          </w:rPr>
                          <w:t xml:space="preserve">30 August </w:t>
                        </w:r>
                        <w:r w:rsidRPr="00F97D44">
                          <w:rPr>
                            <w:rFonts w:ascii="MS Reference Sans Serif" w:hAnsi="MS Reference Sans Serif" w:cs="Tunga"/>
                            <w:b/>
                            <w:color w:val="FFFFFF"/>
                            <w:w w:val="95"/>
                            <w:kern w:val="44"/>
                          </w:rPr>
                          <w:t>2013</w:t>
                        </w:r>
                      </w:p>
                      <w:p w:rsidR="004C5F9A" w:rsidRPr="00E83166" w:rsidRDefault="004C5F9A" w:rsidP="001D49FD">
                        <w:pPr>
                          <w:ind w:left="567" w:right="681"/>
                          <w:jc w:val="right"/>
                          <w:rPr>
                            <w:rFonts w:ascii="MS Reference Sans Serif" w:hAnsi="MS Reference Sans Serif" w:cs="Tunga"/>
                            <w:color w:val="FFFFFF"/>
                          </w:rPr>
                        </w:pPr>
                      </w:p>
                      <w:p w:rsidR="004C5F9A" w:rsidRPr="00390BEB" w:rsidRDefault="004C5F9A" w:rsidP="001D49FD">
                        <w:pPr>
                          <w:ind w:left="567" w:right="941"/>
                          <w:jc w:val="right"/>
                          <w:rPr>
                            <w:rFonts w:cs="Calibri"/>
                            <w:b/>
                            <w:color w:val="FFFFFF"/>
                          </w:rPr>
                        </w:pPr>
                      </w:p>
                    </w:txbxContent>
                  </v:textbox>
                </v:shape>
                <v:line id="Straight Connector 2" o:spid="_x0000_s1028" style="position:absolute;visibility:visible;mso-wrap-style:square" from="0,21229" to="76415,21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TpqMUAAADaAAAADwAAAGRycy9kb3ducmV2LnhtbESPT2vCQBTE70K/w/IKXoJuasDa1FWK&#10;IFqlB/8cenzsvibB7NuQXTV+e7cgeBxm5jfMdN7ZWlyo9ZVjBW/DFASxdqbiQsHxsBxMQPiAbLB2&#10;TApu5GE+e+lNMTfuyju67EMhIoR9jgrKEJpcSq9LsuiHriGO3p9rLYYo20KaFq8Rbms5StOxtFhx&#10;XCixoUVJ+rQ/WwXJ92+RGa1/1stF8nE6Ju+rzXirVP+1+/oEEagLz/CjvTYKMvi/Em+An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bTpqMUAAADaAAAADwAAAAAAAAAA&#10;AAAAAAChAgAAZHJzL2Rvd25yZXYueG1sUEsFBgAAAAAEAAQA+QAAAJMDAAAAAA==&#10;" strokecolor="#929292" strokeweight="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left:5168;width:23615;height:66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B3kbEAAAA2gAAAA8AAABkcnMvZG93bnJldi54bWxEj09rwkAUxO8Fv8PyBG91o7ai0VWk0FKK&#10;F/+AHp/ZZzYk+zZktzF++65Q8DjMzG+Y5bqzlWip8YVjBaNhAoI4c7rgXMHx8Pk6A+EDssbKMSm4&#10;k4f1qveyxFS7G++o3YdcRAj7FBWYEOpUSp8ZsuiHriaO3tU1FkOUTS51g7cIt5UcJ8lUWiw4Lhis&#10;6cNQVu5/rYL2ej6+l5ufy+E+357Kydx8uWSn1KDfbRYgAnXhGf5vf2sFb/C4Em+AX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B3kbEAAAA2gAAAA8AAAAAAAAAAAAAAAAA&#10;nwIAAGRycy9kb3ducmV2LnhtbFBLBQYAAAAABAAEAPcAAACQAwAAAAA=&#10;">
                  <v:imagedata r:id="rId9" o:title=""/>
                  <v:path arrowok="t"/>
                </v:shape>
                <w10:wrap type="topAndBottom"/>
              </v:group>
            </w:pict>
          </mc:Fallback>
        </mc:AlternateContent>
      </w:r>
      <w:r w:rsidR="00697FF1" w:rsidRPr="00753DF7">
        <w:t xml:space="preserve">The Australian Energy Regulator (AER) commenced the Better Regulation program in December 2012. Today we released our draft </w:t>
      </w:r>
      <w:r w:rsidR="00F4505F">
        <w:t xml:space="preserve">rate of return </w:t>
      </w:r>
      <w:r w:rsidR="00AA7208">
        <w:t>guideline</w:t>
      </w:r>
      <w:r w:rsidR="008C32AF">
        <w:t xml:space="preserve">. </w:t>
      </w:r>
      <w:proofErr w:type="gramStart"/>
      <w:r w:rsidR="008C32AF">
        <w:t>This</w:t>
      </w:r>
      <w:r w:rsidR="00B74C3C">
        <w:t xml:space="preserve"> </w:t>
      </w:r>
      <w:r w:rsidR="00AA7208" w:rsidRPr="00AA7208">
        <w:rPr>
          <w:lang w:val="en"/>
        </w:rPr>
        <w:t>set</w:t>
      </w:r>
      <w:r w:rsidR="00AA7208">
        <w:rPr>
          <w:lang w:val="en"/>
        </w:rPr>
        <w:t>s</w:t>
      </w:r>
      <w:proofErr w:type="gramEnd"/>
      <w:r w:rsidR="00AA7208" w:rsidRPr="00AA7208">
        <w:rPr>
          <w:lang w:val="en"/>
        </w:rPr>
        <w:t xml:space="preserve"> out </w:t>
      </w:r>
      <w:r w:rsidR="008C32AF">
        <w:rPr>
          <w:lang w:val="en"/>
        </w:rPr>
        <w:t>improvements</w:t>
      </w:r>
      <w:r w:rsidR="008C32AF" w:rsidRPr="008C32AF">
        <w:rPr>
          <w:lang w:val="en"/>
        </w:rPr>
        <w:t xml:space="preserve"> </w:t>
      </w:r>
      <w:r w:rsidR="008C32AF">
        <w:rPr>
          <w:lang w:val="en"/>
        </w:rPr>
        <w:t xml:space="preserve">to </w:t>
      </w:r>
      <w:r w:rsidR="008C32AF" w:rsidRPr="008C32AF">
        <w:rPr>
          <w:lang w:val="en"/>
        </w:rPr>
        <w:t xml:space="preserve">the way we determine the return </w:t>
      </w:r>
      <w:r w:rsidR="00FC5AB0">
        <w:rPr>
          <w:lang w:val="en"/>
        </w:rPr>
        <w:t xml:space="preserve">that </w:t>
      </w:r>
      <w:r w:rsidR="008C32AF" w:rsidRPr="00AA7208">
        <w:rPr>
          <w:lang w:val="en"/>
        </w:rPr>
        <w:t xml:space="preserve">electricity and gas </w:t>
      </w:r>
      <w:r w:rsidR="008C32AF">
        <w:rPr>
          <w:lang w:val="en"/>
        </w:rPr>
        <w:t xml:space="preserve">network </w:t>
      </w:r>
      <w:r w:rsidR="008C32AF" w:rsidRPr="008C32AF">
        <w:rPr>
          <w:lang w:val="en"/>
        </w:rPr>
        <w:t>businesse</w:t>
      </w:r>
      <w:r w:rsidR="008C32AF">
        <w:rPr>
          <w:lang w:val="en"/>
        </w:rPr>
        <w:t xml:space="preserve">s can earn on their investments so </w:t>
      </w:r>
      <w:r w:rsidR="008C32AF" w:rsidRPr="008C32AF">
        <w:rPr>
          <w:lang w:val="en"/>
        </w:rPr>
        <w:t xml:space="preserve">consumers pay no more than necessary to </w:t>
      </w:r>
      <w:r w:rsidR="004C1027">
        <w:rPr>
          <w:lang w:val="en"/>
        </w:rPr>
        <w:t>support</w:t>
      </w:r>
      <w:r w:rsidR="004C1027" w:rsidRPr="008C32AF">
        <w:rPr>
          <w:lang w:val="en"/>
        </w:rPr>
        <w:t xml:space="preserve"> </w:t>
      </w:r>
      <w:r w:rsidR="008C32AF" w:rsidRPr="008C32AF">
        <w:rPr>
          <w:lang w:val="en"/>
        </w:rPr>
        <w:t>the investment needed to keep the networks operating.</w:t>
      </w:r>
    </w:p>
    <w:p w:rsidR="005524C5" w:rsidRPr="007C2B2C" w:rsidRDefault="005524C5" w:rsidP="00753DF7">
      <w:pPr>
        <w:pStyle w:val="AERfactsheetsubtitle"/>
        <w:rPr>
          <w:sz w:val="8"/>
        </w:rPr>
      </w:pPr>
    </w:p>
    <w:p w:rsidR="005524C5" w:rsidRPr="009A2BB4" w:rsidRDefault="005524C5" w:rsidP="004D1DC0">
      <w:pPr>
        <w:pStyle w:val="AERfactsheetbodytext"/>
        <w:rPr>
          <w:smallCaps/>
          <w:sz w:val="2"/>
        </w:rPr>
      </w:pPr>
    </w:p>
    <w:p w:rsidR="00754FD0" w:rsidRPr="004D1DC0" w:rsidRDefault="00754FD0" w:rsidP="004D1DC0">
      <w:pPr>
        <w:pStyle w:val="AERfactsheetbodytext"/>
        <w:sectPr w:rsidR="00754FD0" w:rsidRPr="004D1DC0" w:rsidSect="00BE5A7F">
          <w:pgSz w:w="11906" w:h="16838"/>
          <w:pgMar w:top="720" w:right="720" w:bottom="720" w:left="720" w:header="708" w:footer="708" w:gutter="0"/>
          <w:cols w:space="284"/>
          <w:docGrid w:linePitch="360"/>
        </w:sectPr>
      </w:pPr>
    </w:p>
    <w:p w:rsidR="00AC0236" w:rsidRPr="00697FF1" w:rsidRDefault="00AC0236" w:rsidP="00697FF1">
      <w:pPr>
        <w:pStyle w:val="AERFactsheetHeading1"/>
      </w:pPr>
      <w:r w:rsidRPr="00697FF1">
        <w:lastRenderedPageBreak/>
        <w:t>What is the Better Regulation program?</w:t>
      </w:r>
    </w:p>
    <w:p w:rsidR="00AC0236" w:rsidRPr="00697FF1" w:rsidRDefault="00AC0236" w:rsidP="00697FF1">
      <w:pPr>
        <w:pStyle w:val="AERfactsheetbodytext"/>
      </w:pPr>
      <w:r w:rsidRPr="00697FF1">
        <w:t xml:space="preserve">The AER initiated the Better Regulation program following changes to the electricity and gas rules in late 2012. The program brings together improvements to our regulatory approach with </w:t>
      </w:r>
      <w:r w:rsidR="005E4018">
        <w:t xml:space="preserve">the consumer </w:t>
      </w:r>
      <w:r w:rsidR="00D0705E">
        <w:t>focused</w:t>
      </w:r>
      <w:r w:rsidR="005E4018">
        <w:t xml:space="preserve"> reforms agreed by the Council of Australian Governments in D</w:t>
      </w:r>
      <w:r w:rsidRPr="00697FF1">
        <w:t xml:space="preserve">ecember 2012. </w:t>
      </w:r>
    </w:p>
    <w:p w:rsidR="00AC0236" w:rsidRDefault="00AC0236" w:rsidP="00AC0236">
      <w:pPr>
        <w:pStyle w:val="AERbodytextnospace"/>
        <w:spacing w:line="252" w:lineRule="auto"/>
        <w:jc w:val="left"/>
        <w:rPr>
          <w:rStyle w:val="AERtextitalic"/>
          <w:rFonts w:ascii="MS Reference Sans Serif" w:hAnsi="MS Reference Sans Serif" w:cs="Shruti"/>
          <w:i w:val="0"/>
          <w:spacing w:val="-10"/>
          <w:sz w:val="18"/>
        </w:rPr>
      </w:pPr>
      <w:r>
        <w:rPr>
          <w:rFonts w:ascii="MS Reference Sans Serif" w:hAnsi="MS Reference Sans Serif" w:cs="Shruti"/>
          <w:noProof/>
          <w:spacing w:val="-10"/>
          <w:sz w:val="18"/>
          <w:lang w:eastAsia="en-AU"/>
        </w:rPr>
        <mc:AlternateContent>
          <mc:Choice Requires="wps">
            <w:drawing>
              <wp:inline distT="0" distB="0" distL="0" distR="0" wp14:anchorId="33F2598A" wp14:editId="7361C870">
                <wp:extent cx="2980023" cy="555172"/>
                <wp:effectExtent l="0" t="0" r="11430" b="1651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023" cy="555172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6A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FBF" w:rsidRPr="00697FF1" w:rsidRDefault="00AC5FBF" w:rsidP="00697FF1">
                            <w:pPr>
                              <w:pStyle w:val="AERfactsheetbodytext"/>
                            </w:pPr>
                            <w:r w:rsidRPr="00697FF1">
                              <w:t>The Better Regulation program delivers an improved regulatory framework focused on the long term interests of electricity consumers.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30" type="#_x0000_t202" style="width:234.65pt;height:4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" fillcolor="#dbe5f1" strokecolor="#006a99">
                <v:textbox>
                  <w:txbxContent>
                    <w:p w:rsidR="004C5F9A" w:rsidRPr="00697FF1" w:rsidRDefault="004C5F9A" w:rsidP="00697FF1">
                      <w:pPr>
                        <w:pStyle w:val="AERfactsheetbodytext"/>
                      </w:pPr>
                      <w:r w:rsidRPr="00697FF1">
                        <w:t>The Better Regulation program delivers an improved regulatory framework focused on the long term interests of electricity consumers.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C0236" w:rsidRPr="00697FF1" w:rsidRDefault="00AC0236" w:rsidP="00697FF1">
      <w:pPr>
        <w:pStyle w:val="AERfactsheetbodytext"/>
      </w:pPr>
      <w:r w:rsidRPr="00697FF1">
        <w:t xml:space="preserve">The Better Regulation program involves: </w:t>
      </w:r>
    </w:p>
    <w:p w:rsidR="00AC0236" w:rsidRPr="00697FF1" w:rsidRDefault="00AC0236" w:rsidP="00697FF1">
      <w:pPr>
        <w:pStyle w:val="AERfactsheetbulletlist"/>
      </w:pPr>
      <w:r w:rsidRPr="00697FF1">
        <w:t xml:space="preserve">extensive consultation on seven new guidelines that outline our revised approach to determining electricity network revenues and prices </w:t>
      </w:r>
    </w:p>
    <w:p w:rsidR="00AC0236" w:rsidRPr="00697FF1" w:rsidRDefault="00AC0236" w:rsidP="00697FF1">
      <w:pPr>
        <w:pStyle w:val="AERfactsheetbulletlist"/>
      </w:pPr>
      <w:r w:rsidRPr="00697FF1">
        <w:t xml:space="preserve">establishing a consumer reference group for our guideline development work </w:t>
      </w:r>
    </w:p>
    <w:p w:rsidR="00AC0236" w:rsidRPr="00697FF1" w:rsidRDefault="00AC0236" w:rsidP="00697FF1">
      <w:pPr>
        <w:pStyle w:val="AERfactsheetbulletlist"/>
      </w:pPr>
      <w:r w:rsidRPr="00697FF1">
        <w:t xml:space="preserve">forming an ongoing Consumer Challenge Panel </w:t>
      </w:r>
    </w:p>
    <w:p w:rsidR="00AC0236" w:rsidRPr="00697FF1" w:rsidRDefault="00AC0236" w:rsidP="00697FF1">
      <w:pPr>
        <w:pStyle w:val="AERfactsheetbulletlist"/>
      </w:pPr>
      <w:proofErr w:type="gramStart"/>
      <w:r w:rsidRPr="00697FF1">
        <w:t>improving</w:t>
      </w:r>
      <w:proofErr w:type="gramEnd"/>
      <w:r w:rsidRPr="00697FF1">
        <w:t xml:space="preserve"> our internal technical expertise and systems. </w:t>
      </w:r>
    </w:p>
    <w:p w:rsidR="00AC0236" w:rsidRPr="00697FF1" w:rsidRDefault="00FB1910" w:rsidP="00697FF1">
      <w:pPr>
        <w:pStyle w:val="AERFactsheetHeading1"/>
      </w:pPr>
      <w:r>
        <w:t xml:space="preserve">What </w:t>
      </w:r>
      <w:r w:rsidR="00AA7208">
        <w:t xml:space="preserve">is the rate of return? </w:t>
      </w:r>
    </w:p>
    <w:p w:rsidR="003870D8" w:rsidRDefault="008C32AF" w:rsidP="002B7BBC">
      <w:pPr>
        <w:pStyle w:val="AERfactsheetbodytext"/>
        <w:rPr>
          <w:noProof/>
          <w:lang w:eastAsia="en-AU"/>
        </w:rPr>
      </w:pPr>
      <w:r w:rsidRPr="008C32AF">
        <w:t xml:space="preserve">The allowed rate of return is an estimate of the appropriate cost </w:t>
      </w:r>
      <w:r w:rsidR="00652BED">
        <w:t xml:space="preserve">of </w:t>
      </w:r>
      <w:r w:rsidR="00A5063D">
        <w:t xml:space="preserve">funds </w:t>
      </w:r>
      <w:r w:rsidRPr="008C32AF">
        <w:t xml:space="preserve">for </w:t>
      </w:r>
      <w:r w:rsidR="00A5063D">
        <w:t>investment in the network</w:t>
      </w:r>
      <w:r w:rsidRPr="008C32AF">
        <w:t>. A good estimate of the rate of return is necessary to promote efficient prices in the long term interests of consumers. The rate of return is calculated as a weighted average of the</w:t>
      </w:r>
      <w:r w:rsidR="00A95A1E">
        <w:t xml:space="preserve"> returns on equity and debt. </w:t>
      </w:r>
    </w:p>
    <w:p w:rsidR="004C5F9A" w:rsidRDefault="000C712D" w:rsidP="002B7BBC">
      <w:pPr>
        <w:pStyle w:val="AERfactsheetbodytext"/>
      </w:pPr>
      <w:r w:rsidRPr="00697FF1"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 wp14:anchorId="09537191" wp14:editId="61388B56">
            <wp:simplePos x="0" y="0"/>
            <wp:positionH relativeFrom="column">
              <wp:posOffset>-455930</wp:posOffset>
            </wp:positionH>
            <wp:positionV relativeFrom="page">
              <wp:posOffset>10227945</wp:posOffset>
            </wp:positionV>
            <wp:extent cx="8827135" cy="492760"/>
            <wp:effectExtent l="0" t="0" r="0" b="2540"/>
            <wp:wrapNone/>
            <wp:docPr id="31" name="Picture 31" descr="Title: Blue end box - Description: Blue end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itle: Blue end box - Description: Blue end bo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7135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1C1">
        <w:t xml:space="preserve">When a network </w:t>
      </w:r>
      <w:r w:rsidR="00D30B52">
        <w:t xml:space="preserve">business </w:t>
      </w:r>
      <w:r w:rsidR="007101C1">
        <w:t xml:space="preserve">spends money on an asset, for </w:t>
      </w:r>
      <w:r w:rsidR="008C32AF">
        <w:t xml:space="preserve">example </w:t>
      </w:r>
      <w:r w:rsidR="007101C1">
        <w:t xml:space="preserve">a </w:t>
      </w:r>
      <w:r w:rsidR="008C32AF">
        <w:t>new substation</w:t>
      </w:r>
      <w:r w:rsidR="007101C1">
        <w:t xml:space="preserve">, the value of that </w:t>
      </w:r>
      <w:r w:rsidR="008C32AF">
        <w:t xml:space="preserve">substation </w:t>
      </w:r>
      <w:r w:rsidR="007101C1">
        <w:t>i</w:t>
      </w:r>
      <w:r w:rsidR="005A1CBA">
        <w:t>s added to its regulatory asset base</w:t>
      </w:r>
      <w:r w:rsidR="007101C1">
        <w:t xml:space="preserve">. </w:t>
      </w:r>
      <w:r w:rsidR="009A2BB4">
        <w:t xml:space="preserve">The business’ </w:t>
      </w:r>
      <w:r w:rsidR="00D30B52">
        <w:t>regulatory asset base</w:t>
      </w:r>
      <w:r w:rsidR="008C32AF">
        <w:t xml:space="preserve"> is the total value of </w:t>
      </w:r>
      <w:r w:rsidR="008C32AF" w:rsidRPr="008C32AF">
        <w:t xml:space="preserve">all </w:t>
      </w:r>
      <w:r w:rsidR="00D30B52">
        <w:t xml:space="preserve">the </w:t>
      </w:r>
      <w:r w:rsidR="00513FFD">
        <w:t xml:space="preserve">capital </w:t>
      </w:r>
      <w:r w:rsidR="008C32AF" w:rsidRPr="008C32AF">
        <w:t>investments</w:t>
      </w:r>
      <w:r w:rsidR="00D30B52">
        <w:t xml:space="preserve"> it makes to supply consumers with electricity or gas</w:t>
      </w:r>
      <w:r w:rsidR="008C32AF">
        <w:t>.</w:t>
      </w:r>
      <w:r w:rsidR="00702500">
        <w:t xml:space="preserve"> </w:t>
      </w:r>
      <w:r w:rsidR="00A5063D">
        <w:t>T</w:t>
      </w:r>
      <w:r w:rsidR="00702500">
        <w:t xml:space="preserve">he business </w:t>
      </w:r>
      <w:r w:rsidR="00D30B52">
        <w:t xml:space="preserve">can </w:t>
      </w:r>
      <w:r w:rsidR="00702500">
        <w:t xml:space="preserve">earn a </w:t>
      </w:r>
      <w:r w:rsidR="00A5063D">
        <w:t xml:space="preserve">rate of </w:t>
      </w:r>
      <w:r w:rsidR="00702500">
        <w:t xml:space="preserve">return on these assets that reflects </w:t>
      </w:r>
      <w:r w:rsidR="00A5063D">
        <w:t xml:space="preserve">efficient </w:t>
      </w:r>
      <w:r w:rsidR="00702500">
        <w:t>financing practices</w:t>
      </w:r>
      <w:r w:rsidR="008535C7">
        <w:t xml:space="preserve"> and costs</w:t>
      </w:r>
      <w:r w:rsidR="00702500">
        <w:t>.</w:t>
      </w:r>
    </w:p>
    <w:p w:rsidR="004C5F9A" w:rsidRDefault="004C5F9A" w:rsidP="002B7BBC">
      <w:pPr>
        <w:pStyle w:val="AERfactsheetbodytext"/>
      </w:pPr>
    </w:p>
    <w:p w:rsidR="004C5F9A" w:rsidRDefault="004C5F9A" w:rsidP="002B7BBC">
      <w:pPr>
        <w:pStyle w:val="AERfactsheetbodytext"/>
      </w:pPr>
    </w:p>
    <w:p w:rsidR="000C712D" w:rsidRDefault="007C2B2C" w:rsidP="002B7BBC">
      <w:pPr>
        <w:pStyle w:val="AERfactsheetbodytext"/>
      </w:pPr>
      <w:r>
        <w:lastRenderedPageBreak/>
        <w:br/>
      </w:r>
      <w:r w:rsidR="000C712D">
        <w:rPr>
          <w:noProof/>
          <w:lang w:eastAsia="en-AU"/>
        </w:rPr>
        <mc:AlternateContent>
          <mc:Choice Requires="wps">
            <w:drawing>
              <wp:inline distT="0" distB="0" distL="0" distR="0" wp14:anchorId="51463CE8" wp14:editId="0E9B61E2">
                <wp:extent cx="3214370" cy="680357"/>
                <wp:effectExtent l="0" t="0" r="24130" b="24765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680357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6A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FBF" w:rsidRPr="00916002" w:rsidRDefault="00AC5FBF" w:rsidP="000C712D">
                            <w:pPr>
                              <w:pStyle w:val="AERfactsheetbodytext"/>
                            </w:pPr>
                            <w:r w:rsidRPr="00346F63">
                              <w:t>The rate of return is fundamental in the capital-intensive industry of electricity and gas networks. The return on investment can make up approximately 50 per cent of revenue needs for network businesses.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31" type="#_x0000_t202" style="width:253.1pt;height:5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" fillcolor="#dbe5f1" strokecolor="#006a99">
                <v:textbox>
                  <w:txbxContent>
                    <w:p w:rsidR="004C5F9A" w:rsidRPr="00916002" w:rsidRDefault="004C5F9A" w:rsidP="000C712D">
                      <w:pPr>
                        <w:pStyle w:val="AERfactsheetbodytext"/>
                      </w:pPr>
                      <w:r w:rsidRPr="00346F63">
                        <w:t>The rate of return is fundamental in the capital-intensive industry of electricity and gas networks. The return on investment can make up approximately 50 per cent of revenue needs for network businesses.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101C1" w:rsidRDefault="00E43302" w:rsidP="000C712D">
      <w:pPr>
        <w:pStyle w:val="AERFactsheetHeading1"/>
      </w:pPr>
      <w:r>
        <w:t>What’</w:t>
      </w:r>
      <w:r w:rsidR="007101C1">
        <w:t xml:space="preserve">s </w:t>
      </w:r>
      <w:r>
        <w:t xml:space="preserve">in the rate of return </w:t>
      </w:r>
      <w:r w:rsidR="007101C1">
        <w:t>guideline?</w:t>
      </w:r>
    </w:p>
    <w:p w:rsidR="000E2D55" w:rsidRDefault="0092057B" w:rsidP="007853FF">
      <w:pPr>
        <w:pStyle w:val="AERfactsheetbodytext"/>
        <w:keepNext/>
        <w:widowControl w:val="0"/>
      </w:pPr>
      <w:r w:rsidRPr="0092057B">
        <w:t xml:space="preserve">We must determine a rate of return that </w:t>
      </w:r>
      <w:r w:rsidR="00B74C3C">
        <w:t>achieves</w:t>
      </w:r>
      <w:r w:rsidRPr="0092057B">
        <w:t xml:space="preserve"> the new rate of return objective—for the overall rate of return to correspond to the efficient financing costs of a benchmark efficient business.</w:t>
      </w:r>
      <w:r>
        <w:t xml:space="preserve"> </w:t>
      </w:r>
    </w:p>
    <w:p w:rsidR="00346F63" w:rsidRDefault="006B6050" w:rsidP="007853FF">
      <w:pPr>
        <w:pStyle w:val="AERfactsheetbodytext"/>
        <w:keepNext/>
        <w:widowControl w:val="0"/>
      </w:pPr>
      <w:r w:rsidRPr="007B6947">
        <w:t>Our draft rate of return guideline sets out what we mean by a benchm</w:t>
      </w:r>
      <w:r>
        <w:t xml:space="preserve">ark </w:t>
      </w:r>
      <w:r w:rsidRPr="007B6947">
        <w:t xml:space="preserve">efficient </w:t>
      </w:r>
      <w:r>
        <w:t>business and how we propose</w:t>
      </w:r>
      <w:r w:rsidRPr="007B6947">
        <w:t xml:space="preserve"> to calculate the allowed rate of return.</w:t>
      </w:r>
      <w:r w:rsidR="007853FF">
        <w:t xml:space="preserve"> </w:t>
      </w:r>
    </w:p>
    <w:p w:rsidR="00346F63" w:rsidRDefault="00346F63" w:rsidP="007853FF">
      <w:pPr>
        <w:pStyle w:val="AERfactsheetbodytext"/>
        <w:keepNext/>
        <w:widowControl w:val="0"/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7A06C728" wp14:editId="7113423D">
                <wp:extent cx="3214370" cy="570368"/>
                <wp:effectExtent l="0" t="0" r="24130" b="20320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570368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6A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FBF" w:rsidRDefault="00AC5FBF" w:rsidP="00346F63">
                            <w:pPr>
                              <w:pStyle w:val="AERfactsheetbodytext"/>
                              <w:keepNext/>
                              <w:widowControl w:val="0"/>
                            </w:pPr>
                            <w:r>
                              <w:t xml:space="preserve">Our </w:t>
                            </w:r>
                            <w:r w:rsidRPr="00346F63">
                              <w:t xml:space="preserve">new approach will allow us to </w:t>
                            </w:r>
                            <w:r>
                              <w:t xml:space="preserve">determine rates of return over </w:t>
                            </w:r>
                            <w:proofErr w:type="gramStart"/>
                            <w:r>
                              <w:t>time that are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346F63">
                              <w:t>consistent with market conditions</w:t>
                            </w:r>
                            <w:r>
                              <w:t xml:space="preserve"> and in </w:t>
                            </w:r>
                            <w:r w:rsidRPr="00346F63">
                              <w:t>the long term interest</w:t>
                            </w:r>
                            <w:r>
                              <w:t>s</w:t>
                            </w:r>
                            <w:r w:rsidRPr="00346F63">
                              <w:t xml:space="preserve"> of consumer</w:t>
                            </w:r>
                            <w:r>
                              <w:t>s</w:t>
                            </w:r>
                            <w:r w:rsidRPr="00346F63">
                              <w:t>.</w:t>
                            </w:r>
                          </w:p>
                          <w:p w:rsidR="00AC5FBF" w:rsidRPr="00916002" w:rsidRDefault="00AC5FBF" w:rsidP="00346F63">
                            <w:pPr>
                              <w:pStyle w:val="AERfactsheetbody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2" type="#_x0000_t202" style="width:253.1pt;height:4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" fillcolor="#dbe5f1" strokecolor="#006a99">
                <v:textbox>
                  <w:txbxContent>
                    <w:p w:rsidR="00AC5FBF" w:rsidRDefault="00AC5FBF" w:rsidP="00346F63">
                      <w:pPr>
                        <w:pStyle w:val="AERfactsheetbodytext"/>
                        <w:keepNext/>
                        <w:widowControl w:val="0"/>
                      </w:pPr>
                      <w:r>
                        <w:t xml:space="preserve">Our </w:t>
                      </w:r>
                      <w:r w:rsidRPr="00346F63">
                        <w:t xml:space="preserve">new approach will allow us to </w:t>
                      </w:r>
                      <w:r>
                        <w:t xml:space="preserve">determine rates of return over </w:t>
                      </w:r>
                      <w:proofErr w:type="gramStart"/>
                      <w:r>
                        <w:t>time that are</w:t>
                      </w:r>
                      <w:proofErr w:type="gramEnd"/>
                      <w:r>
                        <w:t xml:space="preserve"> </w:t>
                      </w:r>
                      <w:r w:rsidRPr="00346F63">
                        <w:t>consistent with market conditions</w:t>
                      </w:r>
                      <w:r>
                        <w:t xml:space="preserve"> and in </w:t>
                      </w:r>
                      <w:r w:rsidRPr="00346F63">
                        <w:t>the long term interest</w:t>
                      </w:r>
                      <w:r>
                        <w:t>s</w:t>
                      </w:r>
                      <w:r w:rsidRPr="00346F63">
                        <w:t xml:space="preserve"> of consumer</w:t>
                      </w:r>
                      <w:r>
                        <w:t>s</w:t>
                      </w:r>
                      <w:r w:rsidRPr="00346F63">
                        <w:t>.</w:t>
                      </w:r>
                    </w:p>
                    <w:p w:rsidR="00AC5FBF" w:rsidRPr="00916002" w:rsidRDefault="00AC5FBF" w:rsidP="00346F63">
                      <w:pPr>
                        <w:pStyle w:val="AERfactsheet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A1608" w:rsidRDefault="0092057B" w:rsidP="008A1608">
      <w:pPr>
        <w:pStyle w:val="AERfactsheetbodytext"/>
        <w:keepNext/>
        <w:widowControl w:val="0"/>
        <w:rPr>
          <w:b/>
          <w:iCs/>
        </w:rPr>
      </w:pPr>
      <w:r>
        <w:t xml:space="preserve">We set out the process we’ll use to calculate the </w:t>
      </w:r>
      <w:r w:rsidR="00BF5D39">
        <w:t xml:space="preserve">return </w:t>
      </w:r>
      <w:r>
        <w:t>o</w:t>
      </w:r>
      <w:r w:rsidR="00BF5D39">
        <w:t>n</w:t>
      </w:r>
      <w:r>
        <w:t xml:space="preserve"> equity and the </w:t>
      </w:r>
      <w:r w:rsidR="00BF5D39">
        <w:t>return on</w:t>
      </w:r>
      <w:r>
        <w:t xml:space="preserve"> debt—the two main components to determining the rate of return. </w:t>
      </w:r>
      <w:r w:rsidR="008A1608">
        <w:t xml:space="preserve">We also set out our reasons for </w:t>
      </w:r>
      <w:r w:rsidR="00652BED">
        <w:t>setting</w:t>
      </w:r>
      <w:r w:rsidR="00652BED" w:rsidRPr="008A1608">
        <w:t xml:space="preserve"> </w:t>
      </w:r>
      <w:r w:rsidR="008A1608" w:rsidRPr="008A1608">
        <w:t>the value for imputation</w:t>
      </w:r>
      <w:r w:rsidR="00BF5D39">
        <w:t xml:space="preserve"> </w:t>
      </w:r>
      <w:r w:rsidR="008A1608" w:rsidRPr="008A1608">
        <w:t xml:space="preserve">credits (also known as ‘gamma’) to 0.5. Imputation credits </w:t>
      </w:r>
      <w:r w:rsidR="008F6C14">
        <w:t xml:space="preserve">are </w:t>
      </w:r>
      <w:r w:rsidR="004C1027">
        <w:t xml:space="preserve">not </w:t>
      </w:r>
      <w:r w:rsidR="008F6C14">
        <w:t xml:space="preserve">related to the rate of return but </w:t>
      </w:r>
      <w:r w:rsidR="008A1608" w:rsidRPr="008A1608">
        <w:t xml:space="preserve">affect a business’ revenue through </w:t>
      </w:r>
      <w:r w:rsidR="004C1027">
        <w:t xml:space="preserve">adjustments to </w:t>
      </w:r>
      <w:r w:rsidR="008A1608" w:rsidRPr="008A1608">
        <w:t>its tax liability.</w:t>
      </w:r>
    </w:p>
    <w:p w:rsidR="000175A4" w:rsidRDefault="00702500" w:rsidP="000175A4">
      <w:pPr>
        <w:pStyle w:val="AERFactsheetHeading1"/>
      </w:pPr>
      <w:r>
        <w:t>What’</w:t>
      </w:r>
      <w:r w:rsidR="00B73353">
        <w:t>s the</w:t>
      </w:r>
      <w:r w:rsidR="000175A4">
        <w:t xml:space="preserve"> benchmark </w:t>
      </w:r>
      <w:r w:rsidR="003870D8">
        <w:t xml:space="preserve">efficient </w:t>
      </w:r>
      <w:r w:rsidR="000175A4">
        <w:t>business?</w:t>
      </w:r>
    </w:p>
    <w:p w:rsidR="00F85337" w:rsidRDefault="007952B3" w:rsidP="00F85337">
      <w:pPr>
        <w:pStyle w:val="AERfactsheetbodytext"/>
      </w:pPr>
      <w:r>
        <w:t>We set</w:t>
      </w:r>
      <w:r w:rsidR="00134644">
        <w:t xml:space="preserve"> the rate of return by considering the costs that a benchmark </w:t>
      </w:r>
      <w:r>
        <w:t xml:space="preserve">efficient </w:t>
      </w:r>
      <w:r w:rsidR="00134644">
        <w:t>business</w:t>
      </w:r>
      <w:r>
        <w:t xml:space="preserve"> would likely incur</w:t>
      </w:r>
      <w:r w:rsidR="00134644">
        <w:t xml:space="preserve">. </w:t>
      </w:r>
      <w:r w:rsidR="00F85337">
        <w:t>We define the benchmark efficient business as one whose only activity is providing electricity or g</w:t>
      </w:r>
      <w:r w:rsidR="009C0036">
        <w:t>as network services (</w:t>
      </w:r>
      <w:r w:rsidR="00A5063D">
        <w:t>also known as ‘</w:t>
      </w:r>
      <w:r w:rsidR="009C0036">
        <w:t>pure play</w:t>
      </w:r>
      <w:r w:rsidR="00A5063D">
        <w:t>’</w:t>
      </w:r>
      <w:r w:rsidR="009C0036">
        <w:t>)</w:t>
      </w:r>
      <w:r w:rsidR="00F85337">
        <w:t xml:space="preserve"> </w:t>
      </w:r>
      <w:r w:rsidR="00A5063D">
        <w:t xml:space="preserve">and is </w:t>
      </w:r>
      <w:r w:rsidR="00F85337">
        <w:t>regulated and operating within Australia.</w:t>
      </w:r>
    </w:p>
    <w:p w:rsidR="00F85337" w:rsidRDefault="009C0036" w:rsidP="00F85337">
      <w:pPr>
        <w:pStyle w:val="AERfactsheetbodytext"/>
      </w:pPr>
      <w:r>
        <w:t xml:space="preserve">We propose a single benchmark for all gas and electricity network businesses. We consider the risks </w:t>
      </w:r>
      <w:r w:rsidR="00652BED">
        <w:t xml:space="preserve">facing </w:t>
      </w:r>
      <w:r w:rsidR="00F85337">
        <w:t xml:space="preserve">electricity and gas networks </w:t>
      </w:r>
      <w:r w:rsidR="00652BED">
        <w:t>are sufficiently similar</w:t>
      </w:r>
      <w:r>
        <w:t xml:space="preserve"> </w:t>
      </w:r>
      <w:r w:rsidR="008535C7">
        <w:t xml:space="preserve">such that </w:t>
      </w:r>
      <w:r w:rsidR="00652BED">
        <w:t>a single benchmark</w:t>
      </w:r>
      <w:r w:rsidR="008535C7">
        <w:t xml:space="preserve"> is appropriate</w:t>
      </w:r>
      <w:r>
        <w:t xml:space="preserve">. </w:t>
      </w:r>
    </w:p>
    <w:p w:rsidR="004C5F9A" w:rsidRDefault="007C2B2C" w:rsidP="009F7619">
      <w:pPr>
        <w:pStyle w:val="AERFactsheetHeading1"/>
      </w:pPr>
      <w:r>
        <w:rPr>
          <w:noProof/>
          <w:lang w:eastAsia="en-A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F1ABFC" wp14:editId="395F8E88">
                <wp:simplePos x="0" y="0"/>
                <wp:positionH relativeFrom="column">
                  <wp:posOffset>-466715</wp:posOffset>
                </wp:positionH>
                <wp:positionV relativeFrom="paragraph">
                  <wp:posOffset>42622</wp:posOffset>
                </wp:positionV>
                <wp:extent cx="7642225" cy="323850"/>
                <wp:effectExtent l="0" t="0" r="15875" b="3810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2225" cy="323850"/>
                          <a:chOff x="-15351" y="0"/>
                          <a:chExt cx="7646046" cy="323850"/>
                        </a:xfrm>
                      </wpg:grpSpPr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5351" y="0"/>
                            <a:ext cx="7635240" cy="304631"/>
                          </a:xfrm>
                          <a:prstGeom prst="rect">
                            <a:avLst/>
                          </a:prstGeom>
                          <a:solidFill>
                            <a:srgbClr val="006A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5FBF" w:rsidRPr="006B1EE6" w:rsidRDefault="00AC5FBF" w:rsidP="001D49FD">
                              <w:pPr>
                                <w:ind w:left="567"/>
                                <w:rPr>
                                  <w:rFonts w:ascii="Univers 45 Light" w:hAnsi="Univers 45 Light" w:cs="Calibri"/>
                                  <w:b/>
                                  <w:color w:val="FFFFFF"/>
                                  <w:spacing w:val="20"/>
                                  <w:w w:val="80"/>
                                  <w:kern w:val="22"/>
                                </w:rPr>
                              </w:pPr>
                              <w:r w:rsidRPr="006B1EE6">
                                <w:rPr>
                                  <w:rFonts w:ascii="Univers 45 Light" w:hAnsi="Univers 45 Light" w:cs="Calibri"/>
                                  <w:b/>
                                  <w:color w:val="FFFFFF"/>
                                  <w:spacing w:val="20"/>
                                  <w:w w:val="80"/>
                                  <w:kern w:val="22"/>
                                </w:rPr>
                                <w:t xml:space="preserve">BETTER REGULATION: DRAFT </w:t>
                              </w:r>
                              <w:r>
                                <w:rPr>
                                  <w:rFonts w:ascii="Univers 45 Light" w:hAnsi="Univers 45 Light" w:cs="Calibri"/>
                                  <w:b/>
                                  <w:color w:val="FFFFFF"/>
                                  <w:spacing w:val="20"/>
                                  <w:w w:val="80"/>
                                  <w:kern w:val="22"/>
                                </w:rPr>
                                <w:t>RATE OF RETURN GUIDELINE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Straight Connector 6"/>
                        <wps:cNvCnPr>
                          <a:cxnSpLocks noChangeShapeType="1"/>
                        </wps:cNvCnPr>
                        <wps:spPr bwMode="auto">
                          <a:xfrm>
                            <a:off x="-14070" y="323850"/>
                            <a:ext cx="7644765" cy="0"/>
                          </a:xfrm>
                          <a:prstGeom prst="line">
                            <a:avLst/>
                          </a:prstGeom>
                          <a:noFill/>
                          <a:ln w="63500" algn="ctr">
                            <a:solidFill>
                              <a:srgbClr val="92929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3" o:spid="_x0000_s1033" style="position:absolute;margin-left:-36.75pt;margin-top:3.35pt;width:601.75pt;height:25.5pt;z-index:251661312;mso-position-horizontal-relative:text;mso-position-vertical-relative:text;mso-width-relative:margin" coordorigin="-153" coordsize="7646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4" type="#_x0000_t202" style="position:absolute;left:-153;width:76351;height:30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Ev+MEA&#10;AADbAAAADwAAAGRycy9kb3ducmV2LnhtbERP22oCMRB9L/gPYYS+1axCL2yNImKhfRCp9gOGZLq7&#10;uJmsmzG7/n1TKPRtDuc6y/XoW5Woj01gA/NZAYrYBtdwZeDr9PbwAioKssM2MBm4UYT1anK3xNKF&#10;gT8pHaVSOYRjiQZqka7UOtqaPMZZ6Igz9x16j5JhX2nX45DDfasXRfGkPTacG2rsaFuTPR+v3oAc&#10;Fnt7k/Rsh3T6uOzTbvt42BlzPx03r6CERvkX/7nfXZ4/h99f8gF6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BL/jBAAAA2wAAAA8AAAAAAAAAAAAAAAAAmAIAAGRycy9kb3du&#10;cmV2LnhtbFBLBQYAAAAABAAEAPUAAACGAwAAAAA=&#10;" fillcolor="#006a99" stroked="f">
                  <v:textbox>
                    <w:txbxContent>
                      <w:p w:rsidR="00AC5FBF" w:rsidRPr="006B1EE6" w:rsidRDefault="00AC5FBF" w:rsidP="001D49FD">
                        <w:pPr>
                          <w:ind w:left="567"/>
                          <w:rPr>
                            <w:rFonts w:ascii="Univers 45 Light" w:hAnsi="Univers 45 Light" w:cs="Calibri"/>
                            <w:b/>
                            <w:color w:val="FFFFFF"/>
                            <w:spacing w:val="20"/>
                            <w:w w:val="80"/>
                            <w:kern w:val="22"/>
                          </w:rPr>
                        </w:pPr>
                        <w:r w:rsidRPr="006B1EE6">
                          <w:rPr>
                            <w:rFonts w:ascii="Univers 45 Light" w:hAnsi="Univers 45 Light" w:cs="Calibri"/>
                            <w:b/>
                            <w:color w:val="FFFFFF"/>
                            <w:spacing w:val="20"/>
                            <w:w w:val="80"/>
                            <w:kern w:val="22"/>
                          </w:rPr>
                          <w:t xml:space="preserve">BETTER REGULATION: DRAFT </w:t>
                        </w:r>
                        <w:r>
                          <w:rPr>
                            <w:rFonts w:ascii="Univers 45 Light" w:hAnsi="Univers 45 Light" w:cs="Calibri"/>
                            <w:b/>
                            <w:color w:val="FFFFFF"/>
                            <w:spacing w:val="20"/>
                            <w:w w:val="80"/>
                            <w:kern w:val="22"/>
                          </w:rPr>
                          <w:t>RATE OF RETURN GUIDELINE</w:t>
                        </w:r>
                      </w:p>
                    </w:txbxContent>
                  </v:textbox>
                </v:shape>
                <v:line id="Straight Connector 6" o:spid="_x0000_s1035" style="position:absolute;visibility:visible;mso-wrap-style:square" from="-140,3238" to="76306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wjw8MAAADbAAAADwAAAGRycy9kb3ducmV2LnhtbERPS4vCMBC+C/sfwix4KZqugqtdoyyC&#10;qCt78HHwOCSzbbGZlCZq/fdGWPA2H99zpvPWVuJKjS8dK/jopyCItTMl5wqOh2VvDMIHZIOVY1Jw&#10;Jw/z2VtniplxN97RdR9yEUPYZ6igCKHOpPS6IIu+72riyP25xmKIsMmlafAWw20lB2k6khZLjg0F&#10;1rQoSJ/3F6sg2ZzyodH6d71cJJPzMflc/Yy2SnXf2+8vEIHa8BL/u9cmzh/A85d4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cI8PDAAAA2wAAAA8AAAAAAAAAAAAA&#10;AAAAoQIAAGRycy9kb3ducmV2LnhtbFBLBQYAAAAABAAEAPkAAACRAwAAAAA=&#10;" strokecolor="#929292" strokeweight="5pt"/>
              </v:group>
            </w:pict>
          </mc:Fallback>
        </mc:AlternateContent>
      </w:r>
    </w:p>
    <w:p w:rsidR="004C5F9A" w:rsidRDefault="00AC5FBF" w:rsidP="009F7619">
      <w:pPr>
        <w:pStyle w:val="AERFactsheetHeading1"/>
      </w:pPr>
      <w:r>
        <w:rPr>
          <w:noProof/>
          <w:lang w:eastAsia="en-AU"/>
        </w:rPr>
        <mc:AlternateContent>
          <mc:Choice Requires="wpc">
            <w:drawing>
              <wp:anchor distT="0" distB="0" distL="114300" distR="114300" simplePos="0" relativeHeight="251667456" behindDoc="0" locked="0" layoutInCell="1" allowOverlap="1" wp14:anchorId="2598AA93" wp14:editId="6CD4A20A">
                <wp:simplePos x="0" y="0"/>
                <wp:positionH relativeFrom="column">
                  <wp:posOffset>47625</wp:posOffset>
                </wp:positionH>
                <wp:positionV relativeFrom="paragraph">
                  <wp:posOffset>270510</wp:posOffset>
                </wp:positionV>
                <wp:extent cx="6614160" cy="3421380"/>
                <wp:effectExtent l="0" t="0" r="0" b="0"/>
                <wp:wrapNone/>
                <wp:docPr id="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6005" y="0"/>
                            <a:ext cx="4246435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6A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5FBF" w:rsidRPr="004D1DC0" w:rsidRDefault="00AC5FBF" w:rsidP="009D246A">
                              <w:pPr>
                                <w:pStyle w:val="NormalWeb"/>
                                <w:spacing w:before="0" w:beforeAutospacing="0" w:after="0" w:afterAutospacing="0" w:line="288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unga" w:hAnsi="Tung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Overview of the rate of return guideline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ctr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4949" y="1546442"/>
                            <a:ext cx="1488830" cy="1815970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AC5FBF" w:rsidRPr="008A7F44" w:rsidRDefault="00AC5FBF" w:rsidP="005064D7">
                              <w:pPr>
                                <w:pStyle w:val="NormalWeb"/>
                                <w:spacing w:before="0" w:beforeAutospacing="0" w:after="60" w:afterAutospacing="0" w:line="276" w:lineRule="auto"/>
                                <w:rPr>
                                  <w:rFonts w:ascii="Tunga" w:eastAsia="Calibri" w:hAnsi="Tunga" w:cs="Tunga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A7F44">
                                <w:rPr>
                                  <w:rFonts w:ascii="Tunga" w:eastAsia="Calibri" w:hAnsi="Tunga" w:cs="Tunga"/>
                                  <w:b/>
                                  <w:sz w:val="16"/>
                                  <w:szCs w:val="16"/>
                                </w:rPr>
                                <w:t xml:space="preserve">Foundation model </w:t>
                              </w:r>
                            </w:p>
                            <w:p w:rsidR="00AC5FBF" w:rsidRDefault="00AC5FBF" w:rsidP="005064D7">
                              <w:pPr>
                                <w:pStyle w:val="NormalWeb"/>
                                <w:spacing w:before="0" w:beforeAutospacing="0" w:after="60" w:afterAutospacing="0" w:line="276" w:lineRule="auto"/>
                                <w:rPr>
                                  <w:rFonts w:ascii="Tunga" w:eastAsia="Calibri" w:hAnsi="Tunga" w:cs="Tunga"/>
                                  <w:sz w:val="16"/>
                                  <w:szCs w:val="16"/>
                                </w:rPr>
                              </w:pPr>
                              <w:r w:rsidRPr="008A7F44">
                                <w:rPr>
                                  <w:rFonts w:ascii="Tunga" w:eastAsia="Calibri" w:hAnsi="Tunga" w:cs="Tunga"/>
                                  <w:sz w:val="16"/>
                                  <w:szCs w:val="16"/>
                                </w:rPr>
                                <w:t>Sharpe-</w:t>
                              </w:r>
                              <w:proofErr w:type="spellStart"/>
                              <w:r w:rsidRPr="008A7F44">
                                <w:rPr>
                                  <w:rFonts w:ascii="Tunga" w:eastAsia="Calibri" w:hAnsi="Tunga" w:cs="Tunga"/>
                                  <w:sz w:val="16"/>
                                  <w:szCs w:val="16"/>
                                </w:rPr>
                                <w:t>Lintner</w:t>
                              </w:r>
                              <w:proofErr w:type="spellEnd"/>
                              <w:r w:rsidRPr="008A7F44">
                                <w:rPr>
                                  <w:rFonts w:ascii="Tunga" w:eastAsia="Calibri" w:hAnsi="Tunga" w:cs="Tunga"/>
                                  <w:sz w:val="16"/>
                                  <w:szCs w:val="16"/>
                                </w:rPr>
                                <w:t xml:space="preserve"> Capital Asset Pricing (CAPM)</w:t>
                              </w:r>
                            </w:p>
                            <w:p w:rsidR="00AC5FBF" w:rsidRPr="009D246A" w:rsidRDefault="00AC5FBF" w:rsidP="000C712D">
                              <w:pPr>
                                <w:spacing w:after="60" w:line="276" w:lineRule="auto"/>
                                <w:rPr>
                                  <w:rFonts w:ascii="Tunga" w:hAnsi="Tunga" w:cs="Tung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D246A">
                                <w:rPr>
                                  <w:rFonts w:ascii="Tunga" w:hAnsi="Tunga" w:cs="Tunga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Parameters </w:t>
                              </w:r>
                            </w:p>
                            <w:p w:rsidR="00AC5FBF" w:rsidRPr="00193867" w:rsidRDefault="00AC5FBF" w:rsidP="000C712D">
                              <w:pPr>
                                <w:pStyle w:val="NormalWeb"/>
                                <w:numPr>
                                  <w:ilvl w:val="0"/>
                                  <w:numId w:val="8"/>
                                </w:numPr>
                                <w:spacing w:before="0" w:beforeAutospacing="0" w:after="0" w:afterAutospacing="0" w:line="276" w:lineRule="auto"/>
                                <w:ind w:left="284" w:hanging="284"/>
                                <w:rPr>
                                  <w:rFonts w:ascii="Tunga" w:eastAsia="Calibri" w:hAnsi="Tunga" w:cs="Tunga"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unga" w:eastAsia="Calibri" w:hAnsi="Tunga" w:cs="Tunga"/>
                                  <w:bCs/>
                                  <w:sz w:val="16"/>
                                  <w:szCs w:val="16"/>
                                </w:rPr>
                                <w:t>Market risk premium (range</w:t>
                              </w:r>
                              <w:r w:rsidRPr="00193867">
                                <w:rPr>
                                  <w:rFonts w:ascii="Tunga" w:eastAsia="Calibri" w:hAnsi="Tunga" w:cs="Tunga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unga" w:eastAsia="Calibri" w:hAnsi="Tunga" w:cs="Tunga"/>
                                  <w:bCs/>
                                  <w:sz w:val="16"/>
                                  <w:szCs w:val="16"/>
                                </w:rPr>
                                <w:t xml:space="preserve">and </w:t>
                              </w:r>
                              <w:r w:rsidRPr="00193867">
                                <w:rPr>
                                  <w:rFonts w:ascii="Tunga" w:eastAsia="Calibri" w:hAnsi="Tunga" w:cs="Tunga"/>
                                  <w:bCs/>
                                  <w:sz w:val="16"/>
                                  <w:szCs w:val="16"/>
                                </w:rPr>
                                <w:t>point estimate</w:t>
                              </w:r>
                              <w:r>
                                <w:rPr>
                                  <w:rFonts w:ascii="Tunga" w:eastAsia="Calibri" w:hAnsi="Tunga" w:cs="Tunga"/>
                                  <w:bCs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:rsidR="00AC5FBF" w:rsidRPr="00193867" w:rsidRDefault="00AC5FBF" w:rsidP="000C712D">
                              <w:pPr>
                                <w:pStyle w:val="NormalWeb"/>
                                <w:numPr>
                                  <w:ilvl w:val="0"/>
                                  <w:numId w:val="8"/>
                                </w:numPr>
                                <w:spacing w:before="0" w:beforeAutospacing="0" w:after="0" w:afterAutospacing="0" w:line="276" w:lineRule="auto"/>
                                <w:ind w:left="284" w:hanging="284"/>
                                <w:rPr>
                                  <w:rFonts w:ascii="Tunga" w:eastAsia="Calibri" w:hAnsi="Tunga" w:cs="Tunga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93867">
                                <w:rPr>
                                  <w:rFonts w:ascii="Tunga" w:eastAsia="Calibri" w:hAnsi="Tunga" w:cs="Tunga"/>
                                  <w:bCs/>
                                  <w:sz w:val="16"/>
                                  <w:szCs w:val="16"/>
                                </w:rPr>
                                <w:t>Equity beta</w:t>
                              </w:r>
                              <w:r>
                                <w:rPr>
                                  <w:rFonts w:ascii="Tunga" w:eastAsia="Calibri" w:hAnsi="Tunga" w:cs="Tunga"/>
                                  <w:bCs/>
                                  <w:sz w:val="16"/>
                                  <w:szCs w:val="16"/>
                                </w:rPr>
                                <w:t xml:space="preserve"> (range</w:t>
                              </w:r>
                              <w:r w:rsidRPr="00193867">
                                <w:rPr>
                                  <w:rFonts w:ascii="Tunga" w:eastAsia="Calibri" w:hAnsi="Tunga" w:cs="Tunga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unga" w:eastAsia="Calibri" w:hAnsi="Tunga" w:cs="Tunga"/>
                                  <w:bCs/>
                                  <w:sz w:val="16"/>
                                  <w:szCs w:val="16"/>
                                </w:rPr>
                                <w:t xml:space="preserve">and </w:t>
                              </w:r>
                              <w:r w:rsidRPr="00193867">
                                <w:rPr>
                                  <w:rFonts w:ascii="Tunga" w:eastAsia="Calibri" w:hAnsi="Tunga" w:cs="Tunga"/>
                                  <w:bCs/>
                                  <w:sz w:val="16"/>
                                  <w:szCs w:val="16"/>
                                </w:rPr>
                                <w:t>point estimate</w:t>
                              </w:r>
                              <w:r>
                                <w:rPr>
                                  <w:rFonts w:ascii="Tunga" w:eastAsia="Calibri" w:hAnsi="Tunga" w:cs="Tunga"/>
                                  <w:bCs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:rsidR="00AC5FBF" w:rsidRPr="004C5F9A" w:rsidRDefault="00AC5FBF" w:rsidP="000C712D">
                              <w:pPr>
                                <w:pStyle w:val="NormalWeb"/>
                                <w:numPr>
                                  <w:ilvl w:val="0"/>
                                  <w:numId w:val="8"/>
                                </w:numPr>
                                <w:spacing w:before="0" w:beforeAutospacing="0" w:after="0" w:afterAutospacing="0" w:line="276" w:lineRule="auto"/>
                                <w:ind w:left="284" w:hanging="284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C025A">
                                <w:rPr>
                                  <w:rFonts w:ascii="Tunga" w:eastAsia="Calibri" w:hAnsi="Tunga" w:cs="Tunga"/>
                                  <w:bCs/>
                                  <w:sz w:val="16"/>
                                  <w:szCs w:val="16"/>
                                </w:rPr>
                                <w:t>Risk free rate</w:t>
                              </w:r>
                              <w:r>
                                <w:rPr>
                                  <w:rFonts w:ascii="Tunga" w:eastAsia="Calibri" w:hAnsi="Tunga" w:cs="Tunga"/>
                                  <w:bCs/>
                                  <w:sz w:val="16"/>
                                  <w:szCs w:val="16"/>
                                </w:rPr>
                                <w:t xml:space="preserve"> (</w:t>
                              </w:r>
                              <w:r w:rsidRPr="000C025A">
                                <w:rPr>
                                  <w:rFonts w:ascii="Tunga" w:eastAsia="Calibri" w:hAnsi="Tunga" w:cs="Tunga"/>
                                  <w:bCs/>
                                  <w:sz w:val="16"/>
                                  <w:szCs w:val="16"/>
                                </w:rPr>
                                <w:t>point estimate</w:t>
                              </w:r>
                              <w:r>
                                <w:rPr>
                                  <w:rFonts w:ascii="Tunga" w:eastAsia="Calibri" w:hAnsi="Tunga" w:cs="Tunga"/>
                                  <w:bCs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:rsidR="00AC5FBF" w:rsidRPr="000C025A" w:rsidRDefault="00AC5FBF" w:rsidP="000C712D">
                              <w:pPr>
                                <w:pStyle w:val="NormalWeb"/>
                                <w:numPr>
                                  <w:ilvl w:val="0"/>
                                  <w:numId w:val="8"/>
                                </w:numPr>
                                <w:spacing w:before="0" w:beforeAutospacing="0" w:after="0" w:afterAutospacing="0" w:line="276" w:lineRule="auto"/>
                                <w:ind w:left="284" w:hanging="284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unga" w:eastAsia="Calibri" w:hAnsi="Tunga" w:cs="Tunga"/>
                                  <w:bCs/>
                                  <w:sz w:val="16"/>
                                  <w:szCs w:val="16"/>
                                </w:rPr>
                                <w:t>Ten year term</w:t>
                              </w:r>
                            </w:p>
                            <w:p w:rsidR="00AC5FBF" w:rsidRDefault="00AC5FBF" w:rsidP="005064D7">
                              <w:pPr>
                                <w:pStyle w:val="NormalWeb"/>
                                <w:spacing w:before="0" w:beforeAutospacing="0" w:after="60" w:afterAutospacing="0" w:line="276" w:lineRule="auto"/>
                              </w:pPr>
                            </w:p>
                          </w:txbxContent>
                        </wps:txbx>
                        <wps:bodyPr rot="0" vert="horz" wrap="square" lIns="91440" tIns="36000" rIns="91440" bIns="36000" anchor="ctr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373002" y="351669"/>
                            <a:ext cx="1674590" cy="428625"/>
                          </a:xfrm>
                          <a:prstGeom prst="rect">
                            <a:avLst/>
                          </a:prstGeom>
                          <a:solidFill>
                            <a:srgbClr val="006C99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xtLst/>
                        </wps:spPr>
                        <wps:txbx>
                          <w:txbxContent>
                            <w:p w:rsidR="00AC5FBF" w:rsidRPr="00BB6ACB" w:rsidRDefault="00AC5FBF" w:rsidP="009D246A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ascii="Tunga" w:eastAsia="Calibri" w:hAnsi="Tunga" w:cs="Tunga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 w:rsidRPr="00BB6ACB">
                                <w:rPr>
                                  <w:rFonts w:ascii="Tunga" w:eastAsia="Calibri" w:hAnsi="Tunga" w:cs="Tunga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 xml:space="preserve">Rate of return </w:t>
                              </w:r>
                            </w:p>
                            <w:p w:rsidR="00AC5FBF" w:rsidRPr="00BB6ACB" w:rsidRDefault="00AC5FBF" w:rsidP="009D246A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 w:rsidRPr="00BB6ACB">
                                <w:rPr>
                                  <w:rFonts w:ascii="Tunga" w:eastAsia="Calibri" w:hAnsi="Tunga" w:cs="Tunga"/>
                                  <w:color w:val="FFFFFF"/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Tunga" w:eastAsia="Calibri" w:hAnsi="Tunga" w:cs="Tunga"/>
                                  <w:color w:val="FFFFFF"/>
                                  <w:sz w:val="16"/>
                                  <w:szCs w:val="16"/>
                                </w:rPr>
                                <w:t>the</w:t>
                              </w:r>
                              <w:proofErr w:type="gramEnd"/>
                              <w:r>
                                <w:rPr>
                                  <w:rFonts w:ascii="Tunga" w:eastAsia="Calibri" w:hAnsi="Tunga" w:cs="Tunga"/>
                                  <w:color w:val="FFFFFF"/>
                                  <w:sz w:val="16"/>
                                  <w:szCs w:val="16"/>
                                </w:rPr>
                                <w:t xml:space="preserve"> ‘</w:t>
                              </w:r>
                              <w:r w:rsidRPr="00BB6ACB">
                                <w:rPr>
                                  <w:rFonts w:ascii="Tunga" w:eastAsia="Calibri" w:hAnsi="Tunga" w:cs="Tunga"/>
                                  <w:color w:val="FFFFFF"/>
                                  <w:sz w:val="16"/>
                                  <w:szCs w:val="16"/>
                                </w:rPr>
                                <w:t>nominal vanilla WACC</w:t>
                              </w:r>
                              <w:r>
                                <w:rPr>
                                  <w:rFonts w:ascii="Tunga" w:eastAsia="Calibri" w:hAnsi="Tunga" w:cs="Tunga"/>
                                  <w:color w:val="FFFFFF"/>
                                  <w:sz w:val="16"/>
                                  <w:szCs w:val="16"/>
                                </w:rPr>
                                <w:t>’</w:t>
                              </w:r>
                              <w:r w:rsidRPr="00BB6ACB">
                                <w:rPr>
                                  <w:rFonts w:ascii="Tunga" w:eastAsia="Calibri" w:hAnsi="Tunga" w:cs="Tunga"/>
                                  <w:color w:val="FFFFFF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ctr" anchorCtr="0" upright="1">
                          <a:noAutofit/>
                        </wps:bodyPr>
                      </wps:wsp>
                      <wps:wsp>
                        <wps:cNvPr id="49" name="Rounded Rectangle 49"/>
                        <wps:cNvSpPr>
                          <a:spLocks noChangeArrowheads="1"/>
                        </wps:cNvSpPr>
                        <wps:spPr bwMode="auto">
                          <a:xfrm>
                            <a:off x="446343" y="945610"/>
                            <a:ext cx="2010300" cy="426719"/>
                          </a:xfrm>
                          <a:prstGeom prst="roundRect">
                            <a:avLst/>
                          </a:prstGeom>
                          <a:solidFill>
                            <a:srgbClr val="006C99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AC5FBF" w:rsidRDefault="00AC5FBF" w:rsidP="0055584F">
                              <w:pPr>
                                <w:pStyle w:val="NormalWeb"/>
                                <w:spacing w:before="0" w:beforeAutospacing="0" w:after="60" w:afterAutospacing="0" w:line="276" w:lineRule="auto"/>
                                <w:jc w:val="center"/>
                                <w:rPr>
                                  <w:rFonts w:ascii="Tunga" w:eastAsia="Calibri" w:hAnsi="Tunga" w:cs="Tung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unga" w:eastAsia="Calibri" w:hAnsi="Tunga" w:cs="Tunga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Return on</w:t>
                              </w:r>
                              <w:r w:rsidRPr="008A7F44">
                                <w:rPr>
                                  <w:rFonts w:ascii="Tunga" w:eastAsia="Calibri" w:hAnsi="Tunga" w:cs="Tunga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 xml:space="preserve"> equity </w:t>
                              </w:r>
                              <w:r w:rsidRPr="008A7F44">
                                <w:rPr>
                                  <w:rFonts w:ascii="Tunga" w:eastAsia="Calibri" w:hAnsi="Tunga" w:cs="Tunga"/>
                                  <w:color w:val="FFFFFF"/>
                                  <w:sz w:val="16"/>
                                  <w:szCs w:val="16"/>
                                </w:rPr>
                                <w:t>(40%)</w:t>
                              </w:r>
                            </w:p>
                            <w:p w:rsidR="00AC5FBF" w:rsidRPr="009D246A" w:rsidRDefault="00AC5FBF" w:rsidP="0055584F">
                              <w:pPr>
                                <w:pStyle w:val="NormalWeb"/>
                                <w:spacing w:before="0" w:beforeAutospacing="0" w:after="60" w:afterAutospacing="0" w:line="276" w:lineRule="auto"/>
                                <w:jc w:val="center"/>
                                <w:rPr>
                                  <w:rFonts w:ascii="Tunga" w:eastAsia="Calibri" w:hAnsi="Tunga" w:cs="Tung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unga" w:eastAsia="Calibri" w:hAnsi="Tunga" w:cs="Tunga"/>
                                  <w:color w:val="FFFFFF"/>
                                  <w:sz w:val="16"/>
                                  <w:szCs w:val="16"/>
                                </w:rPr>
                                <w:t xml:space="preserve">Funds </w:t>
                              </w:r>
                              <w:proofErr w:type="gramStart"/>
                              <w:r>
                                <w:rPr>
                                  <w:rFonts w:ascii="Tunga" w:eastAsia="Calibri" w:hAnsi="Tunga" w:cs="Tunga"/>
                                  <w:color w:val="FFFFFF"/>
                                  <w:sz w:val="16"/>
                                  <w:szCs w:val="16"/>
                                </w:rPr>
                                <w:t>raised</w:t>
                              </w:r>
                              <w:proofErr w:type="gramEnd"/>
                              <w:r>
                                <w:rPr>
                                  <w:rFonts w:ascii="Tunga" w:eastAsia="Calibri" w:hAnsi="Tunga" w:cs="Tunga"/>
                                  <w:color w:val="FFFFFF"/>
                                  <w:sz w:val="16"/>
                                  <w:szCs w:val="16"/>
                                </w:rPr>
                                <w:t xml:space="preserve"> from the market/investors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ctr" anchorCtr="0" upright="1">
                          <a:noAutofit/>
                        </wps:bodyPr>
                      </wps:wsp>
                      <wps:wsp>
                        <wps:cNvPr id="50" name="Elbow Connector 50"/>
                        <wps:cNvCnPr>
                          <a:stCxn id="49" idx="0"/>
                          <a:endCxn id="47" idx="1"/>
                        </wps:cNvCnPr>
                        <wps:spPr>
                          <a:xfrm rot="5400000" flipH="1" flipV="1">
                            <a:off x="1722433" y="295042"/>
                            <a:ext cx="379628" cy="921509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rgbClr val="006C99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348413" y="1561682"/>
                            <a:ext cx="1749861" cy="671325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AC5FBF" w:rsidRDefault="00AC5FBF" w:rsidP="005064D7">
                              <w:pPr>
                                <w:pStyle w:val="NormalWeb"/>
                                <w:spacing w:before="0" w:beforeAutospacing="0" w:after="60" w:afterAutospacing="0" w:line="276" w:lineRule="auto"/>
                                <w:rPr>
                                  <w:rFonts w:ascii="Tunga" w:eastAsia="Calibri" w:hAnsi="Tunga" w:cs="Tung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unga" w:eastAsia="Calibri" w:hAnsi="Tunga" w:cs="Tunga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Trailing average approach </w:t>
                              </w:r>
                            </w:p>
                            <w:p w:rsidR="00AC5FBF" w:rsidRDefault="00AC5FBF" w:rsidP="005064D7">
                              <w:pPr>
                                <w:pStyle w:val="NormalWeb"/>
                                <w:spacing w:before="0" w:beforeAutospacing="0" w:after="60" w:afterAutospacing="0" w:line="276" w:lineRule="auto"/>
                              </w:pPr>
                              <w:r w:rsidRPr="004C5F9A">
                                <w:rPr>
                                  <w:rFonts w:ascii="Tunga" w:eastAsia="Calibri" w:hAnsi="Tunga" w:cs="Tunga"/>
                                  <w:bCs/>
                                  <w:sz w:val="16"/>
                                  <w:szCs w:val="16"/>
                                </w:rPr>
                                <w:t>F</w:t>
                              </w:r>
                              <w:r w:rsidRPr="00960E54">
                                <w:rPr>
                                  <w:rFonts w:ascii="Tunga" w:eastAsia="Calibri" w:hAnsi="Tunga" w:cs="Tunga"/>
                                  <w:bCs/>
                                  <w:sz w:val="16"/>
                                  <w:szCs w:val="16"/>
                                </w:rPr>
                                <w:t>or a debt portfolio with a proposed benchmark term of debt of seven years</w:t>
                              </w:r>
                              <w:r w:rsidRPr="00960E54">
                                <w:rPr>
                                  <w:rFonts w:ascii="Tunga" w:eastAsia="Calibri" w:hAnsi="Tunga" w:cs="Tunga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ctr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266543" y="1987500"/>
                            <a:ext cx="1253293" cy="533400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AC5FBF" w:rsidRDefault="00AC5FBF" w:rsidP="00BA42E7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Tunga" w:eastAsia="Calibri" w:hAnsi="Tunga" w:cs="Tunga"/>
                                  <w:b/>
                                  <w:bCs/>
                                  <w:sz w:val="16"/>
                                  <w:szCs w:val="16"/>
                                </w:rPr>
                                <w:t>Conceptual framework and point estimate of 0.5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ctr" anchorCtr="0" upright="1">
                          <a:noAutofit/>
                        </wps:bodyPr>
                      </wps:wsp>
                      <wps:wsp>
                        <wps:cNvPr id="25" name="Rounded Rectangle 25"/>
                        <wps:cNvSpPr>
                          <a:spLocks noChangeArrowheads="1"/>
                        </wps:cNvSpPr>
                        <wps:spPr bwMode="auto">
                          <a:xfrm>
                            <a:off x="2850887" y="945610"/>
                            <a:ext cx="2008800" cy="428400"/>
                          </a:xfrm>
                          <a:prstGeom prst="roundRect">
                            <a:avLst/>
                          </a:prstGeom>
                          <a:solidFill>
                            <a:srgbClr val="006C99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AC5FBF" w:rsidRDefault="00AC5FBF" w:rsidP="0055584F">
                              <w:pPr>
                                <w:pStyle w:val="NormalWeb"/>
                                <w:spacing w:before="0" w:beforeAutospacing="0" w:after="6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Tunga" w:eastAsia="Calibri" w:hAnsi="Tunga" w:cs="Tunga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 xml:space="preserve">Return on debt </w:t>
                              </w:r>
                              <w:r>
                                <w:rPr>
                                  <w:rFonts w:ascii="Tunga" w:eastAsia="Calibri" w:hAnsi="Tunga" w:cs="Tunga"/>
                                  <w:color w:val="FFFFFF"/>
                                  <w:sz w:val="16"/>
                                  <w:szCs w:val="16"/>
                                </w:rPr>
                                <w:t>(60%)</w:t>
                              </w:r>
                            </w:p>
                            <w:p w:rsidR="00AC5FBF" w:rsidRDefault="00AC5FBF" w:rsidP="0055584F">
                              <w:pPr>
                                <w:pStyle w:val="NormalWeb"/>
                                <w:spacing w:before="0" w:beforeAutospacing="0" w:after="6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Tunga" w:eastAsia="Calibri" w:hAnsi="Tunga" w:cs="Tunga"/>
                                  <w:color w:val="FFFFFF"/>
                                  <w:sz w:val="16"/>
                                  <w:szCs w:val="16"/>
                                </w:rPr>
                                <w:t xml:space="preserve">Funds </w:t>
                              </w:r>
                              <w:proofErr w:type="gramStart"/>
                              <w:r>
                                <w:rPr>
                                  <w:rFonts w:ascii="Tunga" w:eastAsia="Calibri" w:hAnsi="Tunga" w:cs="Tunga"/>
                                  <w:color w:val="FFFFFF"/>
                                  <w:sz w:val="16"/>
                                  <w:szCs w:val="16"/>
                                </w:rPr>
                                <w:t>raised</w:t>
                              </w:r>
                              <w:proofErr w:type="gramEnd"/>
                              <w:r>
                                <w:rPr>
                                  <w:rFonts w:ascii="Tunga" w:eastAsia="Calibri" w:hAnsi="Tunga" w:cs="Tunga"/>
                                  <w:color w:val="FFFFFF"/>
                                  <w:sz w:val="16"/>
                                  <w:szCs w:val="16"/>
                                </w:rPr>
                                <w:t xml:space="preserve"> from borrowing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ctr" anchorCtr="0" upright="1">
                          <a:noAutofit/>
                        </wps:bodyPr>
                      </wps:wsp>
                      <wps:wsp>
                        <wps:cNvPr id="30" name="Rounded Rectangle 30"/>
                        <wps:cNvSpPr>
                          <a:spLocks noChangeArrowheads="1"/>
                        </wps:cNvSpPr>
                        <wps:spPr bwMode="auto">
                          <a:xfrm>
                            <a:off x="5243683" y="688898"/>
                            <a:ext cx="1302643" cy="995122"/>
                          </a:xfrm>
                          <a:prstGeom prst="roundRect">
                            <a:avLst/>
                          </a:prstGeom>
                          <a:solidFill>
                            <a:srgbClr val="006C99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AC5FBF" w:rsidRDefault="00AC5FBF" w:rsidP="0055584F">
                              <w:pPr>
                                <w:pStyle w:val="NormalWeb"/>
                                <w:spacing w:before="0" w:beforeAutospacing="0" w:after="60" w:afterAutospacing="0" w:line="276" w:lineRule="auto"/>
                                <w:jc w:val="center"/>
                                <w:rPr>
                                  <w:rFonts w:ascii="Tunga" w:eastAsia="Calibri" w:hAnsi="Tunga" w:cs="Tunga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 w:rsidRPr="0055584F">
                                <w:rPr>
                                  <w:rFonts w:ascii="Tunga" w:eastAsia="Calibri" w:hAnsi="Tunga" w:cs="Tunga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 xml:space="preserve">Imputation credits </w:t>
                              </w:r>
                              <w:r w:rsidRPr="0055584F">
                                <w:rPr>
                                  <w:rFonts w:ascii="Tunga" w:eastAsia="Calibri" w:hAnsi="Tunga" w:cs="Tunga"/>
                                  <w:color w:val="FFFFFF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Tunga" w:eastAsia="Calibri" w:hAnsi="Tunga" w:cs="Tunga"/>
                                  <w:color w:val="FFFFFF"/>
                                  <w:sz w:val="16"/>
                                  <w:szCs w:val="16"/>
                                </w:rPr>
                                <w:t>‘</w:t>
                              </w:r>
                              <w:r w:rsidRPr="0055584F">
                                <w:rPr>
                                  <w:rFonts w:ascii="Tunga" w:eastAsia="Calibri" w:hAnsi="Tunga" w:cs="Tunga"/>
                                  <w:color w:val="FFFFFF"/>
                                  <w:sz w:val="16"/>
                                  <w:szCs w:val="16"/>
                                </w:rPr>
                                <w:t>gamma</w:t>
                              </w:r>
                              <w:r>
                                <w:rPr>
                                  <w:rFonts w:ascii="Tunga" w:eastAsia="Calibri" w:hAnsi="Tunga" w:cs="Tunga"/>
                                  <w:color w:val="FFFFFF"/>
                                  <w:sz w:val="16"/>
                                  <w:szCs w:val="16"/>
                                </w:rPr>
                                <w:t>’</w:t>
                              </w:r>
                              <w:r w:rsidRPr="0055584F">
                                <w:rPr>
                                  <w:rFonts w:ascii="Tunga" w:eastAsia="Calibri" w:hAnsi="Tunga" w:cs="Tunga"/>
                                  <w:color w:val="FFFFFF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:rsidR="00AC5FBF" w:rsidRPr="0055584F" w:rsidRDefault="00AC5FBF" w:rsidP="0055584F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ascii="Tunga" w:eastAsia="Calibri" w:hAnsi="Tunga" w:cs="Tunga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Tunga" w:eastAsia="Calibri" w:hAnsi="Tunga" w:cs="Tunga"/>
                                  <w:color w:val="FFFFFF"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55584F">
                                <w:rPr>
                                  <w:rFonts w:ascii="Tunga" w:eastAsia="Calibri" w:hAnsi="Tunga" w:cs="Tunga"/>
                                  <w:color w:val="FFFFFF"/>
                                  <w:sz w:val="16"/>
                                  <w:szCs w:val="16"/>
                                </w:rPr>
                                <w:t>ffect</w:t>
                              </w:r>
                              <w:r>
                                <w:rPr>
                                  <w:rFonts w:ascii="Tunga" w:eastAsia="Calibri" w:hAnsi="Tunga" w:cs="Tunga"/>
                                  <w:color w:val="FFFFFF"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55584F">
                                <w:rPr>
                                  <w:rFonts w:ascii="Tunga" w:eastAsia="Calibri" w:hAnsi="Tunga" w:cs="Tunga"/>
                                  <w:color w:val="FFFFFF"/>
                                  <w:sz w:val="16"/>
                                  <w:szCs w:val="16"/>
                                </w:rPr>
                                <w:t xml:space="preserve"> a business’ revenue through </w:t>
                              </w:r>
                              <w:r>
                                <w:rPr>
                                  <w:rFonts w:ascii="Tunga" w:eastAsia="Calibri" w:hAnsi="Tunga" w:cs="Tunga"/>
                                  <w:color w:val="FFFFFF"/>
                                  <w:sz w:val="16"/>
                                  <w:szCs w:val="16"/>
                                </w:rPr>
                                <w:t xml:space="preserve">adjustments to </w:t>
                              </w:r>
                              <w:r w:rsidRPr="0055584F">
                                <w:rPr>
                                  <w:rFonts w:ascii="Tunga" w:eastAsia="Calibri" w:hAnsi="Tunga" w:cs="Tunga"/>
                                  <w:color w:val="FFFFFF"/>
                                  <w:sz w:val="16"/>
                                  <w:szCs w:val="16"/>
                                </w:rPr>
                                <w:t>its tax liability.</w:t>
                              </w:r>
                              <w:proofErr w:type="gramEnd"/>
                            </w:p>
                            <w:p w:rsidR="00AC5FBF" w:rsidRDefault="00AC5FBF" w:rsidP="0055584F">
                              <w:pPr>
                                <w:pStyle w:val="NormalWeb"/>
                                <w:spacing w:before="0" w:beforeAutospacing="0" w:after="60" w:afterAutospacing="0" w:line="276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36000" rIns="91440" bIns="36000" anchor="ctr" anchorCtr="0" upright="1">
                          <a:noAutofit/>
                        </wps:bodyPr>
                      </wps:wsp>
                      <wps:wsp>
                        <wps:cNvPr id="32" name="Elbow Connector 32"/>
                        <wps:cNvCnPr>
                          <a:stCxn id="24" idx="0"/>
                          <a:endCxn id="30" idx="2"/>
                        </wps:cNvCnPr>
                        <wps:spPr>
                          <a:xfrm rot="5400000" flipH="1" flipV="1">
                            <a:off x="5742357" y="1834853"/>
                            <a:ext cx="303480" cy="181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2700">
                            <a:solidFill>
                              <a:srgbClr val="006C99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Elbow Connector 33"/>
                        <wps:cNvCnPr>
                          <a:stCxn id="47" idx="3"/>
                          <a:endCxn id="30" idx="0"/>
                        </wps:cNvCnPr>
                        <wps:spPr>
                          <a:xfrm>
                            <a:off x="4047592" y="565982"/>
                            <a:ext cx="1847413" cy="122916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rgbClr val="006C99"/>
                            </a:solidFill>
                            <a:prstDash val="dash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913993" y="1546443"/>
                            <a:ext cx="1241171" cy="1815970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AC5FBF" w:rsidRDefault="00AC5FBF" w:rsidP="00DA03CB">
                              <w:pPr>
                                <w:pStyle w:val="NormalWeb"/>
                                <w:spacing w:before="0" w:beforeAutospacing="0" w:after="60" w:afterAutospacing="0" w:line="276" w:lineRule="auto"/>
                                <w:rPr>
                                  <w:rFonts w:ascii="Tunga" w:eastAsia="Calibri" w:hAnsi="Tunga" w:cs="Tung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C5F9A">
                                <w:rPr>
                                  <w:rFonts w:ascii="Tunga" w:eastAsia="Calibri" w:hAnsi="Tunga" w:cs="Tunga"/>
                                  <w:b/>
                                  <w:bCs/>
                                  <w:sz w:val="16"/>
                                  <w:szCs w:val="16"/>
                                </w:rPr>
                                <w:t>A range of models, methods, and information</w:t>
                              </w:r>
                            </w:p>
                            <w:p w:rsidR="00AC5FBF" w:rsidRPr="004C5F9A" w:rsidRDefault="00AC5FBF">
                              <w:pPr>
                                <w:pStyle w:val="NormalWeb"/>
                                <w:spacing w:before="0" w:beforeAutospacing="0" w:after="60" w:afterAutospacing="0" w:line="276" w:lineRule="auto"/>
                                <w:rPr>
                                  <w:rFonts w:ascii="Tunga" w:eastAsia="Calibri" w:hAnsi="Tunga" w:cs="Tung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unga" w:eastAsia="Calibri" w:hAnsi="Tunga" w:cs="Tunga"/>
                                  <w:bCs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DA03CB">
                                <w:rPr>
                                  <w:rFonts w:ascii="Tunga" w:eastAsia="Calibri" w:hAnsi="Tunga" w:cs="Tunga"/>
                                  <w:bCs/>
                                  <w:sz w:val="16"/>
                                  <w:szCs w:val="16"/>
                                </w:rPr>
                                <w:t>et the rang</w:t>
                              </w:r>
                              <w:r>
                                <w:rPr>
                                  <w:rFonts w:ascii="Tunga" w:eastAsia="Calibri" w:hAnsi="Tunga" w:cs="Tunga"/>
                                  <w:bCs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DA03CB">
                                <w:rPr>
                                  <w:rFonts w:ascii="Tunga" w:eastAsia="Calibri" w:hAnsi="Tunga" w:cs="Tunga"/>
                                  <w:bCs/>
                                  <w:sz w:val="16"/>
                                  <w:szCs w:val="16"/>
                                </w:rPr>
                                <w:t xml:space="preserve"> of inputs into the foundation model or assist in determining a point estim</w:t>
                              </w:r>
                              <w:r w:rsidR="00B74C3C">
                                <w:rPr>
                                  <w:rFonts w:ascii="Tunga" w:eastAsia="Calibri" w:hAnsi="Tunga" w:cs="Tunga"/>
                                  <w:bCs/>
                                  <w:sz w:val="16"/>
                                  <w:szCs w:val="16"/>
                                </w:rPr>
                                <w:t>ate within a range of estimates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ctr" anchorCtr="0" upright="1">
                          <a:noAutofit/>
                        </wps:bodyPr>
                      </wps:wsp>
                      <wps:wsp>
                        <wps:cNvPr id="39" name="Elbow Connector 39"/>
                        <wps:cNvCnPr>
                          <a:stCxn id="61" idx="3"/>
                          <a:endCxn id="35" idx="1"/>
                        </wps:cNvCnPr>
                        <wps:spPr>
                          <a:xfrm>
                            <a:off x="1603779" y="2454427"/>
                            <a:ext cx="310214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2700">
                            <a:solidFill>
                              <a:srgbClr val="006C99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365945" y="2434347"/>
                            <a:ext cx="1716969" cy="767026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AC5FBF" w:rsidRPr="00EA61F6" w:rsidRDefault="00AC5FBF" w:rsidP="00D94B4D">
                              <w:pPr>
                                <w:pStyle w:val="NormalWeb"/>
                                <w:spacing w:before="0" w:beforeAutospacing="0" w:after="60" w:afterAutospacing="0" w:line="276" w:lineRule="auto"/>
                                <w:rPr>
                                  <w:rFonts w:ascii="Tunga" w:eastAsia="Calibri" w:hAnsi="Tunga" w:cs="Tunga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EA61F6">
                                <w:rPr>
                                  <w:rFonts w:ascii="Tunga" w:eastAsia="Calibri" w:hAnsi="Tunga" w:cs="Tunga"/>
                                  <w:b/>
                                  <w:sz w:val="16"/>
                                  <w:szCs w:val="16"/>
                                </w:rPr>
                                <w:t>Estimation procedure</w:t>
                              </w:r>
                            </w:p>
                            <w:p w:rsidR="00AC5FBF" w:rsidRDefault="00AC5FBF" w:rsidP="00D94B4D">
                              <w:pPr>
                                <w:pStyle w:val="NormalWeb"/>
                                <w:spacing w:before="0" w:beforeAutospacing="0" w:after="60" w:afterAutospacing="0" w:line="276" w:lineRule="auto"/>
                              </w:pPr>
                              <w:r>
                                <w:rPr>
                                  <w:rFonts w:ascii="Tunga" w:eastAsia="Calibri" w:hAnsi="Tunga" w:cs="Tunga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D94B4D">
                                <w:rPr>
                                  <w:rFonts w:ascii="Tunga" w:eastAsia="Calibri" w:hAnsi="Tunga" w:cs="Tunga"/>
                                  <w:sz w:val="16"/>
                                  <w:szCs w:val="16"/>
                                </w:rPr>
                                <w:t>ndependent third party data provider</w:t>
                              </w:r>
                              <w:r>
                                <w:rPr>
                                  <w:rFonts w:ascii="Tunga" w:eastAsia="Calibri" w:hAnsi="Tunga" w:cs="Tung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94B4D">
                                <w:rPr>
                                  <w:rFonts w:ascii="Tunga" w:eastAsia="Calibri" w:hAnsi="Tunga" w:cs="Tunga"/>
                                  <w:sz w:val="16"/>
                                  <w:szCs w:val="16"/>
                                </w:rPr>
                                <w:t xml:space="preserve">(benchmark debt term of </w:t>
                              </w:r>
                              <w:r>
                                <w:rPr>
                                  <w:rFonts w:ascii="Tunga" w:eastAsia="Calibri" w:hAnsi="Tunga" w:cs="Tunga"/>
                                  <w:sz w:val="16"/>
                                  <w:szCs w:val="16"/>
                                </w:rPr>
                                <w:t>seven</w:t>
                              </w:r>
                              <w:r w:rsidRPr="00D94B4D">
                                <w:rPr>
                                  <w:rFonts w:ascii="Tunga" w:eastAsia="Calibri" w:hAnsi="Tunga" w:cs="Tunga"/>
                                  <w:sz w:val="16"/>
                                  <w:szCs w:val="16"/>
                                </w:rPr>
                                <w:t xml:space="preserve"> years and credit rating of BBB+ or equivalent)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ctr" anchorCtr="0" upright="1">
                          <a:noAutofit/>
                        </wps:bodyPr>
                      </wps:wsp>
                      <wps:wsp>
                        <wps:cNvPr id="40" name="Elbow Connector 40"/>
                        <wps:cNvCnPr>
                          <a:stCxn id="36" idx="0"/>
                          <a:endCxn id="23" idx="2"/>
                        </wps:cNvCnPr>
                        <wps:spPr>
                          <a:xfrm rot="16200000" flipV="1">
                            <a:off x="4123217" y="2333134"/>
                            <a:ext cx="201340" cy="108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2700">
                            <a:solidFill>
                              <a:srgbClr val="006C99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Arrow Connector 14"/>
                        <wps:cNvCnPr>
                          <a:stCxn id="23" idx="0"/>
                        </wps:cNvCnPr>
                        <wps:spPr>
                          <a:xfrm flipV="1">
                            <a:off x="4223344" y="1389250"/>
                            <a:ext cx="0" cy="172432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006A99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Arrow Connector 42"/>
                        <wps:cNvCnPr>
                          <a:stCxn id="25" idx="0"/>
                        </wps:cNvCnPr>
                        <wps:spPr>
                          <a:xfrm flipV="1">
                            <a:off x="3855287" y="780294"/>
                            <a:ext cx="0" cy="16531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006A99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Arrow Connector 43"/>
                        <wps:cNvCnPr/>
                        <wps:spPr>
                          <a:xfrm flipV="1">
                            <a:off x="589340" y="1374010"/>
                            <a:ext cx="0" cy="174113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006A99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Arrow Connector 44"/>
                        <wps:cNvCnPr/>
                        <wps:spPr>
                          <a:xfrm flipV="1">
                            <a:off x="2319787" y="1372329"/>
                            <a:ext cx="0" cy="172433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006A99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7" o:spid="_x0000_s1036" editas="canvas" style="position:absolute;margin-left:3.75pt;margin-top:21.3pt;width:520.8pt;height:269.4pt;z-index:251667456;mso-position-horizontal-relative:text;mso-position-vertical-relative:text" coordsize="66141,34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width:66141;height:34213;visibility:visible;mso-wrap-style:square">
                  <v:fill o:detectmouseclick="t"/>
                  <v:path o:connecttype="none"/>
                </v:shape>
                <v:rect id="Rectangle 34" o:spid="_x0000_s1038" style="position:absolute;left:360;width:42464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/e5MMA&#10;AADbAAAADwAAAGRycy9kb3ducmV2LnhtbESPT4vCMBTE7wt+h/AEb2vqH0SqUcRFcCke7C7o8dE8&#10;22LzUpKsdr+9EQSPw8z8hlmuO9OIGzlfW1YwGiYgiAuray4V/P7sPucgfEDW2FgmBf/kYb3qfSwx&#10;1fbOR7rloRQRwj5FBVUIbSqlLyoy6Ie2JY7exTqDIUpXSu3wHuGmkeMkmUmDNceFClvaVlRc8z+j&#10;IHO5/N4fateed35+Kigbl1+ZUoN+t1mACNSFd/jV3msFkyk8v8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/e5MMAAADbAAAADwAAAAAAAAAAAAAAAACYAgAAZHJzL2Rv&#10;d25yZXYueG1sUEsFBgAAAAAEAAQA9QAAAIgDAAAAAA==&#10;" filled="f" fillcolor="#006a99" stroked="f" strokeweight="2pt">
                  <v:textbox inset=",1mm,,1mm">
                    <w:txbxContent>
                      <w:p w:rsidR="00AC5FBF" w:rsidRPr="004D1DC0" w:rsidRDefault="00AC5FBF" w:rsidP="009D246A">
                        <w:pPr>
                          <w:pStyle w:val="NormalWeb"/>
                          <w:spacing w:before="0" w:beforeAutospacing="0" w:after="0" w:afterAutospacing="0" w:line="288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Tunga" w:hAnsi="Tunga"/>
                            <w:b/>
                            <w:bCs/>
                            <w:color w:val="000000" w:themeColor="text1"/>
                            <w:kern w:val="24"/>
                          </w:rPr>
                          <w:t>Overview of the rate of return guideline</w:t>
                        </w:r>
                      </w:p>
                    </w:txbxContent>
                  </v:textbox>
                </v:rect>
                <v:rect id="Rectangle 61" o:spid="_x0000_s1039" style="position:absolute;left:1149;top:15464;width:14888;height:18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TDb8A&#10;AADbAAAADwAAAGRycy9kb3ducmV2LnhtbESPzQrCMBCE74LvEFbwpqkeRKqpiCiKHsSfB1ib7Q82&#10;m9JErW9vBMHjMDPfMPNFayrxpMaVlhWMhhEI4tTqknMF18tmMAXhPLLGyjIpeJODRdLtzDHW9sUn&#10;ep59LgKEXYwKCu/rWEqXFmTQDW1NHLzMNgZ9kE0udYOvADeVHEfRRBosOSwUWNOqoPR+fhgFh217&#10;HBs8reRufT3k+zVltwsp1e+1yxkIT63/h3/tnVYwGcH3S/gBM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ydMNvwAAANsAAAAPAAAAAAAAAAAAAAAAAJgCAABkcnMvZG93bnJl&#10;di54bWxQSwUGAAAAAAQABAD1AAAAhAMAAAAA&#10;" fillcolor="#dbe5f1" stroked="f">
                  <v:textbox inset=",1mm,,1mm">
                    <w:txbxContent>
                      <w:p w:rsidR="00AC5FBF" w:rsidRPr="008A7F44" w:rsidRDefault="00AC5FBF" w:rsidP="005064D7">
                        <w:pPr>
                          <w:pStyle w:val="NormalWeb"/>
                          <w:spacing w:before="0" w:beforeAutospacing="0" w:after="60" w:afterAutospacing="0" w:line="276" w:lineRule="auto"/>
                          <w:rPr>
                            <w:rFonts w:ascii="Tunga" w:eastAsia="Calibri" w:hAnsi="Tunga" w:cs="Tunga"/>
                            <w:b/>
                            <w:sz w:val="16"/>
                            <w:szCs w:val="16"/>
                          </w:rPr>
                        </w:pPr>
                        <w:r w:rsidRPr="008A7F44">
                          <w:rPr>
                            <w:rFonts w:ascii="Tunga" w:eastAsia="Calibri" w:hAnsi="Tunga" w:cs="Tunga"/>
                            <w:b/>
                            <w:sz w:val="16"/>
                            <w:szCs w:val="16"/>
                          </w:rPr>
                          <w:t xml:space="preserve">Foundation model </w:t>
                        </w:r>
                      </w:p>
                      <w:p w:rsidR="00AC5FBF" w:rsidRDefault="00AC5FBF" w:rsidP="005064D7">
                        <w:pPr>
                          <w:pStyle w:val="NormalWeb"/>
                          <w:spacing w:before="0" w:beforeAutospacing="0" w:after="60" w:afterAutospacing="0" w:line="276" w:lineRule="auto"/>
                          <w:rPr>
                            <w:rFonts w:ascii="Tunga" w:eastAsia="Calibri" w:hAnsi="Tunga" w:cs="Tunga"/>
                            <w:sz w:val="16"/>
                            <w:szCs w:val="16"/>
                          </w:rPr>
                        </w:pPr>
                        <w:r w:rsidRPr="008A7F44">
                          <w:rPr>
                            <w:rFonts w:ascii="Tunga" w:eastAsia="Calibri" w:hAnsi="Tunga" w:cs="Tunga"/>
                            <w:sz w:val="16"/>
                            <w:szCs w:val="16"/>
                          </w:rPr>
                          <w:t>Sharpe-</w:t>
                        </w:r>
                        <w:proofErr w:type="spellStart"/>
                        <w:r w:rsidRPr="008A7F44">
                          <w:rPr>
                            <w:rFonts w:ascii="Tunga" w:eastAsia="Calibri" w:hAnsi="Tunga" w:cs="Tunga"/>
                            <w:sz w:val="16"/>
                            <w:szCs w:val="16"/>
                          </w:rPr>
                          <w:t>Lintner</w:t>
                        </w:r>
                        <w:proofErr w:type="spellEnd"/>
                        <w:r w:rsidRPr="008A7F44">
                          <w:rPr>
                            <w:rFonts w:ascii="Tunga" w:eastAsia="Calibri" w:hAnsi="Tunga" w:cs="Tunga"/>
                            <w:sz w:val="16"/>
                            <w:szCs w:val="16"/>
                          </w:rPr>
                          <w:t xml:space="preserve"> Capital Asset Pricing (CAPM)</w:t>
                        </w:r>
                      </w:p>
                      <w:p w:rsidR="00AC5FBF" w:rsidRPr="009D246A" w:rsidRDefault="00AC5FBF" w:rsidP="000C712D">
                        <w:pPr>
                          <w:spacing w:after="60" w:line="276" w:lineRule="auto"/>
                          <w:rPr>
                            <w:rFonts w:ascii="Tunga" w:hAnsi="Tunga" w:cs="Tung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D246A">
                          <w:rPr>
                            <w:rFonts w:ascii="Tunga" w:hAnsi="Tunga" w:cs="Tunga"/>
                            <w:b/>
                            <w:bCs/>
                            <w:sz w:val="16"/>
                            <w:szCs w:val="16"/>
                          </w:rPr>
                          <w:t xml:space="preserve">Parameters </w:t>
                        </w:r>
                      </w:p>
                      <w:p w:rsidR="00AC5FBF" w:rsidRPr="00193867" w:rsidRDefault="00AC5FBF" w:rsidP="000C712D">
                        <w:pPr>
                          <w:pStyle w:val="NormalWeb"/>
                          <w:numPr>
                            <w:ilvl w:val="0"/>
                            <w:numId w:val="8"/>
                          </w:numPr>
                          <w:spacing w:before="0" w:beforeAutospacing="0" w:after="0" w:afterAutospacing="0" w:line="276" w:lineRule="auto"/>
                          <w:ind w:left="284" w:hanging="284"/>
                          <w:rPr>
                            <w:rFonts w:ascii="Tunga" w:eastAsia="Calibri" w:hAnsi="Tunga" w:cs="Tunga"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unga" w:eastAsia="Calibri" w:hAnsi="Tunga" w:cs="Tunga"/>
                            <w:bCs/>
                            <w:sz w:val="16"/>
                            <w:szCs w:val="16"/>
                          </w:rPr>
                          <w:t>Market risk premium (range</w:t>
                        </w:r>
                        <w:r w:rsidRPr="00193867">
                          <w:rPr>
                            <w:rFonts w:ascii="Tunga" w:eastAsia="Calibri" w:hAnsi="Tunga" w:cs="Tunga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unga" w:eastAsia="Calibri" w:hAnsi="Tunga" w:cs="Tunga"/>
                            <w:bCs/>
                            <w:sz w:val="16"/>
                            <w:szCs w:val="16"/>
                          </w:rPr>
                          <w:t xml:space="preserve">and </w:t>
                        </w:r>
                        <w:r w:rsidRPr="00193867">
                          <w:rPr>
                            <w:rFonts w:ascii="Tunga" w:eastAsia="Calibri" w:hAnsi="Tunga" w:cs="Tunga"/>
                            <w:bCs/>
                            <w:sz w:val="16"/>
                            <w:szCs w:val="16"/>
                          </w:rPr>
                          <w:t>point estimate</w:t>
                        </w:r>
                        <w:r>
                          <w:rPr>
                            <w:rFonts w:ascii="Tunga" w:eastAsia="Calibri" w:hAnsi="Tunga" w:cs="Tunga"/>
                            <w:bCs/>
                            <w:sz w:val="16"/>
                            <w:szCs w:val="16"/>
                          </w:rPr>
                          <w:t>)</w:t>
                        </w:r>
                      </w:p>
                      <w:p w:rsidR="00AC5FBF" w:rsidRPr="00193867" w:rsidRDefault="00AC5FBF" w:rsidP="000C712D">
                        <w:pPr>
                          <w:pStyle w:val="NormalWeb"/>
                          <w:numPr>
                            <w:ilvl w:val="0"/>
                            <w:numId w:val="8"/>
                          </w:numPr>
                          <w:spacing w:before="0" w:beforeAutospacing="0" w:after="0" w:afterAutospacing="0" w:line="276" w:lineRule="auto"/>
                          <w:ind w:left="284" w:hanging="284"/>
                          <w:rPr>
                            <w:rFonts w:ascii="Tunga" w:eastAsia="Calibri" w:hAnsi="Tunga" w:cs="Tunga"/>
                            <w:bCs/>
                            <w:sz w:val="16"/>
                            <w:szCs w:val="16"/>
                          </w:rPr>
                        </w:pPr>
                        <w:r w:rsidRPr="00193867">
                          <w:rPr>
                            <w:rFonts w:ascii="Tunga" w:eastAsia="Calibri" w:hAnsi="Tunga" w:cs="Tunga"/>
                            <w:bCs/>
                            <w:sz w:val="16"/>
                            <w:szCs w:val="16"/>
                          </w:rPr>
                          <w:t>Equity beta</w:t>
                        </w:r>
                        <w:r>
                          <w:rPr>
                            <w:rFonts w:ascii="Tunga" w:eastAsia="Calibri" w:hAnsi="Tunga" w:cs="Tunga"/>
                            <w:bCs/>
                            <w:sz w:val="16"/>
                            <w:szCs w:val="16"/>
                          </w:rPr>
                          <w:t xml:space="preserve"> (range</w:t>
                        </w:r>
                        <w:r w:rsidRPr="00193867">
                          <w:rPr>
                            <w:rFonts w:ascii="Tunga" w:eastAsia="Calibri" w:hAnsi="Tunga" w:cs="Tunga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unga" w:eastAsia="Calibri" w:hAnsi="Tunga" w:cs="Tunga"/>
                            <w:bCs/>
                            <w:sz w:val="16"/>
                            <w:szCs w:val="16"/>
                          </w:rPr>
                          <w:t xml:space="preserve">and </w:t>
                        </w:r>
                        <w:r w:rsidRPr="00193867">
                          <w:rPr>
                            <w:rFonts w:ascii="Tunga" w:eastAsia="Calibri" w:hAnsi="Tunga" w:cs="Tunga"/>
                            <w:bCs/>
                            <w:sz w:val="16"/>
                            <w:szCs w:val="16"/>
                          </w:rPr>
                          <w:t>point estimate</w:t>
                        </w:r>
                        <w:r>
                          <w:rPr>
                            <w:rFonts w:ascii="Tunga" w:eastAsia="Calibri" w:hAnsi="Tunga" w:cs="Tunga"/>
                            <w:bCs/>
                            <w:sz w:val="16"/>
                            <w:szCs w:val="16"/>
                          </w:rPr>
                          <w:t>)</w:t>
                        </w:r>
                      </w:p>
                      <w:p w:rsidR="00AC5FBF" w:rsidRPr="004C5F9A" w:rsidRDefault="00AC5FBF" w:rsidP="000C712D">
                        <w:pPr>
                          <w:pStyle w:val="NormalWeb"/>
                          <w:numPr>
                            <w:ilvl w:val="0"/>
                            <w:numId w:val="8"/>
                          </w:numPr>
                          <w:spacing w:before="0" w:beforeAutospacing="0" w:after="0" w:afterAutospacing="0" w:line="276" w:lineRule="auto"/>
                          <w:ind w:left="284" w:hanging="284"/>
                          <w:rPr>
                            <w:sz w:val="16"/>
                            <w:szCs w:val="16"/>
                          </w:rPr>
                        </w:pPr>
                        <w:r w:rsidRPr="000C025A">
                          <w:rPr>
                            <w:rFonts w:ascii="Tunga" w:eastAsia="Calibri" w:hAnsi="Tunga" w:cs="Tunga"/>
                            <w:bCs/>
                            <w:sz w:val="16"/>
                            <w:szCs w:val="16"/>
                          </w:rPr>
                          <w:t>Risk free rate</w:t>
                        </w:r>
                        <w:r>
                          <w:rPr>
                            <w:rFonts w:ascii="Tunga" w:eastAsia="Calibri" w:hAnsi="Tunga" w:cs="Tunga"/>
                            <w:bCs/>
                            <w:sz w:val="16"/>
                            <w:szCs w:val="16"/>
                          </w:rPr>
                          <w:t xml:space="preserve"> (</w:t>
                        </w:r>
                        <w:r w:rsidRPr="000C025A">
                          <w:rPr>
                            <w:rFonts w:ascii="Tunga" w:eastAsia="Calibri" w:hAnsi="Tunga" w:cs="Tunga"/>
                            <w:bCs/>
                            <w:sz w:val="16"/>
                            <w:szCs w:val="16"/>
                          </w:rPr>
                          <w:t>point estimate</w:t>
                        </w:r>
                        <w:r>
                          <w:rPr>
                            <w:rFonts w:ascii="Tunga" w:eastAsia="Calibri" w:hAnsi="Tunga" w:cs="Tunga"/>
                            <w:bCs/>
                            <w:sz w:val="16"/>
                            <w:szCs w:val="16"/>
                          </w:rPr>
                          <w:t>)</w:t>
                        </w:r>
                      </w:p>
                      <w:p w:rsidR="00AC5FBF" w:rsidRPr="000C025A" w:rsidRDefault="00AC5FBF" w:rsidP="000C712D">
                        <w:pPr>
                          <w:pStyle w:val="NormalWeb"/>
                          <w:numPr>
                            <w:ilvl w:val="0"/>
                            <w:numId w:val="8"/>
                          </w:numPr>
                          <w:spacing w:before="0" w:beforeAutospacing="0" w:after="0" w:afterAutospacing="0" w:line="276" w:lineRule="auto"/>
                          <w:ind w:left="284" w:hanging="28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Tunga" w:eastAsia="Calibri" w:hAnsi="Tunga" w:cs="Tunga"/>
                            <w:bCs/>
                            <w:sz w:val="16"/>
                            <w:szCs w:val="16"/>
                          </w:rPr>
                          <w:t>Ten year term</w:t>
                        </w:r>
                      </w:p>
                      <w:p w:rsidR="00AC5FBF" w:rsidRDefault="00AC5FBF" w:rsidP="005064D7">
                        <w:pPr>
                          <w:pStyle w:val="NormalWeb"/>
                          <w:spacing w:before="0" w:beforeAutospacing="0" w:after="60" w:afterAutospacing="0" w:line="276" w:lineRule="auto"/>
                        </w:pPr>
                      </w:p>
                    </w:txbxContent>
                  </v:textbox>
                </v:rect>
                <v:rect id="Rectangle 47" o:spid="_x0000_s1040" style="position:absolute;left:23730;top:3516;width:16745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jK0cQA&#10;AADbAAAADwAAAGRycy9kb3ducmV2LnhtbESP3WrCQBSE7wu+w3KE3tWN4h/RVaIglFoKVfH6kD1m&#10;o9mzIbs18e3dQqGXw8x8wyzXna3EnRpfOlYwHCQgiHOnSy4UnI67tzkIH5A1Vo5JwYM8rFe9lyWm&#10;2rX8TfdDKESEsE9RgQmhTqX0uSGLfuBq4uhdXGMxRNkUUjfYRrit5ChJptJiyXHBYE1bQ/nt8GMV&#10;1Fl2a7/cvjx/Zv66kbPN9GNilHrtd9kCRKAu/If/2u9awXgGv1/iD5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YytHEAAAA2wAAAA8AAAAAAAAAAAAAAAAAmAIAAGRycy9k&#10;b3ducmV2LnhtbFBLBQYAAAAABAAEAPUAAACJAwAAAAA=&#10;" fillcolor="#006c99" strokecolor="black [3213]" strokeweight="1.5pt">
                  <v:textbox inset=",1mm,,1mm">
                    <w:txbxContent>
                      <w:p w:rsidR="00AC5FBF" w:rsidRPr="00BB6ACB" w:rsidRDefault="00AC5FBF" w:rsidP="009D246A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ascii="Tunga" w:eastAsia="Calibri" w:hAnsi="Tunga" w:cs="Tunga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 w:rsidRPr="00BB6ACB">
                          <w:rPr>
                            <w:rFonts w:ascii="Tunga" w:eastAsia="Calibri" w:hAnsi="Tunga" w:cs="Tunga"/>
                            <w:b/>
                            <w:color w:val="FFFFFF"/>
                            <w:sz w:val="16"/>
                            <w:szCs w:val="16"/>
                          </w:rPr>
                          <w:t xml:space="preserve">Rate of return </w:t>
                        </w:r>
                      </w:p>
                      <w:p w:rsidR="00AC5FBF" w:rsidRPr="00BB6ACB" w:rsidRDefault="00AC5FBF" w:rsidP="009D246A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 w:rsidRPr="00BB6ACB">
                          <w:rPr>
                            <w:rFonts w:ascii="Tunga" w:eastAsia="Calibri" w:hAnsi="Tunga" w:cs="Tunga"/>
                            <w:color w:val="FFFFFF"/>
                            <w:sz w:val="16"/>
                            <w:szCs w:val="16"/>
                          </w:rPr>
                          <w:t>(</w:t>
                        </w:r>
                        <w:proofErr w:type="gramStart"/>
                        <w:r>
                          <w:rPr>
                            <w:rFonts w:ascii="Tunga" w:eastAsia="Calibri" w:hAnsi="Tunga" w:cs="Tunga"/>
                            <w:color w:val="FFFFFF"/>
                            <w:sz w:val="16"/>
                            <w:szCs w:val="16"/>
                          </w:rPr>
                          <w:t>the</w:t>
                        </w:r>
                        <w:proofErr w:type="gramEnd"/>
                        <w:r>
                          <w:rPr>
                            <w:rFonts w:ascii="Tunga" w:eastAsia="Calibri" w:hAnsi="Tunga" w:cs="Tunga"/>
                            <w:color w:val="FFFFFF"/>
                            <w:sz w:val="16"/>
                            <w:szCs w:val="16"/>
                          </w:rPr>
                          <w:t xml:space="preserve"> ‘</w:t>
                        </w:r>
                        <w:r w:rsidRPr="00BB6ACB">
                          <w:rPr>
                            <w:rFonts w:ascii="Tunga" w:eastAsia="Calibri" w:hAnsi="Tunga" w:cs="Tunga"/>
                            <w:color w:val="FFFFFF"/>
                            <w:sz w:val="16"/>
                            <w:szCs w:val="16"/>
                          </w:rPr>
                          <w:t>nominal vanilla WACC</w:t>
                        </w:r>
                        <w:r>
                          <w:rPr>
                            <w:rFonts w:ascii="Tunga" w:eastAsia="Calibri" w:hAnsi="Tunga" w:cs="Tunga"/>
                            <w:color w:val="FFFFFF"/>
                            <w:sz w:val="16"/>
                            <w:szCs w:val="16"/>
                          </w:rPr>
                          <w:t>’</w:t>
                        </w:r>
                        <w:r w:rsidRPr="00BB6ACB">
                          <w:rPr>
                            <w:rFonts w:ascii="Tunga" w:eastAsia="Calibri" w:hAnsi="Tunga" w:cs="Tunga"/>
                            <w:color w:val="FFFFFF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roundrect id="Rounded Rectangle 49" o:spid="_x0000_s1041" style="position:absolute;left:4463;top:9456;width:20103;height:42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a9+MUA&#10;AADbAAAADwAAAGRycy9kb3ducmV2LnhtbESPQWvCQBSE70L/w/IK3symRSWmWUVKBS89aIu0t0f2&#10;NQnNvk2zT03/vSsIHoeZ+YYpVoNr1Yn60Hg28JSkoIhLbxuuDHx+bCYZqCDIFlvPZOCfAqyWD6MC&#10;c+vPvKPTXioVIRxyNFCLdLnWoazJYUh8Rxy9H987lCj7StsezxHuWv2cpnPtsOG4UGNHrzWVv/uj&#10;MyDfa5/+6UX19n7Yyez4VW4O08yY8eOwfgElNMg9fGtvrYHpAq5f4g/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pr34xQAAANsAAAAPAAAAAAAAAAAAAAAAAJgCAABkcnMv&#10;ZG93bnJldi54bWxQSwUGAAAAAAQABAD1AAAAigMAAAAA&#10;" fillcolor="#006c99" stroked="f">
                  <v:textbox inset=",1mm,,1mm">
                    <w:txbxContent>
                      <w:p w:rsidR="00AC5FBF" w:rsidRDefault="00AC5FBF" w:rsidP="0055584F">
                        <w:pPr>
                          <w:pStyle w:val="NormalWeb"/>
                          <w:spacing w:before="0" w:beforeAutospacing="0" w:after="60" w:afterAutospacing="0" w:line="276" w:lineRule="auto"/>
                          <w:jc w:val="center"/>
                          <w:rPr>
                            <w:rFonts w:ascii="Tunga" w:eastAsia="Calibri" w:hAnsi="Tunga" w:cs="Tung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unga" w:eastAsia="Calibri" w:hAnsi="Tunga" w:cs="Tunga"/>
                            <w:b/>
                            <w:color w:val="FFFFFF"/>
                            <w:sz w:val="16"/>
                            <w:szCs w:val="16"/>
                          </w:rPr>
                          <w:t>Return on</w:t>
                        </w:r>
                        <w:r w:rsidRPr="008A7F44">
                          <w:rPr>
                            <w:rFonts w:ascii="Tunga" w:eastAsia="Calibri" w:hAnsi="Tunga" w:cs="Tunga"/>
                            <w:b/>
                            <w:color w:val="FFFFFF"/>
                            <w:sz w:val="16"/>
                            <w:szCs w:val="16"/>
                          </w:rPr>
                          <w:t xml:space="preserve"> equity </w:t>
                        </w:r>
                        <w:r w:rsidRPr="008A7F44">
                          <w:rPr>
                            <w:rFonts w:ascii="Tunga" w:eastAsia="Calibri" w:hAnsi="Tunga" w:cs="Tunga"/>
                            <w:color w:val="FFFFFF"/>
                            <w:sz w:val="16"/>
                            <w:szCs w:val="16"/>
                          </w:rPr>
                          <w:t>(40%)</w:t>
                        </w:r>
                      </w:p>
                      <w:p w:rsidR="00AC5FBF" w:rsidRPr="009D246A" w:rsidRDefault="00AC5FBF" w:rsidP="0055584F">
                        <w:pPr>
                          <w:pStyle w:val="NormalWeb"/>
                          <w:spacing w:before="0" w:beforeAutospacing="0" w:after="60" w:afterAutospacing="0" w:line="276" w:lineRule="auto"/>
                          <w:jc w:val="center"/>
                          <w:rPr>
                            <w:rFonts w:ascii="Tunga" w:eastAsia="Calibri" w:hAnsi="Tunga" w:cs="Tung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unga" w:eastAsia="Calibri" w:hAnsi="Tunga" w:cs="Tunga"/>
                            <w:color w:val="FFFFFF"/>
                            <w:sz w:val="16"/>
                            <w:szCs w:val="16"/>
                          </w:rPr>
                          <w:t xml:space="preserve">Funds </w:t>
                        </w:r>
                        <w:proofErr w:type="gramStart"/>
                        <w:r>
                          <w:rPr>
                            <w:rFonts w:ascii="Tunga" w:eastAsia="Calibri" w:hAnsi="Tunga" w:cs="Tunga"/>
                            <w:color w:val="FFFFFF"/>
                            <w:sz w:val="16"/>
                            <w:szCs w:val="16"/>
                          </w:rPr>
                          <w:t>raised</w:t>
                        </w:r>
                        <w:proofErr w:type="gramEnd"/>
                        <w:r>
                          <w:rPr>
                            <w:rFonts w:ascii="Tunga" w:eastAsia="Calibri" w:hAnsi="Tunga" w:cs="Tunga"/>
                            <w:color w:val="FFFFFF"/>
                            <w:sz w:val="16"/>
                            <w:szCs w:val="16"/>
                          </w:rPr>
                          <w:t xml:space="preserve"> from the market/investors</w:t>
                        </w:r>
                      </w:p>
                    </w:txbxContent>
                  </v:textbox>
                </v:round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Elbow Connector 50" o:spid="_x0000_s1042" type="#_x0000_t33" style="position:absolute;left:17223;top:2950;width:3797;height:9216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hi58AAAADbAAAADwAAAGRycy9kb3ducmV2LnhtbERPTYvCMBC9C/6HMAteRFNd7JZqFBXE&#10;9aaueB6asS3bTEoStfvvNwfB4+N9L1adacSDnK8tK5iMExDEhdU1lwouP7tRBsIHZI2NZVLwRx5W&#10;y35vgbm2Tz7R4xxKEUPY56igCqHNpfRFRQb92LbEkbtZZzBE6EqpHT5juGnkNElSabDm2FBhS9uK&#10;it/z3Si4Do/1Vma70/2wT6dfm83+krlPpQYf3XoOIlAX3uKX+1srmMX18Uv8AXL5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PIYufAAAAA2wAAAA8AAAAAAAAAAAAAAAAA&#10;oQIAAGRycy9kb3ducmV2LnhtbFBLBQYAAAAABAAEAPkAAACOAwAAAAA=&#10;" strokecolor="#006c99" strokeweight="1pt">
                  <v:stroke endarrow="block"/>
                </v:shape>
                <v:rect id="Rectangle 23" o:spid="_x0000_s1043" style="position:absolute;left:33484;top:15616;width:17498;height:6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1RIb8A&#10;AADbAAAADwAAAGRycy9kb3ducmV2LnhtbESPzQrCMBCE74LvEFbwpqkVRKpRRBRFD+LPA6zN2hab&#10;TWmi1rc3guBxmJlvmOm8MaV4Uu0KywoG/QgEcWp1wZmCy3ndG4NwHlljaZkUvMnBfNZuTTHR9sVH&#10;ep58JgKEXYIKcu+rREqX5mTQ9W1FHLybrQ36IOtM6hpfAW5KGUfRSBosOCzkWNEyp/R+ehgF+01z&#10;iA0el3K7uuyz3Ypu1zMp1e00iwkIT43/h3/trVYQD+H7JfwAOf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PVEhvwAAANsAAAAPAAAAAAAAAAAAAAAAAJgCAABkcnMvZG93bnJl&#10;di54bWxQSwUGAAAAAAQABAD1AAAAhAMAAAAA&#10;" fillcolor="#dbe5f1" stroked="f">
                  <v:textbox inset=",1mm,,1mm">
                    <w:txbxContent>
                      <w:p w:rsidR="00AC5FBF" w:rsidRDefault="00AC5FBF" w:rsidP="005064D7">
                        <w:pPr>
                          <w:pStyle w:val="NormalWeb"/>
                          <w:spacing w:before="0" w:beforeAutospacing="0" w:after="60" w:afterAutospacing="0" w:line="276" w:lineRule="auto"/>
                          <w:rPr>
                            <w:rFonts w:ascii="Tunga" w:eastAsia="Calibri" w:hAnsi="Tunga" w:cs="Tunga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unga" w:eastAsia="Calibri" w:hAnsi="Tunga" w:cs="Tunga"/>
                            <w:b/>
                            <w:bCs/>
                            <w:sz w:val="16"/>
                            <w:szCs w:val="16"/>
                          </w:rPr>
                          <w:t xml:space="preserve">Trailing average approach </w:t>
                        </w:r>
                      </w:p>
                      <w:p w:rsidR="00AC5FBF" w:rsidRDefault="00AC5FBF" w:rsidP="005064D7">
                        <w:pPr>
                          <w:pStyle w:val="NormalWeb"/>
                          <w:spacing w:before="0" w:beforeAutospacing="0" w:after="60" w:afterAutospacing="0" w:line="276" w:lineRule="auto"/>
                        </w:pPr>
                        <w:r w:rsidRPr="004C5F9A">
                          <w:rPr>
                            <w:rFonts w:ascii="Tunga" w:eastAsia="Calibri" w:hAnsi="Tunga" w:cs="Tunga"/>
                            <w:bCs/>
                            <w:sz w:val="16"/>
                            <w:szCs w:val="16"/>
                          </w:rPr>
                          <w:t>F</w:t>
                        </w:r>
                        <w:r w:rsidRPr="00960E54">
                          <w:rPr>
                            <w:rFonts w:ascii="Tunga" w:eastAsia="Calibri" w:hAnsi="Tunga" w:cs="Tunga"/>
                            <w:bCs/>
                            <w:sz w:val="16"/>
                            <w:szCs w:val="16"/>
                          </w:rPr>
                          <w:t>or a debt portfolio with a proposed benchmark term of debt of seven years</w:t>
                        </w:r>
                        <w:r w:rsidRPr="00960E54">
                          <w:rPr>
                            <w:rFonts w:ascii="Tunga" w:eastAsia="Calibri" w:hAnsi="Tunga" w:cs="Tunga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4" style="position:absolute;left:52665;top:19875;width:12533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TJVb8A&#10;AADbAAAADwAAAGRycy9kb3ducmV2LnhtbESPzQrCMBCE74LvEFbwpqlFRKpRRBRFD+LPA6zN2hab&#10;TWmi1rc3guBxmJlvmOm8MaV4Uu0KywoG/QgEcWp1wZmCy3ndG4NwHlljaZkUvMnBfNZuTTHR9sVH&#10;ep58JgKEXYIKcu+rREqX5mTQ9W1FHLybrQ36IOtM6hpfAW5KGUfRSBosOCzkWNEyp/R+ehgF+01z&#10;iA0el3K7uuyz3Ypu1zMp1e00iwkIT43/h3/trVYQD+H7JfwAOf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1MlVvwAAANsAAAAPAAAAAAAAAAAAAAAAAJgCAABkcnMvZG93bnJl&#10;di54bWxQSwUGAAAAAAQABAD1AAAAhAMAAAAA&#10;" fillcolor="#dbe5f1" stroked="f">
                  <v:textbox inset=",1mm,,1mm">
                    <w:txbxContent>
                      <w:p w:rsidR="00AC5FBF" w:rsidRDefault="00AC5FBF" w:rsidP="00BA42E7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Tunga" w:eastAsia="Calibri" w:hAnsi="Tunga" w:cs="Tunga"/>
                            <w:b/>
                            <w:bCs/>
                            <w:sz w:val="16"/>
                            <w:szCs w:val="16"/>
                          </w:rPr>
                          <w:t>Conceptual framework and point estimate of 0.5</w:t>
                        </w:r>
                      </w:p>
                    </w:txbxContent>
                  </v:textbox>
                </v:rect>
                <v:roundrect id="Rounded Rectangle 25" o:spid="_x0000_s1045" style="position:absolute;left:28508;top:9456;width:20088;height:428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RSXcUA&#10;AADbAAAADwAAAGRycy9kb3ducmV2LnhtbESPT2vCQBTE70K/w/IK3uqmoiVN3QQRBS89+Adpb4/s&#10;axKafZtmnxq/fbdQ8DjMzG+YRTG4Vl2oD41nA8+TBBRx6W3DlYHjYfOUggqCbLH1TAZuFKDIH0YL&#10;zKy/8o4ue6lUhHDI0EAt0mVah7Imh2HiO+LoffneoUTZV9r2eI1w1+ppkrxohw3HhRo7WtVUfu/P&#10;zoB8Ln3yo1+r9ftpJ/PzR7k5zVJjxo/D8g2U0CD38H97aw1M5/D3Jf4An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NFJdxQAAANsAAAAPAAAAAAAAAAAAAAAAAJgCAABkcnMv&#10;ZG93bnJldi54bWxQSwUGAAAAAAQABAD1AAAAigMAAAAA&#10;" fillcolor="#006c99" stroked="f">
                  <v:textbox inset=",1mm,,1mm">
                    <w:txbxContent>
                      <w:p w:rsidR="00AC5FBF" w:rsidRDefault="00AC5FBF" w:rsidP="0055584F">
                        <w:pPr>
                          <w:pStyle w:val="NormalWeb"/>
                          <w:spacing w:before="0" w:beforeAutospacing="0" w:after="60" w:afterAutospacing="0" w:line="276" w:lineRule="auto"/>
                          <w:jc w:val="center"/>
                        </w:pPr>
                        <w:r>
                          <w:rPr>
                            <w:rFonts w:ascii="Tunga" w:eastAsia="Calibri" w:hAnsi="Tunga" w:cs="Tunga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 xml:space="preserve">Return on debt </w:t>
                        </w:r>
                        <w:r>
                          <w:rPr>
                            <w:rFonts w:ascii="Tunga" w:eastAsia="Calibri" w:hAnsi="Tunga" w:cs="Tunga"/>
                            <w:color w:val="FFFFFF"/>
                            <w:sz w:val="16"/>
                            <w:szCs w:val="16"/>
                          </w:rPr>
                          <w:t>(60%)</w:t>
                        </w:r>
                      </w:p>
                      <w:p w:rsidR="00AC5FBF" w:rsidRDefault="00AC5FBF" w:rsidP="0055584F">
                        <w:pPr>
                          <w:pStyle w:val="NormalWeb"/>
                          <w:spacing w:before="0" w:beforeAutospacing="0" w:after="60" w:afterAutospacing="0" w:line="276" w:lineRule="auto"/>
                          <w:jc w:val="center"/>
                        </w:pPr>
                        <w:r>
                          <w:rPr>
                            <w:rFonts w:ascii="Tunga" w:eastAsia="Calibri" w:hAnsi="Tunga" w:cs="Tunga"/>
                            <w:color w:val="FFFFFF"/>
                            <w:sz w:val="16"/>
                            <w:szCs w:val="16"/>
                          </w:rPr>
                          <w:t xml:space="preserve">Funds </w:t>
                        </w:r>
                        <w:proofErr w:type="gramStart"/>
                        <w:r>
                          <w:rPr>
                            <w:rFonts w:ascii="Tunga" w:eastAsia="Calibri" w:hAnsi="Tunga" w:cs="Tunga"/>
                            <w:color w:val="FFFFFF"/>
                            <w:sz w:val="16"/>
                            <w:szCs w:val="16"/>
                          </w:rPr>
                          <w:t>raised</w:t>
                        </w:r>
                        <w:proofErr w:type="gramEnd"/>
                        <w:r>
                          <w:rPr>
                            <w:rFonts w:ascii="Tunga" w:eastAsia="Calibri" w:hAnsi="Tunga" w:cs="Tunga"/>
                            <w:color w:val="FFFFFF"/>
                            <w:sz w:val="16"/>
                            <w:szCs w:val="16"/>
                          </w:rPr>
                          <w:t xml:space="preserve"> from borrowing</w:t>
                        </w:r>
                      </w:p>
                    </w:txbxContent>
                  </v:textbox>
                </v:roundrect>
                <v:roundrect id="Rounded Rectangle 30" o:spid="_x0000_s1046" style="position:absolute;left:52436;top:6888;width:13027;height:995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pnGMIA&#10;AADbAAAADwAAAGRycy9kb3ducmV2LnhtbERPTWvCQBC9C/0PyxS86aatlhizikgFLz1oi7S3ITtN&#10;QrOzMTvR+O+7B6HHx/vO14Nr1IW6UHs28DRNQBEX3tZcGvj82E1SUEGQLTaeycCNAqxXD6McM+uv&#10;fKDLUUoVQzhkaKASaTOtQ1GRwzD1LXHkfnznUCLsSm07vMZw1+jnJHnVDmuODRW2tK2o+D32zoB8&#10;b3xy1ovy7f10kHn/VexOs9SY8eOwWYISGuRffHfvrYGXuD5+iT9Ar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mmcYwgAAANsAAAAPAAAAAAAAAAAAAAAAAJgCAABkcnMvZG93&#10;bnJldi54bWxQSwUGAAAAAAQABAD1AAAAhwMAAAAA&#10;" fillcolor="#006c99" stroked="f">
                  <v:textbox inset=",1mm,,1mm">
                    <w:txbxContent>
                      <w:p w:rsidR="00AC5FBF" w:rsidRDefault="00AC5FBF" w:rsidP="0055584F">
                        <w:pPr>
                          <w:pStyle w:val="NormalWeb"/>
                          <w:spacing w:before="0" w:beforeAutospacing="0" w:after="60" w:afterAutospacing="0" w:line="276" w:lineRule="auto"/>
                          <w:jc w:val="center"/>
                          <w:rPr>
                            <w:rFonts w:ascii="Tunga" w:eastAsia="Calibri" w:hAnsi="Tunga" w:cs="Tunga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 w:rsidRPr="0055584F">
                          <w:rPr>
                            <w:rFonts w:ascii="Tunga" w:eastAsia="Calibri" w:hAnsi="Tunga" w:cs="Tunga"/>
                            <w:b/>
                            <w:color w:val="FFFFFF"/>
                            <w:sz w:val="16"/>
                            <w:szCs w:val="16"/>
                          </w:rPr>
                          <w:t xml:space="preserve">Imputation credits </w:t>
                        </w:r>
                        <w:r w:rsidRPr="0055584F">
                          <w:rPr>
                            <w:rFonts w:ascii="Tunga" w:eastAsia="Calibri" w:hAnsi="Tunga" w:cs="Tunga"/>
                            <w:color w:val="FFFFFF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unga" w:eastAsia="Calibri" w:hAnsi="Tunga" w:cs="Tunga"/>
                            <w:color w:val="FFFFFF"/>
                            <w:sz w:val="16"/>
                            <w:szCs w:val="16"/>
                          </w:rPr>
                          <w:t>‘</w:t>
                        </w:r>
                        <w:r w:rsidRPr="0055584F">
                          <w:rPr>
                            <w:rFonts w:ascii="Tunga" w:eastAsia="Calibri" w:hAnsi="Tunga" w:cs="Tunga"/>
                            <w:color w:val="FFFFFF"/>
                            <w:sz w:val="16"/>
                            <w:szCs w:val="16"/>
                          </w:rPr>
                          <w:t>gamma</w:t>
                        </w:r>
                        <w:r>
                          <w:rPr>
                            <w:rFonts w:ascii="Tunga" w:eastAsia="Calibri" w:hAnsi="Tunga" w:cs="Tunga"/>
                            <w:color w:val="FFFFFF"/>
                            <w:sz w:val="16"/>
                            <w:szCs w:val="16"/>
                          </w:rPr>
                          <w:t>’</w:t>
                        </w:r>
                        <w:r w:rsidRPr="0055584F">
                          <w:rPr>
                            <w:rFonts w:ascii="Tunga" w:eastAsia="Calibri" w:hAnsi="Tunga" w:cs="Tunga"/>
                            <w:color w:val="FFFFFF"/>
                            <w:sz w:val="16"/>
                            <w:szCs w:val="16"/>
                          </w:rPr>
                          <w:t>)</w:t>
                        </w:r>
                      </w:p>
                      <w:p w:rsidR="00AC5FBF" w:rsidRPr="0055584F" w:rsidRDefault="00AC5FBF" w:rsidP="0055584F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ascii="Tunga" w:eastAsia="Calibri" w:hAnsi="Tunga" w:cs="Tunga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Tunga" w:eastAsia="Calibri" w:hAnsi="Tunga" w:cs="Tunga"/>
                            <w:color w:val="FFFFFF"/>
                            <w:sz w:val="16"/>
                            <w:szCs w:val="16"/>
                          </w:rPr>
                          <w:t>A</w:t>
                        </w:r>
                        <w:r w:rsidRPr="0055584F">
                          <w:rPr>
                            <w:rFonts w:ascii="Tunga" w:eastAsia="Calibri" w:hAnsi="Tunga" w:cs="Tunga"/>
                            <w:color w:val="FFFFFF"/>
                            <w:sz w:val="16"/>
                            <w:szCs w:val="16"/>
                          </w:rPr>
                          <w:t>ffect</w:t>
                        </w:r>
                        <w:r>
                          <w:rPr>
                            <w:rFonts w:ascii="Tunga" w:eastAsia="Calibri" w:hAnsi="Tunga" w:cs="Tunga"/>
                            <w:color w:val="FFFFFF"/>
                            <w:sz w:val="16"/>
                            <w:szCs w:val="16"/>
                          </w:rPr>
                          <w:t>s</w:t>
                        </w:r>
                        <w:r w:rsidRPr="0055584F">
                          <w:rPr>
                            <w:rFonts w:ascii="Tunga" w:eastAsia="Calibri" w:hAnsi="Tunga" w:cs="Tunga"/>
                            <w:color w:val="FFFFFF"/>
                            <w:sz w:val="16"/>
                            <w:szCs w:val="16"/>
                          </w:rPr>
                          <w:t xml:space="preserve"> a business’ revenue through </w:t>
                        </w:r>
                        <w:r>
                          <w:rPr>
                            <w:rFonts w:ascii="Tunga" w:eastAsia="Calibri" w:hAnsi="Tunga" w:cs="Tunga"/>
                            <w:color w:val="FFFFFF"/>
                            <w:sz w:val="16"/>
                            <w:szCs w:val="16"/>
                          </w:rPr>
                          <w:t xml:space="preserve">adjustments to </w:t>
                        </w:r>
                        <w:r w:rsidRPr="0055584F">
                          <w:rPr>
                            <w:rFonts w:ascii="Tunga" w:eastAsia="Calibri" w:hAnsi="Tunga" w:cs="Tunga"/>
                            <w:color w:val="FFFFFF"/>
                            <w:sz w:val="16"/>
                            <w:szCs w:val="16"/>
                          </w:rPr>
                          <w:t>its tax liability.</w:t>
                        </w:r>
                        <w:proofErr w:type="gramEnd"/>
                      </w:p>
                      <w:p w:rsidR="00AC5FBF" w:rsidRDefault="00AC5FBF" w:rsidP="0055584F">
                        <w:pPr>
                          <w:pStyle w:val="NormalWeb"/>
                          <w:spacing w:before="0" w:beforeAutospacing="0" w:after="60" w:afterAutospacing="0" w:line="276" w:lineRule="auto"/>
                          <w:jc w:val="center"/>
                        </w:pPr>
                      </w:p>
                    </w:txbxContent>
                  </v:textbox>
                </v:round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32" o:spid="_x0000_s1047" type="#_x0000_t34" style="position:absolute;left:57423;top:18348;width:3035;height:19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hRM8UAAADbAAAADwAAAGRycy9kb3ducmV2LnhtbESP3WrCQBSE74W+w3IKvdNNrahEVykV&#10;RaQgxh9yecyeJsHs2ZBdNX37bkHwcpiZb5jpvDWVuFHjSssK3nsRCOLM6pJzBYf9sjsG4Tyyxsoy&#10;KfglB/PZS2eKsbZ33tEt8bkIEHYxKii8r2MpXVaQQdezNXHwfmxj0AfZ5FI3eA9wU8l+FA2lwZLD&#10;QoE1fRWUXZKrUXC8HMvvartJh6d0kQ6SejVy55VSb6/t5wSEp9Y/w4/2Wiv46MP/l/AD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5hRM8UAAADbAAAADwAAAAAAAAAA&#10;AAAAAAChAgAAZHJzL2Rvd25yZXYueG1sUEsFBgAAAAAEAAQA+QAAAJMDAAAAAA==&#10;" strokecolor="#006c99" strokeweight="1pt">
                  <v:stroke endarrow="block"/>
                </v:shape>
                <v:shape id="Elbow Connector 33" o:spid="_x0000_s1048" type="#_x0000_t33" style="position:absolute;left:40475;top:5659;width:18475;height:1229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WNR8QAAADbAAAADwAAAGRycy9kb3ducmV2LnhtbESPQWvCQBSE70L/w/IK3nSjopToKqXQ&#10;0oMHjSni7ZF9JsHs2yW7NWl/vSsIHoeZ+YZZbXrTiCu1vrasYDJOQBAXVtdcKsgPn6M3ED4ga2ws&#10;k4I/8rBZvwxWmGrb8Z6uWShFhLBPUUEVgkul9EVFBv3YOuLonW1rMETZllK32EW4aeQ0SRbSYM1x&#10;oUJHHxUVl+zXKCh+3G6eTaa07f6Pp/zLnKRzTqnha/++BBGoD8/wo/2tFcxmcP8Sf4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xY1HxAAAANsAAAAPAAAAAAAAAAAA&#10;AAAAAKECAABkcnMvZG93bnJldi54bWxQSwUGAAAAAAQABAD5AAAAkgMAAAAA&#10;" strokecolor="#006c99" strokeweight="1pt">
                  <v:stroke dashstyle="dash"/>
                </v:shape>
                <v:rect id="Rectangle 35" o:spid="_x0000_s1049" style="position:absolute;left:19139;top:15464;width:12412;height:18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H6E78A&#10;AADbAAAADwAAAGRycy9kb3ducmV2LnhtbESPzQrCMBCE74LvEFbwpqmKItUoIoqiB/HnAdZmbYvN&#10;pjRR69sbQfA4zMw3zHRem0I8qXK5ZQW9bgSCOLE651TB5bzujEE4j6yxsEwK3uRgPms2phhr++Ij&#10;PU8+FQHCLkYFmfdlLKVLMjLourYkDt7NVgZ9kFUqdYWvADeF7EfRSBrMOSxkWNIyo+R+ehgF+019&#10;6Bs8LuV2ddmnuxXdrmdSqt2qFxMQnmr/D//aW61gMITvl/AD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QfoTvwAAANsAAAAPAAAAAAAAAAAAAAAAAJgCAABkcnMvZG93bnJl&#10;di54bWxQSwUGAAAAAAQABAD1AAAAhAMAAAAA&#10;" fillcolor="#dbe5f1" stroked="f">
                  <v:textbox inset=",1mm,,1mm">
                    <w:txbxContent>
                      <w:p w:rsidR="00AC5FBF" w:rsidRDefault="00AC5FBF" w:rsidP="00DA03CB">
                        <w:pPr>
                          <w:pStyle w:val="NormalWeb"/>
                          <w:spacing w:before="0" w:beforeAutospacing="0" w:after="60" w:afterAutospacing="0" w:line="276" w:lineRule="auto"/>
                          <w:rPr>
                            <w:rFonts w:ascii="Tunga" w:eastAsia="Calibri" w:hAnsi="Tunga" w:cs="Tung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4C5F9A">
                          <w:rPr>
                            <w:rFonts w:ascii="Tunga" w:eastAsia="Calibri" w:hAnsi="Tunga" w:cs="Tunga"/>
                            <w:b/>
                            <w:bCs/>
                            <w:sz w:val="16"/>
                            <w:szCs w:val="16"/>
                          </w:rPr>
                          <w:t>A range of models, methods, and information</w:t>
                        </w:r>
                      </w:p>
                      <w:p w:rsidR="00AC5FBF" w:rsidRPr="004C5F9A" w:rsidRDefault="00AC5FBF">
                        <w:pPr>
                          <w:pStyle w:val="NormalWeb"/>
                          <w:spacing w:before="0" w:beforeAutospacing="0" w:after="60" w:afterAutospacing="0" w:line="276" w:lineRule="auto"/>
                          <w:rPr>
                            <w:rFonts w:ascii="Tunga" w:eastAsia="Calibri" w:hAnsi="Tunga" w:cs="Tunga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unga" w:eastAsia="Calibri" w:hAnsi="Tunga" w:cs="Tunga"/>
                            <w:bCs/>
                            <w:sz w:val="16"/>
                            <w:szCs w:val="16"/>
                          </w:rPr>
                          <w:t>S</w:t>
                        </w:r>
                        <w:r w:rsidRPr="00DA03CB">
                          <w:rPr>
                            <w:rFonts w:ascii="Tunga" w:eastAsia="Calibri" w:hAnsi="Tunga" w:cs="Tunga"/>
                            <w:bCs/>
                            <w:sz w:val="16"/>
                            <w:szCs w:val="16"/>
                          </w:rPr>
                          <w:t>et the rang</w:t>
                        </w:r>
                        <w:r>
                          <w:rPr>
                            <w:rFonts w:ascii="Tunga" w:eastAsia="Calibri" w:hAnsi="Tunga" w:cs="Tunga"/>
                            <w:bCs/>
                            <w:sz w:val="16"/>
                            <w:szCs w:val="16"/>
                          </w:rPr>
                          <w:t>e</w:t>
                        </w:r>
                        <w:r w:rsidRPr="00DA03CB">
                          <w:rPr>
                            <w:rFonts w:ascii="Tunga" w:eastAsia="Calibri" w:hAnsi="Tunga" w:cs="Tunga"/>
                            <w:bCs/>
                            <w:sz w:val="16"/>
                            <w:szCs w:val="16"/>
                          </w:rPr>
                          <w:t xml:space="preserve"> of inputs into the foundation model or assist in determining a point estim</w:t>
                        </w:r>
                        <w:r w:rsidR="00B74C3C">
                          <w:rPr>
                            <w:rFonts w:ascii="Tunga" w:eastAsia="Calibri" w:hAnsi="Tunga" w:cs="Tunga"/>
                            <w:bCs/>
                            <w:sz w:val="16"/>
                            <w:szCs w:val="16"/>
                          </w:rPr>
                          <w:t>ate within a range of estimates</w:t>
                        </w:r>
                      </w:p>
                    </w:txbxContent>
                  </v:textbox>
                </v:rect>
                <v:shape id="Elbow Connector 39" o:spid="_x0000_s1050" type="#_x0000_t34" style="position:absolute;left:16037;top:24544;width:3102;height: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iUx8QAAADbAAAADwAAAGRycy9kb3ducmV2LnhtbESP3YrCMBSE7wXfIRxh7zRdfxa3GkV0&#10;BRFvVvcBjs3ZpticlCZq+/ZGELwcZuYbZr5sbCluVPvCsYLPQQKCOHO64FzB32nbn4LwAVlj6ZgU&#10;tORhueh25phqd+dfuh1DLiKEfYoKTAhVKqXPDFn0A1cRR+/f1RZDlHUudY33CLelHCbJl7RYcFww&#10;WNHaUHY5Xq2CZDU2+/34cijbdfsznZw32+vwpNRHr1nNQARqwjv8au+0gtE3PL/EH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iJTHxAAAANsAAAAPAAAAAAAAAAAA&#10;AAAAAKECAABkcnMvZG93bnJldi54bWxQSwUGAAAAAAQABAD5AAAAkgMAAAAA&#10;" strokecolor="#006c99" strokeweight="1pt">
                  <v:stroke startarrow="block" endarrow="block"/>
                </v:shape>
                <v:rect id="Rectangle 36" o:spid="_x0000_s1051" style="position:absolute;left:33659;top:24343;width:17170;height:76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NkZL8A&#10;AADbAAAADwAAAGRycy9kb3ducmV2LnhtbESPwQrCMBBE74L/EFbwpqkKItUoIoqiB7H6AWuztsVm&#10;U5qo9e+NIHgcZuYNM1s0phRPql1hWcGgH4EgTq0uOFNwOW96ExDOI2ssLZOCNzlYzNutGcbavvhE&#10;z8RnIkDYxagg976KpXRpTgZd31bEwbvZ2qAPss6krvEV4KaUwygaS4MFh4UcK1rllN6Th1Fw2DbH&#10;ocHTSu7Wl0O2X9Pteialup1mOQXhqfH/8K+90wpGY/h+CT9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k2RkvwAAANsAAAAPAAAAAAAAAAAAAAAAAJgCAABkcnMvZG93bnJl&#10;di54bWxQSwUGAAAAAAQABAD1AAAAhAMAAAAA&#10;" fillcolor="#dbe5f1" stroked="f">
                  <v:textbox inset=",1mm,,1mm">
                    <w:txbxContent>
                      <w:p w:rsidR="00AC5FBF" w:rsidRPr="00EA61F6" w:rsidRDefault="00AC5FBF" w:rsidP="00D94B4D">
                        <w:pPr>
                          <w:pStyle w:val="NormalWeb"/>
                          <w:spacing w:before="0" w:beforeAutospacing="0" w:after="60" w:afterAutospacing="0" w:line="276" w:lineRule="auto"/>
                          <w:rPr>
                            <w:rFonts w:ascii="Tunga" w:eastAsia="Calibri" w:hAnsi="Tunga" w:cs="Tunga"/>
                            <w:b/>
                            <w:sz w:val="16"/>
                            <w:szCs w:val="16"/>
                          </w:rPr>
                        </w:pPr>
                        <w:r w:rsidRPr="00EA61F6">
                          <w:rPr>
                            <w:rFonts w:ascii="Tunga" w:eastAsia="Calibri" w:hAnsi="Tunga" w:cs="Tunga"/>
                            <w:b/>
                            <w:sz w:val="16"/>
                            <w:szCs w:val="16"/>
                          </w:rPr>
                          <w:t>Estimation procedure</w:t>
                        </w:r>
                      </w:p>
                      <w:p w:rsidR="00AC5FBF" w:rsidRDefault="00AC5FBF" w:rsidP="00D94B4D">
                        <w:pPr>
                          <w:pStyle w:val="NormalWeb"/>
                          <w:spacing w:before="0" w:beforeAutospacing="0" w:after="60" w:afterAutospacing="0" w:line="276" w:lineRule="auto"/>
                        </w:pPr>
                        <w:r>
                          <w:rPr>
                            <w:rFonts w:ascii="Tunga" w:eastAsia="Calibri" w:hAnsi="Tunga" w:cs="Tunga"/>
                            <w:sz w:val="16"/>
                            <w:szCs w:val="16"/>
                          </w:rPr>
                          <w:t>I</w:t>
                        </w:r>
                        <w:r w:rsidRPr="00D94B4D">
                          <w:rPr>
                            <w:rFonts w:ascii="Tunga" w:eastAsia="Calibri" w:hAnsi="Tunga" w:cs="Tunga"/>
                            <w:sz w:val="16"/>
                            <w:szCs w:val="16"/>
                          </w:rPr>
                          <w:t>ndependent third party data provider</w:t>
                        </w:r>
                        <w:r>
                          <w:rPr>
                            <w:rFonts w:ascii="Tunga" w:eastAsia="Calibri" w:hAnsi="Tunga" w:cs="Tunga"/>
                            <w:sz w:val="16"/>
                            <w:szCs w:val="16"/>
                          </w:rPr>
                          <w:t xml:space="preserve"> </w:t>
                        </w:r>
                        <w:r w:rsidRPr="00D94B4D">
                          <w:rPr>
                            <w:rFonts w:ascii="Tunga" w:eastAsia="Calibri" w:hAnsi="Tunga" w:cs="Tunga"/>
                            <w:sz w:val="16"/>
                            <w:szCs w:val="16"/>
                          </w:rPr>
                          <w:t xml:space="preserve">(benchmark debt term of </w:t>
                        </w:r>
                        <w:r>
                          <w:rPr>
                            <w:rFonts w:ascii="Tunga" w:eastAsia="Calibri" w:hAnsi="Tunga" w:cs="Tunga"/>
                            <w:sz w:val="16"/>
                            <w:szCs w:val="16"/>
                          </w:rPr>
                          <w:t>seven</w:t>
                        </w:r>
                        <w:r w:rsidRPr="00D94B4D">
                          <w:rPr>
                            <w:rFonts w:ascii="Tunga" w:eastAsia="Calibri" w:hAnsi="Tunga" w:cs="Tunga"/>
                            <w:sz w:val="16"/>
                            <w:szCs w:val="16"/>
                          </w:rPr>
                          <w:t xml:space="preserve"> years and credit rating of BBB+ or equivalent)</w:t>
                        </w:r>
                      </w:p>
                    </w:txbxContent>
                  </v:textbox>
                </v:rect>
                <v:shape id="Elbow Connector 40" o:spid="_x0000_s1052" type="#_x0000_t34" style="position:absolute;left:41232;top:23331;width:2013;height:11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0G+8AAAADbAAAADwAAAGRycy9kb3ducmV2LnhtbERPzYrCMBC+L/gOYQQvsk0VWdzaKCoo&#10;uqKwrg8wNmNbbCaliVrf3hyEPX58/+msNZW4U+NKywoGUQyCOLO65FzB6W/1OQbhPLLGyjIpeJKD&#10;2bTzkWKi7YN/6X70uQgh7BJUUHhfJ1K6rCCDLrI1ceAutjHoA2xyqRt8hHBTyWEcf0mDJYeGAmta&#10;FpRdjzej4LLTpt7a7/O+b3W8Lg9uvPjJlOp12/kEhKfW/4vf7o1WMArrw5fwA+T0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6tBvvAAAAA2wAAAA8AAAAAAAAAAAAAAAAA&#10;oQIAAGRycy9kb3ducmV2LnhtbFBLBQYAAAAABAAEAPkAAACOAwAAAAA=&#10;" strokecolor="#006c99" strokeweight="1pt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4" o:spid="_x0000_s1053" type="#_x0000_t32" style="position:absolute;left:42233;top:13892;width:0;height:17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8j38AAAADbAAAADwAAAGRycy9kb3ducmV2LnhtbERPTYvCMBC9C/6HMII3TRVZpGtaRCmI&#10;F90qwt6GZrYt20xKE2v992Zhwds83uds0sE0oqfO1ZYVLOYRCOLC6ppLBddLNluDcB5ZY2OZFDzJ&#10;QZqMRxuMtX3wF/W5L0UIYRejgsr7NpbSFRUZdHPbEgfux3YGfYBdKXWHjxBuGrmMog9psObQUGFL&#10;u4qK3/xuFEh57r/9aZ/V2yy66bw54XHolZpOhu0nCE+Df4v/3Qcd5q/g75dwgEx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ZPI9/AAAAA2wAAAA8AAAAAAAAAAAAAAAAA&#10;oQIAAGRycy9kb3ducmV2LnhtbFBLBQYAAAAABAAEAPkAAACOAwAAAAA=&#10;" strokecolor="#006a99" strokeweight="1pt">
                  <v:stroke endarrow="block"/>
                </v:shape>
                <v:shape id="Straight Arrow Connector 42" o:spid="_x0000_s1054" type="#_x0000_t32" style="position:absolute;left:38552;top:7802;width:0;height:16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kxLcMAAADbAAAADwAAAGRycy9kb3ducmV2LnhtbESPQWuDQBSE74X8h+UFcmvWSCjFZhVp&#10;EEoutiYEcnu4ryp134q7VfPvu4VCj8PMfMMcssX0YqLRdZYV7LYRCOLa6o4bBZdz8fgMwnlkjb1l&#10;UnAnB1m6ejhgou3MHzRVvhEBwi5BBa33QyKlq1sy6LZ2IA7epx0N+iDHRuoR5wA3vYyj6Eka7Dgs&#10;tDjQa0v1V/VtFEj5Pt18eSy6vIiuuupLPC2TUpv1kr+A8LT4//Bf+00r2Mfw+yX8AJn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ZMS3DAAAA2wAAAA8AAAAAAAAAAAAA&#10;AAAAoQIAAGRycy9kb3ducmV2LnhtbFBLBQYAAAAABAAEAPkAAACRAwAAAAA=&#10;" strokecolor="#006a99" strokeweight="1pt">
                  <v:stroke endarrow="block"/>
                </v:shape>
                <v:shape id="Straight Arrow Connector 43" o:spid="_x0000_s1055" type="#_x0000_t32" style="position:absolute;left:5893;top:13740;width:0;height:17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WUtsIAAADbAAAADwAAAGRycy9kb3ducmV2LnhtbESPQYvCMBSE78L+h/AWvNl0VUSqUWSl&#10;IF5c67Lg7dE822LzUppY6783C4LHYWa+YZbr3tSio9ZVlhV8RTEI4tzqigsFv6d0NAfhPLLG2jIp&#10;eJCD9epjsMRE2zsfqct8IQKEXYIKSu+bREqXl2TQRbYhDt7FtgZ9kG0hdYv3ADe1HMfxTBqsOCyU&#10;2NB3Sfk1uxkFUv50Z3/YptUmjf90Vh9w33dKDT/7zQKEp96/w6/2TiuYTuD/S/g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hWUtsIAAADbAAAADwAAAAAAAAAAAAAA&#10;AAChAgAAZHJzL2Rvd25yZXYueG1sUEsFBgAAAAAEAAQA+QAAAJADAAAAAA==&#10;" strokecolor="#006a99" strokeweight="1pt">
                  <v:stroke endarrow="block"/>
                </v:shape>
                <v:shape id="Straight Arrow Connector 44" o:spid="_x0000_s1056" type="#_x0000_t32" style="position:absolute;left:23197;top:13723;width:0;height:17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wMwsIAAADbAAAADwAAAGRycy9kb3ducmV2LnhtbESPQYvCMBSE78L+h/AWvGm6IiLVtIhL&#10;YdmLWmVhb4/m2Rabl9LEWv+9EQSPw8x8w6zTwTSip87VlhV8TSMQxIXVNZcKTsdssgThPLLGxjIp&#10;uJODNPkYrTHW9sYH6nNfigBhF6OCyvs2ltIVFRl0U9sSB+9sO4M+yK6UusNbgJtGzqJoIQ3WHBYq&#10;bGlbUXHJr0aBlPv+3+++s3qTRX86b3b4O/RKjT+HzQqEp8G/w6/2j1Ywn8PzS/gBMn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fwMwsIAAADbAAAADwAAAAAAAAAAAAAA&#10;AAChAgAAZHJzL2Rvd25yZXYueG1sUEsFBgAAAAAEAAQA+QAAAJADAAAAAA==&#10;" strokecolor="#006a99" strokeweight="1pt">
                  <v:stroke endarrow="block"/>
                </v:shape>
              </v:group>
            </w:pict>
          </mc:Fallback>
        </mc:AlternateContent>
      </w:r>
    </w:p>
    <w:p w:rsidR="004C5F9A" w:rsidRDefault="004C5F9A" w:rsidP="009F7619">
      <w:pPr>
        <w:pStyle w:val="AERFactsheetHeading1"/>
      </w:pPr>
    </w:p>
    <w:p w:rsidR="004C5F9A" w:rsidRDefault="004C5F9A" w:rsidP="009F7619">
      <w:pPr>
        <w:pStyle w:val="AERFactsheetHeading1"/>
      </w:pPr>
    </w:p>
    <w:p w:rsidR="004C5F9A" w:rsidRDefault="004C5F9A" w:rsidP="009F7619">
      <w:pPr>
        <w:pStyle w:val="AERFactsheetHeading1"/>
      </w:pPr>
    </w:p>
    <w:p w:rsidR="004C5F9A" w:rsidRDefault="004C5F9A" w:rsidP="009F7619">
      <w:pPr>
        <w:pStyle w:val="AERFactsheetHeading1"/>
      </w:pPr>
    </w:p>
    <w:p w:rsidR="004C5F9A" w:rsidRDefault="004C5F9A" w:rsidP="009F7619">
      <w:pPr>
        <w:pStyle w:val="AERFactsheetHeading1"/>
      </w:pPr>
    </w:p>
    <w:p w:rsidR="004C5F9A" w:rsidRDefault="004C5F9A" w:rsidP="009F7619">
      <w:pPr>
        <w:pStyle w:val="AERFactsheetHeading1"/>
      </w:pPr>
    </w:p>
    <w:p w:rsidR="004C5F9A" w:rsidRDefault="004C5F9A" w:rsidP="009F7619">
      <w:pPr>
        <w:pStyle w:val="AERFactsheetHeading1"/>
      </w:pPr>
    </w:p>
    <w:p w:rsidR="004C5F9A" w:rsidRDefault="004C5F9A" w:rsidP="009F7619">
      <w:pPr>
        <w:pStyle w:val="AERFactsheetHeading1"/>
      </w:pPr>
    </w:p>
    <w:p w:rsidR="004C5F9A" w:rsidRDefault="004C5F9A" w:rsidP="009F7619">
      <w:pPr>
        <w:pStyle w:val="AERFactsheetHeading1"/>
      </w:pPr>
    </w:p>
    <w:p w:rsidR="004C5F9A" w:rsidRDefault="004C5F9A" w:rsidP="009F7619">
      <w:pPr>
        <w:pStyle w:val="AERFactsheetHeading1"/>
      </w:pPr>
    </w:p>
    <w:p w:rsidR="00446186" w:rsidRDefault="00446186" w:rsidP="009F7619">
      <w:pPr>
        <w:pStyle w:val="AERFactsheetHeading1"/>
      </w:pPr>
    </w:p>
    <w:p w:rsidR="009F7619" w:rsidRDefault="009F7619" w:rsidP="009F7619">
      <w:pPr>
        <w:pStyle w:val="AERFactsheetHeading1"/>
      </w:pPr>
      <w:r>
        <w:t xml:space="preserve">How will </w:t>
      </w:r>
      <w:r w:rsidR="00B73353">
        <w:t xml:space="preserve">we estimate the </w:t>
      </w:r>
      <w:r w:rsidR="00960E54">
        <w:t xml:space="preserve">return on </w:t>
      </w:r>
      <w:r>
        <w:t>equity?</w:t>
      </w:r>
    </w:p>
    <w:p w:rsidR="0092057B" w:rsidRDefault="00E36170" w:rsidP="00916002">
      <w:pPr>
        <w:pStyle w:val="AERfactsheetbodytext"/>
      </w:pPr>
      <w:r w:rsidRPr="00E36170">
        <w:t>We will build</w:t>
      </w:r>
      <w:r w:rsidR="00A5063D" w:rsidRPr="00E36170">
        <w:t xml:space="preserve"> on </w:t>
      </w:r>
      <w:r w:rsidR="00F91200" w:rsidRPr="00E36170">
        <w:t xml:space="preserve">our existing </w:t>
      </w:r>
      <w:r w:rsidR="00346F63" w:rsidRPr="00E36170">
        <w:t xml:space="preserve">approach </w:t>
      </w:r>
      <w:r w:rsidR="00F91200" w:rsidRPr="00E36170">
        <w:t xml:space="preserve">in a way that gives greater consideration to the results of other models and information. </w:t>
      </w:r>
      <w:r w:rsidR="0092057B" w:rsidRPr="00916002">
        <w:t>We recognise there is not one perfect model. Rather, there are a range of financial models which all have certain strengths and weaknesses.</w:t>
      </w:r>
      <w:r w:rsidR="00163E50">
        <w:t xml:space="preserve"> </w:t>
      </w:r>
    </w:p>
    <w:p w:rsidR="008F6C14" w:rsidRDefault="00652BED" w:rsidP="00916002">
      <w:pPr>
        <w:pStyle w:val="AERfactsheetbodytext"/>
      </w:pPr>
      <w:r>
        <w:t>Our starting point will be</w:t>
      </w:r>
      <w:r w:rsidR="005F4DFA" w:rsidRPr="00916002">
        <w:t xml:space="preserve"> </w:t>
      </w:r>
      <w:r w:rsidR="00B73353" w:rsidRPr="00916002">
        <w:t xml:space="preserve">the </w:t>
      </w:r>
      <w:r w:rsidR="00BB5A5D" w:rsidRPr="00916002">
        <w:t>Sharpe-</w:t>
      </w:r>
      <w:proofErr w:type="spellStart"/>
      <w:r w:rsidR="00BB5A5D" w:rsidRPr="00916002">
        <w:t>Lintner</w:t>
      </w:r>
      <w:proofErr w:type="spellEnd"/>
      <w:r w:rsidR="00BB5A5D" w:rsidRPr="00916002">
        <w:t xml:space="preserve"> Capital Asset Pricing </w:t>
      </w:r>
      <w:r w:rsidR="00B73353" w:rsidRPr="00916002">
        <w:t>(CAPM) m</w:t>
      </w:r>
      <w:r w:rsidR="00BB5A5D" w:rsidRPr="00916002">
        <w:t xml:space="preserve">odel. </w:t>
      </w:r>
      <w:r w:rsidR="00B73353" w:rsidRPr="00916002">
        <w:t xml:space="preserve">This is a </w:t>
      </w:r>
      <w:r w:rsidR="00163E50">
        <w:t>widely</w:t>
      </w:r>
      <w:r w:rsidR="00163E50" w:rsidRPr="00916002">
        <w:t xml:space="preserve"> </w:t>
      </w:r>
      <w:r w:rsidR="00B73353" w:rsidRPr="00916002">
        <w:t>accepted and understood financial model in the industry.</w:t>
      </w:r>
      <w:r w:rsidR="005F4DFA" w:rsidRPr="00916002">
        <w:t xml:space="preserve"> </w:t>
      </w:r>
    </w:p>
    <w:p w:rsidR="00097937" w:rsidRPr="00916002" w:rsidRDefault="0092057B" w:rsidP="007B591B">
      <w:pPr>
        <w:pStyle w:val="AERfactsheetbodytext"/>
      </w:pPr>
      <w:r>
        <w:t>W</w:t>
      </w:r>
      <w:r w:rsidR="005F4DFA" w:rsidRPr="00916002">
        <w:t xml:space="preserve">e will then </w:t>
      </w:r>
      <w:r w:rsidR="00097937" w:rsidRPr="00916002">
        <w:t xml:space="preserve">use a range of models, </w:t>
      </w:r>
      <w:r w:rsidR="005F4DFA" w:rsidRPr="00916002">
        <w:t>methods</w:t>
      </w:r>
      <w:r w:rsidR="00097937" w:rsidRPr="00916002">
        <w:t>,</w:t>
      </w:r>
      <w:r w:rsidR="005F4DFA" w:rsidRPr="00916002">
        <w:t xml:space="preserve"> </w:t>
      </w:r>
      <w:r w:rsidR="00097937" w:rsidRPr="00916002">
        <w:t xml:space="preserve">and information </w:t>
      </w:r>
      <w:r w:rsidR="005F4DFA" w:rsidRPr="00916002">
        <w:t xml:space="preserve">to inform our </w:t>
      </w:r>
      <w:r w:rsidR="007B591B">
        <w:t xml:space="preserve">return on </w:t>
      </w:r>
      <w:r w:rsidR="005F4DFA" w:rsidRPr="00916002">
        <w:t>equity estimate</w:t>
      </w:r>
      <w:r w:rsidR="009A2BB4">
        <w:t>,</w:t>
      </w:r>
      <w:r w:rsidR="007B591B">
        <w:t xml:space="preserve"> </w:t>
      </w:r>
      <w:r w:rsidR="009A2BB4">
        <w:t>t</w:t>
      </w:r>
      <w:r w:rsidR="007B591B">
        <w:t>o</w:t>
      </w:r>
      <w:r w:rsidR="00097937" w:rsidRPr="00916002">
        <w:t>:</w:t>
      </w:r>
      <w:r w:rsidR="009032EB" w:rsidRPr="00916002">
        <w:t xml:space="preserve"> </w:t>
      </w:r>
    </w:p>
    <w:p w:rsidR="00097937" w:rsidRDefault="007B591B" w:rsidP="00916002">
      <w:pPr>
        <w:pStyle w:val="AERfactsheetbulletlist"/>
      </w:pPr>
      <w:r>
        <w:t>S</w:t>
      </w:r>
      <w:r w:rsidR="009032EB" w:rsidRPr="009032EB">
        <w:t xml:space="preserve">et the range of inputs into the </w:t>
      </w:r>
      <w:r w:rsidR="00097937">
        <w:t xml:space="preserve">CAPM </w:t>
      </w:r>
      <w:r w:rsidR="009032EB" w:rsidRPr="009032EB">
        <w:t>foundat</w:t>
      </w:r>
      <w:r w:rsidR="00097937">
        <w:t>ion model</w:t>
      </w:r>
      <w:r>
        <w:t>.</w:t>
      </w:r>
      <w:r w:rsidR="009032EB" w:rsidRPr="009032EB">
        <w:t xml:space="preserve"> </w:t>
      </w:r>
    </w:p>
    <w:p w:rsidR="007B591B" w:rsidRDefault="007B591B" w:rsidP="004C5F9A">
      <w:pPr>
        <w:pStyle w:val="AERfactsheetbulletlist"/>
      </w:pPr>
      <w:r>
        <w:t>A</w:t>
      </w:r>
      <w:r w:rsidR="009032EB" w:rsidRPr="009032EB">
        <w:t xml:space="preserve">ssist in determining </w:t>
      </w:r>
      <w:r w:rsidR="00097937">
        <w:t xml:space="preserve">a </w:t>
      </w:r>
      <w:r w:rsidR="009032EB" w:rsidRPr="009032EB">
        <w:t>point e</w:t>
      </w:r>
      <w:r w:rsidR="00097937">
        <w:t xml:space="preserve">stimate within </w:t>
      </w:r>
      <w:r w:rsidR="0061155D">
        <w:t xml:space="preserve">a </w:t>
      </w:r>
      <w:r w:rsidR="00097937">
        <w:t>range</w:t>
      </w:r>
      <w:r w:rsidR="00E54B7A">
        <w:t xml:space="preserve"> of </w:t>
      </w:r>
      <w:r w:rsidR="00E54B7A" w:rsidRPr="00916002">
        <w:t>estimates</w:t>
      </w:r>
      <w:r w:rsidR="00F675D7">
        <w:t xml:space="preserve"> at the overall return on equity level</w:t>
      </w:r>
      <w:r w:rsidR="00097937" w:rsidRPr="00916002">
        <w:t>.</w:t>
      </w:r>
      <w:r>
        <w:t xml:space="preserve"> </w:t>
      </w:r>
      <w:r w:rsidR="0061155D" w:rsidRPr="00916002">
        <w:t xml:space="preserve">For example, </w:t>
      </w:r>
      <w:r w:rsidR="009032EB" w:rsidRPr="00916002">
        <w:t xml:space="preserve">estimates from valuation reports, brokers, other regulators and alternative financial models. </w:t>
      </w:r>
    </w:p>
    <w:p w:rsidR="007B591B" w:rsidRDefault="007B591B" w:rsidP="004C5F9A">
      <w:pPr>
        <w:pStyle w:val="AERfactsheetbodytext"/>
      </w:pPr>
      <w:r>
        <w:t>The draft guideline also outlines some detail on our approaches to the market risk premium, equity beta, and risk free rate—which all inform the return on equity.</w:t>
      </w:r>
    </w:p>
    <w:p w:rsidR="00446186" w:rsidRDefault="00446186" w:rsidP="004C5F9A">
      <w:pPr>
        <w:pStyle w:val="AERfactsheetbodytext"/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6CE2829E" wp14:editId="48B9C5F5">
                <wp:extent cx="3214370" cy="995422"/>
                <wp:effectExtent l="0" t="0" r="24130" b="1460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995422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6A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FBF" w:rsidRDefault="00AC5FBF" w:rsidP="00446186">
                            <w:pPr>
                              <w:pStyle w:val="AERfactsheetbodytext"/>
                            </w:pPr>
                            <w:r>
                              <w:t>Our a</w:t>
                            </w:r>
                            <w:r w:rsidRPr="009032EB">
                              <w:t xml:space="preserve">pproach </w:t>
                            </w:r>
                            <w:r>
                              <w:t xml:space="preserve">to the return on equity is </w:t>
                            </w:r>
                            <w:r w:rsidRPr="009032EB">
                              <w:t xml:space="preserve">flexible </w:t>
                            </w:r>
                            <w:r>
                              <w:t>and will allow</w:t>
                            </w:r>
                            <w:r w:rsidRPr="009032EB">
                              <w:t xml:space="preserve"> us to </w:t>
                            </w:r>
                            <w:r>
                              <w:t xml:space="preserve">consider a broad range of information to </w:t>
                            </w:r>
                            <w:r w:rsidRPr="009032EB">
                              <w:t xml:space="preserve">determine an </w:t>
                            </w:r>
                            <w:r>
                              <w:t>equity estimate consistent with the</w:t>
                            </w:r>
                            <w:r w:rsidRPr="009032EB">
                              <w:t xml:space="preserve"> rate of return objective</w:t>
                            </w:r>
                            <w:r>
                              <w:t>. We expect the application of our approach to lead to a more stable return on equity estimate over time.</w:t>
                            </w:r>
                          </w:p>
                          <w:p w:rsidR="00AC5FBF" w:rsidRDefault="00AC5FBF" w:rsidP="004461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57" type="#_x0000_t202" style="width:253.1pt;height:7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" fillcolor="#dbe5f1" strokecolor="#006a99">
                <v:textbox>
                  <w:txbxContent>
                    <w:p w:rsidR="00446186" w:rsidRDefault="00446186" w:rsidP="00446186">
                      <w:pPr>
                        <w:pStyle w:val="AERfactsheetbodytext"/>
                      </w:pPr>
                      <w:r>
                        <w:t>Our a</w:t>
                      </w:r>
                      <w:r w:rsidRPr="009032EB">
                        <w:t xml:space="preserve">pproach </w:t>
                      </w:r>
                      <w:r>
                        <w:t xml:space="preserve">to the return on equity is </w:t>
                      </w:r>
                      <w:r w:rsidRPr="009032EB">
                        <w:t xml:space="preserve">flexible </w:t>
                      </w:r>
                      <w:r>
                        <w:t>and will allow</w:t>
                      </w:r>
                      <w:r w:rsidRPr="009032EB">
                        <w:t xml:space="preserve"> us to </w:t>
                      </w:r>
                      <w:r>
                        <w:t xml:space="preserve">consider a broad range of information to </w:t>
                      </w:r>
                      <w:r w:rsidRPr="009032EB">
                        <w:t xml:space="preserve">determine an </w:t>
                      </w:r>
                      <w:r>
                        <w:t>equity estimate consistent with the</w:t>
                      </w:r>
                      <w:r w:rsidRPr="009032EB">
                        <w:t xml:space="preserve"> rate of return objective</w:t>
                      </w:r>
                      <w:r>
                        <w:t>. We expect the application of our approach to lead to a more stable return on equity estimate over time.</w:t>
                      </w:r>
                    </w:p>
                    <w:p w:rsidR="00446186" w:rsidRDefault="00446186" w:rsidP="00446186"/>
                  </w:txbxContent>
                </v:textbox>
                <w10:anchorlock/>
              </v:shape>
            </w:pict>
          </mc:Fallback>
        </mc:AlternateContent>
      </w:r>
    </w:p>
    <w:p w:rsidR="004C5F9A" w:rsidRDefault="004C5F9A" w:rsidP="004C5F9A">
      <w:pPr>
        <w:pStyle w:val="AERFactsheetHeading1"/>
      </w:pPr>
      <w:r>
        <w:t>How will we estimate the return on debt?</w:t>
      </w:r>
    </w:p>
    <w:p w:rsidR="004C5F9A" w:rsidRDefault="004C5F9A" w:rsidP="004C5F9A">
      <w:pPr>
        <w:pStyle w:val="AERfactsheetbodytext"/>
      </w:pPr>
      <w:r w:rsidRPr="00697FF1">
        <w:rPr>
          <w:noProof/>
          <w:lang w:eastAsia="en-AU"/>
        </w:rPr>
        <w:drawing>
          <wp:anchor distT="0" distB="0" distL="114300" distR="114300" simplePos="0" relativeHeight="251669504" behindDoc="0" locked="0" layoutInCell="1" allowOverlap="1" wp14:anchorId="19EC2AB0" wp14:editId="142E5DE2">
            <wp:simplePos x="0" y="0"/>
            <wp:positionH relativeFrom="column">
              <wp:posOffset>-469265</wp:posOffset>
            </wp:positionH>
            <wp:positionV relativeFrom="page">
              <wp:posOffset>10217785</wp:posOffset>
            </wp:positionV>
            <wp:extent cx="8827135" cy="492760"/>
            <wp:effectExtent l="0" t="0" r="0" b="2540"/>
            <wp:wrapNone/>
            <wp:docPr id="9" name="Picture 9" descr="Title: Blue end box - Description: Blue end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itle: Blue end box - Description: Blue end bo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7135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002">
        <w:t>We propose to move to a trailing average</w:t>
      </w:r>
      <w:r>
        <w:t xml:space="preserve"> for a debt portfolio with </w:t>
      </w:r>
      <w:r w:rsidRPr="00D5558F">
        <w:t>a proposed benchmar</w:t>
      </w:r>
      <w:r>
        <w:t>k term of debt of seven years—</w:t>
      </w:r>
      <w:r w:rsidRPr="00D5558F">
        <w:t xml:space="preserve">a significant change </w:t>
      </w:r>
      <w:r>
        <w:t xml:space="preserve">to the current regulatory framework. </w:t>
      </w:r>
    </w:p>
    <w:p w:rsidR="004C5F9A" w:rsidRDefault="004C5F9A" w:rsidP="004C5F9A">
      <w:pPr>
        <w:pStyle w:val="AERfactsheetbodytext"/>
      </w:pPr>
    </w:p>
    <w:p w:rsidR="004C5F9A" w:rsidRDefault="004C5F9A" w:rsidP="004C5F9A">
      <w:pPr>
        <w:pStyle w:val="AERfactsheetbodytext"/>
      </w:pPr>
    </w:p>
    <w:p w:rsidR="004C5F9A" w:rsidRDefault="004C5F9A" w:rsidP="004C5F9A">
      <w:pPr>
        <w:pStyle w:val="AERfactsheetbodytext"/>
      </w:pPr>
    </w:p>
    <w:p w:rsidR="004C5F9A" w:rsidRDefault="004C5F9A" w:rsidP="004C5F9A">
      <w:pPr>
        <w:pStyle w:val="AERfactsheetbodytext"/>
      </w:pPr>
    </w:p>
    <w:p w:rsidR="004C5F9A" w:rsidRDefault="004C5F9A" w:rsidP="004C5F9A">
      <w:pPr>
        <w:pStyle w:val="AERfactsheetbodytext"/>
      </w:pPr>
    </w:p>
    <w:p w:rsidR="004C5F9A" w:rsidRDefault="004C5F9A" w:rsidP="004C5F9A">
      <w:pPr>
        <w:pStyle w:val="AERfactsheetbodytext"/>
      </w:pPr>
    </w:p>
    <w:p w:rsidR="004C5F9A" w:rsidRDefault="004C5F9A" w:rsidP="004C5F9A">
      <w:pPr>
        <w:pStyle w:val="AERfactsheetbodytext"/>
      </w:pPr>
    </w:p>
    <w:p w:rsidR="004C5F9A" w:rsidRDefault="004C5F9A" w:rsidP="004C5F9A">
      <w:pPr>
        <w:pStyle w:val="AERfactsheetbodytext"/>
      </w:pPr>
    </w:p>
    <w:p w:rsidR="004C5F9A" w:rsidRDefault="004C5F9A" w:rsidP="004C5F9A">
      <w:pPr>
        <w:pStyle w:val="AERfactsheetbodytext"/>
      </w:pPr>
    </w:p>
    <w:p w:rsidR="004C5F9A" w:rsidRDefault="004C5F9A" w:rsidP="004C5F9A">
      <w:pPr>
        <w:pStyle w:val="AERfactsheetbodytext"/>
      </w:pPr>
    </w:p>
    <w:p w:rsidR="004C5F9A" w:rsidRDefault="004C5F9A" w:rsidP="004C5F9A">
      <w:pPr>
        <w:pStyle w:val="AERfactsheetbodytext"/>
      </w:pPr>
    </w:p>
    <w:p w:rsidR="004C5F9A" w:rsidRDefault="004C5F9A" w:rsidP="004C5F9A">
      <w:pPr>
        <w:pStyle w:val="AERfactsheetbodytext"/>
      </w:pPr>
    </w:p>
    <w:p w:rsidR="004C5F9A" w:rsidRDefault="004C5F9A" w:rsidP="004C5F9A">
      <w:pPr>
        <w:pStyle w:val="AERfactsheetbodytext"/>
      </w:pPr>
    </w:p>
    <w:p w:rsidR="004C5F9A" w:rsidRDefault="004C5F9A" w:rsidP="004C5F9A">
      <w:pPr>
        <w:pStyle w:val="AERfactsheetbodytext"/>
      </w:pPr>
    </w:p>
    <w:p w:rsidR="004C5F9A" w:rsidRDefault="004C5F9A" w:rsidP="004C5F9A">
      <w:pPr>
        <w:pStyle w:val="AERfactsheetbodytext"/>
      </w:pPr>
    </w:p>
    <w:p w:rsidR="004C5F9A" w:rsidRDefault="004C5F9A" w:rsidP="004C5F9A">
      <w:pPr>
        <w:pStyle w:val="AERfactsheetbodytext"/>
      </w:pPr>
    </w:p>
    <w:p w:rsidR="004C5F9A" w:rsidRDefault="004C5F9A" w:rsidP="004C5F9A">
      <w:pPr>
        <w:pStyle w:val="AERfactsheetbodytext"/>
      </w:pPr>
    </w:p>
    <w:p w:rsidR="004C5F9A" w:rsidRDefault="004C5F9A" w:rsidP="004C5F9A">
      <w:pPr>
        <w:pStyle w:val="AERfactsheetbodytext"/>
      </w:pPr>
    </w:p>
    <w:p w:rsidR="004C5F9A" w:rsidRDefault="004C5F9A" w:rsidP="004C5F9A">
      <w:pPr>
        <w:pStyle w:val="AERfactsheetbodytext"/>
      </w:pPr>
    </w:p>
    <w:p w:rsidR="00446186" w:rsidRDefault="00446186" w:rsidP="00446186">
      <w:pPr>
        <w:pStyle w:val="AERfactsheetbodytext"/>
      </w:pPr>
      <w:r>
        <w:br/>
      </w:r>
      <w:r>
        <w:br/>
        <w:t>The current ‘on-the-day approach’ assumes that businesses raise all their debt at the same time, once every five years. However, many businesses have different dates to maturity for their debt.</w:t>
      </w:r>
    </w:p>
    <w:p w:rsidR="009D246A" w:rsidRDefault="00446186" w:rsidP="00446186">
      <w:pPr>
        <w:pStyle w:val="AERfactsheetbodytext"/>
      </w:pPr>
      <w:r>
        <w:t xml:space="preserve">We are proposing a gradual transition from using the current approach to a trailing average approach. </w:t>
      </w:r>
      <w:r w:rsidR="004C1027">
        <w:t>T</w:t>
      </w:r>
      <w:r>
        <w:t>he trailing average portfolio approach assumes that one-seventh of the debt portfolio is refinanced every year. The transition will occur over a period of seven years and will apply to all businesses.</w:t>
      </w:r>
    </w:p>
    <w:p w:rsidR="005C144C" w:rsidRDefault="00D5558F" w:rsidP="00916002">
      <w:pPr>
        <w:pStyle w:val="AERfactsheetbodytext"/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49575C5E" wp14:editId="377F6B20">
                <wp:extent cx="3214370" cy="717453"/>
                <wp:effectExtent l="0" t="0" r="24130" b="2603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717453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6A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FBF" w:rsidRDefault="00AC5FBF" w:rsidP="00D5558F">
                            <w:pPr>
                              <w:pStyle w:val="AERfactsheetbodytext"/>
                            </w:pPr>
                            <w:r>
                              <w:t xml:space="preserve">Our approach to the return on debt will </w:t>
                            </w:r>
                            <w:r w:rsidRPr="00916002">
                              <w:t xml:space="preserve">more closely align with the efficient debt financing practices of regulated businesses. This </w:t>
                            </w:r>
                            <w:r>
                              <w:t xml:space="preserve">should </w:t>
                            </w:r>
                            <w:r w:rsidRPr="00916002">
                              <w:t xml:space="preserve">also </w:t>
                            </w:r>
                            <w:r>
                              <w:t xml:space="preserve">lead to </w:t>
                            </w:r>
                            <w:r w:rsidRPr="00916002">
                              <w:t>less vo</w:t>
                            </w:r>
                            <w:r>
                              <w:t>latile prices over time for consumers.</w:t>
                            </w:r>
                          </w:p>
                          <w:p w:rsidR="00AC5FBF" w:rsidRDefault="00AC5FBF" w:rsidP="00D555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o:spid="_x0000_s1058" type="#_x0000_t202" style="width:253.1pt;height:5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" fillcolor="#dbe5f1" strokecolor="#006a99">
                <v:textbox>
                  <w:txbxContent>
                    <w:p w:rsidR="004C5F9A" w:rsidRDefault="004C5F9A" w:rsidP="00D5558F">
                      <w:pPr>
                        <w:pStyle w:val="AERfactsheetbodytext"/>
                      </w:pPr>
                      <w:r>
                        <w:t xml:space="preserve">Our approach to the return on debt will </w:t>
                      </w:r>
                      <w:r w:rsidRPr="00916002">
                        <w:t xml:space="preserve">more closely align with the efficient debt financing practices of regulated businesses. This </w:t>
                      </w:r>
                      <w:r>
                        <w:t xml:space="preserve">should </w:t>
                      </w:r>
                      <w:r w:rsidRPr="00916002">
                        <w:t xml:space="preserve">also </w:t>
                      </w:r>
                      <w:r>
                        <w:t xml:space="preserve">lead to </w:t>
                      </w:r>
                      <w:r w:rsidRPr="00916002">
                        <w:t>less vo</w:t>
                      </w:r>
                      <w:r>
                        <w:t>latile prices over time for consumers.</w:t>
                      </w:r>
                    </w:p>
                    <w:p w:rsidR="004C5F9A" w:rsidRDefault="004C5F9A" w:rsidP="00D5558F"/>
                  </w:txbxContent>
                </v:textbox>
                <w10:anchorlock/>
              </v:shape>
            </w:pict>
          </mc:Fallback>
        </mc:AlternateContent>
      </w:r>
    </w:p>
    <w:p w:rsidR="00B0183D" w:rsidRPr="00697FF1" w:rsidRDefault="00B0183D" w:rsidP="00697FF1">
      <w:pPr>
        <w:pStyle w:val="AERFactsheetHeading1"/>
      </w:pPr>
      <w:r w:rsidRPr="00697FF1">
        <w:t>How can I provide a submission or comments?</w:t>
      </w:r>
    </w:p>
    <w:p w:rsidR="00B0183D" w:rsidRPr="00697FF1" w:rsidRDefault="00E1275F" w:rsidP="00697FF1">
      <w:pPr>
        <w:pStyle w:val="AERfactsheetbodytext"/>
      </w:pPr>
      <w:r w:rsidRPr="00A85128">
        <w:rPr>
          <w:rStyle w:val="AERtextitalic"/>
          <w:i w:val="0"/>
        </w:rPr>
        <w:t xml:space="preserve">We invite interested parties to make submissions or comments on our </w:t>
      </w:r>
      <w:r w:rsidR="00B0183D" w:rsidRPr="00697FF1">
        <w:t xml:space="preserve">draft </w:t>
      </w:r>
      <w:r w:rsidR="00AA7208">
        <w:t xml:space="preserve">rate of return guideline. </w:t>
      </w:r>
      <w:r w:rsidR="00B0183D" w:rsidRPr="00697FF1">
        <w:t>If you would like to have your say prior to us</w:t>
      </w:r>
      <w:r w:rsidR="00C87AC3">
        <w:t xml:space="preserve"> publishing the final guideline</w:t>
      </w:r>
      <w:r w:rsidR="00ED6886">
        <w:t>s</w:t>
      </w:r>
      <w:r w:rsidR="00B0183D" w:rsidRPr="00697FF1">
        <w:t xml:space="preserve">, you have until close of business </w:t>
      </w:r>
      <w:r w:rsidR="00AA7208">
        <w:rPr>
          <w:b/>
        </w:rPr>
        <w:t>11 October 2013</w:t>
      </w:r>
      <w:r w:rsidR="00B0183D" w:rsidRPr="00697FF1">
        <w:t xml:space="preserve"> to get your submission or comments to us. You can find further details on how to provide your submission on our web page </w:t>
      </w:r>
      <w:hyperlink r:id="rId11" w:history="1">
        <w:r w:rsidR="00AA7208" w:rsidRPr="00EE20A0">
          <w:rPr>
            <w:rStyle w:val="Hyperlink"/>
          </w:rPr>
          <w:t>www.aer.gov.au/node/18859</w:t>
        </w:r>
      </w:hyperlink>
      <w:r w:rsidR="008D2A86">
        <w:t xml:space="preserve">, or you can email us at </w:t>
      </w:r>
      <w:hyperlink r:id="rId12" w:history="1">
        <w:r w:rsidR="00AA7208">
          <w:rPr>
            <w:rStyle w:val="Hyperlink"/>
          </w:rPr>
          <w:t>rateofreturn@aer.gov.au</w:t>
        </w:r>
      </w:hyperlink>
      <w:r w:rsidR="008D2A86">
        <w:t>.</w:t>
      </w:r>
    </w:p>
    <w:p w:rsidR="00B0183D" w:rsidRPr="00697FF1" w:rsidRDefault="00B0183D" w:rsidP="00697FF1">
      <w:pPr>
        <w:pStyle w:val="AERFactsheetHeading1"/>
      </w:pPr>
      <w:r w:rsidRPr="00697FF1">
        <w:t>For more information</w:t>
      </w:r>
    </w:p>
    <w:p w:rsidR="004C5F9A" w:rsidRDefault="00B0183D" w:rsidP="00035993">
      <w:pPr>
        <w:pStyle w:val="AERfactsheetbodytext"/>
      </w:pPr>
      <w:r w:rsidRPr="00697FF1">
        <w:t xml:space="preserve">For more information or to get involved in the consultation processes for the Better Regulation program, please visit our website </w:t>
      </w:r>
      <w:hyperlink r:id="rId13" w:history="1">
        <w:r w:rsidR="00F12886" w:rsidRPr="00D37AAC">
          <w:rPr>
            <w:rStyle w:val="Hyperlink"/>
          </w:rPr>
          <w:t>www.aer.gov.au/better-regulation-reform-program</w:t>
        </w:r>
      </w:hyperlink>
      <w:r w:rsidRPr="00697FF1">
        <w:t xml:space="preserve"> or email us at </w:t>
      </w:r>
      <w:hyperlink r:id="rId14" w:history="1">
        <w:r w:rsidRPr="00697FF1">
          <w:rPr>
            <w:rStyle w:val="Hyperlink"/>
          </w:rPr>
          <w:t>betterregulation@aer.gov.au</w:t>
        </w:r>
      </w:hyperlink>
      <w:r w:rsidRPr="00697FF1">
        <w:t>.</w:t>
      </w:r>
    </w:p>
    <w:p w:rsidR="006C4CC5" w:rsidRPr="007C2B2C" w:rsidRDefault="006C4CC5" w:rsidP="007C2B2C">
      <w:pPr>
        <w:rPr>
          <w:rFonts w:ascii="MS Reference Sans Serif" w:hAnsi="MS Reference Sans Serif" w:cs="Shruti"/>
          <w:spacing w:val="-10"/>
          <w:sz w:val="18"/>
          <w:szCs w:val="22"/>
        </w:rPr>
      </w:pPr>
    </w:p>
    <w:sectPr w:rsidR="006C4CC5" w:rsidRPr="007C2B2C" w:rsidSect="004C5F9A">
      <w:type w:val="continuous"/>
      <w:pgSz w:w="11906" w:h="16838"/>
      <w:pgMar w:top="720" w:right="720" w:bottom="851" w:left="720" w:header="709" w:footer="709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D2E" w:rsidRDefault="00A24D2E" w:rsidP="00A24D2E">
      <w:r>
        <w:separator/>
      </w:r>
    </w:p>
  </w:endnote>
  <w:endnote w:type="continuationSeparator" w:id="0">
    <w:p w:rsidR="00A24D2E" w:rsidRDefault="00A24D2E" w:rsidP="00A2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DINOT-Regular">
    <w:altName w:val="DINOT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Univers 45 Light">
    <w:panose1 w:val="020B040302020202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D2E" w:rsidRDefault="00A24D2E" w:rsidP="00A24D2E">
      <w:r>
        <w:separator/>
      </w:r>
    </w:p>
  </w:footnote>
  <w:footnote w:type="continuationSeparator" w:id="0">
    <w:p w:rsidR="00A24D2E" w:rsidRDefault="00A24D2E" w:rsidP="00A24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32CE"/>
    <w:multiLevelType w:val="hybridMultilevel"/>
    <w:tmpl w:val="64CEB9F0"/>
    <w:lvl w:ilvl="0" w:tplc="C9C406E8">
      <w:start w:val="1"/>
      <w:numFmt w:val="bullet"/>
      <w:pStyle w:val="AERfactsheetbulletlist"/>
      <w:lvlText w:val=""/>
      <w:lvlJc w:val="left"/>
      <w:pPr>
        <w:ind w:left="578" w:hanging="360"/>
      </w:pPr>
      <w:rPr>
        <w:rFonts w:ascii="Wingdings" w:hAnsi="Wingdings" w:hint="default"/>
        <w:b w:val="0"/>
        <w:i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3B5B40A8"/>
    <w:multiLevelType w:val="hybridMultilevel"/>
    <w:tmpl w:val="7BFCF0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575BF"/>
    <w:multiLevelType w:val="hybridMultilevel"/>
    <w:tmpl w:val="520AAE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E1809"/>
    <w:multiLevelType w:val="hybridMultilevel"/>
    <w:tmpl w:val="8B549D7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487971"/>
    <w:multiLevelType w:val="multilevel"/>
    <w:tmpl w:val="B1FCC85A"/>
    <w:lvl w:ilvl="0">
      <w:start w:val="1"/>
      <w:numFmt w:val="none"/>
      <w:pStyle w:val="AERbodytext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AERnumberedlistfirststyle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2">
      <w:start w:val="1"/>
      <w:numFmt w:val="lowerLetter"/>
      <w:pStyle w:val="AERnumberedlistsecondstyle"/>
      <w:lvlText w:val="%3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1"/>
      <w:numFmt w:val="lowerRoman"/>
      <w:pStyle w:val="AERnumberedlistthirdstyle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5C04619A"/>
    <w:multiLevelType w:val="hybridMultilevel"/>
    <w:tmpl w:val="56C09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\\cbrvpwxfs01\home$\ASAST\factsheet - rate of return - b (D2013-00116301).docx"/>
  </w:docVars>
  <w:rsids>
    <w:rsidRoot w:val="00021F03"/>
    <w:rsid w:val="00012AC9"/>
    <w:rsid w:val="000173D5"/>
    <w:rsid w:val="000175A4"/>
    <w:rsid w:val="00021F03"/>
    <w:rsid w:val="00027076"/>
    <w:rsid w:val="00035993"/>
    <w:rsid w:val="000437AC"/>
    <w:rsid w:val="000454A0"/>
    <w:rsid w:val="000742B2"/>
    <w:rsid w:val="0007657B"/>
    <w:rsid w:val="00084C36"/>
    <w:rsid w:val="00097937"/>
    <w:rsid w:val="000B05F7"/>
    <w:rsid w:val="000C025A"/>
    <w:rsid w:val="000C07AD"/>
    <w:rsid w:val="000C712D"/>
    <w:rsid w:val="000D4877"/>
    <w:rsid w:val="000E2D55"/>
    <w:rsid w:val="0010059A"/>
    <w:rsid w:val="00113361"/>
    <w:rsid w:val="00131C78"/>
    <w:rsid w:val="00134644"/>
    <w:rsid w:val="001364E9"/>
    <w:rsid w:val="0016071A"/>
    <w:rsid w:val="00161423"/>
    <w:rsid w:val="00163E50"/>
    <w:rsid w:val="00193867"/>
    <w:rsid w:val="00194A45"/>
    <w:rsid w:val="001A23C5"/>
    <w:rsid w:val="001A3711"/>
    <w:rsid w:val="001A5BC1"/>
    <w:rsid w:val="001B10C7"/>
    <w:rsid w:val="001D3D87"/>
    <w:rsid w:val="001D49FD"/>
    <w:rsid w:val="001E42DA"/>
    <w:rsid w:val="001F15F8"/>
    <w:rsid w:val="001F2550"/>
    <w:rsid w:val="002106B5"/>
    <w:rsid w:val="00211FD6"/>
    <w:rsid w:val="00216967"/>
    <w:rsid w:val="00223084"/>
    <w:rsid w:val="00225391"/>
    <w:rsid w:val="0022594B"/>
    <w:rsid w:val="00235775"/>
    <w:rsid w:val="00235852"/>
    <w:rsid w:val="002425E7"/>
    <w:rsid w:val="00257B6D"/>
    <w:rsid w:val="00263811"/>
    <w:rsid w:val="00285C21"/>
    <w:rsid w:val="002952EB"/>
    <w:rsid w:val="002A473F"/>
    <w:rsid w:val="002B7BBC"/>
    <w:rsid w:val="002E57B4"/>
    <w:rsid w:val="002E7F4D"/>
    <w:rsid w:val="003118DF"/>
    <w:rsid w:val="0031269F"/>
    <w:rsid w:val="00342DB1"/>
    <w:rsid w:val="00346F63"/>
    <w:rsid w:val="00354991"/>
    <w:rsid w:val="00356833"/>
    <w:rsid w:val="00360C93"/>
    <w:rsid w:val="00385BB9"/>
    <w:rsid w:val="003870D8"/>
    <w:rsid w:val="003876E1"/>
    <w:rsid w:val="00391B7D"/>
    <w:rsid w:val="00404570"/>
    <w:rsid w:val="0042329B"/>
    <w:rsid w:val="004310E5"/>
    <w:rsid w:val="00446186"/>
    <w:rsid w:val="0045172C"/>
    <w:rsid w:val="004548EF"/>
    <w:rsid w:val="00474754"/>
    <w:rsid w:val="004842F6"/>
    <w:rsid w:val="004971B8"/>
    <w:rsid w:val="004B0368"/>
    <w:rsid w:val="004B40E2"/>
    <w:rsid w:val="004C1027"/>
    <w:rsid w:val="004C19B8"/>
    <w:rsid w:val="004C5F9A"/>
    <w:rsid w:val="004D1DC0"/>
    <w:rsid w:val="004D52BB"/>
    <w:rsid w:val="004E0FF6"/>
    <w:rsid w:val="004E1208"/>
    <w:rsid w:val="004E4F29"/>
    <w:rsid w:val="0050430D"/>
    <w:rsid w:val="005064D7"/>
    <w:rsid w:val="00511B82"/>
    <w:rsid w:val="00513FFD"/>
    <w:rsid w:val="00526C37"/>
    <w:rsid w:val="005324C6"/>
    <w:rsid w:val="005524C5"/>
    <w:rsid w:val="00554E14"/>
    <w:rsid w:val="0055584F"/>
    <w:rsid w:val="005746F0"/>
    <w:rsid w:val="005A1CBA"/>
    <w:rsid w:val="005A468C"/>
    <w:rsid w:val="005C144C"/>
    <w:rsid w:val="005D2EBB"/>
    <w:rsid w:val="005E0762"/>
    <w:rsid w:val="005E1E92"/>
    <w:rsid w:val="005E4018"/>
    <w:rsid w:val="005F2DC5"/>
    <w:rsid w:val="005F4DFA"/>
    <w:rsid w:val="006030C0"/>
    <w:rsid w:val="0061155D"/>
    <w:rsid w:val="00652BED"/>
    <w:rsid w:val="00661A9B"/>
    <w:rsid w:val="00662BB4"/>
    <w:rsid w:val="00664010"/>
    <w:rsid w:val="0066415A"/>
    <w:rsid w:val="006721DC"/>
    <w:rsid w:val="00697FF1"/>
    <w:rsid w:val="006A07F6"/>
    <w:rsid w:val="006B322A"/>
    <w:rsid w:val="006B39DB"/>
    <w:rsid w:val="006B6050"/>
    <w:rsid w:val="006C4CC5"/>
    <w:rsid w:val="006D0E7F"/>
    <w:rsid w:val="006D5C4C"/>
    <w:rsid w:val="006F2E4F"/>
    <w:rsid w:val="006F47BA"/>
    <w:rsid w:val="00702500"/>
    <w:rsid w:val="00704EDA"/>
    <w:rsid w:val="007101C1"/>
    <w:rsid w:val="00726CCA"/>
    <w:rsid w:val="007325CC"/>
    <w:rsid w:val="00742DF1"/>
    <w:rsid w:val="00753DF7"/>
    <w:rsid w:val="00754FD0"/>
    <w:rsid w:val="00776ACC"/>
    <w:rsid w:val="007853FF"/>
    <w:rsid w:val="007952B3"/>
    <w:rsid w:val="007A0EEB"/>
    <w:rsid w:val="007B591B"/>
    <w:rsid w:val="007B6947"/>
    <w:rsid w:val="007C2B2C"/>
    <w:rsid w:val="007C3C57"/>
    <w:rsid w:val="007C5329"/>
    <w:rsid w:val="007C54FB"/>
    <w:rsid w:val="007F437A"/>
    <w:rsid w:val="00807259"/>
    <w:rsid w:val="008472A8"/>
    <w:rsid w:val="008535C7"/>
    <w:rsid w:val="00856D44"/>
    <w:rsid w:val="008665CD"/>
    <w:rsid w:val="00871903"/>
    <w:rsid w:val="00877A69"/>
    <w:rsid w:val="00893B2B"/>
    <w:rsid w:val="008A1608"/>
    <w:rsid w:val="008A7F44"/>
    <w:rsid w:val="008B28DF"/>
    <w:rsid w:val="008B33C3"/>
    <w:rsid w:val="008B4DBF"/>
    <w:rsid w:val="008C1F3B"/>
    <w:rsid w:val="008C32AF"/>
    <w:rsid w:val="008C5689"/>
    <w:rsid w:val="008D2A86"/>
    <w:rsid w:val="008D722A"/>
    <w:rsid w:val="008F6C14"/>
    <w:rsid w:val="009032EB"/>
    <w:rsid w:val="00916002"/>
    <w:rsid w:val="0092057B"/>
    <w:rsid w:val="00930D72"/>
    <w:rsid w:val="00935936"/>
    <w:rsid w:val="00935CAA"/>
    <w:rsid w:val="00960E54"/>
    <w:rsid w:val="009612A1"/>
    <w:rsid w:val="00963F5A"/>
    <w:rsid w:val="00993D60"/>
    <w:rsid w:val="009A2BB4"/>
    <w:rsid w:val="009A702D"/>
    <w:rsid w:val="009B2454"/>
    <w:rsid w:val="009B4D12"/>
    <w:rsid w:val="009B60B7"/>
    <w:rsid w:val="009C0036"/>
    <w:rsid w:val="009D246A"/>
    <w:rsid w:val="009D3F78"/>
    <w:rsid w:val="009E0E68"/>
    <w:rsid w:val="009F6F78"/>
    <w:rsid w:val="009F7619"/>
    <w:rsid w:val="00A0352C"/>
    <w:rsid w:val="00A1351A"/>
    <w:rsid w:val="00A20B7E"/>
    <w:rsid w:val="00A24D2E"/>
    <w:rsid w:val="00A2725A"/>
    <w:rsid w:val="00A30414"/>
    <w:rsid w:val="00A32825"/>
    <w:rsid w:val="00A427A5"/>
    <w:rsid w:val="00A43B3F"/>
    <w:rsid w:val="00A43FE2"/>
    <w:rsid w:val="00A45346"/>
    <w:rsid w:val="00A5063D"/>
    <w:rsid w:val="00A50ACB"/>
    <w:rsid w:val="00A95A1E"/>
    <w:rsid w:val="00A95AD6"/>
    <w:rsid w:val="00A964D1"/>
    <w:rsid w:val="00AA4694"/>
    <w:rsid w:val="00AA7208"/>
    <w:rsid w:val="00AB2954"/>
    <w:rsid w:val="00AC0236"/>
    <w:rsid w:val="00AC5FBF"/>
    <w:rsid w:val="00AD2EBC"/>
    <w:rsid w:val="00AD53EF"/>
    <w:rsid w:val="00B0183D"/>
    <w:rsid w:val="00B2084F"/>
    <w:rsid w:val="00B221EC"/>
    <w:rsid w:val="00B3667B"/>
    <w:rsid w:val="00B4272E"/>
    <w:rsid w:val="00B54743"/>
    <w:rsid w:val="00B54816"/>
    <w:rsid w:val="00B64AAB"/>
    <w:rsid w:val="00B73353"/>
    <w:rsid w:val="00B74064"/>
    <w:rsid w:val="00B74543"/>
    <w:rsid w:val="00B74C3C"/>
    <w:rsid w:val="00B80182"/>
    <w:rsid w:val="00B87130"/>
    <w:rsid w:val="00BA42E7"/>
    <w:rsid w:val="00BB5A5D"/>
    <w:rsid w:val="00BB6ACB"/>
    <w:rsid w:val="00BB7E86"/>
    <w:rsid w:val="00BE5A7F"/>
    <w:rsid w:val="00BF5D39"/>
    <w:rsid w:val="00C034EE"/>
    <w:rsid w:val="00C11E06"/>
    <w:rsid w:val="00C12C1F"/>
    <w:rsid w:val="00C13A11"/>
    <w:rsid w:val="00C162C3"/>
    <w:rsid w:val="00C258B0"/>
    <w:rsid w:val="00C70125"/>
    <w:rsid w:val="00C71947"/>
    <w:rsid w:val="00C73523"/>
    <w:rsid w:val="00C866CD"/>
    <w:rsid w:val="00C87AC3"/>
    <w:rsid w:val="00C92E99"/>
    <w:rsid w:val="00C95BF3"/>
    <w:rsid w:val="00CA0863"/>
    <w:rsid w:val="00CA171E"/>
    <w:rsid w:val="00CA4673"/>
    <w:rsid w:val="00CB3718"/>
    <w:rsid w:val="00CF228C"/>
    <w:rsid w:val="00D015A2"/>
    <w:rsid w:val="00D0705E"/>
    <w:rsid w:val="00D113E9"/>
    <w:rsid w:val="00D23092"/>
    <w:rsid w:val="00D30B52"/>
    <w:rsid w:val="00D5558F"/>
    <w:rsid w:val="00D74296"/>
    <w:rsid w:val="00D94B4D"/>
    <w:rsid w:val="00DA03CB"/>
    <w:rsid w:val="00DA4F7E"/>
    <w:rsid w:val="00DC20AA"/>
    <w:rsid w:val="00DD18BD"/>
    <w:rsid w:val="00DE5EEE"/>
    <w:rsid w:val="00E1275F"/>
    <w:rsid w:val="00E32544"/>
    <w:rsid w:val="00E342E9"/>
    <w:rsid w:val="00E36170"/>
    <w:rsid w:val="00E43302"/>
    <w:rsid w:val="00E54B7A"/>
    <w:rsid w:val="00E61AE2"/>
    <w:rsid w:val="00E67143"/>
    <w:rsid w:val="00E86ED3"/>
    <w:rsid w:val="00E8783E"/>
    <w:rsid w:val="00E91EBB"/>
    <w:rsid w:val="00EA61F6"/>
    <w:rsid w:val="00ED6886"/>
    <w:rsid w:val="00EF2D77"/>
    <w:rsid w:val="00F06A11"/>
    <w:rsid w:val="00F0776A"/>
    <w:rsid w:val="00F12886"/>
    <w:rsid w:val="00F12DB4"/>
    <w:rsid w:val="00F209E0"/>
    <w:rsid w:val="00F44A65"/>
    <w:rsid w:val="00F4505F"/>
    <w:rsid w:val="00F52FF0"/>
    <w:rsid w:val="00F56BC0"/>
    <w:rsid w:val="00F62290"/>
    <w:rsid w:val="00F675D7"/>
    <w:rsid w:val="00F7252E"/>
    <w:rsid w:val="00F85337"/>
    <w:rsid w:val="00F91200"/>
    <w:rsid w:val="00FB1910"/>
    <w:rsid w:val="00FC5AB0"/>
    <w:rsid w:val="00FD34FF"/>
    <w:rsid w:val="00FE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258B0"/>
  </w:style>
  <w:style w:type="paragraph" w:styleId="Heading4">
    <w:name w:val="heading 4"/>
    <w:basedOn w:val="Normal"/>
    <w:next w:val="Normal"/>
    <w:link w:val="Heading4Char"/>
    <w:uiPriority w:val="9"/>
    <w:qFormat/>
    <w:rsid w:val="00697FF1"/>
    <w:pPr>
      <w:keepNext/>
      <w:spacing w:after="240" w:line="288" w:lineRule="auto"/>
      <w:jc w:val="both"/>
      <w:outlineLvl w:val="3"/>
    </w:pPr>
    <w:rPr>
      <w:rFonts w:ascii="Gautami" w:eastAsia="Times New Roman" w:hAnsi="Gautami"/>
      <w:b/>
      <w:iCs/>
      <w:color w:val="365F9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ERtextitalic">
    <w:name w:val="AER text italic"/>
    <w:rsid w:val="00AC0236"/>
    <w:rPr>
      <w:i/>
    </w:rPr>
  </w:style>
  <w:style w:type="character" w:customStyle="1" w:styleId="Heading4Char">
    <w:name w:val="Heading 4 Char"/>
    <w:link w:val="Heading4"/>
    <w:uiPriority w:val="9"/>
    <w:rsid w:val="00697FF1"/>
    <w:rPr>
      <w:rFonts w:ascii="Gautami" w:eastAsia="Times New Roman" w:hAnsi="Gautami"/>
      <w:b/>
      <w:iCs/>
      <w:color w:val="365F91"/>
      <w:sz w:val="24"/>
      <w:szCs w:val="24"/>
    </w:rPr>
  </w:style>
  <w:style w:type="character" w:customStyle="1" w:styleId="AERtextbold">
    <w:name w:val="AER text bold"/>
    <w:rsid w:val="00AC0236"/>
    <w:rPr>
      <w:b/>
    </w:rPr>
  </w:style>
  <w:style w:type="paragraph" w:customStyle="1" w:styleId="AERbodytextnospace">
    <w:name w:val="AER body text no space"/>
    <w:basedOn w:val="Normal"/>
    <w:rsid w:val="00AC0236"/>
    <w:pPr>
      <w:spacing w:line="288" w:lineRule="auto"/>
      <w:jc w:val="both"/>
    </w:pPr>
    <w:rPr>
      <w:rFonts w:ascii="Gautami" w:eastAsia="Times New Roman" w:hAnsi="Gautami"/>
      <w:szCs w:val="24"/>
    </w:rPr>
  </w:style>
  <w:style w:type="paragraph" w:customStyle="1" w:styleId="AERbodytext">
    <w:name w:val="AER body text"/>
    <w:rsid w:val="00AC0236"/>
    <w:pPr>
      <w:numPr>
        <w:numId w:val="2"/>
      </w:numPr>
      <w:spacing w:after="240" w:line="288" w:lineRule="auto"/>
      <w:jc w:val="both"/>
    </w:pPr>
    <w:rPr>
      <w:rFonts w:ascii="Gautami" w:eastAsia="Times New Roman" w:hAnsi="Gautami"/>
      <w:szCs w:val="24"/>
    </w:rPr>
  </w:style>
  <w:style w:type="paragraph" w:customStyle="1" w:styleId="AERnumberedlistfirststyle">
    <w:name w:val="AER numbered list (first style)"/>
    <w:basedOn w:val="AERbodytext"/>
    <w:rsid w:val="00AC0236"/>
    <w:pPr>
      <w:numPr>
        <w:ilvl w:val="1"/>
      </w:numPr>
      <w:spacing w:after="200"/>
    </w:pPr>
  </w:style>
  <w:style w:type="paragraph" w:customStyle="1" w:styleId="AERnumberedlistsecondstyle">
    <w:name w:val="AER numbered list (second style)"/>
    <w:basedOn w:val="AERnumberedlistfirststyle"/>
    <w:rsid w:val="00AC0236"/>
    <w:pPr>
      <w:numPr>
        <w:ilvl w:val="2"/>
      </w:numPr>
    </w:pPr>
  </w:style>
  <w:style w:type="paragraph" w:customStyle="1" w:styleId="AERnumberedlistthirdstyle">
    <w:name w:val="AER numbered list (third style)"/>
    <w:basedOn w:val="AERnumberedlistsecondstyle"/>
    <w:rsid w:val="00AC0236"/>
    <w:pPr>
      <w:numPr>
        <w:ilvl w:val="3"/>
      </w:numPr>
    </w:pPr>
  </w:style>
  <w:style w:type="paragraph" w:customStyle="1" w:styleId="Default">
    <w:name w:val="Default"/>
    <w:rsid w:val="00AC0236"/>
    <w:pPr>
      <w:autoSpaceDE w:val="0"/>
      <w:autoSpaceDN w:val="0"/>
      <w:adjustRightInd w:val="0"/>
    </w:pPr>
    <w:rPr>
      <w:rFonts w:ascii="DINOT-Regular" w:eastAsia="Times New Roman" w:hAnsi="DINOT-Regular" w:cs="DINOT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324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unhideWhenUsed/>
    <w:rsid w:val="005324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9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7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2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2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2A8"/>
    <w:rPr>
      <w:b/>
      <w:bCs/>
      <w:sz w:val="20"/>
      <w:szCs w:val="20"/>
    </w:rPr>
  </w:style>
  <w:style w:type="paragraph" w:customStyle="1" w:styleId="AERfactsheetsubtitle">
    <w:name w:val="AER factsheet subtitle"/>
    <w:basedOn w:val="Subtitle"/>
    <w:next w:val="Normal"/>
    <w:qFormat/>
    <w:rsid w:val="00697FF1"/>
    <w:pPr>
      <w:spacing w:after="0"/>
    </w:pPr>
    <w:rPr>
      <w:rFonts w:ascii="Tunga" w:eastAsia="Times New Roman" w:hAnsi="Tunga" w:cs="Tunga"/>
      <w:i w:val="0"/>
      <w:color w:val="000000"/>
      <w:spacing w:val="16"/>
      <w:kern w:val="20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FF1"/>
    <w:pPr>
      <w:numPr>
        <w:ilvl w:val="1"/>
      </w:numPr>
      <w:spacing w:after="200" w:line="276" w:lineRule="auto"/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697FF1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paragraph" w:customStyle="1" w:styleId="AERFactsheetHeading1">
    <w:name w:val="AER Factsheet Heading 1"/>
    <w:basedOn w:val="Heading4"/>
    <w:qFormat/>
    <w:rsid w:val="00697FF1"/>
    <w:pPr>
      <w:spacing w:before="240" w:after="120" w:line="240" w:lineRule="auto"/>
      <w:jc w:val="left"/>
    </w:pPr>
    <w:rPr>
      <w:rFonts w:ascii="Tunga" w:hAnsi="Tunga" w:cs="Tunga"/>
      <w:color w:val="006A99"/>
      <w:kern w:val="24"/>
    </w:rPr>
  </w:style>
  <w:style w:type="paragraph" w:customStyle="1" w:styleId="AERfactsheetbodytext">
    <w:name w:val="AER factsheet body text"/>
    <w:basedOn w:val="Normal"/>
    <w:qFormat/>
    <w:rsid w:val="00697FF1"/>
    <w:pPr>
      <w:spacing w:after="120" w:line="252" w:lineRule="auto"/>
    </w:pPr>
    <w:rPr>
      <w:rFonts w:ascii="MS Reference Sans Serif" w:hAnsi="MS Reference Sans Serif" w:cs="Shruti"/>
      <w:spacing w:val="-10"/>
      <w:sz w:val="18"/>
      <w:szCs w:val="22"/>
    </w:rPr>
  </w:style>
  <w:style w:type="paragraph" w:customStyle="1" w:styleId="AERfactsheetbulletlist">
    <w:name w:val="AER factsheet bullet list"/>
    <w:basedOn w:val="AERbodytextnospace"/>
    <w:qFormat/>
    <w:rsid w:val="00697FF1"/>
    <w:pPr>
      <w:numPr>
        <w:numId w:val="1"/>
      </w:numPr>
      <w:spacing w:after="120" w:line="252" w:lineRule="auto"/>
      <w:ind w:left="284" w:hanging="284"/>
      <w:jc w:val="left"/>
    </w:pPr>
    <w:rPr>
      <w:rFonts w:ascii="MS Reference Sans Serif" w:hAnsi="MS Reference Sans Serif" w:cs="Shruti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697FF1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Caption">
    <w:name w:val="caption"/>
    <w:basedOn w:val="Normal"/>
    <w:next w:val="Normal"/>
    <w:uiPriority w:val="35"/>
    <w:qFormat/>
    <w:rsid w:val="004D1DC0"/>
    <w:pPr>
      <w:keepNext/>
      <w:tabs>
        <w:tab w:val="left" w:pos="1440"/>
      </w:tabs>
      <w:spacing w:before="120" w:after="120" w:line="288" w:lineRule="auto"/>
      <w:ind w:left="1440" w:hanging="1440"/>
      <w:jc w:val="both"/>
    </w:pPr>
    <w:rPr>
      <w:rFonts w:ascii="Gautami" w:eastAsia="Times New Roman" w:hAnsi="Gautami"/>
      <w:b/>
      <w:bCs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D2A8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63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258B0"/>
  </w:style>
  <w:style w:type="paragraph" w:styleId="Heading4">
    <w:name w:val="heading 4"/>
    <w:basedOn w:val="Normal"/>
    <w:next w:val="Normal"/>
    <w:link w:val="Heading4Char"/>
    <w:uiPriority w:val="9"/>
    <w:qFormat/>
    <w:rsid w:val="00697FF1"/>
    <w:pPr>
      <w:keepNext/>
      <w:spacing w:after="240" w:line="288" w:lineRule="auto"/>
      <w:jc w:val="both"/>
      <w:outlineLvl w:val="3"/>
    </w:pPr>
    <w:rPr>
      <w:rFonts w:ascii="Gautami" w:eastAsia="Times New Roman" w:hAnsi="Gautami"/>
      <w:b/>
      <w:iCs/>
      <w:color w:val="365F9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ERtextitalic">
    <w:name w:val="AER text italic"/>
    <w:rsid w:val="00AC0236"/>
    <w:rPr>
      <w:i/>
    </w:rPr>
  </w:style>
  <w:style w:type="character" w:customStyle="1" w:styleId="Heading4Char">
    <w:name w:val="Heading 4 Char"/>
    <w:link w:val="Heading4"/>
    <w:uiPriority w:val="9"/>
    <w:rsid w:val="00697FF1"/>
    <w:rPr>
      <w:rFonts w:ascii="Gautami" w:eastAsia="Times New Roman" w:hAnsi="Gautami"/>
      <w:b/>
      <w:iCs/>
      <w:color w:val="365F91"/>
      <w:sz w:val="24"/>
      <w:szCs w:val="24"/>
    </w:rPr>
  </w:style>
  <w:style w:type="character" w:customStyle="1" w:styleId="AERtextbold">
    <w:name w:val="AER text bold"/>
    <w:rsid w:val="00AC0236"/>
    <w:rPr>
      <w:b/>
    </w:rPr>
  </w:style>
  <w:style w:type="paragraph" w:customStyle="1" w:styleId="AERbodytextnospace">
    <w:name w:val="AER body text no space"/>
    <w:basedOn w:val="Normal"/>
    <w:rsid w:val="00AC0236"/>
    <w:pPr>
      <w:spacing w:line="288" w:lineRule="auto"/>
      <w:jc w:val="both"/>
    </w:pPr>
    <w:rPr>
      <w:rFonts w:ascii="Gautami" w:eastAsia="Times New Roman" w:hAnsi="Gautami"/>
      <w:szCs w:val="24"/>
    </w:rPr>
  </w:style>
  <w:style w:type="paragraph" w:customStyle="1" w:styleId="AERbodytext">
    <w:name w:val="AER body text"/>
    <w:rsid w:val="00AC0236"/>
    <w:pPr>
      <w:numPr>
        <w:numId w:val="2"/>
      </w:numPr>
      <w:spacing w:after="240" w:line="288" w:lineRule="auto"/>
      <w:jc w:val="both"/>
    </w:pPr>
    <w:rPr>
      <w:rFonts w:ascii="Gautami" w:eastAsia="Times New Roman" w:hAnsi="Gautami"/>
      <w:szCs w:val="24"/>
    </w:rPr>
  </w:style>
  <w:style w:type="paragraph" w:customStyle="1" w:styleId="AERnumberedlistfirststyle">
    <w:name w:val="AER numbered list (first style)"/>
    <w:basedOn w:val="AERbodytext"/>
    <w:rsid w:val="00AC0236"/>
    <w:pPr>
      <w:numPr>
        <w:ilvl w:val="1"/>
      </w:numPr>
      <w:spacing w:after="200"/>
    </w:pPr>
  </w:style>
  <w:style w:type="paragraph" w:customStyle="1" w:styleId="AERnumberedlistsecondstyle">
    <w:name w:val="AER numbered list (second style)"/>
    <w:basedOn w:val="AERnumberedlistfirststyle"/>
    <w:rsid w:val="00AC0236"/>
    <w:pPr>
      <w:numPr>
        <w:ilvl w:val="2"/>
      </w:numPr>
    </w:pPr>
  </w:style>
  <w:style w:type="paragraph" w:customStyle="1" w:styleId="AERnumberedlistthirdstyle">
    <w:name w:val="AER numbered list (third style)"/>
    <w:basedOn w:val="AERnumberedlistsecondstyle"/>
    <w:rsid w:val="00AC0236"/>
    <w:pPr>
      <w:numPr>
        <w:ilvl w:val="3"/>
      </w:numPr>
    </w:pPr>
  </w:style>
  <w:style w:type="paragraph" w:customStyle="1" w:styleId="Default">
    <w:name w:val="Default"/>
    <w:rsid w:val="00AC0236"/>
    <w:pPr>
      <w:autoSpaceDE w:val="0"/>
      <w:autoSpaceDN w:val="0"/>
      <w:adjustRightInd w:val="0"/>
    </w:pPr>
    <w:rPr>
      <w:rFonts w:ascii="DINOT-Regular" w:eastAsia="Times New Roman" w:hAnsi="DINOT-Regular" w:cs="DINOT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324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unhideWhenUsed/>
    <w:rsid w:val="005324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9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7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2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2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2A8"/>
    <w:rPr>
      <w:b/>
      <w:bCs/>
      <w:sz w:val="20"/>
      <w:szCs w:val="20"/>
    </w:rPr>
  </w:style>
  <w:style w:type="paragraph" w:customStyle="1" w:styleId="AERfactsheetsubtitle">
    <w:name w:val="AER factsheet subtitle"/>
    <w:basedOn w:val="Subtitle"/>
    <w:next w:val="Normal"/>
    <w:qFormat/>
    <w:rsid w:val="00697FF1"/>
    <w:pPr>
      <w:spacing w:after="0"/>
    </w:pPr>
    <w:rPr>
      <w:rFonts w:ascii="Tunga" w:eastAsia="Times New Roman" w:hAnsi="Tunga" w:cs="Tunga"/>
      <w:i w:val="0"/>
      <w:color w:val="000000"/>
      <w:spacing w:val="16"/>
      <w:kern w:val="20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FF1"/>
    <w:pPr>
      <w:numPr>
        <w:ilvl w:val="1"/>
      </w:numPr>
      <w:spacing w:after="200" w:line="276" w:lineRule="auto"/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697FF1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paragraph" w:customStyle="1" w:styleId="AERFactsheetHeading1">
    <w:name w:val="AER Factsheet Heading 1"/>
    <w:basedOn w:val="Heading4"/>
    <w:qFormat/>
    <w:rsid w:val="00697FF1"/>
    <w:pPr>
      <w:spacing w:before="240" w:after="120" w:line="240" w:lineRule="auto"/>
      <w:jc w:val="left"/>
    </w:pPr>
    <w:rPr>
      <w:rFonts w:ascii="Tunga" w:hAnsi="Tunga" w:cs="Tunga"/>
      <w:color w:val="006A99"/>
      <w:kern w:val="24"/>
    </w:rPr>
  </w:style>
  <w:style w:type="paragraph" w:customStyle="1" w:styleId="AERfactsheetbodytext">
    <w:name w:val="AER factsheet body text"/>
    <w:basedOn w:val="Normal"/>
    <w:qFormat/>
    <w:rsid w:val="00697FF1"/>
    <w:pPr>
      <w:spacing w:after="120" w:line="252" w:lineRule="auto"/>
    </w:pPr>
    <w:rPr>
      <w:rFonts w:ascii="MS Reference Sans Serif" w:hAnsi="MS Reference Sans Serif" w:cs="Shruti"/>
      <w:spacing w:val="-10"/>
      <w:sz w:val="18"/>
      <w:szCs w:val="22"/>
    </w:rPr>
  </w:style>
  <w:style w:type="paragraph" w:customStyle="1" w:styleId="AERfactsheetbulletlist">
    <w:name w:val="AER factsheet bullet list"/>
    <w:basedOn w:val="AERbodytextnospace"/>
    <w:qFormat/>
    <w:rsid w:val="00697FF1"/>
    <w:pPr>
      <w:numPr>
        <w:numId w:val="1"/>
      </w:numPr>
      <w:spacing w:after="120" w:line="252" w:lineRule="auto"/>
      <w:ind w:left="284" w:hanging="284"/>
      <w:jc w:val="left"/>
    </w:pPr>
    <w:rPr>
      <w:rFonts w:ascii="MS Reference Sans Serif" w:hAnsi="MS Reference Sans Serif" w:cs="Shruti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697FF1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Caption">
    <w:name w:val="caption"/>
    <w:basedOn w:val="Normal"/>
    <w:next w:val="Normal"/>
    <w:uiPriority w:val="35"/>
    <w:qFormat/>
    <w:rsid w:val="004D1DC0"/>
    <w:pPr>
      <w:keepNext/>
      <w:tabs>
        <w:tab w:val="left" w:pos="1440"/>
      </w:tabs>
      <w:spacing w:before="120" w:after="120" w:line="288" w:lineRule="auto"/>
      <w:ind w:left="1440" w:hanging="1440"/>
      <w:jc w:val="both"/>
    </w:pPr>
    <w:rPr>
      <w:rFonts w:ascii="Gautami" w:eastAsia="Times New Roman" w:hAnsi="Gautami"/>
      <w:b/>
      <w:bCs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D2A8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6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04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0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0350">
                                      <w:marLeft w:val="240"/>
                                      <w:marRight w:val="24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7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38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97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67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050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01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er.gov.au/better-regulation-reform-progr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ateofreturn@aer.gov.a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er.gov.au/node/1885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etterregulation@aer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872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2013-08-29T06:15:00Z</dcterms:created>
  <dcterms:modified xsi:type="dcterms:W3CDTF">2013-08-29T06:16:00Z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I">
    <vt:lpwstr>8041877</vt:lpwstr>
  </property>
</Properties>
</file>