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753DF7" w:rsidRDefault="00753DF7" w:rsidP="00753DF7">
      <w:pPr>
        <w:pStyle w:val="AERfactsheetsubtitle"/>
        <w:rPr>
          <w:sz w:val="12"/>
        </w:rPr>
      </w:pPr>
      <w:bookmarkStart w:id="0" w:name="_GoBack"/>
      <w:bookmarkEnd w:id="0"/>
    </w:p>
    <w:p w:rsidR="005524C5" w:rsidRPr="00753DF7" w:rsidRDefault="00AC0236" w:rsidP="00753DF7">
      <w:pPr>
        <w:pStyle w:val="AERfactsheetsubtitle"/>
        <w:rPr>
          <w:sz w:val="2"/>
        </w:rPr>
      </w:pPr>
      <w:r w:rsidRPr="00B0183D">
        <w:rPr>
          <w:noProof/>
          <w:sz w:val="18"/>
          <w:lang w:eastAsia="en-AU"/>
        </w:rPr>
        <mc:AlternateContent>
          <mc:Choice Requires="wpg">
            <w:drawing>
              <wp:anchor distT="0" distB="0" distL="114300" distR="114300" simplePos="0" relativeHeight="251657216" behindDoc="0" locked="0" layoutInCell="1" allowOverlap="1" wp14:anchorId="13CA060F" wp14:editId="48571B3B">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15A" w:rsidRPr="0008782C" w:rsidRDefault="0066415A" w:rsidP="001D49FD">
                              <w:pPr>
                                <w:ind w:left="567"/>
                                <w:rPr>
                                  <w:rFonts w:cs="Calibri"/>
                                  <w:color w:val="FFFFFF"/>
                                  <w:sz w:val="32"/>
                                </w:rPr>
                              </w:pPr>
                            </w:p>
                            <w:p w:rsidR="0066415A" w:rsidRPr="00225391" w:rsidRDefault="0066415A"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66415A" w:rsidRPr="00225391" w:rsidRDefault="0066415A" w:rsidP="004D1DC0">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Draft expenditure incentives</w:t>
                              </w:r>
                            </w:p>
                            <w:p w:rsidR="0066415A" w:rsidRPr="00F97D44" w:rsidRDefault="0066415A"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9 August </w:t>
                              </w:r>
                              <w:r w:rsidRPr="00F97D44">
                                <w:rPr>
                                  <w:rFonts w:ascii="MS Reference Sans Serif" w:hAnsi="MS Reference Sans Serif" w:cs="Tunga"/>
                                  <w:b/>
                                  <w:color w:val="FFFFFF"/>
                                  <w:w w:val="95"/>
                                  <w:kern w:val="44"/>
                                </w:rPr>
                                <w:t>2013</w:t>
                              </w:r>
                            </w:p>
                            <w:p w:rsidR="0066415A" w:rsidRPr="00E83166" w:rsidRDefault="0066415A" w:rsidP="001D49FD">
                              <w:pPr>
                                <w:ind w:left="567" w:right="681"/>
                                <w:jc w:val="right"/>
                                <w:rPr>
                                  <w:rFonts w:ascii="MS Reference Sans Serif" w:hAnsi="MS Reference Sans Serif" w:cs="Tunga"/>
                                  <w:color w:val="FFFFFF"/>
                                </w:rPr>
                              </w:pPr>
                            </w:p>
                            <w:p w:rsidR="0066415A" w:rsidRPr="00390BEB" w:rsidRDefault="0066415A"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66415A" w:rsidRPr="0008782C" w:rsidRDefault="0066415A" w:rsidP="001D49FD">
                        <w:pPr>
                          <w:ind w:left="567"/>
                          <w:rPr>
                            <w:rFonts w:cs="Calibri"/>
                            <w:color w:val="FFFFFF"/>
                            <w:sz w:val="32"/>
                          </w:rPr>
                        </w:pPr>
                      </w:p>
                      <w:p w:rsidR="0066415A" w:rsidRPr="00225391" w:rsidRDefault="0066415A"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66415A" w:rsidRPr="00225391" w:rsidRDefault="0066415A" w:rsidP="004D1DC0">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Draft expenditure incentives</w:t>
                        </w:r>
                      </w:p>
                      <w:p w:rsidR="0066415A" w:rsidRPr="00F97D44" w:rsidRDefault="0066415A"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9 August </w:t>
                        </w:r>
                        <w:r w:rsidRPr="00F97D44">
                          <w:rPr>
                            <w:rFonts w:ascii="MS Reference Sans Serif" w:hAnsi="MS Reference Sans Serif" w:cs="Tunga"/>
                            <w:b/>
                            <w:color w:val="FFFFFF"/>
                            <w:w w:val="95"/>
                            <w:kern w:val="44"/>
                          </w:rPr>
                          <w:t>2013</w:t>
                        </w:r>
                      </w:p>
                      <w:p w:rsidR="0066415A" w:rsidRPr="00E83166" w:rsidRDefault="0066415A" w:rsidP="001D49FD">
                        <w:pPr>
                          <w:ind w:left="567" w:right="681"/>
                          <w:jc w:val="right"/>
                          <w:rPr>
                            <w:rFonts w:ascii="MS Reference Sans Serif" w:hAnsi="MS Reference Sans Serif" w:cs="Tunga"/>
                            <w:color w:val="FFFFFF"/>
                          </w:rPr>
                        </w:pPr>
                      </w:p>
                      <w:p w:rsidR="0066415A" w:rsidRPr="00390BEB" w:rsidRDefault="0066415A"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697FF1" w:rsidRPr="00753DF7">
        <w:t xml:space="preserve">The Australian Energy Regulator (AER) commenced the Better Regulation program in December 2012. Today we released our draft capital </w:t>
      </w:r>
      <w:r w:rsidR="009B60B7">
        <w:t>expenditure incentive guideline</w:t>
      </w:r>
      <w:r w:rsidR="00697FF1" w:rsidRPr="00753DF7">
        <w:t xml:space="preserve"> and proposed </w:t>
      </w:r>
      <w:r w:rsidR="00A2725A">
        <w:t xml:space="preserve">operating expenditure </w:t>
      </w:r>
      <w:r w:rsidR="00697FF1" w:rsidRPr="00753DF7">
        <w:t xml:space="preserve">efficiency benefit sharing scheme for consultation. Together, these provide better incentives for </w:t>
      </w:r>
      <w:r w:rsidR="007C5329">
        <w:t>network business</w:t>
      </w:r>
      <w:r w:rsidR="00FE03E9">
        <w:t>es</w:t>
      </w:r>
      <w:r w:rsidR="007C5329">
        <w:t xml:space="preserve"> </w:t>
      </w:r>
      <w:r w:rsidR="00697FF1" w:rsidRPr="00753DF7">
        <w:t>to spend efficiently and to share the benefits of efficiencies with consumers.</w:t>
      </w:r>
    </w:p>
    <w:p w:rsidR="005524C5" w:rsidRPr="00AB2954" w:rsidRDefault="005524C5" w:rsidP="004D1DC0">
      <w:pPr>
        <w:pStyle w:val="AERfactsheetbodytext"/>
        <w:rPr>
          <w:smallCaps/>
          <w:sz w:val="4"/>
        </w:rPr>
      </w:pPr>
    </w:p>
    <w:p w:rsidR="00754FD0" w:rsidRPr="004D1DC0" w:rsidRDefault="00754FD0" w:rsidP="004D1DC0">
      <w:pPr>
        <w:pStyle w:val="AERfactsheetbodytext"/>
        <w:sectPr w:rsidR="00754FD0" w:rsidRPr="004D1DC0" w:rsidSect="00BE5A7F">
          <w:pgSz w:w="11906" w:h="16838"/>
          <w:pgMar w:top="720" w:right="720" w:bottom="720" w:left="720" w:header="708" w:footer="708" w:gutter="0"/>
          <w:cols w:space="284"/>
          <w:docGrid w:linePitch="360"/>
        </w:sectPr>
      </w:pPr>
    </w:p>
    <w:p w:rsidR="00AC0236" w:rsidRPr="00697FF1" w:rsidRDefault="00AC0236" w:rsidP="00697FF1">
      <w:pPr>
        <w:pStyle w:val="AERFactsheetHeading1"/>
      </w:pPr>
      <w:r w:rsidRPr="00697FF1">
        <w:lastRenderedPageBreak/>
        <w:t>What is the Better Regulation program?</w:t>
      </w:r>
    </w:p>
    <w:p w:rsidR="00AC0236" w:rsidRPr="00697FF1" w:rsidRDefault="00AC0236" w:rsidP="00697FF1">
      <w:pPr>
        <w:pStyle w:val="AERfactsheetbodytext"/>
      </w:pPr>
      <w:r w:rsidRPr="00697FF1">
        <w:t xml:space="preserve">The AER initiated the Better Regulation program following changes to the electricity and gas rules in late 2012. The program brings together improvements to our regulatory approach with other important reforms announced by the Prime Minister in December 2012. </w:t>
      </w:r>
    </w:p>
    <w:p w:rsidR="00AC0236" w:rsidRDefault="00AC0236" w:rsidP="00AC0236">
      <w:pPr>
        <w:pStyle w:val="AERbodytextnospace"/>
        <w:spacing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50BC7F99" wp14:editId="6A77F043">
                <wp:extent cx="2980023" cy="555172"/>
                <wp:effectExtent l="0" t="0" r="114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23" cy="555172"/>
                        </a:xfrm>
                        <a:prstGeom prst="rect">
                          <a:avLst/>
                        </a:prstGeom>
                        <a:solidFill>
                          <a:srgbClr val="DBE5F1"/>
                        </a:solidFill>
                        <a:ln w="9525">
                          <a:solidFill>
                            <a:srgbClr val="006A99"/>
                          </a:solidFill>
                          <a:miter lim="800000"/>
                          <a:headEnd/>
                          <a:tailEnd/>
                        </a:ln>
                      </wps:spPr>
                      <wps:txbx>
                        <w:txbxContent>
                          <w:p w:rsidR="0066415A" w:rsidRPr="00697FF1" w:rsidRDefault="0066415A" w:rsidP="00697FF1">
                            <w:pPr>
                              <w:pStyle w:val="AERfactsheetbodytext"/>
                            </w:pPr>
                            <w:r w:rsidRPr="00697FF1">
                              <w:t>The Better Regulation program delivers an improved regulatory framework focused on the long term interests of electricity consumers.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34.6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" fillcolor="#dbe5f1" strokecolor="#006a99">
                <v:textbox>
                  <w:txbxContent>
                    <w:p w:rsidR="0066415A" w:rsidRPr="00697FF1" w:rsidRDefault="0066415A" w:rsidP="00697FF1">
                      <w:pPr>
                        <w:pStyle w:val="AERfactsheetbodytext"/>
                      </w:pPr>
                      <w:r w:rsidRPr="00697FF1">
                        <w:t>The Better Regulation program delivers an improved regulatory framework focused on the long term interests of electricity consumers.</w:t>
                      </w:r>
                    </w:p>
                  </w:txbxContent>
                </v:textbox>
                <w10:anchorlock/>
              </v:shape>
            </w:pict>
          </mc:Fallback>
        </mc:AlternateContent>
      </w:r>
    </w:p>
    <w:p w:rsidR="00AC0236" w:rsidRPr="00697FF1" w:rsidRDefault="00AC0236" w:rsidP="00697FF1">
      <w:pPr>
        <w:pStyle w:val="AERfactsheetbodytext"/>
      </w:pPr>
      <w:r w:rsidRPr="00697FF1">
        <w:t xml:space="preserve">The Better Regulation program involves: </w:t>
      </w:r>
    </w:p>
    <w:p w:rsidR="00AC0236" w:rsidRPr="00697FF1" w:rsidRDefault="00AC0236" w:rsidP="00697FF1">
      <w:pPr>
        <w:pStyle w:val="AERfactsheetbulletlist"/>
      </w:pPr>
      <w:r w:rsidRPr="00697FF1">
        <w:t xml:space="preserve">extensive consultation on seven new guidelines that outline our revised approach to determining electricity network revenues and prices </w:t>
      </w:r>
    </w:p>
    <w:p w:rsidR="00AC0236" w:rsidRPr="00697FF1" w:rsidRDefault="00AC0236" w:rsidP="00697FF1">
      <w:pPr>
        <w:pStyle w:val="AERfactsheetbulletlist"/>
      </w:pPr>
      <w:r w:rsidRPr="00697FF1">
        <w:t xml:space="preserve">establishing a consumer reference group for our guideline development work </w:t>
      </w:r>
    </w:p>
    <w:p w:rsidR="00AC0236" w:rsidRPr="00697FF1" w:rsidRDefault="00AC0236" w:rsidP="00697FF1">
      <w:pPr>
        <w:pStyle w:val="AERfactsheetbulletlist"/>
      </w:pPr>
      <w:r w:rsidRPr="00697FF1">
        <w:t xml:space="preserve">forming an ongoing Consumer Challenge Panel </w:t>
      </w:r>
    </w:p>
    <w:p w:rsidR="00AC0236" w:rsidRPr="00697FF1" w:rsidRDefault="00AC0236" w:rsidP="00697FF1">
      <w:pPr>
        <w:pStyle w:val="AERfactsheetbulletlist"/>
      </w:pPr>
      <w:proofErr w:type="gramStart"/>
      <w:r w:rsidRPr="00697FF1">
        <w:t>improving</w:t>
      </w:r>
      <w:proofErr w:type="gramEnd"/>
      <w:r w:rsidRPr="00697FF1">
        <w:t xml:space="preserve"> our internal technical expertise and systems. </w:t>
      </w:r>
    </w:p>
    <w:p w:rsidR="00AC0236" w:rsidRPr="00697FF1" w:rsidRDefault="00FB1910" w:rsidP="00697FF1">
      <w:pPr>
        <w:pStyle w:val="AERFactsheetHeading1"/>
      </w:pPr>
      <w:r>
        <w:t xml:space="preserve">What </w:t>
      </w:r>
      <w:r w:rsidR="000437AC">
        <w:t xml:space="preserve">are </w:t>
      </w:r>
      <w:r w:rsidR="002B7BBC">
        <w:t>expenditure</w:t>
      </w:r>
      <w:r>
        <w:t xml:space="preserve"> incentives?</w:t>
      </w:r>
    </w:p>
    <w:p w:rsidR="002B7BBC" w:rsidRDefault="002B7BBC" w:rsidP="002B7BBC">
      <w:pPr>
        <w:pStyle w:val="AERfactsheetbodytext"/>
      </w:pPr>
      <w:r>
        <w:t xml:space="preserve">There are several mechanisms </w:t>
      </w:r>
      <w:r w:rsidR="000437AC">
        <w:t xml:space="preserve">to promote </w:t>
      </w:r>
      <w:r w:rsidR="007C5329">
        <w:t xml:space="preserve">network businesses </w:t>
      </w:r>
      <w:r>
        <w:t>spend</w:t>
      </w:r>
      <w:r w:rsidR="000437AC">
        <w:t>ing</w:t>
      </w:r>
      <w:r>
        <w:t xml:space="preserve"> efficiently. Some </w:t>
      </w:r>
      <w:r w:rsidR="006B39DB">
        <w:t xml:space="preserve">mechanisms provide up front </w:t>
      </w:r>
      <w:proofErr w:type="gramStart"/>
      <w:r w:rsidR="006B39DB">
        <w:t>incentives</w:t>
      </w:r>
      <w:r w:rsidR="007C5329">
        <w:t>,</w:t>
      </w:r>
      <w:proofErr w:type="gramEnd"/>
      <w:r w:rsidR="007C5329">
        <w:t xml:space="preserve"> these are called </w:t>
      </w:r>
      <w:r w:rsidR="006B39DB">
        <w:t xml:space="preserve">ex ante measures. </w:t>
      </w:r>
      <w:r w:rsidR="007C5329">
        <w:t>O</w:t>
      </w:r>
      <w:r w:rsidR="006B39DB">
        <w:t>ther mechanisms</w:t>
      </w:r>
      <w:r>
        <w:t xml:space="preserve"> </w:t>
      </w:r>
      <w:r w:rsidR="007C5329">
        <w:t xml:space="preserve">look at past expenditure, called </w:t>
      </w:r>
      <w:r>
        <w:t xml:space="preserve">ex post measures. </w:t>
      </w:r>
      <w:r w:rsidR="000173D5">
        <w:t>Service providers</w:t>
      </w:r>
      <w:r w:rsidR="007A0EEB">
        <w:t>’</w:t>
      </w:r>
      <w:r w:rsidR="000173D5">
        <w:t xml:space="preserve"> </w:t>
      </w:r>
      <w:r w:rsidR="007A0EEB">
        <w:t>spending can be on</w:t>
      </w:r>
      <w:r w:rsidR="000173D5">
        <w:t xml:space="preserve"> </w:t>
      </w:r>
      <w:r w:rsidR="000437AC">
        <w:t>two types of expenditure—capital expenditure (capex) and operating expenditure (opex).</w:t>
      </w:r>
    </w:p>
    <w:p w:rsidR="002B7BBC" w:rsidRDefault="002B7BBC" w:rsidP="002B7BBC">
      <w:pPr>
        <w:pStyle w:val="AERfactsheetbodytext"/>
      </w:pPr>
      <w:r>
        <w:t xml:space="preserve">In developing incentive mechanisms for </w:t>
      </w:r>
      <w:r w:rsidR="000437AC">
        <w:t xml:space="preserve">capex </w:t>
      </w:r>
      <w:r>
        <w:t>and opex our overall objectives are to:</w:t>
      </w:r>
    </w:p>
    <w:p w:rsidR="000437AC" w:rsidRDefault="002B7BBC" w:rsidP="000437AC">
      <w:pPr>
        <w:pStyle w:val="AERfactsheetbulletlist"/>
      </w:pPr>
      <w:r>
        <w:t xml:space="preserve">incentivise </w:t>
      </w:r>
      <w:r w:rsidR="007C5329">
        <w:t xml:space="preserve">businesses </w:t>
      </w:r>
      <w:r>
        <w:t xml:space="preserve">to </w:t>
      </w:r>
      <w:r w:rsidR="007C5329">
        <w:t xml:space="preserve">spend more efficiently on </w:t>
      </w:r>
      <w:r w:rsidR="000437AC">
        <w:t>capex and opex</w:t>
      </w:r>
    </w:p>
    <w:p w:rsidR="00A2725A" w:rsidRDefault="00BB7E86" w:rsidP="00A2725A">
      <w:pPr>
        <w:pStyle w:val="AERfactsheetbulletlist"/>
      </w:pPr>
      <w:r>
        <w:t xml:space="preserve">protect </w:t>
      </w:r>
      <w:r w:rsidR="00A2725A">
        <w:t xml:space="preserve">consumers </w:t>
      </w:r>
      <w:r>
        <w:t xml:space="preserve">from </w:t>
      </w:r>
      <w:r w:rsidR="0066415A">
        <w:t>pay</w:t>
      </w:r>
      <w:r>
        <w:t xml:space="preserve">ing prices that </w:t>
      </w:r>
      <w:r w:rsidR="00A2725A">
        <w:t>reflect inefficient capex</w:t>
      </w:r>
    </w:p>
    <w:p w:rsidR="002B7BBC" w:rsidRDefault="00753DF7" w:rsidP="000437AC">
      <w:pPr>
        <w:pStyle w:val="AERfactsheetbulletlist"/>
      </w:pPr>
      <w:r w:rsidRPr="00697FF1">
        <w:rPr>
          <w:noProof/>
          <w:lang w:eastAsia="en-AU"/>
        </w:rPr>
        <w:drawing>
          <wp:anchor distT="0" distB="0" distL="114300" distR="114300" simplePos="0" relativeHeight="251664384" behindDoc="0" locked="0" layoutInCell="1" allowOverlap="1" wp14:anchorId="164938D2" wp14:editId="12159B25">
            <wp:simplePos x="0" y="0"/>
            <wp:positionH relativeFrom="column">
              <wp:posOffset>-455295</wp:posOffset>
            </wp:positionH>
            <wp:positionV relativeFrom="page">
              <wp:posOffset>10201003</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2B7BBC">
        <w:t>share</w:t>
      </w:r>
      <w:proofErr w:type="gramEnd"/>
      <w:r w:rsidR="002B7BBC">
        <w:t xml:space="preserve"> efficiency </w:t>
      </w:r>
      <w:r w:rsidR="007A0EEB">
        <w:t xml:space="preserve">improvements and losses </w:t>
      </w:r>
      <w:r w:rsidR="002B7BBC">
        <w:t xml:space="preserve">between </w:t>
      </w:r>
      <w:r w:rsidR="007C5329">
        <w:t xml:space="preserve">businesses </w:t>
      </w:r>
      <w:r w:rsidR="000437AC">
        <w:t>and consumers</w:t>
      </w:r>
      <w:r w:rsidR="002B7BBC">
        <w:t>.</w:t>
      </w:r>
    </w:p>
    <w:p w:rsidR="001A3711" w:rsidRDefault="006C4CC5" w:rsidP="006C4CC5">
      <w:pPr>
        <w:pStyle w:val="AERfactsheetbodytext"/>
      </w:pPr>
      <w:r>
        <w:br w:type="column"/>
      </w:r>
      <w:r w:rsidR="001A3711">
        <w:lastRenderedPageBreak/>
        <w:br/>
      </w:r>
      <w:r>
        <w:t xml:space="preserve">Incentives don’t operate in isolation. </w:t>
      </w:r>
      <w:r w:rsidR="002E57B4">
        <w:t>Our ex ant</w:t>
      </w:r>
      <w:r w:rsidR="00C87AC3">
        <w:t>e</w:t>
      </w:r>
      <w:r w:rsidR="002E57B4">
        <w:t xml:space="preserve"> measures and </w:t>
      </w:r>
      <w:r>
        <w:t xml:space="preserve">ex post measures interact </w:t>
      </w:r>
      <w:r w:rsidR="001A3711">
        <w:t xml:space="preserve">with one another, along </w:t>
      </w:r>
      <w:r>
        <w:t xml:space="preserve">with our approach to forecasting set out in our draft expenditure forecast assessment guideline. </w:t>
      </w:r>
      <w:r w:rsidR="001A3711">
        <w:t xml:space="preserve">Our expenditure incentives measures </w:t>
      </w:r>
      <w:r w:rsidR="00D015A2">
        <w:t xml:space="preserve">and </w:t>
      </w:r>
      <w:r w:rsidR="001A3711">
        <w:t>expenditure forecasting approach</w:t>
      </w:r>
      <w:r w:rsidR="00D015A2">
        <w:t xml:space="preserve"> operate as an overall package.</w:t>
      </w:r>
    </w:p>
    <w:p w:rsidR="006C4CC5" w:rsidRDefault="006C4CC5" w:rsidP="006C4CC5">
      <w:pPr>
        <w:pStyle w:val="AERfactsheetbodytext"/>
      </w:pPr>
      <w:r>
        <w:rPr>
          <w:noProof/>
          <w:lang w:eastAsia="en-AU"/>
        </w:rPr>
        <mc:AlternateContent>
          <mc:Choice Requires="wps">
            <w:drawing>
              <wp:inline distT="0" distB="0" distL="0" distR="0" wp14:anchorId="61ED9F86" wp14:editId="740DC3A6">
                <wp:extent cx="3214468" cy="675061"/>
                <wp:effectExtent l="0" t="0" r="24130" b="1079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468" cy="675061"/>
                        </a:xfrm>
                        <a:prstGeom prst="rect">
                          <a:avLst/>
                        </a:prstGeom>
                        <a:solidFill>
                          <a:srgbClr val="DBE5F1"/>
                        </a:solidFill>
                        <a:ln w="9525">
                          <a:solidFill>
                            <a:srgbClr val="006A99"/>
                          </a:solidFill>
                          <a:miter lim="800000"/>
                          <a:headEnd/>
                          <a:tailEnd/>
                        </a:ln>
                      </wps:spPr>
                      <wps:txbx>
                        <w:txbxContent>
                          <w:p w:rsidR="0066415A" w:rsidRDefault="0066415A" w:rsidP="006C4CC5">
                            <w:pPr>
                              <w:pStyle w:val="AERfactsheetbodytext"/>
                              <w:rPr>
                                <w:noProof/>
                                <w:lang w:eastAsia="en-AU"/>
                              </w:rPr>
                            </w:pPr>
                            <w:r>
                              <w:t xml:space="preserve">Together, our expenditure incentives and our approach to expenditure forecasting provide appropriate incentives for </w:t>
                            </w:r>
                            <w:r w:rsidRPr="006C4CC5">
                              <w:t>businesses</w:t>
                            </w:r>
                            <w:r>
                              <w:t xml:space="preserve"> to spend efficiently. Consumers will not pay for inefficient overspends.</w:t>
                            </w:r>
                          </w:p>
                          <w:p w:rsidR="0066415A" w:rsidRPr="00697FF1" w:rsidRDefault="0066415A" w:rsidP="006C4CC5">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253.1pt;height: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" fillcolor="#dbe5f1" strokecolor="#006a99">
                <v:textbox>
                  <w:txbxContent>
                    <w:p w:rsidR="0066415A" w:rsidRDefault="0066415A" w:rsidP="006C4CC5">
                      <w:pPr>
                        <w:pStyle w:val="AERfactsheetbodytext"/>
                        <w:rPr>
                          <w:noProof/>
                          <w:lang w:eastAsia="en-AU"/>
                        </w:rPr>
                      </w:pPr>
                      <w:r>
                        <w:t xml:space="preserve">Together, our expenditure incentives and our approach to expenditure forecasting provide appropriate incentives for </w:t>
                      </w:r>
                      <w:r w:rsidRPr="006C4CC5">
                        <w:t>businesses</w:t>
                      </w:r>
                      <w:r>
                        <w:t xml:space="preserve"> to spend efficiently. Consumers will not pay for inefficient overspends.</w:t>
                      </w:r>
                    </w:p>
                    <w:p w:rsidR="0066415A" w:rsidRPr="00697FF1" w:rsidRDefault="0066415A" w:rsidP="006C4CC5">
                      <w:pPr>
                        <w:pStyle w:val="AERfactsheetbodytext"/>
                      </w:pPr>
                    </w:p>
                  </w:txbxContent>
                </v:textbox>
                <w10:anchorlock/>
              </v:shape>
            </w:pict>
          </mc:Fallback>
        </mc:AlternateContent>
      </w:r>
    </w:p>
    <w:p w:rsidR="00753DF7" w:rsidRPr="00697FF1" w:rsidRDefault="00753DF7" w:rsidP="00753DF7">
      <w:pPr>
        <w:pStyle w:val="AERFactsheetHeading1"/>
      </w:pPr>
      <w:r>
        <w:t xml:space="preserve">What </w:t>
      </w:r>
      <w:r w:rsidR="00807259">
        <w:t xml:space="preserve">are the upfront </w:t>
      </w:r>
      <w:r w:rsidR="00A20B7E">
        <w:t xml:space="preserve">incentives on </w:t>
      </w:r>
      <w:r w:rsidR="00D015A2">
        <w:t xml:space="preserve">capital </w:t>
      </w:r>
      <w:r w:rsidR="002425E7">
        <w:t>expenditure</w:t>
      </w:r>
      <w:r>
        <w:t>?</w:t>
      </w:r>
    </w:p>
    <w:p w:rsidR="006D5C4C" w:rsidRDefault="00391B7D" w:rsidP="00FB1910">
      <w:pPr>
        <w:pStyle w:val="AERfactsheetbodytext"/>
        <w:rPr>
          <w:noProof/>
          <w:lang w:eastAsia="en-AU"/>
        </w:rPr>
      </w:pPr>
      <w:r>
        <w:t xml:space="preserve">The </w:t>
      </w:r>
      <w:r w:rsidRPr="00FB1910">
        <w:t xml:space="preserve">draft capital expenditure incentives </w:t>
      </w:r>
      <w:r w:rsidR="003118DF">
        <w:t>guideline</w:t>
      </w:r>
      <w:r w:rsidR="003118DF" w:rsidRPr="00FB1910">
        <w:t xml:space="preserve"> </w:t>
      </w:r>
      <w:r w:rsidR="003118DF">
        <w:t xml:space="preserve">outlines our </w:t>
      </w:r>
      <w:r w:rsidR="00D015A2">
        <w:t xml:space="preserve">new </w:t>
      </w:r>
      <w:r w:rsidR="003118DF">
        <w:t xml:space="preserve">capital expenditure sharing scheme (CESS). The CESS </w:t>
      </w:r>
      <w:r w:rsidR="008B4DBF">
        <w:t>creates</w:t>
      </w:r>
      <w:r w:rsidR="00FB1910" w:rsidRPr="00FB1910">
        <w:t xml:space="preserve"> better incentives for </w:t>
      </w:r>
      <w:r w:rsidR="00877A69">
        <w:t xml:space="preserve">businesses </w:t>
      </w:r>
      <w:r w:rsidR="00FB1910" w:rsidRPr="00FB1910">
        <w:t>to spend efficient</w:t>
      </w:r>
      <w:r w:rsidR="009B4D12">
        <w:t>ly</w:t>
      </w:r>
      <w:r w:rsidR="00FB1910" w:rsidRPr="00FB1910">
        <w:t xml:space="preserve"> </w:t>
      </w:r>
      <w:r w:rsidR="009B4D12">
        <w:t xml:space="preserve">on </w:t>
      </w:r>
      <w:r w:rsidR="00FB1910" w:rsidRPr="00FB1910">
        <w:t>c</w:t>
      </w:r>
      <w:r w:rsidR="00B74543">
        <w:t>apital, and share efficiency gains with consumers.</w:t>
      </w:r>
      <w:r w:rsidR="003118DF">
        <w:t xml:space="preserve"> </w:t>
      </w:r>
    </w:p>
    <w:p w:rsidR="002425E7" w:rsidRDefault="006D5C4C" w:rsidP="00FB1910">
      <w:pPr>
        <w:pStyle w:val="AERfactsheetbodytext"/>
        <w:rPr>
          <w:noProof/>
          <w:lang w:eastAsia="en-AU"/>
        </w:rPr>
      </w:pPr>
      <w:r>
        <w:rPr>
          <w:noProof/>
          <w:lang w:eastAsia="en-AU"/>
        </w:rPr>
        <mc:AlternateContent>
          <mc:Choice Requires="wps">
            <w:drawing>
              <wp:inline distT="0" distB="0" distL="0" distR="0" wp14:anchorId="4F17ADB1" wp14:editId="5A6F38D7">
                <wp:extent cx="3214370" cy="552587"/>
                <wp:effectExtent l="0" t="0" r="2413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52587"/>
                        </a:xfrm>
                        <a:prstGeom prst="rect">
                          <a:avLst/>
                        </a:prstGeom>
                        <a:solidFill>
                          <a:srgbClr val="DBE5F1"/>
                        </a:solidFill>
                        <a:ln w="9525">
                          <a:solidFill>
                            <a:srgbClr val="006A99"/>
                          </a:solidFill>
                          <a:miter lim="800000"/>
                          <a:headEnd/>
                          <a:tailEnd/>
                        </a:ln>
                      </wps:spPr>
                      <wps:txbx>
                        <w:txbxContent>
                          <w:p w:rsidR="0066415A" w:rsidRPr="00697FF1" w:rsidRDefault="0066415A" w:rsidP="006D5C4C">
                            <w:pPr>
                              <w:pStyle w:val="AERfactsheetbodytext"/>
                            </w:pPr>
                            <w:r>
                              <w:t xml:space="preserve">Consumers and businesses will share the cost of efficient overspends on capital, and share the benefits of efficiency savings on capital. </w:t>
                            </w:r>
                          </w:p>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253.1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" fillcolor="#dbe5f1" strokecolor="#006a99">
                <v:textbox>
                  <w:txbxContent>
                    <w:p w:rsidR="0066415A" w:rsidRPr="00697FF1" w:rsidRDefault="0066415A" w:rsidP="006D5C4C">
                      <w:pPr>
                        <w:pStyle w:val="AERfactsheetbodytext"/>
                      </w:pPr>
                      <w:r>
                        <w:t xml:space="preserve">Consumers and businesses will share the cost of efficient overspends on capital, and share the benefits of efficiency savings on capital. </w:t>
                      </w:r>
                    </w:p>
                  </w:txbxContent>
                </v:textbox>
                <w10:anchorlock/>
              </v:shape>
            </w:pict>
          </mc:Fallback>
        </mc:AlternateContent>
      </w:r>
    </w:p>
    <w:p w:rsidR="00E1275F" w:rsidRDefault="00391B7D" w:rsidP="00391B7D">
      <w:pPr>
        <w:pStyle w:val="AERfactsheetbodytext"/>
      </w:pPr>
      <w:r>
        <w:t xml:space="preserve">Our </w:t>
      </w:r>
      <w:r w:rsidR="007C5329">
        <w:t xml:space="preserve">proposed </w:t>
      </w:r>
      <w:r w:rsidR="002425E7">
        <w:t xml:space="preserve">CESS </w:t>
      </w:r>
      <w:r w:rsidR="001364E9">
        <w:t xml:space="preserve">will apply </w:t>
      </w:r>
      <w:r w:rsidR="0031269F">
        <w:t xml:space="preserve">equally </w:t>
      </w:r>
      <w:r w:rsidR="001364E9">
        <w:t xml:space="preserve">to all network businesses. </w:t>
      </w:r>
      <w:r w:rsidR="00FE03E9">
        <w:t>It provides a 30 per cent reward to businesses for becoming more efficient with capex (underspending), and a 30 per cent penalty for becoming less efficient (overspending).</w:t>
      </w:r>
    </w:p>
    <w:p w:rsidR="00D015A2" w:rsidRDefault="00D015A2" w:rsidP="00D015A2">
      <w:pPr>
        <w:pStyle w:val="AERFactsheetHeading1"/>
      </w:pPr>
      <w:r>
        <w:t xml:space="preserve">What are the upfront </w:t>
      </w:r>
      <w:r w:rsidR="00A20B7E">
        <w:t xml:space="preserve">incentives on </w:t>
      </w:r>
      <w:r>
        <w:t>operating expenditure?</w:t>
      </w:r>
    </w:p>
    <w:p w:rsidR="00807259" w:rsidRDefault="003118DF" w:rsidP="00807259">
      <w:pPr>
        <w:pStyle w:val="AERfactsheetbodytext"/>
      </w:pPr>
      <w:r>
        <w:t>Our proposed efficiency benefit sharing scheme (</w:t>
      </w:r>
      <w:r w:rsidR="00807259">
        <w:t>EBSS</w:t>
      </w:r>
      <w:r>
        <w:t>)</w:t>
      </w:r>
      <w:r w:rsidR="00807259">
        <w:t xml:space="preserve"> gives businesses an incentive to spend efficiently on opex, and share efficiency gains with consumers. The EBSS is already in operation and rewards businesses for becoming more efficient with opex, and penalises them for becoming less efficient. </w:t>
      </w:r>
    </w:p>
    <w:p w:rsidR="00FE03E9" w:rsidRDefault="00FE03E9" w:rsidP="00807259">
      <w:pPr>
        <w:pStyle w:val="AERfactsheetbodytext"/>
      </w:pPr>
      <w:r w:rsidRPr="004E4F29">
        <w:t>We reviewed the EBSS to ensure it provides opex incentives consistent with our improved forecasting approach and new capex incentives. Our decision is closely linked with our approach to forecasting.</w:t>
      </w:r>
    </w:p>
    <w:p w:rsidR="00807259" w:rsidRDefault="00807259" w:rsidP="00807259">
      <w:pPr>
        <w:pStyle w:val="AERfactsheetbodytext"/>
      </w:pPr>
    </w:p>
    <w:p w:rsidR="00807259" w:rsidRDefault="009E0E68" w:rsidP="00807259">
      <w:pPr>
        <w:pStyle w:val="AERfactsheetbodytext"/>
      </w:pPr>
      <w:r>
        <w:rPr>
          <w:noProof/>
          <w:lang w:eastAsia="en-AU"/>
        </w:rPr>
        <mc:AlternateContent>
          <mc:Choice Requires="wpg">
            <w:drawing>
              <wp:anchor distT="0" distB="0" distL="114300" distR="114300" simplePos="0" relativeHeight="251661312" behindDoc="0" locked="0" layoutInCell="1" allowOverlap="1" wp14:anchorId="77E46C44" wp14:editId="111A5694">
                <wp:simplePos x="0" y="0"/>
                <wp:positionH relativeFrom="column">
                  <wp:posOffset>-442595</wp:posOffset>
                </wp:positionH>
                <wp:positionV relativeFrom="paragraph">
                  <wp:posOffset>90170</wp:posOffset>
                </wp:positionV>
                <wp:extent cx="7642225" cy="323850"/>
                <wp:effectExtent l="0" t="0" r="15875" b="38100"/>
                <wp:wrapTopAndBottom/>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15A" w:rsidRPr="006B1EE6" w:rsidRDefault="0066415A"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EXPENDITURE INCENTIVES</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3" o:spid="_x0000_s1033" style="position:absolute;margin-left:-34.85pt;margin-top:7.1pt;width:601.75pt;height:25.5pt;z-index:251661312;mso-position-horizontal-relative:text;mso-position-vertical-relative:text;mso-width-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">
                <v:shape id="Text Box 2" o:spid="_x0000_s1034"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66415A" w:rsidRPr="006B1EE6" w:rsidRDefault="0066415A"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EXPENDITURE INCENTIVES</w:t>
                        </w:r>
                      </w:p>
                    </w:txbxContent>
                  </v:textbox>
                </v:shape>
                <v:line id="Straight Connector 6" o:spid="_x0000_s1035"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type="topAndBottom"/>
              </v:group>
            </w:pict>
          </mc:Fallback>
        </mc:AlternateContent>
      </w:r>
    </w:p>
    <w:p w:rsidR="00807259" w:rsidRDefault="009E0E68" w:rsidP="00807259">
      <w:pPr>
        <w:pStyle w:val="AERfactsheetbodytext"/>
      </w:pPr>
      <w:r>
        <w:rPr>
          <w:noProof/>
          <w:lang w:eastAsia="en-AU"/>
        </w:rPr>
        <mc:AlternateContent>
          <mc:Choice Requires="wpc">
            <w:drawing>
              <wp:anchor distT="0" distB="0" distL="114300" distR="114300" simplePos="0" relativeHeight="251665408" behindDoc="0" locked="0" layoutInCell="1" allowOverlap="1" wp14:anchorId="3A783891" wp14:editId="311EF37C">
                <wp:simplePos x="0" y="0"/>
                <wp:positionH relativeFrom="column">
                  <wp:posOffset>158992</wp:posOffset>
                </wp:positionH>
                <wp:positionV relativeFrom="paragraph">
                  <wp:posOffset>1946</wp:posOffset>
                </wp:positionV>
                <wp:extent cx="6611620" cy="374777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36005" y="0"/>
                            <a:ext cx="424643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Pr="004D1DC0" w:rsidRDefault="0066415A" w:rsidP="004D1DC0">
                              <w:pPr>
                                <w:pStyle w:val="NormalWeb"/>
                                <w:spacing w:before="0" w:beforeAutospacing="0" w:after="0" w:afterAutospacing="0" w:line="288" w:lineRule="auto"/>
                                <w:rPr>
                                  <w:color w:val="000000" w:themeColor="text1"/>
                                </w:rPr>
                              </w:pPr>
                              <w:r>
                                <w:rPr>
                                  <w:rFonts w:ascii="Tunga" w:hAnsi="Tunga"/>
                                  <w:b/>
                                  <w:bCs/>
                                  <w:color w:val="000000" w:themeColor="text1"/>
                                  <w:kern w:val="24"/>
                                </w:rPr>
                                <w:t>How the expenditure measures fit together</w:t>
                              </w:r>
                            </w:p>
                          </w:txbxContent>
                        </wps:txbx>
                        <wps:bodyPr rot="0" vert="horz" wrap="square" lIns="91440" tIns="36000" rIns="91440" bIns="36000" anchor="ctr" anchorCtr="0" upright="1">
                          <a:noAutofit/>
                        </wps:bodyPr>
                      </wps:wsp>
                      <wps:wsp>
                        <wps:cNvPr id="35" name="Rectangle 35"/>
                        <wps:cNvSpPr>
                          <a:spLocks noChangeArrowheads="1"/>
                        </wps:cNvSpPr>
                        <wps:spPr bwMode="auto">
                          <a:xfrm>
                            <a:off x="278881" y="1534428"/>
                            <a:ext cx="1592122" cy="506259"/>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Pr="006F2E4F" w:rsidRDefault="0066415A" w:rsidP="006A07F6">
                              <w:pPr>
                                <w:pStyle w:val="NormalWeb"/>
                                <w:spacing w:before="0" w:beforeAutospacing="0" w:after="0" w:afterAutospacing="0" w:line="276" w:lineRule="auto"/>
                                <w:jc w:val="center"/>
                                <w:rPr>
                                  <w:b/>
                                </w:rPr>
                              </w:pPr>
                              <w:r w:rsidRPr="006F2E4F">
                                <w:rPr>
                                  <w:rFonts w:ascii="Tunga" w:eastAsia="Calibri" w:hAnsi="Tunga" w:cs="Tunga"/>
                                  <w:b/>
                                  <w:bCs/>
                                  <w:color w:val="FFFFFF"/>
                                  <w:sz w:val="16"/>
                                  <w:szCs w:val="16"/>
                                </w:rPr>
                                <w:t>Expenditur</w:t>
                              </w:r>
                              <w:r>
                                <w:rPr>
                                  <w:rFonts w:ascii="Tunga" w:eastAsia="Calibri" w:hAnsi="Tunga" w:cs="Tunga"/>
                                  <w:b/>
                                  <w:bCs/>
                                  <w:color w:val="FFFFFF"/>
                                  <w:sz w:val="16"/>
                                  <w:szCs w:val="16"/>
                                </w:rPr>
                                <w:t>e forecast assessment guideline</w:t>
                              </w:r>
                            </w:p>
                          </w:txbxContent>
                        </wps:txbx>
                        <wps:bodyPr rot="0" vert="horz" wrap="square" lIns="91440" tIns="36000" rIns="91440" bIns="36000" anchor="ctr" anchorCtr="0" upright="1">
                          <a:noAutofit/>
                        </wps:bodyPr>
                      </wps:wsp>
                      <wps:wsp>
                        <wps:cNvPr id="44" name="Rectangle 44"/>
                        <wps:cNvSpPr>
                          <a:spLocks noChangeArrowheads="1"/>
                        </wps:cNvSpPr>
                        <wps:spPr bwMode="auto">
                          <a:xfrm>
                            <a:off x="2302371" y="2145144"/>
                            <a:ext cx="1936410" cy="1551925"/>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r w:rsidRPr="006F2E4F">
                                <w:rPr>
                                  <w:rFonts w:ascii="Tunga" w:eastAsia="Calibri" w:hAnsi="Tunga" w:cs="Tunga"/>
                                  <w:bCs/>
                                  <w:color w:val="000000"/>
                                  <w:sz w:val="16"/>
                                  <w:szCs w:val="16"/>
                                </w:rPr>
                                <w:t>General incentive based regulation</w:t>
                              </w: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Capital expenditure sharing scheme (CESS)</w:t>
                              </w: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Efficiency benefit sharing scheme (EBSS)</w:t>
                              </w: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p>
                            <w:p w:rsidR="0066415A" w:rsidRPr="006F2E4F" w:rsidRDefault="0066415A" w:rsidP="006F2E4F">
                              <w:pPr>
                                <w:pStyle w:val="NormalWeb"/>
                                <w:spacing w:before="0" w:beforeAutospacing="0" w:after="0" w:afterAutospacing="0" w:line="276" w:lineRule="auto"/>
                              </w:pPr>
                              <w:r>
                                <w:rPr>
                                  <w:rFonts w:ascii="Tunga" w:eastAsia="Calibri" w:hAnsi="Tunga" w:cs="Tunga"/>
                                  <w:bCs/>
                                  <w:color w:val="000000"/>
                                  <w:sz w:val="16"/>
                                  <w:szCs w:val="16"/>
                                </w:rPr>
                                <w:t>Use of actual or forecast depreciation to roll forward the regulatory asset base</w:t>
                              </w:r>
                            </w:p>
                          </w:txbxContent>
                        </wps:txbx>
                        <wps:bodyPr rot="0" vert="horz" wrap="square" lIns="91440" tIns="36000" rIns="91440" bIns="36000" anchor="t" anchorCtr="0" upright="1">
                          <a:noAutofit/>
                        </wps:bodyPr>
                      </wps:wsp>
                      <wps:wsp>
                        <wps:cNvPr id="47" name="Rectangle 47"/>
                        <wps:cNvSpPr>
                          <a:spLocks noChangeArrowheads="1"/>
                        </wps:cNvSpPr>
                        <wps:spPr bwMode="auto">
                          <a:xfrm>
                            <a:off x="4344532" y="2152717"/>
                            <a:ext cx="1917838" cy="1206663"/>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Default="0066415A" w:rsidP="006F2E4F">
                              <w:pPr>
                                <w:pStyle w:val="NormalWeb"/>
                                <w:spacing w:before="0" w:beforeAutospacing="0" w:after="0" w:afterAutospacing="0" w:line="276" w:lineRule="auto"/>
                                <w:rPr>
                                  <w:rFonts w:ascii="Tunga" w:eastAsia="Calibri" w:hAnsi="Tunga" w:cs="Tunga"/>
                                  <w:color w:val="000000"/>
                                  <w:sz w:val="16"/>
                                  <w:szCs w:val="16"/>
                                </w:rPr>
                              </w:pPr>
                              <w:r>
                                <w:rPr>
                                  <w:rFonts w:ascii="Tunga" w:eastAsia="Calibri" w:hAnsi="Tunga" w:cs="Tunga"/>
                                  <w:color w:val="000000"/>
                                  <w:sz w:val="16"/>
                                  <w:szCs w:val="16"/>
                                </w:rPr>
                                <w:t>Statement on the efficiency of actual capital expenditure</w:t>
                              </w:r>
                            </w:p>
                            <w:p w:rsidR="0066415A" w:rsidRDefault="0066415A" w:rsidP="006F2E4F">
                              <w:pPr>
                                <w:pStyle w:val="NormalWeb"/>
                                <w:spacing w:before="0" w:beforeAutospacing="0" w:after="0" w:afterAutospacing="0" w:line="276" w:lineRule="auto"/>
                                <w:rPr>
                                  <w:rFonts w:ascii="Tunga" w:eastAsia="Calibri" w:hAnsi="Tunga" w:cs="Tunga"/>
                                  <w:color w:val="000000"/>
                                  <w:sz w:val="16"/>
                                  <w:szCs w:val="16"/>
                                </w:rPr>
                              </w:pPr>
                            </w:p>
                            <w:p w:rsidR="0066415A" w:rsidRDefault="0066415A" w:rsidP="006F2E4F">
                              <w:pPr>
                                <w:pStyle w:val="NormalWeb"/>
                                <w:spacing w:before="0" w:beforeAutospacing="0" w:after="0" w:afterAutospacing="0" w:line="276" w:lineRule="auto"/>
                                <w:rPr>
                                  <w:rFonts w:ascii="Tunga" w:eastAsia="Calibri" w:hAnsi="Tunga" w:cs="Tunga"/>
                                  <w:color w:val="000000"/>
                                  <w:sz w:val="16"/>
                                  <w:szCs w:val="16"/>
                                </w:rPr>
                              </w:pPr>
                              <w:r>
                                <w:rPr>
                                  <w:rFonts w:ascii="Tunga" w:eastAsia="Calibri" w:hAnsi="Tunga" w:cs="Tunga"/>
                                  <w:color w:val="000000"/>
                                  <w:sz w:val="16"/>
                                  <w:szCs w:val="16"/>
                                </w:rPr>
                                <w:t>Ex post exclusions from the regulatory asset base for:</w:t>
                              </w:r>
                            </w:p>
                            <w:p w:rsidR="0066415A" w:rsidRPr="006F2E4F" w:rsidRDefault="0066415A" w:rsidP="006F2E4F">
                              <w:pPr>
                                <w:pStyle w:val="NormalWeb"/>
                                <w:numPr>
                                  <w:ilvl w:val="0"/>
                                  <w:numId w:val="5"/>
                                </w:numPr>
                                <w:spacing w:before="0" w:beforeAutospacing="0" w:after="0" w:afterAutospacing="0" w:line="276" w:lineRule="auto"/>
                                <w:ind w:left="284" w:hanging="142"/>
                                <w:rPr>
                                  <w:rFonts w:ascii="Tunga" w:eastAsia="Calibri" w:hAnsi="Tunga" w:cs="Tunga"/>
                                  <w:color w:val="000000"/>
                                  <w:sz w:val="16"/>
                                  <w:szCs w:val="16"/>
                                </w:rPr>
                              </w:pPr>
                              <w:r w:rsidRPr="006F2E4F">
                                <w:rPr>
                                  <w:rFonts w:ascii="Tunga" w:eastAsia="Calibri" w:hAnsi="Tunga" w:cs="Tunga"/>
                                  <w:color w:val="000000"/>
                                  <w:sz w:val="16"/>
                                  <w:szCs w:val="16"/>
                                </w:rPr>
                                <w:t>Inefficient capital overspends</w:t>
                              </w:r>
                            </w:p>
                            <w:p w:rsidR="0066415A" w:rsidRPr="006F2E4F" w:rsidRDefault="0066415A" w:rsidP="006F2E4F">
                              <w:pPr>
                                <w:pStyle w:val="NormalWeb"/>
                                <w:numPr>
                                  <w:ilvl w:val="0"/>
                                  <w:numId w:val="5"/>
                                </w:numPr>
                                <w:spacing w:before="0" w:beforeAutospacing="0" w:after="0" w:afterAutospacing="0" w:line="276" w:lineRule="auto"/>
                                <w:ind w:left="284" w:hanging="142"/>
                                <w:rPr>
                                  <w:rFonts w:ascii="Tunga" w:eastAsia="Calibri" w:hAnsi="Tunga" w:cs="Tunga"/>
                                  <w:color w:val="000000"/>
                                  <w:sz w:val="16"/>
                                  <w:szCs w:val="16"/>
                                </w:rPr>
                              </w:pPr>
                              <w:r w:rsidRPr="006F2E4F">
                                <w:rPr>
                                  <w:rFonts w:ascii="Tunga" w:eastAsia="Calibri" w:hAnsi="Tunga" w:cs="Tunga"/>
                                  <w:color w:val="000000"/>
                                  <w:sz w:val="16"/>
                                  <w:szCs w:val="16"/>
                                </w:rPr>
                                <w:t>Inflated related party margins</w:t>
                              </w:r>
                            </w:p>
                            <w:p w:rsidR="0066415A" w:rsidRPr="006F2E4F" w:rsidRDefault="0066415A" w:rsidP="006F2E4F">
                              <w:pPr>
                                <w:pStyle w:val="NormalWeb"/>
                                <w:numPr>
                                  <w:ilvl w:val="0"/>
                                  <w:numId w:val="5"/>
                                </w:numPr>
                                <w:spacing w:before="0" w:beforeAutospacing="0" w:after="0" w:afterAutospacing="0" w:line="276" w:lineRule="auto"/>
                                <w:ind w:left="284" w:hanging="142"/>
                                <w:rPr>
                                  <w:sz w:val="16"/>
                                  <w:szCs w:val="16"/>
                                </w:rPr>
                              </w:pPr>
                              <w:r w:rsidRPr="006F2E4F">
                                <w:rPr>
                                  <w:rFonts w:ascii="Tunga" w:eastAsia="Calibri" w:hAnsi="Tunga" w:cs="Tunga"/>
                                  <w:color w:val="000000"/>
                                  <w:sz w:val="16"/>
                                  <w:szCs w:val="16"/>
                                </w:rPr>
                                <w:t>Capitalised</w:t>
                              </w:r>
                              <w:r>
                                <w:rPr>
                                  <w:rFonts w:ascii="Tunga" w:eastAsia="Calibri" w:hAnsi="Tunga" w:cs="Tunga"/>
                                  <w:color w:val="000000"/>
                                  <w:sz w:val="16"/>
                                  <w:szCs w:val="16"/>
                                </w:rPr>
                                <w:t xml:space="preserve"> operating expenditure</w:t>
                              </w:r>
                            </w:p>
                          </w:txbxContent>
                        </wps:txbx>
                        <wps:bodyPr rot="0" vert="horz" wrap="square" lIns="91440" tIns="36000" rIns="91440" bIns="36000" anchor="t" anchorCtr="0" upright="1">
                          <a:noAutofit/>
                        </wps:bodyPr>
                      </wps:wsp>
                      <wps:wsp>
                        <wps:cNvPr id="48" name="Rectangle 48"/>
                        <wps:cNvSpPr>
                          <a:spLocks noChangeArrowheads="1"/>
                        </wps:cNvSpPr>
                        <wps:spPr bwMode="auto">
                          <a:xfrm>
                            <a:off x="2550118" y="1520361"/>
                            <a:ext cx="1436248" cy="429149"/>
                          </a:xfrm>
                          <a:prstGeom prst="rect">
                            <a:avLst/>
                          </a:prstGeom>
                          <a:solidFill>
                            <a:srgbClr val="DBE5F1"/>
                          </a:solidFill>
                          <a:ln>
                            <a:noFill/>
                          </a:ln>
                          <a:extLst/>
                        </wps:spPr>
                        <wps:txbx>
                          <w:txbxContent>
                            <w:p w:rsidR="0066415A" w:rsidRPr="00A427A5" w:rsidRDefault="0066415A" w:rsidP="00CA0863">
                              <w:pPr>
                                <w:pStyle w:val="NormalWeb"/>
                                <w:spacing w:before="0" w:beforeAutospacing="0" w:after="0" w:afterAutospacing="0" w:line="276" w:lineRule="auto"/>
                                <w:jc w:val="center"/>
                                <w:rPr>
                                  <w:b/>
                                </w:rPr>
                              </w:pPr>
                              <w:r w:rsidRPr="00A427A5">
                                <w:rPr>
                                  <w:rFonts w:ascii="Tunga" w:eastAsia="Calibri" w:hAnsi="Tunga" w:cs="Tunga"/>
                                  <w:b/>
                                  <w:bCs/>
                                  <w:sz w:val="16"/>
                                  <w:szCs w:val="16"/>
                                </w:rPr>
                                <w:t xml:space="preserve">Upfront incentives </w:t>
                              </w:r>
                              <w:r>
                                <w:rPr>
                                  <w:rFonts w:ascii="Tunga" w:eastAsia="Calibri" w:hAnsi="Tunga" w:cs="Tunga"/>
                                  <w:b/>
                                  <w:bCs/>
                                  <w:sz w:val="16"/>
                                  <w:szCs w:val="16"/>
                                </w:rPr>
                                <w:br/>
                              </w:r>
                              <w:r w:rsidRPr="00A427A5">
                                <w:rPr>
                                  <w:rFonts w:ascii="Tunga" w:eastAsia="Calibri" w:hAnsi="Tunga" w:cs="Tunga"/>
                                  <w:b/>
                                  <w:bCs/>
                                  <w:sz w:val="16"/>
                                  <w:szCs w:val="16"/>
                                </w:rPr>
                                <w:t>(</w:t>
                              </w:r>
                              <w:proofErr w:type="spellStart"/>
                              <w:r w:rsidRPr="00A427A5">
                                <w:rPr>
                                  <w:rFonts w:ascii="Tunga" w:eastAsia="Calibri" w:hAnsi="Tunga" w:cs="Tunga"/>
                                  <w:b/>
                                  <w:bCs/>
                                  <w:sz w:val="16"/>
                                  <w:szCs w:val="16"/>
                                </w:rPr>
                                <w:t>ex ante</w:t>
                              </w:r>
                              <w:proofErr w:type="spellEnd"/>
                              <w:r w:rsidRPr="00A427A5">
                                <w:rPr>
                                  <w:rFonts w:ascii="Tunga" w:eastAsia="Calibri" w:hAnsi="Tunga" w:cs="Tunga"/>
                                  <w:b/>
                                  <w:bCs/>
                                  <w:sz w:val="16"/>
                                  <w:szCs w:val="16"/>
                                </w:rPr>
                                <w:t xml:space="preserve"> measures)</w:t>
                              </w:r>
                            </w:p>
                          </w:txbxContent>
                        </wps:txbx>
                        <wps:bodyPr rot="0" vert="horz" wrap="square" lIns="91440" tIns="36000" rIns="91440" bIns="36000" anchor="ctr" anchorCtr="0" upright="1">
                          <a:noAutofit/>
                        </wps:bodyPr>
                      </wps:wsp>
                      <wps:wsp>
                        <wps:cNvPr id="50" name="Rectangle 50"/>
                        <wps:cNvSpPr>
                          <a:spLocks noChangeArrowheads="1"/>
                        </wps:cNvSpPr>
                        <wps:spPr bwMode="auto">
                          <a:xfrm>
                            <a:off x="1549816" y="842498"/>
                            <a:ext cx="1647661" cy="409175"/>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Pr="00742DF1" w:rsidRDefault="0066415A" w:rsidP="00742DF1">
                              <w:pPr>
                                <w:pStyle w:val="NormalWeb"/>
                                <w:spacing w:before="0" w:beforeAutospacing="0" w:after="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Efficiency benefit sharing scheme</w:t>
                              </w:r>
                            </w:p>
                          </w:txbxContent>
                        </wps:txbx>
                        <wps:bodyPr rot="0" vert="horz" wrap="square" lIns="91440" tIns="36000" rIns="91440" bIns="36000" anchor="ctr" anchorCtr="0" upright="1">
                          <a:noAutofit/>
                        </wps:bodyPr>
                      </wps:wsp>
                      <wps:wsp>
                        <wps:cNvPr id="24" name="Rectangle 24"/>
                        <wps:cNvSpPr>
                          <a:spLocks noChangeArrowheads="1"/>
                        </wps:cNvSpPr>
                        <wps:spPr bwMode="auto">
                          <a:xfrm>
                            <a:off x="4547948" y="1512386"/>
                            <a:ext cx="1516938" cy="429506"/>
                          </a:xfrm>
                          <a:prstGeom prst="rect">
                            <a:avLst/>
                          </a:prstGeom>
                          <a:solidFill>
                            <a:srgbClr val="DBE5F1"/>
                          </a:solidFill>
                          <a:ln>
                            <a:noFill/>
                          </a:ln>
                          <a:extLst/>
                        </wps:spPr>
                        <wps:txbx>
                          <w:txbxContent>
                            <w:p w:rsidR="0066415A" w:rsidRPr="00A427A5" w:rsidRDefault="0066415A" w:rsidP="00E32544">
                              <w:pPr>
                                <w:pStyle w:val="NormalWeb"/>
                                <w:spacing w:before="0" w:beforeAutospacing="0" w:after="0" w:afterAutospacing="0" w:line="276" w:lineRule="auto"/>
                                <w:jc w:val="center"/>
                                <w:rPr>
                                  <w:b/>
                                </w:rPr>
                              </w:pPr>
                              <w:r w:rsidRPr="00A427A5">
                                <w:rPr>
                                  <w:rFonts w:ascii="Tunga" w:eastAsia="Calibri" w:hAnsi="Tunga" w:cs="Tunga"/>
                                  <w:b/>
                                  <w:iCs/>
                                  <w:sz w:val="16"/>
                                  <w:szCs w:val="16"/>
                                </w:rPr>
                                <w:t>Examining past spending (ex post measures)</w:t>
                              </w:r>
                            </w:p>
                          </w:txbxContent>
                        </wps:txbx>
                        <wps:bodyPr rot="0" vert="horz" wrap="square" lIns="91440" tIns="36000" rIns="91440" bIns="36000" anchor="ctr" anchorCtr="0" upright="1">
                          <a:noAutofit/>
                        </wps:bodyPr>
                      </wps:wsp>
                      <wps:wsp>
                        <wps:cNvPr id="27" name="Straight Connector 27"/>
                        <wps:cNvCnPr>
                          <a:stCxn id="44" idx="0"/>
                          <a:endCxn id="48" idx="2"/>
                        </wps:cNvCnPr>
                        <wps:spPr>
                          <a:xfrm flipH="1" flipV="1">
                            <a:off x="3268242" y="1949510"/>
                            <a:ext cx="2334" cy="195634"/>
                          </a:xfrm>
                          <a:prstGeom prst="line">
                            <a:avLst/>
                          </a:prstGeom>
                          <a:ln w="12700">
                            <a:solidFill>
                              <a:srgbClr val="006A99"/>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stCxn id="47" idx="0"/>
                          <a:endCxn id="24" idx="2"/>
                        </wps:cNvCnPr>
                        <wps:spPr>
                          <a:xfrm flipV="1">
                            <a:off x="5303451" y="1941892"/>
                            <a:ext cx="2966" cy="210825"/>
                          </a:xfrm>
                          <a:prstGeom prst="line">
                            <a:avLst/>
                          </a:prstGeom>
                          <a:ln w="12700">
                            <a:solidFill>
                              <a:srgbClr val="006A99"/>
                            </a:solidFill>
                            <a:prstDash val="sysDash"/>
                          </a:ln>
                        </wps:spPr>
                        <wps:style>
                          <a:lnRef idx="1">
                            <a:schemeClr val="accent1"/>
                          </a:lnRef>
                          <a:fillRef idx="0">
                            <a:schemeClr val="accent1"/>
                          </a:fillRef>
                          <a:effectRef idx="0">
                            <a:schemeClr val="accent1"/>
                          </a:effectRef>
                          <a:fontRef idx="minor">
                            <a:schemeClr val="tx1"/>
                          </a:fontRef>
                        </wps:style>
                        <wps:bodyPr/>
                      </wps:wsp>
                      <wps:wsp>
                        <wps:cNvPr id="33" name="Rectangle 33"/>
                        <wps:cNvSpPr>
                          <a:spLocks noChangeArrowheads="1"/>
                        </wps:cNvSpPr>
                        <wps:spPr bwMode="auto">
                          <a:xfrm>
                            <a:off x="1549911" y="459416"/>
                            <a:ext cx="3488246" cy="28067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Default="0066415A" w:rsidP="006A07F6">
                              <w:pPr>
                                <w:pStyle w:val="NormalWeb"/>
                                <w:spacing w:before="0" w:beforeAutospacing="0" w:after="0" w:afterAutospacing="0" w:line="276" w:lineRule="auto"/>
                                <w:jc w:val="center"/>
                              </w:pPr>
                              <w:r>
                                <w:rPr>
                                  <w:rFonts w:ascii="Tunga" w:eastAsia="Calibri" w:hAnsi="Tunga" w:cs="Tunga"/>
                                  <w:b/>
                                  <w:bCs/>
                                  <w:color w:val="FFFFFF"/>
                                  <w:sz w:val="16"/>
                                  <w:szCs w:val="16"/>
                                </w:rPr>
                                <w:t>Expenditure incentives</w:t>
                              </w:r>
                            </w:p>
                          </w:txbxContent>
                        </wps:txbx>
                        <wps:bodyPr rot="0" vert="horz" wrap="square" lIns="91440" tIns="36000" rIns="91440" bIns="36000" anchor="ctr" anchorCtr="0" upright="1">
                          <a:noAutofit/>
                        </wps:bodyPr>
                      </wps:wsp>
                      <wps:wsp>
                        <wps:cNvPr id="37" name="Rectangle 37"/>
                        <wps:cNvSpPr>
                          <a:spLocks noChangeArrowheads="1"/>
                        </wps:cNvSpPr>
                        <wps:spPr bwMode="auto">
                          <a:xfrm>
                            <a:off x="3410838" y="842505"/>
                            <a:ext cx="1627080" cy="40894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6415A" w:rsidRDefault="0066415A" w:rsidP="00742DF1">
                              <w:pPr>
                                <w:pStyle w:val="NormalWeb"/>
                                <w:spacing w:before="0" w:beforeAutospacing="0" w:after="0" w:afterAutospacing="0" w:line="276" w:lineRule="auto"/>
                                <w:jc w:val="center"/>
                              </w:pPr>
                              <w:r>
                                <w:rPr>
                                  <w:rFonts w:ascii="Tunga" w:eastAsia="Calibri" w:hAnsi="Tunga" w:cs="Tunga"/>
                                  <w:b/>
                                  <w:bCs/>
                                  <w:color w:val="FFFFFF"/>
                                  <w:sz w:val="16"/>
                                  <w:szCs w:val="16"/>
                                </w:rPr>
                                <w:t>Capital expenditure incentive guideline</w:t>
                              </w:r>
                            </w:p>
                          </w:txbxContent>
                        </wps:txbx>
                        <wps:bodyPr rot="0" vert="horz" wrap="square" lIns="91440" tIns="36000" rIns="91440" bIns="36000" anchor="ctr" anchorCtr="0" upright="1">
                          <a:noAutofit/>
                        </wps:bodyPr>
                      </wps:wsp>
                      <wps:wsp>
                        <wps:cNvPr id="17" name="Straight Connector 17"/>
                        <wps:cNvCnPr>
                          <a:stCxn id="50" idx="0"/>
                        </wps:cNvCnPr>
                        <wps:spPr>
                          <a:xfrm flipH="1" flipV="1">
                            <a:off x="2373560" y="680486"/>
                            <a:ext cx="87" cy="162012"/>
                          </a:xfrm>
                          <a:prstGeom prst="line">
                            <a:avLst/>
                          </a:prstGeom>
                          <a:ln w="12700">
                            <a:solidFill>
                              <a:srgbClr val="006A99"/>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7" idx="0"/>
                        </wps:cNvCnPr>
                        <wps:spPr>
                          <a:xfrm flipH="1" flipV="1">
                            <a:off x="4224263" y="640896"/>
                            <a:ext cx="115" cy="201609"/>
                          </a:xfrm>
                          <a:prstGeom prst="line">
                            <a:avLst/>
                          </a:prstGeom>
                          <a:ln w="12700">
                            <a:solidFill>
                              <a:srgbClr val="006A99"/>
                            </a:solidFill>
                            <a:prstDash val="sysDash"/>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37" idx="2"/>
                          <a:endCxn id="24" idx="0"/>
                        </wps:cNvCnPr>
                        <wps:spPr>
                          <a:xfrm rot="16200000" flipH="1">
                            <a:off x="4634927" y="840895"/>
                            <a:ext cx="260941" cy="1082039"/>
                          </a:xfrm>
                          <a:prstGeom prst="bentConnector3">
                            <a:avLst/>
                          </a:prstGeom>
                          <a:ln w="12700">
                            <a:solidFill>
                              <a:srgbClr val="006A99"/>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9" name="Elbow Connector 19"/>
                        <wps:cNvCnPr>
                          <a:stCxn id="37" idx="2"/>
                          <a:endCxn id="48" idx="0"/>
                        </wps:cNvCnPr>
                        <wps:spPr>
                          <a:xfrm rot="5400000">
                            <a:off x="3611852" y="907835"/>
                            <a:ext cx="268916" cy="956136"/>
                          </a:xfrm>
                          <a:prstGeom prst="bentConnector3">
                            <a:avLst/>
                          </a:prstGeom>
                          <a:ln w="12700">
                            <a:solidFill>
                              <a:srgbClr val="006A99"/>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43" name="Elbow Connector 43"/>
                        <wps:cNvCnPr>
                          <a:stCxn id="35" idx="0"/>
                          <a:endCxn id="33" idx="1"/>
                        </wps:cNvCnPr>
                        <wps:spPr>
                          <a:xfrm rot="5400000" flipH="1" flipV="1">
                            <a:off x="845088" y="829606"/>
                            <a:ext cx="934677" cy="474969"/>
                          </a:xfrm>
                          <a:prstGeom prst="bentConnector2">
                            <a:avLst/>
                          </a:prstGeom>
                          <a:ln w="38100">
                            <a:solidFill>
                              <a:srgbClr val="006A99"/>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6" name="Elbow Connector 36"/>
                        <wps:cNvCnPr>
                          <a:stCxn id="48" idx="1"/>
                          <a:endCxn id="50" idx="2"/>
                        </wps:cNvCnPr>
                        <wps:spPr>
                          <a:xfrm rot="10800000">
                            <a:off x="2373648" y="1251674"/>
                            <a:ext cx="176471" cy="483263"/>
                          </a:xfrm>
                          <a:prstGeom prst="bentConnector2">
                            <a:avLst/>
                          </a:prstGeom>
                          <a:ln w="38100">
                            <a:solidFill>
                              <a:srgbClr val="006A99"/>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36" editas="canvas" style="position:absolute;margin-left:12.5pt;margin-top:.15pt;width:520.6pt;height:295.1pt;z-index:251665408;mso-position-horizontal-relative:text;mso-position-vertical-relative:text" coordsize="66116,3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">
                <v:shape id="_x0000_s1037" type="#_x0000_t75" style="position:absolute;width:66116;height:37477;visibility:visible;mso-wrap-style:square">
                  <v:fill o:detectmouseclick="t"/>
                  <v:path o:connecttype="none"/>
                </v:shape>
                <v:rect id="Rectangle 34" o:spid="_x0000_s1038" style="position:absolute;left:360;width:42464;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66415A" w:rsidRPr="004D1DC0" w:rsidRDefault="0066415A" w:rsidP="004D1DC0">
                        <w:pPr>
                          <w:pStyle w:val="NormalWeb"/>
                          <w:spacing w:before="0" w:beforeAutospacing="0" w:after="0" w:afterAutospacing="0" w:line="288" w:lineRule="auto"/>
                          <w:rPr>
                            <w:color w:val="000000" w:themeColor="text1"/>
                          </w:rPr>
                        </w:pPr>
                        <w:r>
                          <w:rPr>
                            <w:rFonts w:ascii="Tunga" w:hAnsi="Tunga"/>
                            <w:b/>
                            <w:bCs/>
                            <w:color w:val="000000" w:themeColor="text1"/>
                            <w:kern w:val="24"/>
                          </w:rPr>
                          <w:t>How the expenditure measures fit together</w:t>
                        </w:r>
                      </w:p>
                    </w:txbxContent>
                  </v:textbox>
                </v:rect>
                <v:rect id="Rectangle 35" o:spid="_x0000_s1039" style="position:absolute;left:2788;top:15344;width:15922;height:5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7rpMQA&#10;AADbAAAADwAAAGRycy9kb3ducmV2LnhtbESPQWvCQBSE74L/YXlCb3Vji6LRVaSlWApFTUQ8PrLP&#10;JJh9G3ZXTf99t1DwOMzMN8xi1ZlG3Mj52rKC0TABQVxYXXOp4JB/PE9B+ICssbFMCn7Iw2rZ7y0w&#10;1fbOe7ploRQRwj5FBVUIbSqlLyoy6Ie2JY7e2TqDIUpXSu3wHuGmkS9JMpEGa44LFbb0VlFxya5G&#10;wXEzm5Q22+p8/JWcLt8Ht3vPnVJPg249BxGoC4/wf/tTK3gd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66TEAAAA2wAAAA8AAAAAAAAAAAAAAAAAmAIAAGRycy9k&#10;b3ducmV2LnhtbFBLBQYAAAAABAAEAPUAAACJAwAAAAA=&#10;" fillcolor="#006a99" stroked="f" strokeweight="2pt">
                  <v:textbox inset=",1mm,,1mm">
                    <w:txbxContent>
                      <w:p w:rsidR="0066415A" w:rsidRPr="006F2E4F" w:rsidRDefault="0066415A" w:rsidP="006A07F6">
                        <w:pPr>
                          <w:pStyle w:val="NormalWeb"/>
                          <w:spacing w:before="0" w:beforeAutospacing="0" w:after="0" w:afterAutospacing="0" w:line="276" w:lineRule="auto"/>
                          <w:jc w:val="center"/>
                          <w:rPr>
                            <w:b/>
                          </w:rPr>
                        </w:pPr>
                        <w:r w:rsidRPr="006F2E4F">
                          <w:rPr>
                            <w:rFonts w:ascii="Tunga" w:eastAsia="Calibri" w:hAnsi="Tunga" w:cs="Tunga"/>
                            <w:b/>
                            <w:bCs/>
                            <w:color w:val="FFFFFF"/>
                            <w:sz w:val="16"/>
                            <w:szCs w:val="16"/>
                          </w:rPr>
                          <w:t>Expenditur</w:t>
                        </w:r>
                        <w:r>
                          <w:rPr>
                            <w:rFonts w:ascii="Tunga" w:eastAsia="Calibri" w:hAnsi="Tunga" w:cs="Tunga"/>
                            <w:b/>
                            <w:bCs/>
                            <w:color w:val="FFFFFF"/>
                            <w:sz w:val="16"/>
                            <w:szCs w:val="16"/>
                          </w:rPr>
                          <w:t>e forecast assessment guideline</w:t>
                        </w:r>
                      </w:p>
                    </w:txbxContent>
                  </v:textbox>
                </v:rect>
                <v:rect id="Rectangle 44" o:spid="_x0000_s1040" style="position:absolute;left:23023;top:21451;width:19364;height:1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r2MIA&#10;AADbAAAADwAAAGRycy9kb3ducmV2LnhtbESPT4vCMBTE7wt+h/CEva2pIstajSKC/y6CVcHjI3m2&#10;xealNLF2v71ZEPY4zMxvmNmis5VoqfGlYwXDQQKCWDtTcq7gfFp//YDwAdlg5ZgU/JKHxbz3McPU&#10;uCcfqc1CLiKEfYoKihDqVEqvC7LoB64mjt7NNRZDlE0uTYPPCLeVHCXJt7RYclwosKZVQfqePayC&#10;Sbmpdodtpk963xIllytNjlelPvvdcgoiUBf+w+/2zigYj+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avYwgAAANsAAAAPAAAAAAAAAAAAAAAAAJgCAABkcnMvZG93&#10;bnJldi54bWxQSwUGAAAAAAQABAD1AAAAhwMAAAAA&#10;" fillcolor="#dbe5f1" stroked="f" strokeweight="2pt">
                  <v:textbox inset=",1mm,,1mm">
                    <w:txbxContent>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r w:rsidRPr="006F2E4F">
                          <w:rPr>
                            <w:rFonts w:ascii="Tunga" w:eastAsia="Calibri" w:hAnsi="Tunga" w:cs="Tunga"/>
                            <w:bCs/>
                            <w:color w:val="000000"/>
                            <w:sz w:val="16"/>
                            <w:szCs w:val="16"/>
                          </w:rPr>
                          <w:t>General incentive based regulation</w:t>
                        </w: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Capital expenditure sharing scheme (CESS)</w:t>
                        </w: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Efficiency benefit sharing scheme (EBSS)</w:t>
                        </w:r>
                      </w:p>
                      <w:p w:rsidR="0066415A" w:rsidRDefault="0066415A" w:rsidP="006F2E4F">
                        <w:pPr>
                          <w:pStyle w:val="NormalWeb"/>
                          <w:spacing w:before="0" w:beforeAutospacing="0" w:after="0" w:afterAutospacing="0" w:line="276" w:lineRule="auto"/>
                          <w:rPr>
                            <w:rFonts w:ascii="Tunga" w:eastAsia="Calibri" w:hAnsi="Tunga" w:cs="Tunga"/>
                            <w:bCs/>
                            <w:color w:val="000000"/>
                            <w:sz w:val="16"/>
                            <w:szCs w:val="16"/>
                          </w:rPr>
                        </w:pPr>
                      </w:p>
                      <w:p w:rsidR="0066415A" w:rsidRPr="006F2E4F" w:rsidRDefault="0066415A" w:rsidP="006F2E4F">
                        <w:pPr>
                          <w:pStyle w:val="NormalWeb"/>
                          <w:spacing w:before="0" w:beforeAutospacing="0" w:after="0" w:afterAutospacing="0" w:line="276" w:lineRule="auto"/>
                        </w:pPr>
                        <w:r>
                          <w:rPr>
                            <w:rFonts w:ascii="Tunga" w:eastAsia="Calibri" w:hAnsi="Tunga" w:cs="Tunga"/>
                            <w:bCs/>
                            <w:color w:val="000000"/>
                            <w:sz w:val="16"/>
                            <w:szCs w:val="16"/>
                          </w:rPr>
                          <w:t>Use of actual or forecast depreciation to roll forward the regulatory asset base</w:t>
                        </w:r>
                      </w:p>
                    </w:txbxContent>
                  </v:textbox>
                </v:rect>
                <v:rect id="Rectangle 47" o:spid="_x0000_s1041" style="position:absolute;left:43445;top:21527;width:19178;height:12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r8MA&#10;AADbAAAADwAAAGRycy9kb3ducmV2LnhtbESPT4vCMBTE7wv7HcJb8LamK6Jr1yiL4L+LYN0Fj4/k&#10;2Rabl9LEWr+9EQSPw8z8hpnOO1uJlhpfOlbw1U9AEGtnSs4V/B2Wn98gfEA2WDkmBTfyMJ+9v00x&#10;Ne7Ke2qzkIsIYZ+igiKEOpXS64Is+r6riaN3co3FEGWTS9PgNcJtJQdJMpIWS44LBda0KEifs4tV&#10;MClX1Wa3zvRBb1ui5P9Ik/1Rqd5H9/sDIlAXXuFne2MUDMfw+B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1r8MAAADbAAAADwAAAAAAAAAAAAAAAACYAgAAZHJzL2Rv&#10;d25yZXYueG1sUEsFBgAAAAAEAAQA9QAAAIgDAAAAAA==&#10;" fillcolor="#dbe5f1" stroked="f" strokeweight="2pt">
                  <v:textbox inset=",1mm,,1mm">
                    <w:txbxContent>
                      <w:p w:rsidR="0066415A" w:rsidRDefault="0066415A" w:rsidP="006F2E4F">
                        <w:pPr>
                          <w:pStyle w:val="NormalWeb"/>
                          <w:spacing w:before="0" w:beforeAutospacing="0" w:after="0" w:afterAutospacing="0" w:line="276" w:lineRule="auto"/>
                          <w:rPr>
                            <w:rFonts w:ascii="Tunga" w:eastAsia="Calibri" w:hAnsi="Tunga" w:cs="Tunga"/>
                            <w:color w:val="000000"/>
                            <w:sz w:val="16"/>
                            <w:szCs w:val="16"/>
                          </w:rPr>
                        </w:pPr>
                        <w:r>
                          <w:rPr>
                            <w:rFonts w:ascii="Tunga" w:eastAsia="Calibri" w:hAnsi="Tunga" w:cs="Tunga"/>
                            <w:color w:val="000000"/>
                            <w:sz w:val="16"/>
                            <w:szCs w:val="16"/>
                          </w:rPr>
                          <w:t>Statement on the efficiency of actual capital expenditure</w:t>
                        </w:r>
                      </w:p>
                      <w:p w:rsidR="0066415A" w:rsidRDefault="0066415A" w:rsidP="006F2E4F">
                        <w:pPr>
                          <w:pStyle w:val="NormalWeb"/>
                          <w:spacing w:before="0" w:beforeAutospacing="0" w:after="0" w:afterAutospacing="0" w:line="276" w:lineRule="auto"/>
                          <w:rPr>
                            <w:rFonts w:ascii="Tunga" w:eastAsia="Calibri" w:hAnsi="Tunga" w:cs="Tunga"/>
                            <w:color w:val="000000"/>
                            <w:sz w:val="16"/>
                            <w:szCs w:val="16"/>
                          </w:rPr>
                        </w:pPr>
                      </w:p>
                      <w:p w:rsidR="0066415A" w:rsidRDefault="0066415A" w:rsidP="006F2E4F">
                        <w:pPr>
                          <w:pStyle w:val="NormalWeb"/>
                          <w:spacing w:before="0" w:beforeAutospacing="0" w:after="0" w:afterAutospacing="0" w:line="276" w:lineRule="auto"/>
                          <w:rPr>
                            <w:rFonts w:ascii="Tunga" w:eastAsia="Calibri" w:hAnsi="Tunga" w:cs="Tunga"/>
                            <w:color w:val="000000"/>
                            <w:sz w:val="16"/>
                            <w:szCs w:val="16"/>
                          </w:rPr>
                        </w:pPr>
                        <w:r>
                          <w:rPr>
                            <w:rFonts w:ascii="Tunga" w:eastAsia="Calibri" w:hAnsi="Tunga" w:cs="Tunga"/>
                            <w:color w:val="000000"/>
                            <w:sz w:val="16"/>
                            <w:szCs w:val="16"/>
                          </w:rPr>
                          <w:t>Ex post exclusions from the regulatory asset base for:</w:t>
                        </w:r>
                      </w:p>
                      <w:p w:rsidR="0066415A" w:rsidRPr="006F2E4F" w:rsidRDefault="0066415A" w:rsidP="006F2E4F">
                        <w:pPr>
                          <w:pStyle w:val="NormalWeb"/>
                          <w:numPr>
                            <w:ilvl w:val="0"/>
                            <w:numId w:val="5"/>
                          </w:numPr>
                          <w:spacing w:before="0" w:beforeAutospacing="0" w:after="0" w:afterAutospacing="0" w:line="276" w:lineRule="auto"/>
                          <w:ind w:left="284" w:hanging="142"/>
                          <w:rPr>
                            <w:rFonts w:ascii="Tunga" w:eastAsia="Calibri" w:hAnsi="Tunga" w:cs="Tunga"/>
                            <w:color w:val="000000"/>
                            <w:sz w:val="16"/>
                            <w:szCs w:val="16"/>
                          </w:rPr>
                        </w:pPr>
                        <w:r w:rsidRPr="006F2E4F">
                          <w:rPr>
                            <w:rFonts w:ascii="Tunga" w:eastAsia="Calibri" w:hAnsi="Tunga" w:cs="Tunga"/>
                            <w:color w:val="000000"/>
                            <w:sz w:val="16"/>
                            <w:szCs w:val="16"/>
                          </w:rPr>
                          <w:t>Inefficient capital overspends</w:t>
                        </w:r>
                      </w:p>
                      <w:p w:rsidR="0066415A" w:rsidRPr="006F2E4F" w:rsidRDefault="0066415A" w:rsidP="006F2E4F">
                        <w:pPr>
                          <w:pStyle w:val="NormalWeb"/>
                          <w:numPr>
                            <w:ilvl w:val="0"/>
                            <w:numId w:val="5"/>
                          </w:numPr>
                          <w:spacing w:before="0" w:beforeAutospacing="0" w:after="0" w:afterAutospacing="0" w:line="276" w:lineRule="auto"/>
                          <w:ind w:left="284" w:hanging="142"/>
                          <w:rPr>
                            <w:rFonts w:ascii="Tunga" w:eastAsia="Calibri" w:hAnsi="Tunga" w:cs="Tunga"/>
                            <w:color w:val="000000"/>
                            <w:sz w:val="16"/>
                            <w:szCs w:val="16"/>
                          </w:rPr>
                        </w:pPr>
                        <w:r w:rsidRPr="006F2E4F">
                          <w:rPr>
                            <w:rFonts w:ascii="Tunga" w:eastAsia="Calibri" w:hAnsi="Tunga" w:cs="Tunga"/>
                            <w:color w:val="000000"/>
                            <w:sz w:val="16"/>
                            <w:szCs w:val="16"/>
                          </w:rPr>
                          <w:t>Inflated related party margins</w:t>
                        </w:r>
                      </w:p>
                      <w:p w:rsidR="0066415A" w:rsidRPr="006F2E4F" w:rsidRDefault="0066415A" w:rsidP="006F2E4F">
                        <w:pPr>
                          <w:pStyle w:val="NormalWeb"/>
                          <w:numPr>
                            <w:ilvl w:val="0"/>
                            <w:numId w:val="5"/>
                          </w:numPr>
                          <w:spacing w:before="0" w:beforeAutospacing="0" w:after="0" w:afterAutospacing="0" w:line="276" w:lineRule="auto"/>
                          <w:ind w:left="284" w:hanging="142"/>
                          <w:rPr>
                            <w:sz w:val="16"/>
                            <w:szCs w:val="16"/>
                          </w:rPr>
                        </w:pPr>
                        <w:r w:rsidRPr="006F2E4F">
                          <w:rPr>
                            <w:rFonts w:ascii="Tunga" w:eastAsia="Calibri" w:hAnsi="Tunga" w:cs="Tunga"/>
                            <w:color w:val="000000"/>
                            <w:sz w:val="16"/>
                            <w:szCs w:val="16"/>
                          </w:rPr>
                          <w:t>Capitalised</w:t>
                        </w:r>
                        <w:r>
                          <w:rPr>
                            <w:rFonts w:ascii="Tunga" w:eastAsia="Calibri" w:hAnsi="Tunga" w:cs="Tunga"/>
                            <w:color w:val="000000"/>
                            <w:sz w:val="16"/>
                            <w:szCs w:val="16"/>
                          </w:rPr>
                          <w:t xml:space="preserve"> operating expenditure</w:t>
                        </w:r>
                      </w:p>
                    </w:txbxContent>
                  </v:textbox>
                </v:rect>
                <v:rect id="Rectangle 48" o:spid="_x0000_s1042" style="position:absolute;left:25501;top:15203;width:14362;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m8LwA&#10;AADbAAAADwAAAGRycy9kb3ducmV2LnhtbERPSwrCMBDdC94hjOBOU0VEaqOIKIouxM8Bxmb6wWZS&#10;mqj19mYhuHy8f7JsTSVe1LjSsoLRMAJBnFpdcq7gdt0OZiCcR9ZYWSYFH3KwXHQ7CcbavvlMr4vP&#10;RQhhF6OCwvs6ltKlBRl0Q1sTBy6zjUEfYJNL3eA7hJtKjqNoKg2WHBoKrGldUPq4PI2C4649jQ2e&#10;13K/uR3zw4ay+5WU6vfa1RyEp9b/xT/3XiuYhL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RibwvAAAANsAAAAPAAAAAAAAAAAAAAAAAJgCAABkcnMvZG93bnJldi54&#10;bWxQSwUGAAAAAAQABAD1AAAAgQMAAAAA&#10;" fillcolor="#dbe5f1" stroked="f">
                  <v:textbox inset=",1mm,,1mm">
                    <w:txbxContent>
                      <w:p w:rsidR="0066415A" w:rsidRPr="00A427A5" w:rsidRDefault="0066415A" w:rsidP="00CA0863">
                        <w:pPr>
                          <w:pStyle w:val="NormalWeb"/>
                          <w:spacing w:before="0" w:beforeAutospacing="0" w:after="0" w:afterAutospacing="0" w:line="276" w:lineRule="auto"/>
                          <w:jc w:val="center"/>
                          <w:rPr>
                            <w:b/>
                          </w:rPr>
                        </w:pPr>
                        <w:r w:rsidRPr="00A427A5">
                          <w:rPr>
                            <w:rFonts w:ascii="Tunga" w:eastAsia="Calibri" w:hAnsi="Tunga" w:cs="Tunga"/>
                            <w:b/>
                            <w:bCs/>
                            <w:sz w:val="16"/>
                            <w:szCs w:val="16"/>
                          </w:rPr>
                          <w:t xml:space="preserve">Upfront incentives </w:t>
                        </w:r>
                        <w:r>
                          <w:rPr>
                            <w:rFonts w:ascii="Tunga" w:eastAsia="Calibri" w:hAnsi="Tunga" w:cs="Tunga"/>
                            <w:b/>
                            <w:bCs/>
                            <w:sz w:val="16"/>
                            <w:szCs w:val="16"/>
                          </w:rPr>
                          <w:br/>
                        </w:r>
                        <w:r w:rsidRPr="00A427A5">
                          <w:rPr>
                            <w:rFonts w:ascii="Tunga" w:eastAsia="Calibri" w:hAnsi="Tunga" w:cs="Tunga"/>
                            <w:b/>
                            <w:bCs/>
                            <w:sz w:val="16"/>
                            <w:szCs w:val="16"/>
                          </w:rPr>
                          <w:t>(</w:t>
                        </w:r>
                        <w:proofErr w:type="spellStart"/>
                        <w:r w:rsidRPr="00A427A5">
                          <w:rPr>
                            <w:rFonts w:ascii="Tunga" w:eastAsia="Calibri" w:hAnsi="Tunga" w:cs="Tunga"/>
                            <w:b/>
                            <w:bCs/>
                            <w:sz w:val="16"/>
                            <w:szCs w:val="16"/>
                          </w:rPr>
                          <w:t>ex ante</w:t>
                        </w:r>
                        <w:proofErr w:type="spellEnd"/>
                        <w:r w:rsidRPr="00A427A5">
                          <w:rPr>
                            <w:rFonts w:ascii="Tunga" w:eastAsia="Calibri" w:hAnsi="Tunga" w:cs="Tunga"/>
                            <w:b/>
                            <w:bCs/>
                            <w:sz w:val="16"/>
                            <w:szCs w:val="16"/>
                          </w:rPr>
                          <w:t xml:space="preserve"> measures)</w:t>
                        </w:r>
                      </w:p>
                    </w:txbxContent>
                  </v:textbox>
                </v:rect>
                <v:rect id="Rectangle 50" o:spid="_x0000_s1043" style="position:absolute;left:15498;top:8424;width:16476;height:4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tnMIA&#10;AADbAAAADwAAAGRycy9kb3ducmV2LnhtbERPXWvCMBR9H+w/hDvwbU0nKLMzLWNDHMJQWxk+Xppr&#10;W2xuSpJp/ffLg7DHw/leFqPpxYWc7ywreElSEMS11R03Cg7V6vkVhA/IGnvLpOBGHor88WGJmbZX&#10;3tOlDI2IIewzVNCGMGRS+rolgz6xA3HkTtYZDBG6RmqH1xhuejlN07k02HFsaHGgj5bqc/lrFPys&#10;F/PGlltdzTbp8fx9cLvPyik1eRrf30AEGsO/+O7+0gpmcX38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q2cwgAAANsAAAAPAAAAAAAAAAAAAAAAAJgCAABkcnMvZG93&#10;bnJldi54bWxQSwUGAAAAAAQABAD1AAAAhwMAAAAA&#10;" fillcolor="#006a99" stroked="f" strokeweight="2pt">
                  <v:textbox inset=",1mm,,1mm">
                    <w:txbxContent>
                      <w:p w:rsidR="0066415A" w:rsidRPr="00742DF1" w:rsidRDefault="0066415A" w:rsidP="00742DF1">
                        <w:pPr>
                          <w:pStyle w:val="NormalWeb"/>
                          <w:spacing w:before="0" w:beforeAutospacing="0" w:after="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Efficiency benefit sharing scheme</w:t>
                        </w:r>
                      </w:p>
                    </w:txbxContent>
                  </v:textbox>
                </v:rect>
                <v:rect id="Rectangle 24" o:spid="_x0000_s1044" style="position:absolute;left:45479;top:15123;width:15169;height:4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JVb8A&#10;AADbAAAADwAAAGRycy9kb3ducmV2LnhtbESPzQrCMBCE74LvEFbwpqlFRKpRRBRFD+LPA6zN2hab&#10;TWmi1rc3guBxmJlvmOm8MaV4Uu0KywoG/QgEcWp1wZmCy3ndG4NwHlljaZkUvMnBfNZuTTHR9sVH&#10;ep58JgKEXYIKcu+rREqX5mTQ9W1FHLybrQ36IOtM6hpfAW5KGUfRSBosOCzkWNEyp/R+ehgF+01z&#10;iA0el3K7uuyz3Ypu1zMp1e00iwkIT43/h3/trVYQD+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1MlVvwAAANsAAAAPAAAAAAAAAAAAAAAAAJgCAABkcnMvZG93bnJl&#10;di54bWxQSwUGAAAAAAQABAD1AAAAhAMAAAAA&#10;" fillcolor="#dbe5f1" stroked="f">
                  <v:textbox inset=",1mm,,1mm">
                    <w:txbxContent>
                      <w:p w:rsidR="0066415A" w:rsidRPr="00A427A5" w:rsidRDefault="0066415A" w:rsidP="00E32544">
                        <w:pPr>
                          <w:pStyle w:val="NormalWeb"/>
                          <w:spacing w:before="0" w:beforeAutospacing="0" w:after="0" w:afterAutospacing="0" w:line="276" w:lineRule="auto"/>
                          <w:jc w:val="center"/>
                          <w:rPr>
                            <w:b/>
                          </w:rPr>
                        </w:pPr>
                        <w:r w:rsidRPr="00A427A5">
                          <w:rPr>
                            <w:rFonts w:ascii="Tunga" w:eastAsia="Calibri" w:hAnsi="Tunga" w:cs="Tunga"/>
                            <w:b/>
                            <w:iCs/>
                            <w:sz w:val="16"/>
                            <w:szCs w:val="16"/>
                          </w:rPr>
                          <w:t>Examining past spending (ex post measures)</w:t>
                        </w:r>
                      </w:p>
                    </w:txbxContent>
                  </v:textbox>
                </v:rect>
                <v:line id="Straight Connector 27" o:spid="_x0000_s1045" style="position:absolute;flip:x y;visibility:visible;mso-wrap-style:square" from="32682,19495" to="32705,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Bx74AAADbAAAADwAAAGRycy9kb3ducmV2LnhtbESPwQrCMBBE74L/EFbwpqkiKtUoKoiC&#10;J6sfsDRrW2w2pYlt/XsjCB6HmXnDrLedKUVDtSssK5iMIxDEqdUFZwrut+NoCcJ5ZI2lZVLwJgfb&#10;Tb+3xljblq/UJD4TAcIuRgW591UspUtzMujGtiIO3sPWBn2QdSZ1jW2Am1JOo2guDRYcFnKs6JBT&#10;+kxeRsH+fJxdZq5d4vykbZU1CUeng1LDQbdbgfDU+X/41z5rBdMFfL+EHyA3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DQHHvgAAANsAAAAPAAAAAAAAAAAAAAAAAKEC&#10;AABkcnMvZG93bnJldi54bWxQSwUGAAAAAAQABAD5AAAAjAMAAAAA&#10;" strokecolor="#006a99" strokeweight="1pt">
                  <v:stroke dashstyle="3 1"/>
                </v:line>
                <v:line id="Straight Connector 28" o:spid="_x0000_s1046" style="position:absolute;flip:y;visibility:visible;mso-wrap-style:square" from="53034,19418" to="53064,2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FwZL8AAADbAAAADwAAAGRycy9kb3ducmV2LnhtbESPwYrCQAyG74LvMETwplMFZbc6liLI&#10;elX3AUInOy12MqUzatenNwfBY/jzf/myLQbfqjv1sQlsYDHPQBFXwTbsDPxeDrMvUDEhW2wDk4F/&#10;ilDsxqMt5jY8+ET3c3JKIBxzNFCn1OVax6omj3EeOmLJ/kLvMcnYO217fAjct3qZZWvtsWG5UGNH&#10;+5qq6/nmRcPq56psfzK3SHbPeHQn/+2MmU6GcgMq0ZA+y+/20RpYiqz8IgDQu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aFwZL8AAADbAAAADwAAAAAAAAAAAAAAAACh&#10;AgAAZHJzL2Rvd25yZXYueG1sUEsFBgAAAAAEAAQA+QAAAI0DAAAAAA==&#10;" strokecolor="#006a99" strokeweight="1pt">
                  <v:stroke dashstyle="3 1"/>
                </v:line>
                <v:rect id="Rectangle 33" o:spid="_x0000_s1047" style="position:absolute;left:15499;top:4594;width:34882;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WS8QA&#10;AADbAAAADwAAAGRycy9kb3ducmV2LnhtbESPQWvCQBSE7wX/w/KE3urGiqLRVaSlKIWiJiIeH9ln&#10;Esy+Dbtbjf++Wyj0OMzMN8xi1ZlG3Mj52rKC4SABQVxYXXOp4Jh/vExB+ICssbFMCh7kYbXsPS0w&#10;1fbOB7ploRQRwj5FBVUIbSqlLyoy6Ae2JY7exTqDIUpXSu3wHuGmka9JMpEGa44LFbb0VlFxzb6N&#10;gtNmNiltttP5+DM5X7+Obv+eO6We+916DiJQF/7Df+2tVjAawe+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r1kvEAAAA2wAAAA8AAAAAAAAAAAAAAAAAmAIAAGRycy9k&#10;b3ducmV2LnhtbFBLBQYAAAAABAAEAPUAAACJAwAAAAA=&#10;" fillcolor="#006a99" stroked="f" strokeweight="2pt">
                  <v:textbox inset=",1mm,,1mm">
                    <w:txbxContent>
                      <w:p w:rsidR="0066415A" w:rsidRDefault="0066415A" w:rsidP="006A07F6">
                        <w:pPr>
                          <w:pStyle w:val="NormalWeb"/>
                          <w:spacing w:before="0" w:beforeAutospacing="0" w:after="0" w:afterAutospacing="0" w:line="276" w:lineRule="auto"/>
                          <w:jc w:val="center"/>
                        </w:pPr>
                        <w:r>
                          <w:rPr>
                            <w:rFonts w:ascii="Tunga" w:eastAsia="Calibri" w:hAnsi="Tunga" w:cs="Tunga"/>
                            <w:b/>
                            <w:bCs/>
                            <w:color w:val="FFFFFF"/>
                            <w:sz w:val="16"/>
                            <w:szCs w:val="16"/>
                          </w:rPr>
                          <w:t>Expenditure incentives</w:t>
                        </w:r>
                      </w:p>
                    </w:txbxContent>
                  </v:textbox>
                </v:rect>
                <v:rect id="Rectangle 37" o:spid="_x0000_s1048" style="position:absolute;left:34108;top:8425;width:16271;height:4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QSMUA&#10;AADbAAAADwAAAGRycy9kb3ducmV2LnhtbESPQWvCQBSE74L/YXkFb3VTpVZTVxFFWgRpm4h4fGRf&#10;k2D2bdjdavrvu0LB4zAz3zDzZWcacSHna8sKnoYJCOLC6ppLBYd8+zgF4QOyxsYyKfglD8tFvzfH&#10;VNsrf9ElC6WIEPYpKqhCaFMpfVGRQT+0LXH0vq0zGKJ0pdQOrxFuGjlKkok0WHNcqLCldUXFOfsx&#10;Co5vs0lpsw+dP++S03l/cJ+b3Ck1eOhWryACdeEe/m+/awXjF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NBIxQAAANsAAAAPAAAAAAAAAAAAAAAAAJgCAABkcnMv&#10;ZG93bnJldi54bWxQSwUGAAAAAAQABAD1AAAAigMAAAAA&#10;" fillcolor="#006a99" stroked="f" strokeweight="2pt">
                  <v:textbox inset=",1mm,,1mm">
                    <w:txbxContent>
                      <w:p w:rsidR="0066415A" w:rsidRDefault="0066415A" w:rsidP="00742DF1">
                        <w:pPr>
                          <w:pStyle w:val="NormalWeb"/>
                          <w:spacing w:before="0" w:beforeAutospacing="0" w:after="0" w:afterAutospacing="0" w:line="276" w:lineRule="auto"/>
                          <w:jc w:val="center"/>
                        </w:pPr>
                        <w:r>
                          <w:rPr>
                            <w:rFonts w:ascii="Tunga" w:eastAsia="Calibri" w:hAnsi="Tunga" w:cs="Tunga"/>
                            <w:b/>
                            <w:bCs/>
                            <w:color w:val="FFFFFF"/>
                            <w:sz w:val="16"/>
                            <w:szCs w:val="16"/>
                          </w:rPr>
                          <w:t>Capital expenditure incentive guideline</w:t>
                        </w:r>
                      </w:p>
                    </w:txbxContent>
                  </v:textbox>
                </v:rect>
                <v:line id="Straight Connector 17" o:spid="_x0000_s1049" style="position:absolute;flip:x y;visibility:visible;mso-wrap-style:square" from="23735,6804" to="23736,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LerwAAADbAAAADwAAAGRycy9kb3ducmV2LnhtbERPSwrCMBDdC94hjOBOU0VUqlFUEAVX&#10;Vg8wNGNbbCaliW29vREEd/N431lvO1OKhmpXWFYwGUcgiFOrC84U3G/H0RKE88gaS8uk4E0Otpt+&#10;b42xti1fqUl8JkIIuxgV5N5XsZQuzcmgG9uKOHAPWxv0AdaZ1DW2IdyUchpFc2mw4NCQY0WHnNJn&#10;8jIK9ufj7DJz7RLnJ22rrEk4Oh2UGg663QqEp87/xT/3WYf5C/j+Eg6Qm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mHLerwAAADbAAAADwAAAAAAAAAAAAAAAAChAgAA&#10;ZHJzL2Rvd25yZXYueG1sUEsFBgAAAAAEAAQA+QAAAIoDAAAAAA==&#10;" strokecolor="#006a99" strokeweight="1pt">
                  <v:stroke dashstyle="3 1"/>
                </v:line>
                <v:line id="Straight Connector 38" o:spid="_x0000_s1050" style="position:absolute;flip:x y;visibility:visible;mso-wrap-style:square" from="42242,6408" to="42243,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DaLsAAADbAAAADwAAAGRycy9kb3ducmV2LnhtbERPSwrCMBDdC94hjODOpn4QqUZRQRRc&#10;WT3A0IxtsZmUJrb19mYhuHy8/2bXm0q01LjSsoJpFIMgzqwuOVfwuJ8mKxDOI2usLJOCDznYbYeD&#10;DSbadnyjNvW5CCHsElRQeF8nUrqsIIMusjVx4J62MegDbHKpG+xCuKnkLI6X0mDJoaHAmo4FZa/0&#10;bRQcLqfFdeG6FS7P2tZ5m3J8Pio1HvX7NQhPvf+Lf+6LVjAPY8OX8AP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SwNouwAAANsAAAAPAAAAAAAAAAAAAAAAAKECAABk&#10;cnMvZG93bnJldi54bWxQSwUGAAAAAAQABAD5AAAAiQMAAAAA&#10;" strokecolor="#006a99" strokeweight="1pt">
                  <v:stroke dashstyle="3 1"/>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51" type="#_x0000_t34" style="position:absolute;left:46349;top:8408;width:2609;height:108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YpsIAAADbAAAADwAAAGRycy9kb3ducmV2LnhtbESPT2vCQBDF74LfYRmhN934hyDRVYpg&#10;kd5MxfOQHZPU7GzY3Wr67TsHobcZ3pv3frPdD65TDwqx9WxgPstAEVfetlwbuHwdp2tQMSFb7DyT&#10;gV+KsN+NR1ssrH/ymR5lqpWEcCzQQJNSX2gdq4YcxpnviUW7+eAwyRpqbQM+Jdx1epFluXbYsjQ0&#10;2NOhoepe/jgD12VJ15oP+fAZPlZd/n2br+7amLfJ8L4BlWhI/+bX9ckKvsDKLzKA3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VYpsIAAADbAAAADwAAAAAAAAAAAAAA&#10;AAChAgAAZHJzL2Rvd25yZXYueG1sUEsFBgAAAAAEAAQA+QAAAJADAAAAAA==&#10;" strokecolor="#006a99" strokeweight="1pt">
                  <v:stroke dashstyle="3 1"/>
                </v:shape>
                <v:shape id="Elbow Connector 19" o:spid="_x0000_s1052" type="#_x0000_t34" style="position:absolute;left:36118;top:9078;width:2689;height:95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c28IAAADbAAAADwAAAGRycy9kb3ducmV2LnhtbERP24rCMBB9X/Afwgi+iKa6sNRqFBEE&#10;kV0WLx8wNGNbbCYliW316zcLC/s2h3Od1aY3tWjJ+cqygtk0AUGcW11xoeB62U9SED4ga6wtk4In&#10;edisB28rzLTt+ETtORQihrDPUEEZQpNJ6fOSDPqpbYgjd7POYIjQFVI77GK4qeU8ST6kwYpjQ4kN&#10;7UrK7+eHUXD65HT7PU6OX1f33nZj/5ql95dSo2G/XYII1Id/8Z/7oOP8Bf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dc28IAAADbAAAADwAAAAAAAAAAAAAA&#10;AAChAgAAZHJzL2Rvd25yZXYueG1sUEsFBgAAAAAEAAQA+QAAAJADAAAAAA==&#10;" strokecolor="#006a99" strokeweight="1pt">
                  <v:stroke dashstyle="3 1"/>
                </v:shape>
                <v:shapetype id="_x0000_t33" coordsize="21600,21600" o:spt="33" o:oned="t" path="m,l21600,r,21600e" filled="f">
                  <v:stroke joinstyle="miter"/>
                  <v:path arrowok="t" fillok="f" o:connecttype="none"/>
                  <o:lock v:ext="edit" shapetype="t"/>
                </v:shapetype>
                <v:shape id="Elbow Connector 43" o:spid="_x0000_s1053" type="#_x0000_t33" style="position:absolute;left:8450;top:8296;width:9347;height:475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uM5MMAAADbAAAADwAAAGRycy9kb3ducmV2LnhtbESPUWvCMBSF3wf7D+EOfJvprMjojKUb&#10;iOIQ1I09X5q7pqy5KUnU+u/NQPDxcM75DmdeDrYTJ/KhdazgZZyBIK6dbrlR8P21fH4FESKyxs4x&#10;KbhQgHLx+DDHQrsz7+l0iI1IEA4FKjAx9oWUoTZkMYxdT5y8X+ctxiR9I7XHc4LbTk6ybCYttpwW&#10;DPb0Yaj+OxytAv1T+3UuV9t8V23NZuPe+8+dUWr0NFRvICIN8R6+tddawTSH/y/pB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bjOTDAAAA2wAAAA8AAAAAAAAAAAAA&#10;AAAAoQIAAGRycy9kb3ducmV2LnhtbFBLBQYAAAAABAAEAPkAAACRAwAAAAA=&#10;" strokecolor="#006a99" strokeweight="3pt">
                  <v:stroke startarrow="block" endarrow="block"/>
                </v:shape>
                <v:shape id="Elbow Connector 36" o:spid="_x0000_s1054" type="#_x0000_t33" style="position:absolute;left:23736;top:12516;width:1765;height:483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ICb8AAADbAAAADwAAAGRycy9kb3ducmV2LnhtbESPzQrCMBCE74LvEFbwZlMVilSjiCB4&#10;UfDn4HFp1rbYbGoTtfr0RhA8DjPzDTNbtKYSD2pcaVnBMIpBEGdWl5wrOB3XgwkI55E1VpZJwYsc&#10;LObdzgxTbZ+8p8fB5yJA2KWooPC+TqV0WUEGXWRr4uBdbGPQB9nkUjf4DHBTyVEcJ9JgyWGhwJpW&#10;BWXXw90o4C3edLW5jJMdb+PTebV+m3aoVL/XLqcgPLX+H/61N1rBOIHvl/A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TsICb8AAADbAAAADwAAAAAAAAAAAAAAAACh&#10;AgAAZHJzL2Rvd25yZXYueG1sUEsFBgAAAAAEAAQA+QAAAI0DAAAAAA==&#10;" strokecolor="#006a99" strokeweight="3pt">
                  <v:stroke startarrow="block"/>
                </v:shape>
              </v:group>
            </w:pict>
          </mc:Fallback>
        </mc:AlternateContent>
      </w: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D015A2" w:rsidRDefault="00B4272E" w:rsidP="00D015A2">
      <w:pPr>
        <w:pStyle w:val="AERfactsheetbodytext"/>
      </w:pPr>
      <w:r>
        <w:br/>
      </w:r>
    </w:p>
    <w:p w:rsidR="00807259" w:rsidRDefault="00807259" w:rsidP="00807259">
      <w:pPr>
        <w:pStyle w:val="AERfactsheetbodytext"/>
      </w:pPr>
      <w:r>
        <w:t xml:space="preserve">We propose the current EBSS continue largely in its current form. </w:t>
      </w:r>
      <w:r w:rsidR="0066415A">
        <w:t>W</w:t>
      </w:r>
      <w:r w:rsidR="0031269F">
        <w:t>e propose</w:t>
      </w:r>
      <w:r w:rsidR="0066415A" w:rsidRPr="0066415A">
        <w:t xml:space="preserve"> to make some changes to ensure it operates in conjunction with the new CESS and with our new approach to expenditure forecasting</w:t>
      </w:r>
      <w:r>
        <w:t>.</w:t>
      </w:r>
    </w:p>
    <w:p w:rsidR="00807259" w:rsidRDefault="00807259" w:rsidP="00391B7D">
      <w:pPr>
        <w:pStyle w:val="AERfactsheetbodytext"/>
      </w:pPr>
      <w:r>
        <w:rPr>
          <w:noProof/>
          <w:lang w:eastAsia="en-AU"/>
        </w:rPr>
        <mc:AlternateContent>
          <mc:Choice Requires="wps">
            <w:drawing>
              <wp:inline distT="0" distB="0" distL="0" distR="0" wp14:anchorId="0B6FA99A" wp14:editId="55CA2C58">
                <wp:extent cx="3137905" cy="1135329"/>
                <wp:effectExtent l="0" t="0" r="24765" b="2730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905" cy="1135329"/>
                        </a:xfrm>
                        <a:prstGeom prst="rect">
                          <a:avLst/>
                        </a:prstGeom>
                        <a:solidFill>
                          <a:srgbClr val="DBE5F1"/>
                        </a:solidFill>
                        <a:ln w="9525">
                          <a:solidFill>
                            <a:srgbClr val="006A99"/>
                          </a:solidFill>
                          <a:miter lim="800000"/>
                          <a:headEnd/>
                          <a:tailEnd/>
                        </a:ln>
                      </wps:spPr>
                      <wps:txbx>
                        <w:txbxContent>
                          <w:p w:rsidR="0066415A" w:rsidRDefault="0066415A" w:rsidP="00807259">
                            <w:pPr>
                              <w:pStyle w:val="AERfactsheetbodytext"/>
                            </w:pPr>
                            <w:r w:rsidRPr="006B322A">
                              <w:t xml:space="preserve">We will largely maintain the current EBSS </w:t>
                            </w:r>
                            <w:r>
                              <w:t xml:space="preserve">under each of our </w:t>
                            </w:r>
                            <w:r w:rsidRPr="006B322A">
                              <w:t>opex</w:t>
                            </w:r>
                            <w:r>
                              <w:t xml:space="preserve"> forecasting approaches</w:t>
                            </w:r>
                            <w:r w:rsidRPr="006B322A">
                              <w:t xml:space="preserve">. </w:t>
                            </w:r>
                            <w:r>
                              <w:t xml:space="preserve">The EBSS provides incentives for businesses to pursue on-going efficiencies. We will address concerns about inefficient spending on opex through our forecasting approach—we won’t use a business’ past spending to set its expenditure allowance where a business is materially inefficient. </w:t>
                            </w:r>
                          </w:p>
                          <w:p w:rsidR="0066415A" w:rsidRPr="00697FF1" w:rsidRDefault="0066415A" w:rsidP="00807259">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51" o:spid="_x0000_s1055" type="#_x0000_t202" style="width:247.1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" fillcolor="#dbe5f1" strokecolor="#006a99">
                <v:textbox>
                  <w:txbxContent>
                    <w:p w:rsidR="0066415A" w:rsidRDefault="0066415A" w:rsidP="00807259">
                      <w:pPr>
                        <w:pStyle w:val="AERfactsheetbodytext"/>
                      </w:pPr>
                      <w:r w:rsidRPr="006B322A">
                        <w:t xml:space="preserve">We will largely maintain the current EBSS </w:t>
                      </w:r>
                      <w:r>
                        <w:t xml:space="preserve">under each of our </w:t>
                      </w:r>
                      <w:r w:rsidRPr="006B322A">
                        <w:t>opex</w:t>
                      </w:r>
                      <w:r>
                        <w:t xml:space="preserve"> forecasting approaches</w:t>
                      </w:r>
                      <w:r w:rsidRPr="006B322A">
                        <w:t xml:space="preserve">. </w:t>
                      </w:r>
                      <w:r>
                        <w:t xml:space="preserve">The EBSS provides incentives for businesses to pursue on-going efficiencies. We will address concerns about inefficient spending on opex through our forecasting approach—we won’t use a business’ past spending to set its expenditure allowance where a business is materially inefficient. </w:t>
                      </w:r>
                    </w:p>
                    <w:p w:rsidR="0066415A" w:rsidRPr="00697FF1" w:rsidRDefault="0066415A" w:rsidP="00807259">
                      <w:pPr>
                        <w:pStyle w:val="AERfactsheetbodytext"/>
                      </w:pPr>
                    </w:p>
                  </w:txbxContent>
                </v:textbox>
                <w10:anchorlock/>
              </v:shape>
            </w:pict>
          </mc:Fallback>
        </mc:AlternateContent>
      </w:r>
    </w:p>
    <w:p w:rsidR="002425E7" w:rsidRDefault="00B4272E" w:rsidP="00F44A65">
      <w:pPr>
        <w:pStyle w:val="AERFactsheetHeading1"/>
      </w:pPr>
      <w:r>
        <w:t>How will we examine past capital expenditure</w:t>
      </w:r>
      <w:r w:rsidR="002425E7">
        <w:t>?</w:t>
      </w:r>
    </w:p>
    <w:p w:rsidR="00F44A65" w:rsidRDefault="008B4DBF" w:rsidP="00FB1910">
      <w:pPr>
        <w:pStyle w:val="AERfactsheetbodytext"/>
      </w:pPr>
      <w:r>
        <w:t xml:space="preserve">Our </w:t>
      </w:r>
      <w:r w:rsidRPr="00FB1910">
        <w:t>draft capital e</w:t>
      </w:r>
      <w:r w:rsidR="001D3D87">
        <w:t>xpenditure incentives guideline</w:t>
      </w:r>
      <w:r w:rsidRPr="00FB1910">
        <w:t xml:space="preserve"> </w:t>
      </w:r>
      <w:r>
        <w:t>also outline</w:t>
      </w:r>
      <w:r w:rsidR="001D3D87">
        <w:t>s</w:t>
      </w:r>
      <w:r>
        <w:t xml:space="preserve"> </w:t>
      </w:r>
      <w:r w:rsidR="001D3D87">
        <w:t xml:space="preserve">the </w:t>
      </w:r>
      <w:r>
        <w:t xml:space="preserve">new </w:t>
      </w:r>
      <w:r w:rsidR="00F44A65">
        <w:t xml:space="preserve">ex post measures. Ex post measures ensure consumers </w:t>
      </w:r>
      <w:r>
        <w:t xml:space="preserve">do not </w:t>
      </w:r>
      <w:r w:rsidR="00F44A65">
        <w:t xml:space="preserve">pay for </w:t>
      </w:r>
      <w:r>
        <w:t>in</w:t>
      </w:r>
      <w:r w:rsidR="00F44A65">
        <w:t>efficient</w:t>
      </w:r>
      <w:r>
        <w:t xml:space="preserve"> spending on capital</w:t>
      </w:r>
      <w:r w:rsidR="00F44A65">
        <w:t>.</w:t>
      </w:r>
    </w:p>
    <w:p w:rsidR="00391B7D" w:rsidRDefault="00391B7D" w:rsidP="00FB1910">
      <w:pPr>
        <w:pStyle w:val="AERfactsheetbodytext"/>
      </w:pPr>
      <w:r>
        <w:rPr>
          <w:noProof/>
          <w:lang w:eastAsia="en-AU"/>
        </w:rPr>
        <mc:AlternateContent>
          <mc:Choice Requires="wps">
            <w:drawing>
              <wp:inline distT="0" distB="0" distL="0" distR="0" wp14:anchorId="48141D09" wp14:editId="46AABFC8">
                <wp:extent cx="3137905" cy="885463"/>
                <wp:effectExtent l="0" t="0" r="24765" b="1016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905" cy="885463"/>
                        </a:xfrm>
                        <a:prstGeom prst="rect">
                          <a:avLst/>
                        </a:prstGeom>
                        <a:solidFill>
                          <a:srgbClr val="DBE5F1"/>
                        </a:solidFill>
                        <a:ln w="9525">
                          <a:solidFill>
                            <a:srgbClr val="006A99"/>
                          </a:solidFill>
                          <a:miter lim="800000"/>
                          <a:headEnd/>
                          <a:tailEnd/>
                        </a:ln>
                      </wps:spPr>
                      <wps:txbx>
                        <w:txbxContent>
                          <w:p w:rsidR="0066415A" w:rsidRDefault="0066415A" w:rsidP="00391B7D">
                            <w:pPr>
                              <w:pStyle w:val="AERfactsheetbodytext"/>
                            </w:pPr>
                            <w:r>
                              <w:t xml:space="preserve">The ex post measures alongside a CESS with equal rewards and penalties, will minimise inefficient capex overspends. Under the CESS and the ex post review together, a business will lose between 30 and 100 per cent of any overspend. </w:t>
                            </w:r>
                          </w:p>
                          <w:p w:rsidR="0066415A" w:rsidRPr="00697FF1" w:rsidRDefault="0066415A" w:rsidP="00391B7D">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4" o:spid="_x0000_s1056" type="#_x0000_t202" style="width:247.1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" fillcolor="#dbe5f1" strokecolor="#006a99">
                <v:textbox>
                  <w:txbxContent>
                    <w:p w:rsidR="0066415A" w:rsidRDefault="0066415A" w:rsidP="00391B7D">
                      <w:pPr>
                        <w:pStyle w:val="AERfactsheetbodytext"/>
                      </w:pPr>
                      <w:r>
                        <w:t xml:space="preserve">The ex post measures alongside a CESS with equal rewards and penalties, will minimise inefficient capex overspends. Under the CESS and the ex post review together, a business will lose between 30 and 100 per cent of any overspend. </w:t>
                      </w:r>
                    </w:p>
                    <w:p w:rsidR="0066415A" w:rsidRPr="00697FF1" w:rsidRDefault="0066415A" w:rsidP="00391B7D">
                      <w:pPr>
                        <w:pStyle w:val="AERfactsheetbodytext"/>
                      </w:pPr>
                    </w:p>
                  </w:txbxContent>
                </v:textbox>
                <w10:anchorlock/>
              </v:shape>
            </w:pict>
          </mc:Fallback>
        </mc:AlternateContent>
      </w:r>
    </w:p>
    <w:p w:rsidR="00807259" w:rsidRDefault="0066415A" w:rsidP="00FB1910">
      <w:pPr>
        <w:pStyle w:val="AERfactsheetbodytext"/>
      </w:pPr>
      <w:r w:rsidRPr="00697FF1">
        <w:rPr>
          <w:noProof/>
          <w:lang w:eastAsia="en-AU"/>
        </w:rPr>
        <w:drawing>
          <wp:anchor distT="0" distB="0" distL="114300" distR="114300" simplePos="0" relativeHeight="251667456" behindDoc="0" locked="0" layoutInCell="1" allowOverlap="1" wp14:anchorId="1F8C2982" wp14:editId="5F212F80">
            <wp:simplePos x="0" y="0"/>
            <wp:positionH relativeFrom="column">
              <wp:posOffset>-480695</wp:posOffset>
            </wp:positionH>
            <wp:positionV relativeFrom="page">
              <wp:posOffset>10209530</wp:posOffset>
            </wp:positionV>
            <wp:extent cx="8827135" cy="492760"/>
            <wp:effectExtent l="0" t="0" r="0" b="2540"/>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B4272E">
      <w:pPr>
        <w:pStyle w:val="AERfactsheetbodytext"/>
      </w:pPr>
    </w:p>
    <w:p w:rsidR="004E4F29" w:rsidRDefault="004E4F29" w:rsidP="00B4272E">
      <w:pPr>
        <w:pStyle w:val="AERfactsheetbodytext"/>
      </w:pPr>
    </w:p>
    <w:p w:rsidR="00FE03E9" w:rsidRDefault="00FE03E9" w:rsidP="00A964D1">
      <w:pPr>
        <w:pStyle w:val="AERfactsheetbodytext"/>
      </w:pPr>
    </w:p>
    <w:p w:rsidR="00A964D1" w:rsidRDefault="00A964D1" w:rsidP="00A964D1">
      <w:pPr>
        <w:pStyle w:val="AERfactsheetbodytext"/>
      </w:pPr>
    </w:p>
    <w:p w:rsidR="00A964D1" w:rsidRDefault="00A964D1" w:rsidP="00A964D1">
      <w:pPr>
        <w:pStyle w:val="AERfactsheetbodytext"/>
      </w:pPr>
    </w:p>
    <w:p w:rsidR="00A964D1" w:rsidRDefault="00A964D1" w:rsidP="00A964D1">
      <w:pPr>
        <w:pStyle w:val="AERfactsheetbodytext"/>
      </w:pPr>
      <w:r>
        <w:br/>
        <w:t xml:space="preserve">If a business spends more on </w:t>
      </w:r>
      <w:proofErr w:type="spellStart"/>
      <w:r>
        <w:t>capex</w:t>
      </w:r>
      <w:proofErr w:type="spellEnd"/>
      <w:r>
        <w:t xml:space="preserve"> than its allowed </w:t>
      </w:r>
      <w:proofErr w:type="spellStart"/>
      <w:r>
        <w:t>capex</w:t>
      </w:r>
      <w:proofErr w:type="spellEnd"/>
      <w:r>
        <w:t xml:space="preserve"> forecast, we will review the efficiency of </w:t>
      </w:r>
      <w:proofErr w:type="gramStart"/>
      <w:r>
        <w:t>the overspend</w:t>
      </w:r>
      <w:proofErr w:type="gramEnd"/>
      <w:r>
        <w:t>. We can exclude inefficiencies from the service provider’s asset base meaning consumers will not pay for inefficiencies.</w:t>
      </w:r>
    </w:p>
    <w:p w:rsidR="00B0183D" w:rsidRPr="00697FF1" w:rsidRDefault="00B0183D" w:rsidP="00697FF1">
      <w:pPr>
        <w:pStyle w:val="AERFactsheetHeading1"/>
      </w:pPr>
      <w:r w:rsidRPr="00697FF1">
        <w:t>How can I provide a submission or comments?</w:t>
      </w:r>
    </w:p>
    <w:p w:rsidR="00B0183D" w:rsidRPr="00697FF1" w:rsidRDefault="00E1275F" w:rsidP="00697FF1">
      <w:pPr>
        <w:pStyle w:val="AERfactsheetbodytext"/>
      </w:pPr>
      <w:r w:rsidRPr="00A85128">
        <w:rPr>
          <w:rStyle w:val="AERtextitalic"/>
          <w:i w:val="0"/>
        </w:rPr>
        <w:t xml:space="preserve">We invite interested parties to make submissions or comments on our </w:t>
      </w:r>
      <w:r w:rsidR="00B0183D" w:rsidRPr="00697FF1">
        <w:t xml:space="preserve">draft </w:t>
      </w:r>
      <w:r w:rsidR="0066415A">
        <w:t xml:space="preserve">capital </w:t>
      </w:r>
      <w:r>
        <w:t>expenditure incentives</w:t>
      </w:r>
      <w:r w:rsidR="00ED6886">
        <w:t xml:space="preserve"> guideline</w:t>
      </w:r>
      <w:r w:rsidR="0066415A">
        <w:t xml:space="preserve"> and proposed EBSS</w:t>
      </w:r>
      <w:r w:rsidR="00B0183D" w:rsidRPr="00697FF1">
        <w:t>. If you would like to have your say prior to us</w:t>
      </w:r>
      <w:r w:rsidR="00C87AC3">
        <w:t xml:space="preserve"> publishing the final guideline</w:t>
      </w:r>
      <w:r w:rsidR="00ED6886">
        <w:t>s</w:t>
      </w:r>
      <w:r w:rsidR="00877A69">
        <w:t xml:space="preserve"> and scheme</w:t>
      </w:r>
      <w:r w:rsidR="00ED6886">
        <w:t>s</w:t>
      </w:r>
      <w:r w:rsidR="00B0183D" w:rsidRPr="00697FF1">
        <w:t xml:space="preserve">, you have until close of business </w:t>
      </w:r>
      <w:r w:rsidR="009B60B7" w:rsidRPr="00C87AC3">
        <w:rPr>
          <w:b/>
        </w:rPr>
        <w:t>20</w:t>
      </w:r>
      <w:r w:rsidR="004310E5" w:rsidRPr="00C87AC3">
        <w:rPr>
          <w:b/>
        </w:rPr>
        <w:t xml:space="preserve"> September</w:t>
      </w:r>
      <w:r w:rsidR="00B0183D" w:rsidRPr="00C87AC3">
        <w:rPr>
          <w:b/>
        </w:rPr>
        <w:t xml:space="preserve"> 2013</w:t>
      </w:r>
      <w:r w:rsidR="00B0183D" w:rsidRPr="00697FF1">
        <w:t xml:space="preserve"> to get your submission or comments to us. You can find further details on how to provide your submission on our </w:t>
      </w:r>
      <w:r w:rsidR="005524C5">
        <w:t xml:space="preserve">incentives </w:t>
      </w:r>
      <w:r w:rsidR="00B0183D" w:rsidRPr="00697FF1">
        <w:t xml:space="preserve">web page </w:t>
      </w:r>
      <w:hyperlink r:id="rId11" w:history="1">
        <w:r w:rsidR="00C87AC3" w:rsidRPr="00D37AAC">
          <w:rPr>
            <w:rStyle w:val="Hyperlink"/>
          </w:rPr>
          <w:t>www.aer.gov.au/node/18869</w:t>
        </w:r>
      </w:hyperlink>
      <w:r w:rsidR="008D2A86">
        <w:t xml:space="preserve">, or you can email us at </w:t>
      </w:r>
      <w:hyperlink r:id="rId12" w:history="1">
        <w:r w:rsidR="008D2A86" w:rsidRPr="009436FD">
          <w:rPr>
            <w:rStyle w:val="Hyperlink"/>
          </w:rPr>
          <w:t>incentives@aer.gov.au</w:t>
        </w:r>
      </w:hyperlink>
      <w:r w:rsidR="008D2A86">
        <w:t>.</w:t>
      </w:r>
    </w:p>
    <w:p w:rsidR="00B0183D" w:rsidRPr="00697FF1" w:rsidRDefault="00B0183D" w:rsidP="00697FF1">
      <w:pPr>
        <w:pStyle w:val="AERFactsheetHeading1"/>
      </w:pPr>
      <w:r w:rsidRPr="00697FF1">
        <w:t>For more information</w:t>
      </w:r>
    </w:p>
    <w:p w:rsidR="00807259" w:rsidRDefault="00B0183D" w:rsidP="00035993">
      <w:pPr>
        <w:pStyle w:val="AERfactsheetbodytext"/>
      </w:pPr>
      <w:r w:rsidRPr="00697FF1">
        <w:t xml:space="preserve">For more information or to get involved in the consultation processes for the Better Regulation program, please visit our website </w:t>
      </w:r>
      <w:hyperlink r:id="rId13" w:history="1">
        <w:r w:rsidR="00F12886" w:rsidRPr="00D37AAC">
          <w:rPr>
            <w:rStyle w:val="Hyperlink"/>
          </w:rPr>
          <w:t>www.aer.gov.au/better-regulation-reform-program</w:t>
        </w:r>
      </w:hyperlink>
      <w:r w:rsidRPr="00697FF1">
        <w:t xml:space="preserve"> or email us at </w:t>
      </w:r>
      <w:hyperlink r:id="rId14" w:history="1">
        <w:r w:rsidRPr="00697FF1">
          <w:rPr>
            <w:rStyle w:val="Hyperlink"/>
          </w:rPr>
          <w:t>betterregulation@aer.gov.au</w:t>
        </w:r>
      </w:hyperlink>
      <w:r w:rsidRPr="00697FF1">
        <w:t>.</w:t>
      </w:r>
    </w:p>
    <w:p w:rsidR="006C4CC5" w:rsidRDefault="006C4CC5" w:rsidP="00035993">
      <w:pPr>
        <w:pStyle w:val="AERfactsheetbodytext"/>
      </w:pPr>
    </w:p>
    <w:p w:rsidR="00807259" w:rsidRDefault="00807259" w:rsidP="00035993">
      <w:pPr>
        <w:pStyle w:val="AERfactsheetbodytext"/>
      </w:pPr>
    </w:p>
    <w:p w:rsidR="004D1DC0" w:rsidRDefault="004D1DC0" w:rsidP="00035993">
      <w:pPr>
        <w:pStyle w:val="AERfactsheetbodytext"/>
      </w:pPr>
    </w:p>
    <w:sectPr w:rsidR="004D1DC0" w:rsidSect="00B74543">
      <w:type w:val="continuous"/>
      <w:pgSz w:w="11906" w:h="16838"/>
      <w:pgMar w:top="720" w:right="720" w:bottom="851" w:left="720"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F5" w:rsidRDefault="002A11F5" w:rsidP="002A11F5">
      <w:r>
        <w:separator/>
      </w:r>
    </w:p>
  </w:endnote>
  <w:endnote w:type="continuationSeparator" w:id="0">
    <w:p w:rsidR="002A11F5" w:rsidRDefault="002A11F5" w:rsidP="002A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F5" w:rsidRDefault="002A11F5" w:rsidP="002A11F5">
      <w:r>
        <w:separator/>
      </w:r>
    </w:p>
  </w:footnote>
  <w:footnote w:type="continuationSeparator" w:id="0">
    <w:p w:rsidR="002A11F5" w:rsidRDefault="002A11F5" w:rsidP="002A1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asast\aaaaa DRAFT DECISION UPLOADS\factsheets\AER Better Regulation factsheet - Draft expenditure incentives - August 2013.DOCX"/>
  </w:docVars>
  <w:rsids>
    <w:rsidRoot w:val="00021F03"/>
    <w:rsid w:val="00012AC9"/>
    <w:rsid w:val="000173D5"/>
    <w:rsid w:val="00021F03"/>
    <w:rsid w:val="00035993"/>
    <w:rsid w:val="000437AC"/>
    <w:rsid w:val="000454A0"/>
    <w:rsid w:val="00084C36"/>
    <w:rsid w:val="000C07AD"/>
    <w:rsid w:val="0010059A"/>
    <w:rsid w:val="00113361"/>
    <w:rsid w:val="001364E9"/>
    <w:rsid w:val="00161423"/>
    <w:rsid w:val="00194A45"/>
    <w:rsid w:val="001A23C5"/>
    <w:rsid w:val="001A3711"/>
    <w:rsid w:val="001B10C7"/>
    <w:rsid w:val="001D3D87"/>
    <w:rsid w:val="001D49FD"/>
    <w:rsid w:val="001E42DA"/>
    <w:rsid w:val="002106B5"/>
    <w:rsid w:val="00211FD6"/>
    <w:rsid w:val="00216967"/>
    <w:rsid w:val="00223084"/>
    <w:rsid w:val="00225391"/>
    <w:rsid w:val="00235775"/>
    <w:rsid w:val="00235852"/>
    <w:rsid w:val="002425E7"/>
    <w:rsid w:val="00263811"/>
    <w:rsid w:val="002952EB"/>
    <w:rsid w:val="002A11F5"/>
    <w:rsid w:val="002A473F"/>
    <w:rsid w:val="002B7BBC"/>
    <w:rsid w:val="002E57B4"/>
    <w:rsid w:val="002E7F4D"/>
    <w:rsid w:val="003118DF"/>
    <w:rsid w:val="0031269F"/>
    <w:rsid w:val="00354991"/>
    <w:rsid w:val="00360C93"/>
    <w:rsid w:val="00385BB9"/>
    <w:rsid w:val="00391B7D"/>
    <w:rsid w:val="00404570"/>
    <w:rsid w:val="0042329B"/>
    <w:rsid w:val="004310E5"/>
    <w:rsid w:val="004548EF"/>
    <w:rsid w:val="00474754"/>
    <w:rsid w:val="004B40E2"/>
    <w:rsid w:val="004C19B8"/>
    <w:rsid w:val="004D1DC0"/>
    <w:rsid w:val="004E0FF6"/>
    <w:rsid w:val="004E4F29"/>
    <w:rsid w:val="0050430D"/>
    <w:rsid w:val="00526C37"/>
    <w:rsid w:val="005324C6"/>
    <w:rsid w:val="005524C5"/>
    <w:rsid w:val="005D2EBB"/>
    <w:rsid w:val="005E1E92"/>
    <w:rsid w:val="005F2DC5"/>
    <w:rsid w:val="006030C0"/>
    <w:rsid w:val="00661A9B"/>
    <w:rsid w:val="00662BB4"/>
    <w:rsid w:val="00664010"/>
    <w:rsid w:val="0066415A"/>
    <w:rsid w:val="00697FF1"/>
    <w:rsid w:val="006A07F6"/>
    <w:rsid w:val="006B322A"/>
    <w:rsid w:val="006B39DB"/>
    <w:rsid w:val="006C4CC5"/>
    <w:rsid w:val="006D0E7F"/>
    <w:rsid w:val="006D5C4C"/>
    <w:rsid w:val="006F2E4F"/>
    <w:rsid w:val="006F47BA"/>
    <w:rsid w:val="00704EDA"/>
    <w:rsid w:val="00726CCA"/>
    <w:rsid w:val="00742DF1"/>
    <w:rsid w:val="00753DF7"/>
    <w:rsid w:val="00754FD0"/>
    <w:rsid w:val="00776ACC"/>
    <w:rsid w:val="007A0EEB"/>
    <w:rsid w:val="007C3C57"/>
    <w:rsid w:val="007C5329"/>
    <w:rsid w:val="007C54FB"/>
    <w:rsid w:val="00807259"/>
    <w:rsid w:val="008472A8"/>
    <w:rsid w:val="00871903"/>
    <w:rsid w:val="00877A69"/>
    <w:rsid w:val="00893B2B"/>
    <w:rsid w:val="008B28DF"/>
    <w:rsid w:val="008B4DBF"/>
    <w:rsid w:val="008C5689"/>
    <w:rsid w:val="008D2A86"/>
    <w:rsid w:val="008D722A"/>
    <w:rsid w:val="00935CAA"/>
    <w:rsid w:val="009612A1"/>
    <w:rsid w:val="00963F5A"/>
    <w:rsid w:val="009A702D"/>
    <w:rsid w:val="009B2454"/>
    <w:rsid w:val="009B4D12"/>
    <w:rsid w:val="009B60B7"/>
    <w:rsid w:val="009D3F78"/>
    <w:rsid w:val="009E0E68"/>
    <w:rsid w:val="009F6F78"/>
    <w:rsid w:val="00A0352C"/>
    <w:rsid w:val="00A20B7E"/>
    <w:rsid w:val="00A2725A"/>
    <w:rsid w:val="00A30414"/>
    <w:rsid w:val="00A32825"/>
    <w:rsid w:val="00A427A5"/>
    <w:rsid w:val="00A43FE2"/>
    <w:rsid w:val="00A45346"/>
    <w:rsid w:val="00A95AD6"/>
    <w:rsid w:val="00A964D1"/>
    <w:rsid w:val="00AB2954"/>
    <w:rsid w:val="00AC0236"/>
    <w:rsid w:val="00AD2EBC"/>
    <w:rsid w:val="00AD53EF"/>
    <w:rsid w:val="00B0183D"/>
    <w:rsid w:val="00B221EC"/>
    <w:rsid w:val="00B3667B"/>
    <w:rsid w:val="00B4272E"/>
    <w:rsid w:val="00B74543"/>
    <w:rsid w:val="00B87130"/>
    <w:rsid w:val="00BB7E86"/>
    <w:rsid w:val="00BE5A7F"/>
    <w:rsid w:val="00C11E06"/>
    <w:rsid w:val="00C12C1F"/>
    <w:rsid w:val="00C13A11"/>
    <w:rsid w:val="00C162C3"/>
    <w:rsid w:val="00C70125"/>
    <w:rsid w:val="00C71947"/>
    <w:rsid w:val="00C73523"/>
    <w:rsid w:val="00C866CD"/>
    <w:rsid w:val="00C87AC3"/>
    <w:rsid w:val="00C92E99"/>
    <w:rsid w:val="00CA0863"/>
    <w:rsid w:val="00CB3718"/>
    <w:rsid w:val="00CF228C"/>
    <w:rsid w:val="00D015A2"/>
    <w:rsid w:val="00DC20AA"/>
    <w:rsid w:val="00DE5EEE"/>
    <w:rsid w:val="00E1275F"/>
    <w:rsid w:val="00E32544"/>
    <w:rsid w:val="00E342E9"/>
    <w:rsid w:val="00E61AE2"/>
    <w:rsid w:val="00E67143"/>
    <w:rsid w:val="00E8783E"/>
    <w:rsid w:val="00E91EBB"/>
    <w:rsid w:val="00ED6886"/>
    <w:rsid w:val="00F0776A"/>
    <w:rsid w:val="00F12886"/>
    <w:rsid w:val="00F12DB4"/>
    <w:rsid w:val="00F209E0"/>
    <w:rsid w:val="00F44A65"/>
    <w:rsid w:val="00F52FF0"/>
    <w:rsid w:val="00F56BC0"/>
    <w:rsid w:val="00F7252E"/>
    <w:rsid w:val="00FB1910"/>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better-regulation-reform-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centives@aer.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tterregulation@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2013-08-19T07:17:00Z</dcterms:created>
  <dcterms:modified xsi:type="dcterms:W3CDTF">2013-08-19T07:18:00Z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8030245</vt:lpwstr>
  </property>
</Properties>
</file>