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0" w:rsidRDefault="00006EF8" w:rsidP="006D3FFE">
      <w:pPr>
        <w:pStyle w:val="AERfactsheetsubtitle"/>
      </w:pPr>
      <w:r w:rsidRPr="00CD74B2">
        <w:rPr>
          <w:noProof/>
          <w:lang w:eastAsia="en-AU"/>
        </w:rPr>
        <mc:AlternateContent>
          <mc:Choice Requires="wpg">
            <w:drawing>
              <wp:anchor distT="0" distB="0" distL="114300" distR="114300" simplePos="0" relativeHeight="251657216" behindDoc="0" locked="0" layoutInCell="1" allowOverlap="1" wp14:anchorId="13FDA422" wp14:editId="048E5963">
                <wp:simplePos x="0" y="0"/>
                <wp:positionH relativeFrom="column">
                  <wp:posOffset>-457200</wp:posOffset>
                </wp:positionH>
                <wp:positionV relativeFrom="paragraph">
                  <wp:posOffset>172720</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55F" w:rsidRPr="0008782C" w:rsidRDefault="0069255F" w:rsidP="001D49FD">
                              <w:pPr>
                                <w:ind w:left="567"/>
                                <w:rPr>
                                  <w:rFonts w:cs="Calibri"/>
                                  <w:color w:val="FFFFFF"/>
                                  <w:sz w:val="32"/>
                                </w:rPr>
                              </w:pPr>
                            </w:p>
                            <w:p w:rsidR="0069255F" w:rsidRPr="004B1331" w:rsidRDefault="0069255F" w:rsidP="001D49FD">
                              <w:pPr>
                                <w:ind w:left="567"/>
                                <w:rPr>
                                  <w:rFonts w:ascii="MS Reference Sans Serif" w:hAnsi="MS Reference Sans Serif" w:cs="Tunga"/>
                                  <w:color w:val="FFFFFF"/>
                                  <w:spacing w:val="10"/>
                                  <w:w w:val="99"/>
                                  <w:kern w:val="44"/>
                                  <w:sz w:val="40"/>
                                </w:rPr>
                              </w:pPr>
                              <w:r w:rsidRPr="004B1331">
                                <w:rPr>
                                  <w:rFonts w:ascii="MS Reference Sans Serif" w:hAnsi="MS Reference Sans Serif" w:cs="Tunga"/>
                                  <w:color w:val="FFFFFF"/>
                                  <w:spacing w:val="10"/>
                                  <w:w w:val="99"/>
                                  <w:kern w:val="44"/>
                                  <w:sz w:val="40"/>
                                </w:rPr>
                                <w:t>Better Regu</w:t>
                              </w:r>
                              <w:r w:rsidRPr="004B1331">
                                <w:rPr>
                                  <w:rFonts w:ascii="Trebuchet MS" w:hAnsi="Trebuchet MS" w:cs="Tunga"/>
                                  <w:color w:val="FFFFFF"/>
                                  <w:spacing w:val="10"/>
                                  <w:w w:val="99"/>
                                  <w:kern w:val="44"/>
                                  <w:sz w:val="40"/>
                                </w:rPr>
                                <w:t>l</w:t>
                              </w:r>
                              <w:r w:rsidRPr="004B1331">
                                <w:rPr>
                                  <w:rFonts w:ascii="MS Reference Sans Serif" w:hAnsi="MS Reference Sans Serif" w:cs="Tunga"/>
                                  <w:color w:val="FFFFFF"/>
                                  <w:spacing w:val="10"/>
                                  <w:w w:val="99"/>
                                  <w:kern w:val="44"/>
                                  <w:sz w:val="40"/>
                                </w:rPr>
                                <w:t>ation:</w:t>
                              </w:r>
                            </w:p>
                            <w:p w:rsidR="0069255F" w:rsidRPr="007168F1" w:rsidRDefault="0069255F" w:rsidP="004D1DC0">
                              <w:pPr>
                                <w:ind w:left="567"/>
                                <w:rPr>
                                  <w:rFonts w:ascii="MS Reference Sans Serif" w:hAnsi="MS Reference Sans Serif" w:cs="Tunga"/>
                                  <w:color w:val="FFFFFF"/>
                                  <w:spacing w:val="10"/>
                                  <w:w w:val="99"/>
                                  <w:kern w:val="44"/>
                                  <w:sz w:val="48"/>
                                </w:rPr>
                              </w:pPr>
                              <w:r w:rsidRPr="004B1331">
                                <w:rPr>
                                  <w:rFonts w:ascii="MS Reference Sans Serif" w:hAnsi="MS Reference Sans Serif" w:cs="Tunga"/>
                                  <w:color w:val="FFFFFF"/>
                                  <w:spacing w:val="10"/>
                                  <w:w w:val="99"/>
                                  <w:kern w:val="44"/>
                                  <w:sz w:val="40"/>
                                </w:rPr>
                                <w:t>Draft expenditure forecast assessment guideline</w:t>
                              </w:r>
                            </w:p>
                            <w:p w:rsidR="0069255F" w:rsidRDefault="0069255F" w:rsidP="001D49FD">
                              <w:pPr>
                                <w:ind w:left="567" w:right="681"/>
                                <w:jc w:val="right"/>
                                <w:rPr>
                                  <w:rFonts w:ascii="MS Reference Sans Serif" w:hAnsi="MS Reference Sans Serif" w:cs="Tunga"/>
                                  <w:b/>
                                  <w:color w:val="FFFFFF"/>
                                  <w:w w:val="95"/>
                                  <w:kern w:val="44"/>
                                </w:rPr>
                              </w:pPr>
                            </w:p>
                            <w:p w:rsidR="0069255F" w:rsidRPr="00F97D44" w:rsidRDefault="0069255F" w:rsidP="001D49FD">
                              <w:pPr>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 xml:space="preserve">9 August </w:t>
                              </w:r>
                              <w:r w:rsidRPr="00F97D44">
                                <w:rPr>
                                  <w:rFonts w:ascii="MS Reference Sans Serif" w:hAnsi="MS Reference Sans Serif" w:cs="Tunga"/>
                                  <w:b/>
                                  <w:color w:val="FFFFFF"/>
                                  <w:w w:val="95"/>
                                  <w:kern w:val="44"/>
                                </w:rPr>
                                <w:t>2013</w:t>
                              </w:r>
                            </w:p>
                            <w:p w:rsidR="0069255F" w:rsidRPr="00E83166" w:rsidRDefault="0069255F" w:rsidP="001D49FD">
                              <w:pPr>
                                <w:ind w:left="567" w:right="681"/>
                                <w:jc w:val="right"/>
                                <w:rPr>
                                  <w:rFonts w:ascii="MS Reference Sans Serif" w:hAnsi="MS Reference Sans Serif" w:cs="Tunga"/>
                                  <w:color w:val="FFFFFF"/>
                                </w:rPr>
                              </w:pPr>
                            </w:p>
                            <w:p w:rsidR="0069255F" w:rsidRPr="00390BEB" w:rsidRDefault="0069255F"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13.6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AKDtfi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69255F" w:rsidRPr="0008782C" w:rsidRDefault="0069255F" w:rsidP="001D49FD">
                        <w:pPr>
                          <w:ind w:left="567"/>
                          <w:rPr>
                            <w:rFonts w:cs="Calibri"/>
                            <w:color w:val="FFFFFF"/>
                            <w:sz w:val="32"/>
                          </w:rPr>
                        </w:pPr>
                      </w:p>
                      <w:p w:rsidR="0069255F" w:rsidRPr="004B1331" w:rsidRDefault="0069255F" w:rsidP="001D49FD">
                        <w:pPr>
                          <w:ind w:left="567"/>
                          <w:rPr>
                            <w:rFonts w:ascii="MS Reference Sans Serif" w:hAnsi="MS Reference Sans Serif" w:cs="Tunga"/>
                            <w:color w:val="FFFFFF"/>
                            <w:spacing w:val="10"/>
                            <w:w w:val="99"/>
                            <w:kern w:val="44"/>
                            <w:sz w:val="40"/>
                          </w:rPr>
                        </w:pPr>
                        <w:r w:rsidRPr="004B1331">
                          <w:rPr>
                            <w:rFonts w:ascii="MS Reference Sans Serif" w:hAnsi="MS Reference Sans Serif" w:cs="Tunga"/>
                            <w:color w:val="FFFFFF"/>
                            <w:spacing w:val="10"/>
                            <w:w w:val="99"/>
                            <w:kern w:val="44"/>
                            <w:sz w:val="40"/>
                          </w:rPr>
                          <w:t>Better Regu</w:t>
                        </w:r>
                        <w:r w:rsidRPr="004B1331">
                          <w:rPr>
                            <w:rFonts w:ascii="Trebuchet MS" w:hAnsi="Trebuchet MS" w:cs="Tunga"/>
                            <w:color w:val="FFFFFF"/>
                            <w:spacing w:val="10"/>
                            <w:w w:val="99"/>
                            <w:kern w:val="44"/>
                            <w:sz w:val="40"/>
                          </w:rPr>
                          <w:t>l</w:t>
                        </w:r>
                        <w:r w:rsidRPr="004B1331">
                          <w:rPr>
                            <w:rFonts w:ascii="MS Reference Sans Serif" w:hAnsi="MS Reference Sans Serif" w:cs="Tunga"/>
                            <w:color w:val="FFFFFF"/>
                            <w:spacing w:val="10"/>
                            <w:w w:val="99"/>
                            <w:kern w:val="44"/>
                            <w:sz w:val="40"/>
                          </w:rPr>
                          <w:t>ation:</w:t>
                        </w:r>
                      </w:p>
                      <w:p w:rsidR="0069255F" w:rsidRPr="007168F1" w:rsidRDefault="0069255F" w:rsidP="004D1DC0">
                        <w:pPr>
                          <w:ind w:left="567"/>
                          <w:rPr>
                            <w:rFonts w:ascii="MS Reference Sans Serif" w:hAnsi="MS Reference Sans Serif" w:cs="Tunga"/>
                            <w:color w:val="FFFFFF"/>
                            <w:spacing w:val="10"/>
                            <w:w w:val="99"/>
                            <w:kern w:val="44"/>
                            <w:sz w:val="48"/>
                          </w:rPr>
                        </w:pPr>
                        <w:r w:rsidRPr="004B1331">
                          <w:rPr>
                            <w:rFonts w:ascii="MS Reference Sans Serif" w:hAnsi="MS Reference Sans Serif" w:cs="Tunga"/>
                            <w:color w:val="FFFFFF"/>
                            <w:spacing w:val="10"/>
                            <w:w w:val="99"/>
                            <w:kern w:val="44"/>
                            <w:sz w:val="40"/>
                          </w:rPr>
                          <w:t>Draft expenditure forecast assessment guideline</w:t>
                        </w:r>
                      </w:p>
                      <w:p w:rsidR="0069255F" w:rsidRDefault="0069255F" w:rsidP="001D49FD">
                        <w:pPr>
                          <w:ind w:left="567" w:right="681"/>
                          <w:jc w:val="right"/>
                          <w:rPr>
                            <w:rFonts w:ascii="MS Reference Sans Serif" w:hAnsi="MS Reference Sans Serif" w:cs="Tunga"/>
                            <w:b/>
                            <w:color w:val="FFFFFF"/>
                            <w:w w:val="95"/>
                            <w:kern w:val="44"/>
                          </w:rPr>
                        </w:pPr>
                      </w:p>
                      <w:p w:rsidR="0069255F" w:rsidRPr="00F97D44" w:rsidRDefault="0069255F" w:rsidP="001D49FD">
                        <w:pPr>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 xml:space="preserve">9 August </w:t>
                        </w:r>
                        <w:r w:rsidRPr="00F97D44">
                          <w:rPr>
                            <w:rFonts w:ascii="MS Reference Sans Serif" w:hAnsi="MS Reference Sans Serif" w:cs="Tunga"/>
                            <w:b/>
                            <w:color w:val="FFFFFF"/>
                            <w:w w:val="95"/>
                            <w:kern w:val="44"/>
                          </w:rPr>
                          <w:t>2013</w:t>
                        </w:r>
                      </w:p>
                      <w:p w:rsidR="0069255F" w:rsidRPr="00E83166" w:rsidRDefault="0069255F" w:rsidP="001D49FD">
                        <w:pPr>
                          <w:ind w:left="567" w:right="681"/>
                          <w:jc w:val="right"/>
                          <w:rPr>
                            <w:rFonts w:ascii="MS Reference Sans Serif" w:hAnsi="MS Reference Sans Serif" w:cs="Tunga"/>
                            <w:color w:val="FFFFFF"/>
                          </w:rPr>
                        </w:pPr>
                      </w:p>
                      <w:p w:rsidR="0069255F" w:rsidRPr="00390BEB" w:rsidRDefault="0069255F"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bookmarkStart w:id="0" w:name="_GoBack"/>
      <w:bookmarkEnd w:id="0"/>
    </w:p>
    <w:p w:rsidR="00CD4428" w:rsidRPr="00CD4428" w:rsidRDefault="00697FF1" w:rsidP="006D3FFE">
      <w:pPr>
        <w:pStyle w:val="AERfactsheetsubtitle"/>
        <w:rPr>
          <w:sz w:val="10"/>
        </w:rPr>
      </w:pPr>
      <w:r w:rsidRPr="00CD74B2">
        <w:t xml:space="preserve">The Australian Energy Regulator (AER) commenced the Better Regulation program in December 2012. Today we released our draft </w:t>
      </w:r>
      <w:r w:rsidR="007168F1" w:rsidRPr="00CD74B2">
        <w:t>expenditur</w:t>
      </w:r>
      <w:r w:rsidR="00F932D8">
        <w:t>e forecast assessment guideline</w:t>
      </w:r>
      <w:r w:rsidRPr="00CD74B2">
        <w:t xml:space="preserve">. </w:t>
      </w:r>
      <w:r w:rsidR="00EE7B16">
        <w:t xml:space="preserve">This </w:t>
      </w:r>
      <w:r w:rsidR="00CD74B2" w:rsidRPr="00CD74B2">
        <w:t>describe</w:t>
      </w:r>
      <w:r w:rsidR="00F932D8">
        <w:t>s</w:t>
      </w:r>
      <w:r w:rsidR="00CD74B2" w:rsidRPr="00CD74B2">
        <w:t xml:space="preserve"> the process, techniques and associated data requirements for our approach to </w:t>
      </w:r>
      <w:r w:rsidR="00A96D09">
        <w:t xml:space="preserve">setting efficient </w:t>
      </w:r>
      <w:r w:rsidR="009C1FC0">
        <w:t>expenditure</w:t>
      </w:r>
      <w:r w:rsidR="00CD74B2" w:rsidRPr="00CD74B2">
        <w:t xml:space="preserve"> allowances</w:t>
      </w:r>
      <w:r w:rsidR="00A96D09">
        <w:t xml:space="preserve"> for network businesses</w:t>
      </w:r>
      <w:r w:rsidR="00CD74B2" w:rsidRPr="00CD74B2">
        <w:t>.</w:t>
      </w:r>
    </w:p>
    <w:p w:rsidR="001A795A" w:rsidRPr="002F6565" w:rsidRDefault="001A795A" w:rsidP="004D1DC0">
      <w:pPr>
        <w:pStyle w:val="AERfactsheetbodytext"/>
        <w:rPr>
          <w:sz w:val="16"/>
        </w:rPr>
      </w:pPr>
    </w:p>
    <w:p w:rsidR="006D3FFE" w:rsidRPr="00241B78" w:rsidRDefault="006D3FFE" w:rsidP="004D1DC0">
      <w:pPr>
        <w:pStyle w:val="AERfactsheetbodytext"/>
        <w:rPr>
          <w:sz w:val="22"/>
        </w:rPr>
        <w:sectPr w:rsidR="006D3FFE" w:rsidRPr="00241B78" w:rsidSect="00BE5A7F">
          <w:pgSz w:w="11906" w:h="16838"/>
          <w:pgMar w:top="720" w:right="720" w:bottom="720" w:left="720" w:header="708" w:footer="708" w:gutter="0"/>
          <w:cols w:space="284"/>
          <w:docGrid w:linePitch="360"/>
        </w:sectPr>
      </w:pPr>
    </w:p>
    <w:p w:rsidR="00AC0236" w:rsidRPr="00697FF1" w:rsidRDefault="00AC0236" w:rsidP="00697FF1">
      <w:pPr>
        <w:pStyle w:val="AERFactsheetHeading1"/>
      </w:pPr>
      <w:r w:rsidRPr="00697FF1">
        <w:lastRenderedPageBreak/>
        <w:t>What is the Better Regulation program?</w:t>
      </w:r>
    </w:p>
    <w:p w:rsidR="00AC0236" w:rsidRPr="00697FF1" w:rsidRDefault="00AC0236" w:rsidP="00697FF1">
      <w:pPr>
        <w:pStyle w:val="AERfactsheetbodytext"/>
      </w:pPr>
      <w:r w:rsidRPr="00697FF1">
        <w:t xml:space="preserve">The AER initiated the Better Regulation program following changes to the electricity and gas rules in late 2012. The program brings together improvements to our regulatory approach with other important reforms announced by the Prime Minister in December 2012. </w:t>
      </w:r>
    </w:p>
    <w:p w:rsidR="00AC0236" w:rsidRDefault="00AC0236" w:rsidP="00AC0236">
      <w:pPr>
        <w:pStyle w:val="AERbodytextnospace"/>
        <w:spacing w:line="252" w:lineRule="auto"/>
        <w:jc w:val="left"/>
        <w:rPr>
          <w:rStyle w:val="AERtextitalic"/>
          <w:rFonts w:ascii="MS Reference Sans Serif" w:hAnsi="MS Reference Sans Serif" w:cs="Shruti"/>
          <w:i w:val="0"/>
          <w:spacing w:val="-10"/>
          <w:sz w:val="18"/>
        </w:rPr>
      </w:pPr>
      <w:r>
        <w:rPr>
          <w:rFonts w:ascii="MS Reference Sans Serif" w:hAnsi="MS Reference Sans Serif" w:cs="Shruti"/>
          <w:noProof/>
          <w:spacing w:val="-10"/>
          <w:sz w:val="18"/>
          <w:lang w:eastAsia="en-AU"/>
        </w:rPr>
        <mc:AlternateContent>
          <mc:Choice Requires="wps">
            <w:drawing>
              <wp:inline distT="0" distB="0" distL="0" distR="0" wp14:anchorId="6407E4CF" wp14:editId="1DE1BBBB">
                <wp:extent cx="2980023" cy="548640"/>
                <wp:effectExtent l="0" t="0" r="11430" b="228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23" cy="548640"/>
                        </a:xfrm>
                        <a:prstGeom prst="rect">
                          <a:avLst/>
                        </a:prstGeom>
                        <a:solidFill>
                          <a:srgbClr val="DBE5F1"/>
                        </a:solidFill>
                        <a:ln w="9525">
                          <a:solidFill>
                            <a:srgbClr val="006A99"/>
                          </a:solidFill>
                          <a:miter lim="800000"/>
                          <a:headEnd/>
                          <a:tailEnd/>
                        </a:ln>
                      </wps:spPr>
                      <wps:txbx>
                        <w:txbxContent>
                          <w:p w:rsidR="0069255F" w:rsidRPr="00697FF1" w:rsidRDefault="0069255F" w:rsidP="00697FF1">
                            <w:pPr>
                              <w:pStyle w:val="AERfactsheetbodytext"/>
                            </w:pPr>
                            <w:r w:rsidRPr="00697FF1">
                              <w:t>The Better Regulation program delivers an improved regulatory framework focused on the long term interests of electricity consumers.</w:t>
                            </w: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234.6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" fillcolor="#dbe5f1" strokecolor="#006a99">
                <v:textbox>
                  <w:txbxContent>
                    <w:p w:rsidR="00A20E64" w:rsidRPr="00697FF1" w:rsidRDefault="00A20E64" w:rsidP="00697FF1">
                      <w:pPr>
                        <w:pStyle w:val="AERfactsheetbodytext"/>
                      </w:pPr>
                      <w:r w:rsidRPr="00697FF1">
                        <w:t>The Better Regulation program delivers an improved regulatory framework focused on the long term interests of electricity consumers.</w:t>
                      </w:r>
                    </w:p>
                  </w:txbxContent>
                </v:textbox>
                <w10:anchorlock/>
              </v:shape>
            </w:pict>
          </mc:Fallback>
        </mc:AlternateContent>
      </w:r>
    </w:p>
    <w:p w:rsidR="00AC0236" w:rsidRPr="00697FF1" w:rsidRDefault="00AC0236" w:rsidP="00697FF1">
      <w:pPr>
        <w:pStyle w:val="AERfactsheetbodytext"/>
      </w:pPr>
      <w:r w:rsidRPr="00697FF1">
        <w:t xml:space="preserve">The Better Regulation program involves: </w:t>
      </w:r>
    </w:p>
    <w:p w:rsidR="00AC0236" w:rsidRPr="00697FF1" w:rsidRDefault="00AC0236" w:rsidP="00697FF1">
      <w:pPr>
        <w:pStyle w:val="AERfactsheetbulletlist"/>
      </w:pPr>
      <w:r w:rsidRPr="00697FF1">
        <w:t xml:space="preserve">extensive consultation on seven new guidelines that outline our revised approach to determining electricity network revenues and prices </w:t>
      </w:r>
    </w:p>
    <w:p w:rsidR="00AC0236" w:rsidRPr="00697FF1" w:rsidRDefault="00AC0236" w:rsidP="00697FF1">
      <w:pPr>
        <w:pStyle w:val="AERfactsheetbulletlist"/>
      </w:pPr>
      <w:r w:rsidRPr="00697FF1">
        <w:t xml:space="preserve">establishing a consumer reference group for our guideline development work </w:t>
      </w:r>
    </w:p>
    <w:p w:rsidR="00AC0236" w:rsidRPr="00697FF1" w:rsidRDefault="00AC0236" w:rsidP="00697FF1">
      <w:pPr>
        <w:pStyle w:val="AERfactsheetbulletlist"/>
      </w:pPr>
      <w:r w:rsidRPr="00697FF1">
        <w:t xml:space="preserve">forming an ongoing Consumer Challenge Panel </w:t>
      </w:r>
    </w:p>
    <w:p w:rsidR="00AC0236" w:rsidRPr="00697FF1" w:rsidRDefault="00AC0236" w:rsidP="00697FF1">
      <w:pPr>
        <w:pStyle w:val="AERfactsheetbulletlist"/>
      </w:pPr>
      <w:proofErr w:type="gramStart"/>
      <w:r w:rsidRPr="00697FF1">
        <w:t>improving</w:t>
      </w:r>
      <w:proofErr w:type="gramEnd"/>
      <w:r w:rsidRPr="00697FF1">
        <w:t xml:space="preserve"> our internal technical expertise and systems. </w:t>
      </w:r>
    </w:p>
    <w:p w:rsidR="00AC0236" w:rsidRPr="00697FF1" w:rsidRDefault="009C1FC0" w:rsidP="00697FF1">
      <w:pPr>
        <w:pStyle w:val="AERFactsheetHeading1"/>
      </w:pPr>
      <w:r>
        <w:t xml:space="preserve">What is expenditure forecast assessment? </w:t>
      </w:r>
    </w:p>
    <w:p w:rsidR="004546C3" w:rsidRDefault="000A366A" w:rsidP="004546C3">
      <w:pPr>
        <w:pStyle w:val="AERfactsheetbodytext"/>
        <w:rPr>
          <w:noProof/>
          <w:lang w:eastAsia="en-AU"/>
        </w:rPr>
      </w:pPr>
      <w:r>
        <w:t>N</w:t>
      </w:r>
      <w:r w:rsidR="009C1FC0" w:rsidRPr="009C1FC0">
        <w:t xml:space="preserve">etwork </w:t>
      </w:r>
      <w:r w:rsidR="005D2C56">
        <w:t>business</w:t>
      </w:r>
      <w:r>
        <w:t>es plan</w:t>
      </w:r>
      <w:r w:rsidR="009C1FC0" w:rsidRPr="009C1FC0">
        <w:t xml:space="preserve"> the expenditure </w:t>
      </w:r>
      <w:r>
        <w:t xml:space="preserve">they </w:t>
      </w:r>
      <w:r w:rsidR="00A96D09">
        <w:t xml:space="preserve">will </w:t>
      </w:r>
      <w:r w:rsidR="00DD4B97">
        <w:t xml:space="preserve">need </w:t>
      </w:r>
      <w:r w:rsidR="009C1FC0" w:rsidRPr="009C1FC0">
        <w:t xml:space="preserve">to </w:t>
      </w:r>
      <w:r w:rsidR="00A96D09">
        <w:t>provide a safe and reliable supply of electricity for consumers over the next five year period</w:t>
      </w:r>
      <w:r w:rsidR="004546C3">
        <w:t xml:space="preserve">. </w:t>
      </w:r>
      <w:r>
        <w:t>Businesses then put</w:t>
      </w:r>
      <w:r w:rsidR="009C1FC0" w:rsidRPr="009C1FC0">
        <w:t xml:space="preserve"> </w:t>
      </w:r>
      <w:r w:rsidR="00A96D09">
        <w:t>these</w:t>
      </w:r>
      <w:r w:rsidR="009C1FC0" w:rsidRPr="009C1FC0">
        <w:t xml:space="preserve"> </w:t>
      </w:r>
      <w:r w:rsidR="00DD4B97">
        <w:t>expenditure proposal</w:t>
      </w:r>
      <w:r w:rsidR="00A96D09">
        <w:t>s</w:t>
      </w:r>
      <w:r w:rsidR="00DD4B97">
        <w:t xml:space="preserve"> to</w:t>
      </w:r>
      <w:r w:rsidR="00347DE6">
        <w:t xml:space="preserve"> us</w:t>
      </w:r>
      <w:r w:rsidR="00DD4B97">
        <w:t xml:space="preserve"> </w:t>
      </w:r>
      <w:r w:rsidR="00EF15F2">
        <w:t>for assessment</w:t>
      </w:r>
      <w:r w:rsidR="006D3FFE">
        <w:t xml:space="preserve"> </w:t>
      </w:r>
      <w:r w:rsidR="00926EE2" w:rsidRPr="00697FF1">
        <w:rPr>
          <w:noProof/>
          <w:lang w:eastAsia="en-AU"/>
        </w:rPr>
        <w:drawing>
          <wp:anchor distT="0" distB="0" distL="114300" distR="114300" simplePos="0" relativeHeight="251664384" behindDoc="0" locked="0" layoutInCell="1" allowOverlap="1" wp14:anchorId="77EBC94D" wp14:editId="2B967D0B">
            <wp:simplePos x="0" y="0"/>
            <wp:positionH relativeFrom="column">
              <wp:posOffset>-459105</wp:posOffset>
            </wp:positionH>
            <wp:positionV relativeFrom="page">
              <wp:posOffset>10211323</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A96D09">
        <w:t xml:space="preserve">during </w:t>
      </w:r>
      <w:r w:rsidR="00BA3C88">
        <w:t>a regulatory determination</w:t>
      </w:r>
      <w:r w:rsidR="006D3FFE">
        <w:t>.</w:t>
      </w:r>
      <w:r w:rsidR="00A96D09">
        <w:t xml:space="preserve"> </w:t>
      </w:r>
      <w:r w:rsidR="006D3FFE">
        <w:t xml:space="preserve">We </w:t>
      </w:r>
      <w:r w:rsidR="00A96D09">
        <w:t xml:space="preserve">publish a </w:t>
      </w:r>
      <w:r w:rsidR="006031C4" w:rsidRPr="009C1FC0">
        <w:t xml:space="preserve">final determination </w:t>
      </w:r>
      <w:r w:rsidR="00A96D09">
        <w:t xml:space="preserve">setting </w:t>
      </w:r>
      <w:r w:rsidR="006031C4" w:rsidRPr="009C1FC0">
        <w:t xml:space="preserve">out the </w:t>
      </w:r>
      <w:r w:rsidR="00BA3C88">
        <w:t xml:space="preserve">total </w:t>
      </w:r>
      <w:r w:rsidR="006D3FFE">
        <w:t xml:space="preserve">expenditure </w:t>
      </w:r>
      <w:r w:rsidR="00A96D09">
        <w:t xml:space="preserve">the business is allowed </w:t>
      </w:r>
      <w:r w:rsidR="006031C4" w:rsidRPr="009C1FC0">
        <w:t xml:space="preserve">for </w:t>
      </w:r>
      <w:r w:rsidR="006031C4">
        <w:t xml:space="preserve">the next </w:t>
      </w:r>
      <w:r w:rsidR="006031C4" w:rsidRPr="009C1FC0">
        <w:t>period.</w:t>
      </w:r>
      <w:r w:rsidR="00BF4E2D" w:rsidRPr="00BF4E2D">
        <w:rPr>
          <w:noProof/>
          <w:lang w:eastAsia="en-AU"/>
        </w:rPr>
        <w:t xml:space="preserve"> </w:t>
      </w:r>
    </w:p>
    <w:p w:rsidR="00CD4428" w:rsidRDefault="00CD4428" w:rsidP="00CD4428">
      <w:pPr>
        <w:pStyle w:val="AERFactsheetHeading1"/>
      </w:pPr>
      <w:r>
        <w:t>What is the draft expenditure forecast assessment guideline?</w:t>
      </w:r>
    </w:p>
    <w:p w:rsidR="00241B78" w:rsidRDefault="009F3237" w:rsidP="00F44A65">
      <w:pPr>
        <w:pStyle w:val="AERfactsheetbodytext"/>
      </w:pPr>
      <w:r w:rsidRPr="00F126BC">
        <w:t xml:space="preserve">The </w:t>
      </w:r>
      <w:r w:rsidR="00357BC1">
        <w:t xml:space="preserve">draft </w:t>
      </w:r>
      <w:r w:rsidR="00327423">
        <w:t xml:space="preserve">assessment </w:t>
      </w:r>
      <w:r w:rsidR="00F932D8">
        <w:t>guideline</w:t>
      </w:r>
      <w:r>
        <w:t xml:space="preserve"> </w:t>
      </w:r>
      <w:r w:rsidR="00A3190D" w:rsidRPr="00A3190D">
        <w:t xml:space="preserve">sets out our enhanced expenditure assessment approach. </w:t>
      </w:r>
      <w:r w:rsidR="00A3190D">
        <w:t xml:space="preserve">It </w:t>
      </w:r>
      <w:r w:rsidRPr="00F126BC">
        <w:t>outl</w:t>
      </w:r>
      <w:r>
        <w:t>ine</w:t>
      </w:r>
      <w:r w:rsidR="00F932D8">
        <w:t>s</w:t>
      </w:r>
      <w:r>
        <w:t xml:space="preserve"> the types of assessments we’ll do to determine efficient </w:t>
      </w:r>
      <w:r w:rsidRPr="00F126BC">
        <w:t>expenditure allowances</w:t>
      </w:r>
      <w:r>
        <w:t>,</w:t>
      </w:r>
      <w:r w:rsidRPr="00F126BC">
        <w:t xml:space="preserve"> and the information we require from </w:t>
      </w:r>
      <w:r>
        <w:t xml:space="preserve">businesses </w:t>
      </w:r>
      <w:r w:rsidRPr="00F126BC">
        <w:t xml:space="preserve">to </w:t>
      </w:r>
      <w:r>
        <w:t>do so</w:t>
      </w:r>
      <w:r w:rsidRPr="00F126BC">
        <w:t xml:space="preserve">.  </w:t>
      </w:r>
    </w:p>
    <w:p w:rsidR="005064F3" w:rsidRDefault="005064F3" w:rsidP="00F44A65">
      <w:pPr>
        <w:pStyle w:val="AERfactsheetbodytext"/>
      </w:pPr>
      <w:r>
        <w:rPr>
          <w:noProof/>
          <w:lang w:eastAsia="en-AU"/>
        </w:rPr>
        <w:lastRenderedPageBreak/>
        <mc:AlternateContent>
          <mc:Choice Requires="wps">
            <w:drawing>
              <wp:inline distT="0" distB="0" distL="0" distR="0" wp14:anchorId="4747E264" wp14:editId="2BC4F68A">
                <wp:extent cx="3214370" cy="687334"/>
                <wp:effectExtent l="0" t="0" r="24130" b="1778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687334"/>
                        </a:xfrm>
                        <a:prstGeom prst="rect">
                          <a:avLst/>
                        </a:prstGeom>
                        <a:solidFill>
                          <a:srgbClr val="DBE5F1"/>
                        </a:solidFill>
                        <a:ln w="9525">
                          <a:solidFill>
                            <a:srgbClr val="006A99"/>
                          </a:solidFill>
                          <a:miter lim="800000"/>
                          <a:headEnd/>
                          <a:tailEnd/>
                        </a:ln>
                      </wps:spPr>
                      <wps:txbx>
                        <w:txbxContent>
                          <w:p w:rsidR="0069255F" w:rsidRDefault="0069255F" w:rsidP="009F3237">
                            <w:pPr>
                              <w:pStyle w:val="AERfactsheetbodytext"/>
                            </w:pPr>
                            <w:r>
                              <w:t xml:space="preserve">Our </w:t>
                            </w:r>
                            <w:r w:rsidRPr="00CE640F">
                              <w:t>forecast</w:t>
                            </w:r>
                            <w:r>
                              <w:t>ing</w:t>
                            </w:r>
                            <w:r w:rsidRPr="00CE640F">
                              <w:t xml:space="preserve"> approaches </w:t>
                            </w:r>
                            <w:r>
                              <w:t xml:space="preserve">will be </w:t>
                            </w:r>
                            <w:r w:rsidRPr="00CE640F">
                              <w:t>rigorous, transparent and cost effective.</w:t>
                            </w:r>
                            <w:r>
                              <w:t xml:space="preserve"> Businesses </w:t>
                            </w:r>
                            <w:r w:rsidRPr="001C4EA5">
                              <w:t xml:space="preserve">need to </w:t>
                            </w:r>
                            <w:r>
                              <w:t xml:space="preserve">invest in electricity </w:t>
                            </w:r>
                            <w:r w:rsidRPr="001C4EA5">
                              <w:t>netwo</w:t>
                            </w:r>
                            <w:r>
                              <w:t>rks,</w:t>
                            </w:r>
                            <w:r w:rsidRPr="001C4EA5">
                              <w:t xml:space="preserve"> </w:t>
                            </w:r>
                            <w:r>
                              <w:t xml:space="preserve">but we’ll focus on the efficiency of that expenditure so </w:t>
                            </w:r>
                            <w:r w:rsidRPr="001C4EA5">
                              <w:t>consum</w:t>
                            </w:r>
                            <w:r>
                              <w:t>ers pay no more than necessary.</w:t>
                            </w:r>
                          </w:p>
                          <w:p w:rsidR="0069255F" w:rsidRPr="00697FF1" w:rsidRDefault="0069255F" w:rsidP="005064F3">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10" o:spid="_x0000_s1031" type="#_x0000_t202" style="width:253.1pt;height: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" fillcolor="#dbe5f1" strokecolor="#006a99">
                <v:textbox>
                  <w:txbxContent>
                    <w:p w:rsidR="0069255F" w:rsidRDefault="0069255F" w:rsidP="009F3237">
                      <w:pPr>
                        <w:pStyle w:val="AERfactsheetbodytext"/>
                      </w:pPr>
                      <w:r>
                        <w:t xml:space="preserve">Our </w:t>
                      </w:r>
                      <w:r w:rsidRPr="00CE640F">
                        <w:t>forecast</w:t>
                      </w:r>
                      <w:r>
                        <w:t>ing</w:t>
                      </w:r>
                      <w:r w:rsidRPr="00CE640F">
                        <w:t xml:space="preserve"> approaches </w:t>
                      </w:r>
                      <w:r>
                        <w:t xml:space="preserve">will be </w:t>
                      </w:r>
                      <w:r w:rsidRPr="00CE640F">
                        <w:t>rigorous, transparent and cost effective.</w:t>
                      </w:r>
                      <w:r>
                        <w:t xml:space="preserve"> Businesses </w:t>
                      </w:r>
                      <w:r w:rsidRPr="001C4EA5">
                        <w:t xml:space="preserve">need to </w:t>
                      </w:r>
                      <w:r>
                        <w:t xml:space="preserve">invest in electricity </w:t>
                      </w:r>
                      <w:r w:rsidRPr="001C4EA5">
                        <w:t>netwo</w:t>
                      </w:r>
                      <w:r>
                        <w:t>rks,</w:t>
                      </w:r>
                      <w:r w:rsidRPr="001C4EA5">
                        <w:t xml:space="preserve"> </w:t>
                      </w:r>
                      <w:r>
                        <w:t xml:space="preserve">but we’ll focus on the efficiency of that expenditure so </w:t>
                      </w:r>
                      <w:r w:rsidRPr="001C4EA5">
                        <w:t>consum</w:t>
                      </w:r>
                      <w:r>
                        <w:t>ers pay no more than necessary.</w:t>
                      </w:r>
                    </w:p>
                    <w:p w:rsidR="0069255F" w:rsidRPr="00697FF1" w:rsidRDefault="0069255F" w:rsidP="005064F3">
                      <w:pPr>
                        <w:pStyle w:val="AERfactsheetbodytext"/>
                      </w:pPr>
                    </w:p>
                  </w:txbxContent>
                </v:textbox>
                <w10:anchorlock/>
              </v:shape>
            </w:pict>
          </mc:Fallback>
        </mc:AlternateContent>
      </w:r>
    </w:p>
    <w:p w:rsidR="00EE18BA" w:rsidRDefault="00A3190D" w:rsidP="00F44A65">
      <w:pPr>
        <w:pStyle w:val="AERfactsheetbodytext"/>
      </w:pPr>
      <w:r>
        <w:t xml:space="preserve">The </w:t>
      </w:r>
      <w:r w:rsidR="00327423">
        <w:t xml:space="preserve">assessment </w:t>
      </w:r>
      <w:r>
        <w:t xml:space="preserve">guideline </w:t>
      </w:r>
      <w:r w:rsidR="000E7C55">
        <w:t xml:space="preserve">is based on </w:t>
      </w:r>
      <w:r w:rsidRPr="00A3190D">
        <w:t xml:space="preserve">a nationally consistent reporting framework allowing us to compare the relative efficiencies of network businesses, and </w:t>
      </w:r>
      <w:r w:rsidR="00327423">
        <w:t xml:space="preserve">decide upon </w:t>
      </w:r>
      <w:r w:rsidRPr="00A3190D">
        <w:t xml:space="preserve">efficient </w:t>
      </w:r>
      <w:r w:rsidR="002D7AEC">
        <w:t xml:space="preserve">expenditure </w:t>
      </w:r>
      <w:r w:rsidRPr="00A3190D">
        <w:t>allowances.</w:t>
      </w:r>
      <w:r>
        <w:t xml:space="preserve"> </w:t>
      </w:r>
      <w:r w:rsidR="00B66BD0">
        <w:t>Our guideline and explanatory statement outline the</w:t>
      </w:r>
      <w:r w:rsidR="00F83140">
        <w:t>:</w:t>
      </w:r>
    </w:p>
    <w:p w:rsidR="000A6A1D" w:rsidRDefault="00B66BD0" w:rsidP="000A6A1D">
      <w:pPr>
        <w:pStyle w:val="AERfactsheetbulletlist"/>
      </w:pPr>
      <w:r>
        <w:t>n</w:t>
      </w:r>
      <w:r w:rsidR="000A6A1D">
        <w:t xml:space="preserve">ew assessment techniques—we’re expanding our regulatory toolkit to make greater use of benchmarking </w:t>
      </w:r>
    </w:p>
    <w:p w:rsidR="000A6A1D" w:rsidRDefault="00B66BD0" w:rsidP="000A6A1D">
      <w:pPr>
        <w:pStyle w:val="AERfactsheetbulletlist"/>
      </w:pPr>
      <w:r>
        <w:t>r</w:t>
      </w:r>
      <w:r w:rsidR="000A6A1D">
        <w:t xml:space="preserve">efined techniques—we’re refining some of our techniques to ensure the </w:t>
      </w:r>
      <w:r w:rsidR="002D7AEC">
        <w:t xml:space="preserve">expenditure </w:t>
      </w:r>
      <w:r w:rsidR="000A6A1D">
        <w:t>allowances we approve are efficient</w:t>
      </w:r>
    </w:p>
    <w:p w:rsidR="000A6A1D" w:rsidRDefault="00B66BD0" w:rsidP="000A6A1D">
      <w:pPr>
        <w:pStyle w:val="AERfactsheetbulletlist"/>
      </w:pPr>
      <w:r>
        <w:t>a</w:t>
      </w:r>
      <w:r w:rsidR="000A6A1D">
        <w:t>ssessment principles—the basic principles we</w:t>
      </w:r>
      <w:r w:rsidR="00EB545B">
        <w:t>’</w:t>
      </w:r>
      <w:r w:rsidR="00A85FDD">
        <w:t xml:space="preserve">ll </w:t>
      </w:r>
      <w:r w:rsidR="000A6A1D">
        <w:t>typically consider when assessing expenditure proposals</w:t>
      </w:r>
      <w:r w:rsidR="00B01429">
        <w:t xml:space="preserve"> and determining what </w:t>
      </w:r>
      <w:r w:rsidR="00550A48">
        <w:t xml:space="preserve">assessment </w:t>
      </w:r>
      <w:r w:rsidR="00B01429">
        <w:t xml:space="preserve">techniques are most appropriate </w:t>
      </w:r>
      <w:r w:rsidR="00550A48">
        <w:t>to use</w:t>
      </w:r>
      <w:r w:rsidR="000A6A1D">
        <w:t xml:space="preserve"> </w:t>
      </w:r>
    </w:p>
    <w:p w:rsidR="00127B68" w:rsidRDefault="00B66BD0" w:rsidP="000A6A1D">
      <w:pPr>
        <w:pStyle w:val="AERfactsheetbulletlist"/>
      </w:pPr>
      <w:proofErr w:type="gramStart"/>
      <w:r>
        <w:t>m</w:t>
      </w:r>
      <w:r w:rsidR="00467E54">
        <w:t>ore</w:t>
      </w:r>
      <w:proofErr w:type="gramEnd"/>
      <w:r w:rsidR="00467E54">
        <w:t xml:space="preserve"> detailed i</w:t>
      </w:r>
      <w:r w:rsidR="000A6A1D">
        <w:t xml:space="preserve">nformation requirements—part of improving our assessment approach is collecting consistent data from all businesses. </w:t>
      </w:r>
      <w:r w:rsidR="00467E54">
        <w:t>We explain w</w:t>
      </w:r>
      <w:r w:rsidR="000A6A1D">
        <w:t>hat data we need and why, when we intend to collect it, and how we will collect it.</w:t>
      </w:r>
    </w:p>
    <w:p w:rsidR="00A85FDD" w:rsidRDefault="00713B21" w:rsidP="00FD1508">
      <w:pPr>
        <w:pStyle w:val="AERFactsheetHeading1"/>
      </w:pPr>
      <w:r>
        <w:t xml:space="preserve">How will we </w:t>
      </w:r>
      <w:r w:rsidR="00A97450">
        <w:t xml:space="preserve">set </w:t>
      </w:r>
      <w:r w:rsidR="00F02C1D">
        <w:t xml:space="preserve">efficient </w:t>
      </w:r>
      <w:r w:rsidR="00FD1508">
        <w:t>expenditure allowances?</w:t>
      </w:r>
    </w:p>
    <w:p w:rsidR="00FD1508" w:rsidRDefault="00FD1508" w:rsidP="00FD1508">
      <w:pPr>
        <w:pStyle w:val="AERfactsheetbodytext"/>
      </w:pPr>
      <w:r>
        <w:t>W</w:t>
      </w:r>
      <w:r w:rsidRPr="00FD1508">
        <w:t xml:space="preserve">e examine </w:t>
      </w:r>
      <w:r>
        <w:t xml:space="preserve">a business’ expenditure </w:t>
      </w:r>
      <w:r w:rsidRPr="00FD1508">
        <w:t>proposal</w:t>
      </w:r>
      <w:r>
        <w:t xml:space="preserve"> and other relevant information </w:t>
      </w:r>
      <w:r w:rsidRPr="00FD1508">
        <w:t>to either accept</w:t>
      </w:r>
      <w:r>
        <w:t xml:space="preserve"> the proposal</w:t>
      </w:r>
      <w:r w:rsidRPr="00FD1508">
        <w:t xml:space="preserve">, or not accept it and </w:t>
      </w:r>
      <w:r w:rsidR="00EB545B">
        <w:t xml:space="preserve">replace it with </w:t>
      </w:r>
      <w:r>
        <w:t xml:space="preserve">an alternative estimate. </w:t>
      </w:r>
    </w:p>
    <w:p w:rsidR="00046784" w:rsidRDefault="00CD4428" w:rsidP="00155955">
      <w:pPr>
        <w:pStyle w:val="AERfactsheetbodytext"/>
      </w:pPr>
      <w:r>
        <w:rPr>
          <w:noProof/>
          <w:lang w:eastAsia="en-AU"/>
        </w:rPr>
        <mc:AlternateContent>
          <mc:Choice Requires="wps">
            <w:drawing>
              <wp:inline distT="0" distB="0" distL="0" distR="0" wp14:anchorId="3E32C84D" wp14:editId="3D3B0658">
                <wp:extent cx="3214370" cy="681644"/>
                <wp:effectExtent l="0" t="0" r="24130" b="2349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681644"/>
                        </a:xfrm>
                        <a:prstGeom prst="rect">
                          <a:avLst/>
                        </a:prstGeom>
                        <a:solidFill>
                          <a:srgbClr val="DBE5F1"/>
                        </a:solidFill>
                        <a:ln w="9525">
                          <a:solidFill>
                            <a:srgbClr val="006A99"/>
                          </a:solidFill>
                          <a:miter lim="800000"/>
                          <a:headEnd/>
                          <a:tailEnd/>
                        </a:ln>
                      </wps:spPr>
                      <wps:txbx>
                        <w:txbxContent>
                          <w:p w:rsidR="0069255F" w:rsidRDefault="0069255F" w:rsidP="00CD4428">
                            <w:pPr>
                              <w:pStyle w:val="AERfactsheetbodytext"/>
                            </w:pPr>
                            <w:r>
                              <w:t>B</w:t>
                            </w:r>
                            <w:r w:rsidRPr="00D876B6">
                              <w:t xml:space="preserve">usinesses </w:t>
                            </w:r>
                            <w:r>
                              <w:t xml:space="preserve">must </w:t>
                            </w:r>
                            <w:r w:rsidRPr="00D876B6">
                              <w:t xml:space="preserve">provide economic analysis to </w:t>
                            </w:r>
                            <w:r>
                              <w:t xml:space="preserve">justify </w:t>
                            </w:r>
                            <w:r w:rsidRPr="00D876B6">
                              <w:t xml:space="preserve">the efficiency and </w:t>
                            </w:r>
                            <w:r>
                              <w:t xml:space="preserve">prudency </w:t>
                            </w:r>
                            <w:r w:rsidRPr="00D876B6">
                              <w:t>of their expenditure proposals.</w:t>
                            </w:r>
                            <w:r>
                              <w:t xml:space="preserve"> In the absence of economic justification we are unlikely to accept their forecast expenditure.</w:t>
                            </w:r>
                          </w:p>
                          <w:p w:rsidR="0069255F" w:rsidRPr="00697FF1" w:rsidRDefault="0069255F" w:rsidP="00CD4428">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19" o:spid="_x0000_s1032" type="#_x0000_t202" style="width:253.1pt;height: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" fillcolor="#dbe5f1" strokecolor="#006a99">
                <v:textbox>
                  <w:txbxContent>
                    <w:p w:rsidR="00A20E64" w:rsidRDefault="00A20E64" w:rsidP="00CD4428">
                      <w:pPr>
                        <w:pStyle w:val="AERfactsheetbodytext"/>
                      </w:pPr>
                      <w:r>
                        <w:t>B</w:t>
                      </w:r>
                      <w:r w:rsidRPr="00D876B6">
                        <w:t xml:space="preserve">usinesses </w:t>
                      </w:r>
                      <w:r>
                        <w:t xml:space="preserve">must </w:t>
                      </w:r>
                      <w:r w:rsidRPr="00D876B6">
                        <w:t xml:space="preserve">provide economic analysis to </w:t>
                      </w:r>
                      <w:r>
                        <w:t xml:space="preserve">justify </w:t>
                      </w:r>
                      <w:r w:rsidRPr="00D876B6">
                        <w:t xml:space="preserve">the efficiency and </w:t>
                      </w:r>
                      <w:r>
                        <w:t xml:space="preserve">prudency </w:t>
                      </w:r>
                      <w:r w:rsidRPr="00D876B6">
                        <w:t>of their expenditure proposals.</w:t>
                      </w:r>
                      <w:r>
                        <w:t xml:space="preserve"> In the absence of economic justification we are unlikely to accept their forecast expenditure.</w:t>
                      </w:r>
                    </w:p>
                    <w:p w:rsidR="00A20E64" w:rsidRPr="00697FF1" w:rsidRDefault="00A20E64" w:rsidP="00CD4428">
                      <w:pPr>
                        <w:pStyle w:val="AERfactsheetbodytext"/>
                      </w:pPr>
                    </w:p>
                  </w:txbxContent>
                </v:textbox>
                <w10:anchorlock/>
              </v:shape>
            </w:pict>
          </mc:Fallback>
        </mc:AlternateContent>
      </w: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r>
        <w:rPr>
          <w:noProof/>
          <w:lang w:eastAsia="en-AU"/>
        </w:rPr>
        <w:lastRenderedPageBreak/>
        <mc:AlternateContent>
          <mc:Choice Requires="wpg">
            <w:drawing>
              <wp:anchor distT="0" distB="0" distL="114300" distR="114300" simplePos="0" relativeHeight="251661312" behindDoc="0" locked="0" layoutInCell="1" allowOverlap="0" wp14:anchorId="36806B54" wp14:editId="77A23DD1">
                <wp:simplePos x="0" y="0"/>
                <wp:positionH relativeFrom="column">
                  <wp:posOffset>-471805</wp:posOffset>
                </wp:positionH>
                <wp:positionV relativeFrom="paragraph">
                  <wp:posOffset>-34925</wp:posOffset>
                </wp:positionV>
                <wp:extent cx="7642225" cy="323850"/>
                <wp:effectExtent l="0" t="0" r="15875" b="38100"/>
                <wp:wrapNone/>
                <wp:docPr id="13" name="Group 13"/>
                <wp:cNvGraphicFramePr/>
                <a:graphic xmlns:a="http://schemas.openxmlformats.org/drawingml/2006/main">
                  <a:graphicData uri="http://schemas.microsoft.com/office/word/2010/wordprocessingGroup">
                    <wpg:wgp>
                      <wpg:cNvGrpSpPr/>
                      <wpg:grpSpPr>
                        <a:xfrm>
                          <a:off x="0" y="0"/>
                          <a:ext cx="7642225" cy="323850"/>
                          <a:chOff x="-15351" y="0"/>
                          <a:chExt cx="7646046" cy="323850"/>
                        </a:xfrm>
                      </wpg:grpSpPr>
                      <wps:wsp>
                        <wps:cNvPr id="11" name="Text Box 2"/>
                        <wps:cNvSpPr txBox="1">
                          <a:spLocks noChangeArrowheads="1"/>
                        </wps:cNvSpPr>
                        <wps:spPr bwMode="auto">
                          <a:xfrm>
                            <a:off x="-15351" y="0"/>
                            <a:ext cx="7635240"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55F" w:rsidRPr="006B1EE6" w:rsidRDefault="0069255F"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DRAFT </w:t>
                              </w:r>
                              <w:r>
                                <w:rPr>
                                  <w:rFonts w:ascii="Univers 45 Light" w:hAnsi="Univers 45 Light" w:cs="Calibri"/>
                                  <w:b/>
                                  <w:color w:val="FFFFFF"/>
                                  <w:spacing w:val="20"/>
                                  <w:w w:val="80"/>
                                  <w:kern w:val="22"/>
                                </w:rPr>
                                <w:t>EXPENDITURE FORECAST ASSESSMENT GUIDELINE</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33" style="position:absolute;margin-left:-37.15pt;margin-top:-2.75pt;width:601.75pt;height:25.5pt;z-index:251661312;mso-position-horizontal-relative:text;mso-position-vertical-relative:text;mso-width-relative:margin;mso-height-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" o:allowoverlap="f">
                <v:shape id="Text Box 2" o:spid="_x0000_s1034"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69255F" w:rsidRPr="006B1EE6" w:rsidRDefault="0069255F"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DRAFT </w:t>
                        </w:r>
                        <w:r>
                          <w:rPr>
                            <w:rFonts w:ascii="Univers 45 Light" w:hAnsi="Univers 45 Light" w:cs="Calibri"/>
                            <w:b/>
                            <w:color w:val="FFFFFF"/>
                            <w:spacing w:val="20"/>
                            <w:w w:val="80"/>
                            <w:kern w:val="22"/>
                          </w:rPr>
                          <w:t>EXPENDITURE FORECAST ASSESSMENT GUIDELINE</w:t>
                        </w:r>
                      </w:p>
                    </w:txbxContent>
                  </v:textbox>
                </v:shape>
                <v:line id="Straight Connector 6" o:spid="_x0000_s1035"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v:group>
            </w:pict>
          </mc:Fallback>
        </mc:AlternateContent>
      </w:r>
    </w:p>
    <w:p w:rsidR="007434B0" w:rsidRDefault="007434B0" w:rsidP="003644A8">
      <w:pPr>
        <w:pStyle w:val="AERfactsheetbodytext"/>
      </w:pPr>
      <w:r>
        <w:rPr>
          <w:noProof/>
          <w:lang w:eastAsia="en-AU"/>
        </w:rPr>
        <mc:AlternateContent>
          <mc:Choice Requires="wpc">
            <w:drawing>
              <wp:anchor distT="0" distB="0" distL="114300" distR="114300" simplePos="0" relativeHeight="251666432" behindDoc="0" locked="0" layoutInCell="1" allowOverlap="1" wp14:anchorId="3EBB307B" wp14:editId="2E3FABC9">
                <wp:simplePos x="0" y="0"/>
                <wp:positionH relativeFrom="column">
                  <wp:posOffset>142875</wp:posOffset>
                </wp:positionH>
                <wp:positionV relativeFrom="paragraph">
                  <wp:posOffset>202565</wp:posOffset>
                </wp:positionV>
                <wp:extent cx="6590665" cy="355727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Rectangle 34"/>
                        <wps:cNvSpPr>
                          <a:spLocks noChangeArrowheads="1"/>
                        </wps:cNvSpPr>
                        <wps:spPr bwMode="auto">
                          <a:xfrm>
                            <a:off x="138436" y="11"/>
                            <a:ext cx="6180455" cy="375285"/>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69255F" w:rsidRPr="004D1DC0" w:rsidRDefault="0069255F" w:rsidP="007A40E0">
                              <w:pPr>
                                <w:pStyle w:val="NormalWeb"/>
                                <w:spacing w:before="0" w:beforeAutospacing="0" w:after="0" w:afterAutospacing="0" w:line="288" w:lineRule="auto"/>
                                <w:rPr>
                                  <w:color w:val="000000" w:themeColor="text1"/>
                                </w:rPr>
                              </w:pPr>
                              <w:r>
                                <w:rPr>
                                  <w:rFonts w:ascii="Tunga" w:hAnsi="Tunga"/>
                                  <w:b/>
                                  <w:bCs/>
                                  <w:color w:val="000000" w:themeColor="text1"/>
                                  <w:kern w:val="24"/>
                                </w:rPr>
                                <w:t>Our expenditure assessment framework</w:t>
                              </w:r>
                            </w:p>
                          </w:txbxContent>
                        </wps:txbx>
                        <wps:bodyPr rot="0" vert="horz" wrap="square" lIns="91440" tIns="36000" rIns="91440" bIns="36000" anchor="ctr" anchorCtr="0" upright="1">
                          <a:noAutofit/>
                        </wps:bodyPr>
                      </wps:wsp>
                      <wps:wsp>
                        <wps:cNvPr id="35" name="Pentagon 35"/>
                        <wps:cNvSpPr>
                          <a:spLocks noChangeArrowheads="1"/>
                        </wps:cNvSpPr>
                        <wps:spPr bwMode="auto">
                          <a:xfrm>
                            <a:off x="138436" y="479383"/>
                            <a:ext cx="2861321" cy="1252657"/>
                          </a:xfrm>
                          <a:prstGeom prst="homePlate">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9255F" w:rsidRDefault="0069255F" w:rsidP="00F15834">
                              <w:pPr>
                                <w:pStyle w:val="NormalWeb"/>
                                <w:spacing w:before="0" w:beforeAutospacing="0" w:after="120" w:afterAutospacing="0" w:line="276" w:lineRule="auto"/>
                                <w:jc w:val="center"/>
                                <w:rPr>
                                  <w:rFonts w:ascii="Tunga" w:eastAsia="Calibri" w:hAnsi="Tunga" w:cs="Tunga"/>
                                  <w:b/>
                                  <w:bCs/>
                                  <w:color w:val="FFFFFF"/>
                                  <w:sz w:val="16"/>
                                  <w:szCs w:val="16"/>
                                </w:rPr>
                              </w:pPr>
                              <w:r w:rsidRPr="00AD27CE">
                                <w:rPr>
                                  <w:rFonts w:ascii="Tunga" w:eastAsia="Calibri" w:hAnsi="Tunga" w:cs="Tunga"/>
                                  <w:b/>
                                  <w:bCs/>
                                  <w:color w:val="FFFFFF"/>
                                  <w:sz w:val="16"/>
                                  <w:szCs w:val="16"/>
                                </w:rPr>
                                <w:t>Expenditur</w:t>
                              </w:r>
                              <w:r>
                                <w:rPr>
                                  <w:rFonts w:ascii="Tunga" w:eastAsia="Calibri" w:hAnsi="Tunga" w:cs="Tunga"/>
                                  <w:b/>
                                  <w:bCs/>
                                  <w:color w:val="FFFFFF"/>
                                  <w:sz w:val="16"/>
                                  <w:szCs w:val="16"/>
                                </w:rPr>
                                <w:t>e forecast assessment guideline</w:t>
                              </w:r>
                            </w:p>
                            <w:p w:rsidR="0069255F" w:rsidRPr="00651F26" w:rsidRDefault="0069255F" w:rsidP="00F15834">
                              <w:pPr>
                                <w:pStyle w:val="NormalWeb"/>
                                <w:spacing w:before="0" w:beforeAutospacing="0" w:after="0" w:afterAutospacing="0" w:line="276" w:lineRule="auto"/>
                                <w:rPr>
                                  <w:rFonts w:ascii="Tunga" w:eastAsia="Calibri" w:hAnsi="Tunga" w:cs="Tunga"/>
                                  <w:bCs/>
                                  <w:color w:val="FFFFFF"/>
                                  <w:sz w:val="16"/>
                                  <w:szCs w:val="16"/>
                                </w:rPr>
                              </w:pPr>
                              <w:r>
                                <w:rPr>
                                  <w:rFonts w:ascii="Tunga" w:eastAsia="Calibri" w:hAnsi="Tunga" w:cs="Tunga"/>
                                  <w:bCs/>
                                  <w:color w:val="FFFFFF"/>
                                  <w:sz w:val="16"/>
                                  <w:szCs w:val="16"/>
                                </w:rPr>
                                <w:t>Outlines how we’ll approach expenditure forecasting during a regulatory determination including t</w:t>
                              </w:r>
                              <w:r w:rsidRPr="00651F26">
                                <w:rPr>
                                  <w:rFonts w:ascii="Tunga" w:eastAsia="Calibri" w:hAnsi="Tunga" w:cs="Tunga"/>
                                  <w:bCs/>
                                  <w:color w:val="FFFFFF"/>
                                  <w:sz w:val="16"/>
                                  <w:szCs w:val="16"/>
                                </w:rPr>
                                <w:t>he process, techniques a</w:t>
                              </w:r>
                              <w:r>
                                <w:rPr>
                                  <w:rFonts w:ascii="Tunga" w:eastAsia="Calibri" w:hAnsi="Tunga" w:cs="Tunga"/>
                                  <w:bCs/>
                                  <w:color w:val="FFFFFF"/>
                                  <w:sz w:val="16"/>
                                  <w:szCs w:val="16"/>
                                </w:rPr>
                                <w:t>nd associated data requirements. If we depart from our approach in the guideline we’ll need to explain why.</w:t>
                              </w:r>
                            </w:p>
                          </w:txbxContent>
                        </wps:txbx>
                        <wps:bodyPr rot="0" vert="horz" wrap="square" lIns="91440" tIns="36000" rIns="91440" bIns="36000" anchor="ctr" anchorCtr="0" upright="1">
                          <a:noAutofit/>
                        </wps:bodyPr>
                      </wps:wsp>
                      <wps:wsp>
                        <wps:cNvPr id="44" name="Chevron 44"/>
                        <wps:cNvSpPr>
                          <a:spLocks noChangeArrowheads="1"/>
                        </wps:cNvSpPr>
                        <wps:spPr bwMode="auto">
                          <a:xfrm rot="5400000">
                            <a:off x="3396563" y="468429"/>
                            <a:ext cx="828000" cy="612000"/>
                          </a:xfrm>
                          <a:prstGeom prst="chevron">
                            <a:avLst>
                              <a:gd name="adj" fmla="val 21670"/>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9255F" w:rsidRPr="00EF1C49" w:rsidRDefault="0069255F" w:rsidP="00B045B3">
                              <w:pPr>
                                <w:pStyle w:val="NormalWeb"/>
                                <w:spacing w:before="0" w:beforeAutospacing="0" w:after="0" w:afterAutospacing="0" w:line="276" w:lineRule="auto"/>
                                <w:jc w:val="center"/>
                                <w:rPr>
                                  <w:rFonts w:ascii="Tunga" w:eastAsia="Calibri" w:hAnsi="Tunga" w:cs="Tunga"/>
                                  <w:b/>
                                  <w:bCs/>
                                  <w:color w:val="000000"/>
                                  <w:sz w:val="16"/>
                                  <w:szCs w:val="16"/>
                                </w:rPr>
                              </w:pPr>
                              <w:r w:rsidRPr="00EF1C49">
                                <w:rPr>
                                  <w:rFonts w:ascii="Tunga" w:eastAsia="Calibri" w:hAnsi="Tunga" w:cs="Tunga"/>
                                  <w:b/>
                                  <w:bCs/>
                                  <w:color w:val="000000"/>
                                  <w:sz w:val="16"/>
                                  <w:szCs w:val="16"/>
                                </w:rPr>
                                <w:t>Framework and approach</w:t>
                              </w:r>
                            </w:p>
                          </w:txbxContent>
                        </wps:txbx>
                        <wps:bodyPr rot="0" vert="horz" wrap="square" lIns="72000" tIns="0" rIns="72000" bIns="0" anchor="ctr" anchorCtr="0" upright="1">
                          <a:noAutofit/>
                        </wps:bodyPr>
                      </wps:wsp>
                      <wps:wsp>
                        <wps:cNvPr id="36" name="Chevron 36"/>
                        <wps:cNvSpPr>
                          <a:spLocks noChangeArrowheads="1"/>
                        </wps:cNvSpPr>
                        <wps:spPr bwMode="auto">
                          <a:xfrm rot="5400000">
                            <a:off x="3396564" y="1227809"/>
                            <a:ext cx="828000" cy="612000"/>
                          </a:xfrm>
                          <a:prstGeom prst="chevron">
                            <a:avLst>
                              <a:gd name="adj" fmla="val 21670"/>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9255F" w:rsidRPr="00EF1C49" w:rsidRDefault="0069255F" w:rsidP="00AD27CE">
                              <w:pPr>
                                <w:pStyle w:val="NormalWeb"/>
                                <w:spacing w:before="0" w:beforeAutospacing="0" w:after="0" w:afterAutospacing="0" w:line="276" w:lineRule="auto"/>
                                <w:jc w:val="center"/>
                                <w:rPr>
                                  <w:b/>
                                </w:rPr>
                              </w:pPr>
                              <w:r>
                                <w:rPr>
                                  <w:rFonts w:ascii="Tunga" w:eastAsia="Calibri" w:hAnsi="Tunga" w:cs="Tunga"/>
                                  <w:b/>
                                  <w:color w:val="000000"/>
                                  <w:sz w:val="16"/>
                                  <w:szCs w:val="16"/>
                                </w:rPr>
                                <w:t>Issues paper</w:t>
                              </w:r>
                            </w:p>
                          </w:txbxContent>
                        </wps:txbx>
                        <wps:bodyPr rot="0" vert="horz" wrap="square" lIns="72000" tIns="0" rIns="72000" bIns="0" anchor="ctr" anchorCtr="0" upright="1">
                          <a:noAutofit/>
                        </wps:bodyPr>
                      </wps:wsp>
                      <wps:wsp>
                        <wps:cNvPr id="37" name="Chevron 37"/>
                        <wps:cNvSpPr>
                          <a:spLocks noChangeArrowheads="1"/>
                        </wps:cNvSpPr>
                        <wps:spPr bwMode="auto">
                          <a:xfrm rot="5400000">
                            <a:off x="3396164" y="1970605"/>
                            <a:ext cx="828000" cy="612000"/>
                          </a:xfrm>
                          <a:prstGeom prst="chevron">
                            <a:avLst>
                              <a:gd name="adj" fmla="val 21670"/>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9255F" w:rsidRPr="00EF1C49" w:rsidRDefault="0069255F" w:rsidP="00AD27CE">
                              <w:pPr>
                                <w:pStyle w:val="NormalWeb"/>
                                <w:spacing w:before="0" w:beforeAutospacing="0" w:after="0" w:afterAutospacing="0" w:line="276" w:lineRule="auto"/>
                                <w:jc w:val="center"/>
                                <w:rPr>
                                  <w:b/>
                                </w:rPr>
                              </w:pPr>
                              <w:r w:rsidRPr="00EF1C49">
                                <w:rPr>
                                  <w:rFonts w:ascii="Tunga" w:eastAsia="Calibri" w:hAnsi="Tunga" w:cs="Tunga"/>
                                  <w:b/>
                                  <w:color w:val="000000"/>
                                  <w:sz w:val="16"/>
                                  <w:szCs w:val="16"/>
                                </w:rPr>
                                <w:t>Draft decision</w:t>
                              </w:r>
                            </w:p>
                          </w:txbxContent>
                        </wps:txbx>
                        <wps:bodyPr rot="0" vert="horz" wrap="square" lIns="72000" tIns="0" rIns="72000" bIns="0" anchor="ctr" anchorCtr="0" upright="1">
                          <a:noAutofit/>
                        </wps:bodyPr>
                      </wps:wsp>
                      <wps:wsp>
                        <wps:cNvPr id="38" name="Chevron 38"/>
                        <wps:cNvSpPr>
                          <a:spLocks noChangeArrowheads="1"/>
                        </wps:cNvSpPr>
                        <wps:spPr bwMode="auto">
                          <a:xfrm rot="5400000">
                            <a:off x="3393466" y="2717804"/>
                            <a:ext cx="828000" cy="612000"/>
                          </a:xfrm>
                          <a:prstGeom prst="chevron">
                            <a:avLst>
                              <a:gd name="adj" fmla="val 21670"/>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9255F" w:rsidRPr="00EF1C49" w:rsidRDefault="0069255F" w:rsidP="00AD27CE">
                              <w:pPr>
                                <w:pStyle w:val="NormalWeb"/>
                                <w:spacing w:before="0" w:beforeAutospacing="0" w:after="0" w:afterAutospacing="0" w:line="276" w:lineRule="auto"/>
                                <w:jc w:val="center"/>
                                <w:rPr>
                                  <w:b/>
                                </w:rPr>
                              </w:pPr>
                              <w:r w:rsidRPr="00EF1C49">
                                <w:rPr>
                                  <w:rFonts w:ascii="Tunga" w:eastAsia="Calibri" w:hAnsi="Tunga" w:cs="Tunga"/>
                                  <w:b/>
                                  <w:color w:val="000000"/>
                                  <w:sz w:val="16"/>
                                  <w:szCs w:val="16"/>
                                </w:rPr>
                                <w:t>Final decision</w:t>
                              </w:r>
                            </w:p>
                          </w:txbxContent>
                        </wps:txbx>
                        <wps:bodyPr rot="0" vert="horz" wrap="square" lIns="72000" tIns="0" rIns="72000" bIns="0" anchor="ctr" anchorCtr="0" upright="1">
                          <a:noAutofit/>
                        </wps:bodyPr>
                      </wps:wsp>
                      <wps:wsp>
                        <wps:cNvPr id="39" name="Rectangle 39"/>
                        <wps:cNvSpPr>
                          <a:spLocks noChangeArrowheads="1"/>
                        </wps:cNvSpPr>
                        <wps:spPr bwMode="auto">
                          <a:xfrm>
                            <a:off x="3052385" y="360428"/>
                            <a:ext cx="339325" cy="3039131"/>
                          </a:xfrm>
                          <a:prstGeom prst="rect">
                            <a:avLst/>
                          </a:prstGeom>
                          <a:solidFill>
                            <a:srgbClr val="DBE5F1"/>
                          </a:solidFill>
                          <a:ln>
                            <a:noFill/>
                          </a:ln>
                          <a:extLst/>
                        </wps:spPr>
                        <wps:txbx>
                          <w:txbxContent>
                            <w:p w:rsidR="0069255F" w:rsidRPr="009C7640" w:rsidRDefault="0069255F" w:rsidP="00AD27CE">
                              <w:pPr>
                                <w:pStyle w:val="NormalWeb"/>
                                <w:spacing w:before="0" w:beforeAutospacing="0" w:after="0" w:afterAutospacing="0" w:line="276" w:lineRule="auto"/>
                                <w:jc w:val="center"/>
                                <w:rPr>
                                  <w:color w:val="000000" w:themeColor="text1"/>
                                  <w:sz w:val="28"/>
                                </w:rPr>
                              </w:pPr>
                              <w:r w:rsidRPr="009C7640">
                                <w:rPr>
                                  <w:rFonts w:ascii="Tunga" w:eastAsia="Calibri" w:hAnsi="Tunga" w:cs="Tunga"/>
                                  <w:b/>
                                  <w:bCs/>
                                  <w:color w:val="000000" w:themeColor="text1"/>
                                  <w:sz w:val="18"/>
                                  <w:szCs w:val="16"/>
                                </w:rPr>
                                <w:t>Regulatory determination</w:t>
                              </w:r>
                            </w:p>
                          </w:txbxContent>
                        </wps:txbx>
                        <wps:bodyPr rot="0" vert="vert270" wrap="square" lIns="91440" tIns="36000" rIns="91440" bIns="36000" anchor="ctr" anchorCtr="0" upright="1">
                          <a:noAutofit/>
                        </wps:bodyPr>
                      </wps:wsp>
                      <wps:wsp>
                        <wps:cNvPr id="40" name="Pentagon 40"/>
                        <wps:cNvSpPr>
                          <a:spLocks noChangeArrowheads="1"/>
                        </wps:cNvSpPr>
                        <wps:spPr bwMode="auto">
                          <a:xfrm>
                            <a:off x="138436" y="1835638"/>
                            <a:ext cx="2861321" cy="1252800"/>
                          </a:xfrm>
                          <a:prstGeom prst="homePlate">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69255F" w:rsidRDefault="0069255F" w:rsidP="00EF1C49">
                              <w:pPr>
                                <w:pStyle w:val="NormalWeb"/>
                                <w:spacing w:before="0" w:beforeAutospacing="0" w:after="120" w:afterAutospacing="0" w:line="276" w:lineRule="auto"/>
                                <w:jc w:val="center"/>
                                <w:rPr>
                                  <w:rFonts w:ascii="Tunga" w:eastAsia="Calibri" w:hAnsi="Tunga" w:cs="Tunga"/>
                                  <w:b/>
                                  <w:bCs/>
                                  <w:color w:val="FFFFFF"/>
                                  <w:sz w:val="16"/>
                                  <w:szCs w:val="16"/>
                                </w:rPr>
                              </w:pPr>
                              <w:r>
                                <w:rPr>
                                  <w:rFonts w:ascii="Tunga" w:eastAsia="Calibri" w:hAnsi="Tunga" w:cs="Tunga"/>
                                  <w:b/>
                                  <w:bCs/>
                                  <w:color w:val="FFFFFF"/>
                                  <w:sz w:val="16"/>
                                  <w:szCs w:val="16"/>
                                </w:rPr>
                                <w:t>Annual benchmarking reports</w:t>
                              </w:r>
                            </w:p>
                            <w:p w:rsidR="0069255F" w:rsidRPr="009C7640" w:rsidRDefault="0069255F" w:rsidP="009C7640">
                              <w:pPr>
                                <w:pStyle w:val="NormalWeb"/>
                                <w:spacing w:before="0" w:beforeAutospacing="0" w:after="0" w:afterAutospacing="0" w:line="276" w:lineRule="auto"/>
                                <w:rPr>
                                  <w:rFonts w:ascii="Tunga" w:eastAsia="Calibri" w:hAnsi="Tunga" w:cs="Tunga"/>
                                  <w:bCs/>
                                  <w:color w:val="FFFFFF"/>
                                  <w:sz w:val="16"/>
                                  <w:szCs w:val="16"/>
                                </w:rPr>
                              </w:pPr>
                              <w:r>
                                <w:rPr>
                                  <w:rFonts w:ascii="Tunga" w:eastAsia="Calibri" w:hAnsi="Tunga" w:cs="Tunga"/>
                                  <w:bCs/>
                                  <w:color w:val="FFFFFF"/>
                                  <w:sz w:val="16"/>
                                  <w:szCs w:val="16"/>
                                </w:rPr>
                                <w:t xml:space="preserve">We’ll publish regular reports on </w:t>
                              </w:r>
                              <w:r w:rsidRPr="00EF1C49">
                                <w:rPr>
                                  <w:rFonts w:ascii="Tunga" w:eastAsia="Calibri" w:hAnsi="Tunga" w:cs="Tunga"/>
                                  <w:bCs/>
                                  <w:color w:val="FFFFFF"/>
                                  <w:sz w:val="16"/>
                                  <w:szCs w:val="16"/>
                                </w:rPr>
                                <w:t xml:space="preserve">the relative performance of </w:t>
                              </w:r>
                              <w:r>
                                <w:rPr>
                                  <w:rFonts w:ascii="Tunga" w:eastAsia="Calibri" w:hAnsi="Tunga" w:cs="Tunga"/>
                                  <w:bCs/>
                                  <w:color w:val="FFFFFF"/>
                                  <w:sz w:val="16"/>
                                  <w:szCs w:val="16"/>
                                </w:rPr>
                                <w:t xml:space="preserve">network businesses. </w:t>
                              </w:r>
                              <w:r w:rsidRPr="00EF1C49">
                                <w:rPr>
                                  <w:rFonts w:ascii="Tunga" w:eastAsia="Calibri" w:hAnsi="Tunga" w:cs="Tunga"/>
                                  <w:bCs/>
                                  <w:color w:val="FFFFFF"/>
                                  <w:sz w:val="16"/>
                                  <w:szCs w:val="16"/>
                                </w:rPr>
                                <w:t>We must consider the most recent benchmarking report du</w:t>
                              </w:r>
                              <w:r>
                                <w:rPr>
                                  <w:rFonts w:ascii="Tunga" w:eastAsia="Calibri" w:hAnsi="Tunga" w:cs="Tunga"/>
                                  <w:bCs/>
                                  <w:color w:val="FFFFFF"/>
                                  <w:sz w:val="16"/>
                                  <w:szCs w:val="16"/>
                                </w:rPr>
                                <w:t>ring a regulatory determination.</w:t>
                              </w:r>
                            </w:p>
                          </w:txbxContent>
                        </wps:txbx>
                        <wps:bodyPr rot="0" vert="horz" wrap="square" lIns="91440" tIns="36000" rIns="91440" bIns="36000" anchor="ctr" anchorCtr="0" upright="1">
                          <a:noAutofit/>
                        </wps:bodyPr>
                      </wps:wsp>
                      <wps:wsp>
                        <wps:cNvPr id="24" name="Rectangle 24"/>
                        <wps:cNvSpPr>
                          <a:spLocks noChangeArrowheads="1"/>
                        </wps:cNvSpPr>
                        <wps:spPr bwMode="auto">
                          <a:xfrm>
                            <a:off x="4193778" y="412711"/>
                            <a:ext cx="2232000" cy="612000"/>
                          </a:xfrm>
                          <a:prstGeom prst="rect">
                            <a:avLst/>
                          </a:prstGeom>
                          <a:solidFill>
                            <a:srgbClr val="DBE5F1"/>
                          </a:solidFill>
                          <a:ln>
                            <a:noFill/>
                          </a:ln>
                          <a:extLst/>
                        </wps:spPr>
                        <wps:txbx>
                          <w:txbxContent>
                            <w:p w:rsidR="0069255F" w:rsidRPr="00EF1C49" w:rsidRDefault="0069255F" w:rsidP="00EF1C49">
                              <w:pPr>
                                <w:pStyle w:val="NormalWeb"/>
                                <w:spacing w:before="0" w:beforeAutospacing="0" w:after="0" w:afterAutospacing="0" w:line="276" w:lineRule="auto"/>
                                <w:rPr>
                                  <w:rFonts w:ascii="Tunga" w:eastAsia="Calibri" w:hAnsi="Tunga" w:cs="Tunga"/>
                                  <w:bCs/>
                                  <w:color w:val="000000"/>
                                  <w:sz w:val="16"/>
                                  <w:szCs w:val="16"/>
                                </w:rPr>
                              </w:pPr>
                              <w:r>
                                <w:rPr>
                                  <w:rFonts w:ascii="Tunga" w:eastAsia="Calibri" w:hAnsi="Tunga" w:cs="Tunga"/>
                                  <w:bCs/>
                                  <w:color w:val="000000"/>
                                  <w:sz w:val="16"/>
                                  <w:szCs w:val="16"/>
                                </w:rPr>
                                <w:t>The business advises us of its approach to forecasting. We advise what information we require and whether we’ll differ from the guideline</w:t>
                              </w:r>
                            </w:p>
                          </w:txbxContent>
                        </wps:txbx>
                        <wps:bodyPr rot="0" vert="horz" wrap="square" lIns="91440" tIns="36000" rIns="91440" bIns="36000" anchor="ctr" anchorCtr="0" upright="1">
                          <a:noAutofit/>
                        </wps:bodyPr>
                      </wps:wsp>
                      <wps:wsp>
                        <wps:cNvPr id="26" name="Rectangle 26"/>
                        <wps:cNvSpPr>
                          <a:spLocks noChangeArrowheads="1"/>
                        </wps:cNvSpPr>
                        <wps:spPr bwMode="auto">
                          <a:xfrm>
                            <a:off x="4193770" y="1173216"/>
                            <a:ext cx="2232000" cy="612000"/>
                          </a:xfrm>
                          <a:prstGeom prst="rect">
                            <a:avLst/>
                          </a:prstGeom>
                          <a:solidFill>
                            <a:srgbClr val="DBE5F1"/>
                          </a:solidFill>
                          <a:ln>
                            <a:noFill/>
                          </a:ln>
                          <a:extLst/>
                        </wps:spPr>
                        <wps:txbx>
                          <w:txbxContent>
                            <w:p w:rsidR="0069255F" w:rsidRDefault="0069255F" w:rsidP="00CF0485">
                              <w:pPr>
                                <w:pStyle w:val="NormalWeb"/>
                                <w:spacing w:before="0" w:beforeAutospacing="0" w:after="0" w:afterAutospacing="0" w:line="276" w:lineRule="auto"/>
                              </w:pPr>
                              <w:r>
                                <w:rPr>
                                  <w:rFonts w:ascii="Tunga" w:eastAsia="Calibri" w:hAnsi="Tunga" w:cs="Tunga"/>
                                  <w:color w:val="000000"/>
                                  <w:sz w:val="16"/>
                                  <w:szCs w:val="16"/>
                                </w:rPr>
                                <w:t xml:space="preserve">We identify early on key issues likely to be relevant to our assessment. This includes our new ‘first pass’ assessment indicating our preliminary view on the business’ proposal. </w:t>
                              </w:r>
                            </w:p>
                          </w:txbxContent>
                        </wps:txbx>
                        <wps:bodyPr rot="0" vert="horz" wrap="square" lIns="91440" tIns="36000" rIns="91440" bIns="36000" anchor="ctr" anchorCtr="0" upright="1">
                          <a:noAutofit/>
                        </wps:bodyPr>
                      </wps:wsp>
                      <wps:wsp>
                        <wps:cNvPr id="27" name="Rectangle 27"/>
                        <wps:cNvSpPr>
                          <a:spLocks noChangeArrowheads="1"/>
                        </wps:cNvSpPr>
                        <wps:spPr bwMode="auto">
                          <a:xfrm>
                            <a:off x="4194465" y="1911222"/>
                            <a:ext cx="2232000" cy="612000"/>
                          </a:xfrm>
                          <a:prstGeom prst="rect">
                            <a:avLst/>
                          </a:prstGeom>
                          <a:solidFill>
                            <a:srgbClr val="DBE5F1"/>
                          </a:solidFill>
                          <a:ln>
                            <a:noFill/>
                          </a:ln>
                          <a:extLst/>
                        </wps:spPr>
                        <wps:txbx>
                          <w:txbxContent>
                            <w:p w:rsidR="0069255F" w:rsidRDefault="0069255F" w:rsidP="003F0076">
                              <w:pPr>
                                <w:pStyle w:val="NormalWeb"/>
                                <w:spacing w:before="0" w:beforeAutospacing="0" w:after="0" w:afterAutospacing="0" w:line="276" w:lineRule="auto"/>
                              </w:pPr>
                              <w:r>
                                <w:rPr>
                                  <w:rFonts w:ascii="Tunga" w:eastAsia="Calibri" w:hAnsi="Tunga" w:cs="Tunga"/>
                                  <w:color w:val="000000"/>
                                  <w:sz w:val="16"/>
                                  <w:szCs w:val="16"/>
                                </w:rPr>
                                <w:t>The draft total capex and total opex forecasts we consider are efficient, taking into account stakeholder consultation.</w:t>
                              </w:r>
                            </w:p>
                          </w:txbxContent>
                        </wps:txbx>
                        <wps:bodyPr rot="0" vert="horz" wrap="square" lIns="91440" tIns="36000" rIns="91440" bIns="36000" anchor="ctr" anchorCtr="0" upright="1">
                          <a:noAutofit/>
                        </wps:bodyPr>
                      </wps:wsp>
                      <wps:wsp>
                        <wps:cNvPr id="28" name="Rectangle 28"/>
                        <wps:cNvSpPr>
                          <a:spLocks noChangeArrowheads="1"/>
                        </wps:cNvSpPr>
                        <wps:spPr bwMode="auto">
                          <a:xfrm>
                            <a:off x="4195100" y="2670173"/>
                            <a:ext cx="2232000" cy="612000"/>
                          </a:xfrm>
                          <a:prstGeom prst="rect">
                            <a:avLst/>
                          </a:prstGeom>
                          <a:solidFill>
                            <a:srgbClr val="DBE5F1"/>
                          </a:solidFill>
                          <a:ln>
                            <a:noFill/>
                          </a:ln>
                          <a:extLst/>
                        </wps:spPr>
                        <wps:txbx>
                          <w:txbxContent>
                            <w:p w:rsidR="0069255F" w:rsidRDefault="0069255F" w:rsidP="003F0076">
                              <w:pPr>
                                <w:pStyle w:val="NormalWeb"/>
                                <w:spacing w:before="0" w:beforeAutospacing="0" w:after="0" w:afterAutospacing="0" w:line="276" w:lineRule="auto"/>
                              </w:pPr>
                              <w:r>
                                <w:rPr>
                                  <w:rFonts w:ascii="Tunga" w:eastAsia="Calibri" w:hAnsi="Tunga" w:cs="Tunga"/>
                                  <w:color w:val="000000"/>
                                  <w:sz w:val="16"/>
                                  <w:szCs w:val="16"/>
                                </w:rPr>
                                <w:t>The final total capex and total opex forecasts we consider are efficient and in the long term interests of consumers.</w:t>
                              </w:r>
                            </w:p>
                          </w:txbxContent>
                        </wps:txbx>
                        <wps:bodyPr rot="0" vert="horz" wrap="square" lIns="91440" tIns="36000" rIns="91440" bIns="3600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Canvas 7" o:spid="_x0000_s1036" editas="canvas" style="position:absolute;margin-left:11.25pt;margin-top:15.95pt;width:518.95pt;height:280.1pt;z-index:251666432;mso-position-horizontal-relative:text;mso-position-vertical-relative:text" coordsize="65906,3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5906;height:35572;visibility:visible;mso-wrap-style:square">
                  <v:fill o:detectmouseclick="t"/>
                  <v:path o:connecttype="none"/>
                </v:shape>
                <v:rect id="Rectangle 34" o:spid="_x0000_s1038" style="position:absolute;left:1384;width:61804;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5MMA&#10;AADbAAAADwAAAGRycy9kb3ducmV2LnhtbESPT4vCMBTE7wt+h/AEb2vqH0SqUcRFcCke7C7o8dE8&#10;22LzUpKsdr+9EQSPw8z8hlmuO9OIGzlfW1YwGiYgiAuray4V/P7sPucgfEDW2FgmBf/kYb3qfSwx&#10;1fbOR7rloRQRwj5FBVUIbSqlLyoy6Ie2JY7exTqDIUpXSu3wHuGmkeMkmUmDNceFClvaVlRc8z+j&#10;IHO5/N4fateed35+Kigbl1+ZUoN+t1mACNSFd/jV3msFk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e5MMAAADbAAAADwAAAAAAAAAAAAAAAACYAgAAZHJzL2Rv&#10;d25yZXYueG1sUEsFBgAAAAAEAAQA9QAAAIgDAAAAAA==&#10;" filled="f" fillcolor="#006a99" stroked="f" strokeweight="2pt">
                  <v:textbox inset=",1mm,,1mm">
                    <w:txbxContent>
                      <w:p w:rsidR="0069255F" w:rsidRPr="004D1DC0" w:rsidRDefault="0069255F" w:rsidP="007A40E0">
                        <w:pPr>
                          <w:pStyle w:val="NormalWeb"/>
                          <w:spacing w:before="0" w:beforeAutospacing="0" w:after="0" w:afterAutospacing="0" w:line="288" w:lineRule="auto"/>
                          <w:rPr>
                            <w:color w:val="000000" w:themeColor="text1"/>
                          </w:rPr>
                        </w:pPr>
                        <w:r>
                          <w:rPr>
                            <w:rFonts w:ascii="Tunga" w:hAnsi="Tunga"/>
                            <w:b/>
                            <w:bCs/>
                            <w:color w:val="000000" w:themeColor="text1"/>
                            <w:kern w:val="24"/>
                          </w:rPr>
                          <w:t>Our expenditure assessment framework</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5" o:spid="_x0000_s1039" type="#_x0000_t15" style="position:absolute;left:1384;top:4793;width:28613;height:1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YKMEA&#10;AADbAAAADwAAAGRycy9kb3ducmV2LnhtbESPQYvCMBSE7wv+h/CEva2pWxSpxlKEBQ+C1PXg8dE8&#10;02LzUppo67/fCMIeh5n5htnko23Fg3rfOFYwnyUgiCunGzYKzr8/XysQPiBrbB2Tgid5yLeTjw1m&#10;2g1c0uMUjIgQ9hkqqEPoMil9VZNFP3MdcfSurrcYouyN1D0OEW5b+Z0kS2mx4bhQY0e7mqrb6W4V&#10;hOZwWJrBpsxUXI8XU7JLS6U+p2OxBhFoDP/hd3uvFaQLeH2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x2CjBAAAA2wAAAA8AAAAAAAAAAAAAAAAAmAIAAGRycy9kb3du&#10;cmV2LnhtbFBLBQYAAAAABAAEAPUAAACGAwAAAAA=&#10;" adj="16872" fillcolor="#006a99" stroked="f" strokeweight="2pt">
                  <v:textbox inset=",1mm,,1mm">
                    <w:txbxContent>
                      <w:p w:rsidR="0069255F" w:rsidRDefault="0069255F" w:rsidP="00F15834">
                        <w:pPr>
                          <w:pStyle w:val="NormalWeb"/>
                          <w:spacing w:before="0" w:beforeAutospacing="0" w:after="120" w:afterAutospacing="0" w:line="276" w:lineRule="auto"/>
                          <w:jc w:val="center"/>
                          <w:rPr>
                            <w:rFonts w:ascii="Tunga" w:eastAsia="Calibri" w:hAnsi="Tunga" w:cs="Tunga"/>
                            <w:b/>
                            <w:bCs/>
                            <w:color w:val="FFFFFF"/>
                            <w:sz w:val="16"/>
                            <w:szCs w:val="16"/>
                          </w:rPr>
                        </w:pPr>
                        <w:r w:rsidRPr="00AD27CE">
                          <w:rPr>
                            <w:rFonts w:ascii="Tunga" w:eastAsia="Calibri" w:hAnsi="Tunga" w:cs="Tunga"/>
                            <w:b/>
                            <w:bCs/>
                            <w:color w:val="FFFFFF"/>
                            <w:sz w:val="16"/>
                            <w:szCs w:val="16"/>
                          </w:rPr>
                          <w:t>Expenditur</w:t>
                        </w:r>
                        <w:r>
                          <w:rPr>
                            <w:rFonts w:ascii="Tunga" w:eastAsia="Calibri" w:hAnsi="Tunga" w:cs="Tunga"/>
                            <w:b/>
                            <w:bCs/>
                            <w:color w:val="FFFFFF"/>
                            <w:sz w:val="16"/>
                            <w:szCs w:val="16"/>
                          </w:rPr>
                          <w:t>e forecast assessment guideline</w:t>
                        </w:r>
                      </w:p>
                      <w:p w:rsidR="0069255F" w:rsidRPr="00651F26" w:rsidRDefault="0069255F" w:rsidP="00F15834">
                        <w:pPr>
                          <w:pStyle w:val="NormalWeb"/>
                          <w:spacing w:before="0" w:beforeAutospacing="0" w:after="0" w:afterAutospacing="0" w:line="276" w:lineRule="auto"/>
                          <w:rPr>
                            <w:rFonts w:ascii="Tunga" w:eastAsia="Calibri" w:hAnsi="Tunga" w:cs="Tunga"/>
                            <w:bCs/>
                            <w:color w:val="FFFFFF"/>
                            <w:sz w:val="16"/>
                            <w:szCs w:val="16"/>
                          </w:rPr>
                        </w:pPr>
                        <w:r>
                          <w:rPr>
                            <w:rFonts w:ascii="Tunga" w:eastAsia="Calibri" w:hAnsi="Tunga" w:cs="Tunga"/>
                            <w:bCs/>
                            <w:color w:val="FFFFFF"/>
                            <w:sz w:val="16"/>
                            <w:szCs w:val="16"/>
                          </w:rPr>
                          <w:t>Outlines how we’ll approach expenditure forecasting during a regulatory determination including t</w:t>
                        </w:r>
                        <w:r w:rsidRPr="00651F26">
                          <w:rPr>
                            <w:rFonts w:ascii="Tunga" w:eastAsia="Calibri" w:hAnsi="Tunga" w:cs="Tunga"/>
                            <w:bCs/>
                            <w:color w:val="FFFFFF"/>
                            <w:sz w:val="16"/>
                            <w:szCs w:val="16"/>
                          </w:rPr>
                          <w:t>he process, techniques a</w:t>
                        </w:r>
                        <w:r>
                          <w:rPr>
                            <w:rFonts w:ascii="Tunga" w:eastAsia="Calibri" w:hAnsi="Tunga" w:cs="Tunga"/>
                            <w:bCs/>
                            <w:color w:val="FFFFFF"/>
                            <w:sz w:val="16"/>
                            <w:szCs w:val="16"/>
                          </w:rPr>
                          <w:t>nd associated data requirements. If we depart from our approach in the guideline we’ll need to explain why.</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44" o:spid="_x0000_s1040" type="#_x0000_t55" style="position:absolute;left:33965;top:4684;width:8280;height:61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2jXsQA&#10;AADbAAAADwAAAGRycy9kb3ducmV2LnhtbESP3YrCMBSE7wXfIRzBO00tIks1iiiCK8j6h+DdoTm2&#10;xeakNFlb394sLHg5zMw3zGzRmlI8qXaFZQWjYQSCOLW64EzB5bwZfIFwHlljaZkUvMjBYt7tzDDR&#10;tuEjPU8+EwHCLkEFufdVIqVLczLohrYiDt7d1gZ9kHUmdY1NgJtSxlE0kQYLDgs5VrTKKX2cfo2C&#10;9hxP1t/XahfL+89ru780h1t5UKrfa5dTEJ5a/wn/t7dawXgM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9o17EAAAA2wAAAA8AAAAAAAAAAAAAAAAAmAIAAGRycy9k&#10;b3ducmV2LnhtbFBLBQYAAAAABAAEAPUAAACJAwAAAAA=&#10;" adj="18140" fillcolor="#dbe5f1" stroked="f" strokeweight="2pt">
                  <v:textbox inset="2mm,0,2mm,0">
                    <w:txbxContent>
                      <w:p w:rsidR="0069255F" w:rsidRPr="00EF1C49" w:rsidRDefault="0069255F" w:rsidP="00B045B3">
                        <w:pPr>
                          <w:pStyle w:val="NormalWeb"/>
                          <w:spacing w:before="0" w:beforeAutospacing="0" w:after="0" w:afterAutospacing="0" w:line="276" w:lineRule="auto"/>
                          <w:jc w:val="center"/>
                          <w:rPr>
                            <w:rFonts w:ascii="Tunga" w:eastAsia="Calibri" w:hAnsi="Tunga" w:cs="Tunga"/>
                            <w:b/>
                            <w:bCs/>
                            <w:color w:val="000000"/>
                            <w:sz w:val="16"/>
                            <w:szCs w:val="16"/>
                          </w:rPr>
                        </w:pPr>
                        <w:r w:rsidRPr="00EF1C49">
                          <w:rPr>
                            <w:rFonts w:ascii="Tunga" w:eastAsia="Calibri" w:hAnsi="Tunga" w:cs="Tunga"/>
                            <w:b/>
                            <w:bCs/>
                            <w:color w:val="000000"/>
                            <w:sz w:val="16"/>
                            <w:szCs w:val="16"/>
                          </w:rPr>
                          <w:t>Framework and approach</w:t>
                        </w:r>
                      </w:p>
                    </w:txbxContent>
                  </v:textbox>
                </v:shape>
                <v:shape id="Chevron 36" o:spid="_x0000_s1041" type="#_x0000_t55" style="position:absolute;left:33965;top:12278;width:8280;height:61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rz8QA&#10;AADbAAAADwAAAGRycy9kb3ducmV2LnhtbESPQYvCMBSE7wv+h/AEb2tqhbJUo4giqCDrqgjeHs2z&#10;LTYvpYm2/nuzsLDHYWa+YabzzlTiSY0rLSsYDSMQxJnVJecKzqf15xcI55E1VpZJwYsczGe9jymm&#10;2rb8Q8+jz0WAsEtRQeF9nUrpsoIMuqGtiYN3s41BH2STS91gG+CmknEUJdJgyWGhwJqWBWX348Mo&#10;6E5xstpe6l0sb9+vzf7cHq7VQalBv1tMQHjq/H/4r73RCsYJ/H4JP0DO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l68/EAAAA2wAAAA8AAAAAAAAAAAAAAAAAmAIAAGRycy9k&#10;b3ducmV2LnhtbFBLBQYAAAAABAAEAPUAAACJAwAAAAA=&#10;" adj="18140" fillcolor="#dbe5f1" stroked="f" strokeweight="2pt">
                  <v:textbox inset="2mm,0,2mm,0">
                    <w:txbxContent>
                      <w:p w:rsidR="0069255F" w:rsidRPr="00EF1C49" w:rsidRDefault="0069255F" w:rsidP="00AD27CE">
                        <w:pPr>
                          <w:pStyle w:val="NormalWeb"/>
                          <w:spacing w:before="0" w:beforeAutospacing="0" w:after="0" w:afterAutospacing="0" w:line="276" w:lineRule="auto"/>
                          <w:jc w:val="center"/>
                          <w:rPr>
                            <w:b/>
                          </w:rPr>
                        </w:pPr>
                        <w:r>
                          <w:rPr>
                            <w:rFonts w:ascii="Tunga" w:eastAsia="Calibri" w:hAnsi="Tunga" w:cs="Tunga"/>
                            <w:b/>
                            <w:color w:val="000000"/>
                            <w:sz w:val="16"/>
                            <w:szCs w:val="16"/>
                          </w:rPr>
                          <w:t>Issues paper</w:t>
                        </w:r>
                      </w:p>
                    </w:txbxContent>
                  </v:textbox>
                </v:shape>
                <v:shape id="Chevron 37" o:spid="_x0000_s1042" type="#_x0000_t55" style="position:absolute;left:33961;top:19706;width:8280;height:61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OVMQA&#10;AADbAAAADwAAAGRycy9kb3ducmV2LnhtbESPQYvCMBSE78L+h/AWvGlqBV2qUWQXQQVZV0Xw9mie&#10;bbF5KU209d+bBcHjMDPfMNN5a0pxp9oVlhUM+hEI4tTqgjMFx8Oy9wXCeWSNpWVS8CAH89lHZ4qJ&#10;tg3/0X3vMxEg7BJUkHtfJVK6NCeDrm8r4uBdbG3QB1lnUtfYBLgpZRxFI2mw4LCQY0XfOaXX/c0o&#10;aA/x6Gd9qjaxvPw+VttjszuXO6W6n+1iAsJT69/hV3ulFQzH8P8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pTlTEAAAA2wAAAA8AAAAAAAAAAAAAAAAAmAIAAGRycy9k&#10;b3ducmV2LnhtbFBLBQYAAAAABAAEAPUAAACJAwAAAAA=&#10;" adj="18140" fillcolor="#dbe5f1" stroked="f" strokeweight="2pt">
                  <v:textbox inset="2mm,0,2mm,0">
                    <w:txbxContent>
                      <w:p w:rsidR="0069255F" w:rsidRPr="00EF1C49" w:rsidRDefault="0069255F" w:rsidP="00AD27CE">
                        <w:pPr>
                          <w:pStyle w:val="NormalWeb"/>
                          <w:spacing w:before="0" w:beforeAutospacing="0" w:after="0" w:afterAutospacing="0" w:line="276" w:lineRule="auto"/>
                          <w:jc w:val="center"/>
                          <w:rPr>
                            <w:b/>
                          </w:rPr>
                        </w:pPr>
                        <w:r w:rsidRPr="00EF1C49">
                          <w:rPr>
                            <w:rFonts w:ascii="Tunga" w:eastAsia="Calibri" w:hAnsi="Tunga" w:cs="Tunga"/>
                            <w:b/>
                            <w:color w:val="000000"/>
                            <w:sz w:val="16"/>
                            <w:szCs w:val="16"/>
                          </w:rPr>
                          <w:t>Draft decision</w:t>
                        </w:r>
                      </w:p>
                    </w:txbxContent>
                  </v:textbox>
                </v:shape>
                <v:shape id="Chevron 38" o:spid="_x0000_s1043" type="#_x0000_t55" style="position:absolute;left:33934;top:27178;width:8280;height:612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aJsEA&#10;AADbAAAADwAAAGRycy9kb3ducmV2LnhtbERPy4rCMBTdC/5DuII7Ta0gUpvKMDKggowvhNldmmtb&#10;prkpTcbWvzeLAZeH807XvanFg1pXWVYwm0YgiHOrKy4UXC9fkyUI55E11pZJwZMcrLPhIMVE245P&#10;9Dj7QoQQdgkqKL1vEildXpJBN7UNceDutjXoA2wLqVvsQripZRxFC2mw4tBQYkOfJeW/5z+joL/E&#10;i83u1uxjef9+bg/X7vhTH5Uaj/qPFQhPvX+L/91brWAexoYv4Qf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22ibBAAAA2wAAAA8AAAAAAAAAAAAAAAAAmAIAAGRycy9kb3du&#10;cmV2LnhtbFBLBQYAAAAABAAEAPUAAACGAwAAAAA=&#10;" adj="18140" fillcolor="#dbe5f1" stroked="f" strokeweight="2pt">
                  <v:textbox inset="2mm,0,2mm,0">
                    <w:txbxContent>
                      <w:p w:rsidR="0069255F" w:rsidRPr="00EF1C49" w:rsidRDefault="0069255F" w:rsidP="00AD27CE">
                        <w:pPr>
                          <w:pStyle w:val="NormalWeb"/>
                          <w:spacing w:before="0" w:beforeAutospacing="0" w:after="0" w:afterAutospacing="0" w:line="276" w:lineRule="auto"/>
                          <w:jc w:val="center"/>
                          <w:rPr>
                            <w:b/>
                          </w:rPr>
                        </w:pPr>
                        <w:r w:rsidRPr="00EF1C49">
                          <w:rPr>
                            <w:rFonts w:ascii="Tunga" w:eastAsia="Calibri" w:hAnsi="Tunga" w:cs="Tunga"/>
                            <w:b/>
                            <w:color w:val="000000"/>
                            <w:sz w:val="16"/>
                            <w:szCs w:val="16"/>
                          </w:rPr>
                          <w:t>Final decision</w:t>
                        </w:r>
                      </w:p>
                    </w:txbxContent>
                  </v:textbox>
                </v:shape>
                <v:rect id="Rectangle 39" o:spid="_x0000_s1044" style="position:absolute;left:30523;top:3604;width:3394;height:30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TxcYA&#10;AADbAAAADwAAAGRycy9kb3ducmV2LnhtbESPQWvCQBCF70L/wzJCL6IbG2g1dRWVluqxVojeptkx&#10;Cc3Oxuwa47/vCoUeH2/e9+bNFp2pREuNKy0rGI8iEMSZ1SXnCvZf78MJCOeRNVaWScGNHCzmD70Z&#10;Jtpe+ZPanc9FgLBLUEHhfZ1I6bKCDLqRrYmDd7KNQR9kk0vd4DXATSWfouhZGiw5NBRY07qg7Gd3&#10;MeGNQ37exGm8GkTby8f62L68mfRbqcd+t3wF4anz/8d/6Y1WEE/hviUA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6TxcYAAADbAAAADwAAAAAAAAAAAAAAAACYAgAAZHJz&#10;L2Rvd25yZXYueG1sUEsFBgAAAAAEAAQA9QAAAIsDAAAAAA==&#10;" fillcolor="#dbe5f1" stroked="f">
                  <v:textbox style="layout-flow:vertical;mso-layout-flow-alt:bottom-to-top" inset=",1mm,,1mm">
                    <w:txbxContent>
                      <w:p w:rsidR="0069255F" w:rsidRPr="009C7640" w:rsidRDefault="0069255F" w:rsidP="00AD27CE">
                        <w:pPr>
                          <w:pStyle w:val="NormalWeb"/>
                          <w:spacing w:before="0" w:beforeAutospacing="0" w:after="0" w:afterAutospacing="0" w:line="276" w:lineRule="auto"/>
                          <w:jc w:val="center"/>
                          <w:rPr>
                            <w:color w:val="000000" w:themeColor="text1"/>
                            <w:sz w:val="28"/>
                          </w:rPr>
                        </w:pPr>
                        <w:r w:rsidRPr="009C7640">
                          <w:rPr>
                            <w:rFonts w:ascii="Tunga" w:eastAsia="Calibri" w:hAnsi="Tunga" w:cs="Tunga"/>
                            <w:b/>
                            <w:bCs/>
                            <w:color w:val="000000" w:themeColor="text1"/>
                            <w:sz w:val="18"/>
                            <w:szCs w:val="16"/>
                          </w:rPr>
                          <w:t>Regulatory determination</w:t>
                        </w:r>
                      </w:p>
                    </w:txbxContent>
                  </v:textbox>
                </v:rect>
                <v:shape id="Pentagon 40" o:spid="_x0000_s1045" type="#_x0000_t15" style="position:absolute;left:1384;top:18356;width:28613;height:12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EZ8IA&#10;AADbAAAADwAAAGRycy9kb3ducmV2LnhtbERPXWvCMBR9F/wP4Qp7kZk6dIzOWKSbIsoYc9v7pbm2&#10;xeYmNNHW/frlQfDxcL4XWW8acaHW15YVTCcJCOLC6ppLBT/f68cXED4ga2wsk4IreciWw8ECU207&#10;/qLLIZQihrBPUUEVgkul9EVFBv3EOuLIHW1rMETYllK32MVw08inJHmWBmuODRU6yisqToezUfB2&#10;5s6N//T7xs3pc/+h81+3uyr1MOpXryAC9eEuvrm3WsEsro9f4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sRnwgAAANsAAAAPAAAAAAAAAAAAAAAAAJgCAABkcnMvZG93&#10;bnJldi54bWxQSwUGAAAAAAQABAD1AAAAhwMAAAAA&#10;" adj="16871" fillcolor="#006a99" stroked="f" strokeweight="2pt">
                  <v:textbox inset=",1mm,,1mm">
                    <w:txbxContent>
                      <w:p w:rsidR="0069255F" w:rsidRDefault="0069255F" w:rsidP="00EF1C49">
                        <w:pPr>
                          <w:pStyle w:val="NormalWeb"/>
                          <w:spacing w:before="0" w:beforeAutospacing="0" w:after="120" w:afterAutospacing="0" w:line="276" w:lineRule="auto"/>
                          <w:jc w:val="center"/>
                          <w:rPr>
                            <w:rFonts w:ascii="Tunga" w:eastAsia="Calibri" w:hAnsi="Tunga" w:cs="Tunga"/>
                            <w:b/>
                            <w:bCs/>
                            <w:color w:val="FFFFFF"/>
                            <w:sz w:val="16"/>
                            <w:szCs w:val="16"/>
                          </w:rPr>
                        </w:pPr>
                        <w:r>
                          <w:rPr>
                            <w:rFonts w:ascii="Tunga" w:eastAsia="Calibri" w:hAnsi="Tunga" w:cs="Tunga"/>
                            <w:b/>
                            <w:bCs/>
                            <w:color w:val="FFFFFF"/>
                            <w:sz w:val="16"/>
                            <w:szCs w:val="16"/>
                          </w:rPr>
                          <w:t>Annual benchmarking reports</w:t>
                        </w:r>
                      </w:p>
                      <w:p w:rsidR="0069255F" w:rsidRPr="009C7640" w:rsidRDefault="0069255F" w:rsidP="009C7640">
                        <w:pPr>
                          <w:pStyle w:val="NormalWeb"/>
                          <w:spacing w:before="0" w:beforeAutospacing="0" w:after="0" w:afterAutospacing="0" w:line="276" w:lineRule="auto"/>
                          <w:rPr>
                            <w:rFonts w:ascii="Tunga" w:eastAsia="Calibri" w:hAnsi="Tunga" w:cs="Tunga"/>
                            <w:bCs/>
                            <w:color w:val="FFFFFF"/>
                            <w:sz w:val="16"/>
                            <w:szCs w:val="16"/>
                          </w:rPr>
                        </w:pPr>
                        <w:r>
                          <w:rPr>
                            <w:rFonts w:ascii="Tunga" w:eastAsia="Calibri" w:hAnsi="Tunga" w:cs="Tunga"/>
                            <w:bCs/>
                            <w:color w:val="FFFFFF"/>
                            <w:sz w:val="16"/>
                            <w:szCs w:val="16"/>
                          </w:rPr>
                          <w:t xml:space="preserve">We’ll publish regular reports on </w:t>
                        </w:r>
                        <w:r w:rsidRPr="00EF1C49">
                          <w:rPr>
                            <w:rFonts w:ascii="Tunga" w:eastAsia="Calibri" w:hAnsi="Tunga" w:cs="Tunga"/>
                            <w:bCs/>
                            <w:color w:val="FFFFFF"/>
                            <w:sz w:val="16"/>
                            <w:szCs w:val="16"/>
                          </w:rPr>
                          <w:t xml:space="preserve">the relative performance of </w:t>
                        </w:r>
                        <w:r>
                          <w:rPr>
                            <w:rFonts w:ascii="Tunga" w:eastAsia="Calibri" w:hAnsi="Tunga" w:cs="Tunga"/>
                            <w:bCs/>
                            <w:color w:val="FFFFFF"/>
                            <w:sz w:val="16"/>
                            <w:szCs w:val="16"/>
                          </w:rPr>
                          <w:t xml:space="preserve">network businesses. </w:t>
                        </w:r>
                        <w:r w:rsidRPr="00EF1C49">
                          <w:rPr>
                            <w:rFonts w:ascii="Tunga" w:eastAsia="Calibri" w:hAnsi="Tunga" w:cs="Tunga"/>
                            <w:bCs/>
                            <w:color w:val="FFFFFF"/>
                            <w:sz w:val="16"/>
                            <w:szCs w:val="16"/>
                          </w:rPr>
                          <w:t>We must consider the most recent benchmarking report du</w:t>
                        </w:r>
                        <w:r>
                          <w:rPr>
                            <w:rFonts w:ascii="Tunga" w:eastAsia="Calibri" w:hAnsi="Tunga" w:cs="Tunga"/>
                            <w:bCs/>
                            <w:color w:val="FFFFFF"/>
                            <w:sz w:val="16"/>
                            <w:szCs w:val="16"/>
                          </w:rPr>
                          <w:t>ring a regulatory determination.</w:t>
                        </w:r>
                      </w:p>
                    </w:txbxContent>
                  </v:textbox>
                </v:shape>
                <v:rect id="Rectangle 24" o:spid="_x0000_s1046" style="position:absolute;left:41937;top:4127;width:223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TJVb8A&#10;AADbAAAADwAAAGRycy9kb3ducmV2LnhtbESPzQrCMBCE74LvEFbwpqlFRKpRRBRFD+LPA6zN2hab&#10;TWmi1rc3guBxmJlvmOm8MaV4Uu0KywoG/QgEcWp1wZmCy3ndG4NwHlljaZkUvMnBfNZuTTHR9sVH&#10;ep58JgKEXYIKcu+rREqX5mTQ9W1FHLybrQ36IOtM6hpfAW5KGUfRSBosOCzkWNEyp/R+ehgF+01z&#10;iA0el3K7uuyz3Ypu1zMp1e00iwkIT43/h3/trVYQD+H7Jfw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1MlVvwAAANsAAAAPAAAAAAAAAAAAAAAAAJgCAABkcnMvZG93bnJl&#10;di54bWxQSwUGAAAAAAQABAD1AAAAhAMAAAAA&#10;" fillcolor="#dbe5f1" stroked="f">
                  <v:textbox inset=",1mm,,1mm">
                    <w:txbxContent>
                      <w:p w:rsidR="0069255F" w:rsidRPr="00EF1C49" w:rsidRDefault="0069255F" w:rsidP="00EF1C49">
                        <w:pPr>
                          <w:pStyle w:val="NormalWeb"/>
                          <w:spacing w:before="0" w:beforeAutospacing="0" w:after="0" w:afterAutospacing="0" w:line="276" w:lineRule="auto"/>
                          <w:rPr>
                            <w:rFonts w:ascii="Tunga" w:eastAsia="Calibri" w:hAnsi="Tunga" w:cs="Tunga"/>
                            <w:bCs/>
                            <w:color w:val="000000"/>
                            <w:sz w:val="16"/>
                            <w:szCs w:val="16"/>
                          </w:rPr>
                        </w:pPr>
                        <w:r>
                          <w:rPr>
                            <w:rFonts w:ascii="Tunga" w:eastAsia="Calibri" w:hAnsi="Tunga" w:cs="Tunga"/>
                            <w:bCs/>
                            <w:color w:val="000000"/>
                            <w:sz w:val="16"/>
                            <w:szCs w:val="16"/>
                          </w:rPr>
                          <w:t>The business advises us of its approach to forecasting. We advise what information we require and whether we’ll differ from the guideline</w:t>
                        </w:r>
                      </w:p>
                    </w:txbxContent>
                  </v:textbox>
                </v:rect>
                <v:rect id="Rectangle 26" o:spid="_x0000_s1047" style="position:absolute;left:41937;top:11732;width:223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ryub8A&#10;AADbAAAADwAAAGRycy9kb3ducmV2LnhtbESPwQrCMBBE74L/EFbwpqk9iFSjiCiKHkTrB6zN2hab&#10;TWmi1r83guBxmJk3zGzRmko8qXGlZQWjYQSCOLO65FzBJd0MJiCcR9ZYWSYFb3KwmHc7M0y0ffGJ&#10;nmefiwBhl6CCwvs6kdJlBRl0Q1sTB+9mG4M+yCaXusFXgJtKxlE0lgZLDgsF1rQqKLufH0bBYdse&#10;Y4OnldytL4d8v6bbNSWl+r12OQXhqfX/8K+90wriMXy/h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SvK5vwAAANsAAAAPAAAAAAAAAAAAAAAAAJgCAABkcnMvZG93bnJl&#10;di54bWxQSwUGAAAAAAQABAD1AAAAhAMAAAAA&#10;" fillcolor="#dbe5f1" stroked="f">
                  <v:textbox inset=",1mm,,1mm">
                    <w:txbxContent>
                      <w:p w:rsidR="0069255F" w:rsidRDefault="0069255F" w:rsidP="00CF0485">
                        <w:pPr>
                          <w:pStyle w:val="NormalWeb"/>
                          <w:spacing w:before="0" w:beforeAutospacing="0" w:after="0" w:afterAutospacing="0" w:line="276" w:lineRule="auto"/>
                        </w:pPr>
                        <w:r>
                          <w:rPr>
                            <w:rFonts w:ascii="Tunga" w:eastAsia="Calibri" w:hAnsi="Tunga" w:cs="Tunga"/>
                            <w:color w:val="000000"/>
                            <w:sz w:val="16"/>
                            <w:szCs w:val="16"/>
                          </w:rPr>
                          <w:t xml:space="preserve">We identify early on key issues likely to be relevant to our assessment. This includes our new ‘first pass’ assessment indicating our preliminary view on the business’ proposal. </w:t>
                        </w:r>
                      </w:p>
                    </w:txbxContent>
                  </v:textbox>
                </v:rect>
                <v:rect id="Rectangle 27" o:spid="_x0000_s1048" style="position:absolute;left:41944;top:19112;width:223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XIr8A&#10;AADbAAAADwAAAGRycy9kb3ducmV2LnhtbESPzQrCMBCE74LvEFbwpqk9qFSjiCiKHsSfB1ibtS02&#10;m9JErW9vBMHjMDPfMNN5Y0rxpNoVlhUM+hEI4tTqgjMFl/O6NwbhPLLG0jIpeJOD+azdmmKi7YuP&#10;9Dz5TAQIuwQV5N5XiZQuzcmg69uKOHg3Wxv0QdaZ1DW+AtyUMo6ioTRYcFjIsaJlTun99DAK9pvm&#10;EBs8LuV2ddlnuxXdrmdSqttpFhMQnhr/D//aW60gHsH3S/gBcv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BlcivwAAANsAAAAPAAAAAAAAAAAAAAAAAJgCAABkcnMvZG93bnJl&#10;di54bWxQSwUGAAAAAAQABAD1AAAAhAMAAAAA&#10;" fillcolor="#dbe5f1" stroked="f">
                  <v:textbox inset=",1mm,,1mm">
                    <w:txbxContent>
                      <w:p w:rsidR="0069255F" w:rsidRDefault="0069255F" w:rsidP="003F0076">
                        <w:pPr>
                          <w:pStyle w:val="NormalWeb"/>
                          <w:spacing w:before="0" w:beforeAutospacing="0" w:after="0" w:afterAutospacing="0" w:line="276" w:lineRule="auto"/>
                        </w:pPr>
                        <w:r>
                          <w:rPr>
                            <w:rFonts w:ascii="Tunga" w:eastAsia="Calibri" w:hAnsi="Tunga" w:cs="Tunga"/>
                            <w:color w:val="000000"/>
                            <w:sz w:val="16"/>
                            <w:szCs w:val="16"/>
                          </w:rPr>
                          <w:t>The draft total capex and total opex forecasts we consider are efficient, taking into account stakeholder consultation.</w:t>
                        </w:r>
                      </w:p>
                    </w:txbxContent>
                  </v:textbox>
                </v:rect>
                <v:rect id="Rectangle 28" o:spid="_x0000_s1049" style="position:absolute;left:41951;top:26701;width:22320;height:6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DULwA&#10;AADbAAAADwAAAGRycy9kb3ducmV2LnhtbERPSwrCMBDdC94hjOBOU7sQqaYioii6ED8HGJvpB5tJ&#10;aaLW25uF4PLx/otlZ2rxotZVlhVMxhEI4szqigsFt+t2NAPhPLLG2jIp+JCDZdrvLTDR9s1nel18&#10;IUIIuwQVlN43iZQuK8mgG9uGOHC5bQ36ANtC6hbfIdzUMo6iqTRYcWgosaF1Sdnj8jQKjrvuFBs8&#10;r+V+czsWhw3l9yspNRx0qzkIT53/i3/uvVYQh7HhS/gBMv0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mcNQvAAAANsAAAAPAAAAAAAAAAAAAAAAAJgCAABkcnMvZG93bnJldi54&#10;bWxQSwUGAAAAAAQABAD1AAAAgQMAAAAA&#10;" fillcolor="#dbe5f1" stroked="f">
                  <v:textbox inset=",1mm,,1mm">
                    <w:txbxContent>
                      <w:p w:rsidR="0069255F" w:rsidRDefault="0069255F" w:rsidP="003F0076">
                        <w:pPr>
                          <w:pStyle w:val="NormalWeb"/>
                          <w:spacing w:before="0" w:beforeAutospacing="0" w:after="0" w:afterAutospacing="0" w:line="276" w:lineRule="auto"/>
                        </w:pPr>
                        <w:r>
                          <w:rPr>
                            <w:rFonts w:ascii="Tunga" w:eastAsia="Calibri" w:hAnsi="Tunga" w:cs="Tunga"/>
                            <w:color w:val="000000"/>
                            <w:sz w:val="16"/>
                            <w:szCs w:val="16"/>
                          </w:rPr>
                          <w:t>The final total capex and total opex forecasts we consider are efficient and in the long term interests of consumers.</w:t>
                        </w:r>
                      </w:p>
                    </w:txbxContent>
                  </v:textbox>
                </v:rect>
              </v:group>
            </w:pict>
          </mc:Fallback>
        </mc:AlternateContent>
      </w: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3644A8">
      <w:pPr>
        <w:pStyle w:val="AERfactsheetbodytext"/>
      </w:pPr>
    </w:p>
    <w:p w:rsidR="007434B0" w:rsidRDefault="007434B0" w:rsidP="007434B0">
      <w:pPr>
        <w:pStyle w:val="AERfactsheetbodytext"/>
      </w:pPr>
      <w:r>
        <w:t xml:space="preserve">We </w:t>
      </w:r>
      <w:r w:rsidRPr="00F120E8">
        <w:t xml:space="preserve">will </w:t>
      </w:r>
      <w:r>
        <w:t xml:space="preserve">complement our </w:t>
      </w:r>
      <w:r w:rsidRPr="00F120E8">
        <w:t xml:space="preserve">existing </w:t>
      </w:r>
      <w:r>
        <w:t>assessment techniques</w:t>
      </w:r>
      <w:r w:rsidRPr="00F120E8">
        <w:t xml:space="preserve"> </w:t>
      </w:r>
      <w:r>
        <w:t>with two new benchmarking techniques—economic benchmarking and category analysis—to assist us to form a view about efficient expenditure levels.</w:t>
      </w:r>
    </w:p>
    <w:p w:rsidR="00241B78" w:rsidRDefault="00F120E8" w:rsidP="003644A8">
      <w:pPr>
        <w:pStyle w:val="AERfactsheetbodytext"/>
      </w:pPr>
      <w:r w:rsidRPr="00F120E8">
        <w:t xml:space="preserve">Economic benchmarking techniques </w:t>
      </w:r>
      <w:r w:rsidR="00890DA8">
        <w:t xml:space="preserve">will </w:t>
      </w:r>
      <w:r w:rsidR="00CB1183">
        <w:t>enable</w:t>
      </w:r>
      <w:r w:rsidRPr="00F120E8">
        <w:t xml:space="preserve"> us to </w:t>
      </w:r>
      <w:r w:rsidR="008A1C87">
        <w:t xml:space="preserve">measure </w:t>
      </w:r>
      <w:r w:rsidR="008B4919">
        <w:t>a business</w:t>
      </w:r>
      <w:r w:rsidR="008A1C87">
        <w:t>’</w:t>
      </w:r>
      <w:r>
        <w:t xml:space="preserve"> efficiency</w:t>
      </w:r>
      <w:r w:rsidR="00CB1183">
        <w:t xml:space="preserve"> overall, while category analysis </w:t>
      </w:r>
      <w:r w:rsidR="00890DA8">
        <w:t xml:space="preserve">will </w:t>
      </w:r>
      <w:r w:rsidR="00CB1183">
        <w:t xml:space="preserve">enable </w:t>
      </w:r>
      <w:r w:rsidR="002D7AEC">
        <w:t xml:space="preserve">us </w:t>
      </w:r>
      <w:r w:rsidR="00CB1183">
        <w:t xml:space="preserve">to analyse expenditure </w:t>
      </w:r>
      <w:r w:rsidR="003644A8" w:rsidRPr="00BA57F2">
        <w:t xml:space="preserve">drivers and the costs of conducing </w:t>
      </w:r>
      <w:r w:rsidR="003644A8">
        <w:t xml:space="preserve">similar </w:t>
      </w:r>
      <w:r w:rsidR="003644A8" w:rsidRPr="00BA57F2">
        <w:t xml:space="preserve">activities </w:t>
      </w:r>
      <w:r w:rsidR="00CB1183">
        <w:t>across</w:t>
      </w:r>
      <w:r w:rsidR="003644A8">
        <w:t xml:space="preserve"> business</w:t>
      </w:r>
      <w:r w:rsidR="00CB1183">
        <w:t>es</w:t>
      </w:r>
      <w:r w:rsidR="003644A8" w:rsidRPr="00BA57F2">
        <w:t>.</w:t>
      </w:r>
    </w:p>
    <w:p w:rsidR="00A20E64" w:rsidRPr="00241B78" w:rsidRDefault="00A20E64" w:rsidP="00241B78">
      <w:pPr>
        <w:pStyle w:val="AERfactsheetbodytext"/>
      </w:pPr>
      <w:r w:rsidRPr="00241B78">
        <w:t xml:space="preserve">We have also developed a new </w:t>
      </w:r>
      <w:r w:rsidR="0069255F" w:rsidRPr="00241B78">
        <w:t xml:space="preserve">tool to better forecast the expenditure needed to </w:t>
      </w:r>
      <w:r w:rsidR="00B66BD0" w:rsidRPr="00241B78">
        <w:t>bu</w:t>
      </w:r>
      <w:r w:rsidR="007434B0">
        <w:t xml:space="preserve">ild, upgrade or replace network </w:t>
      </w:r>
      <w:r w:rsidR="00B66BD0" w:rsidRPr="00241B78">
        <w:t xml:space="preserve">assets to address changes in demand </w:t>
      </w:r>
      <w:r w:rsidR="0069255F" w:rsidRPr="00241B78">
        <w:t>(</w:t>
      </w:r>
      <w:r w:rsidRPr="00241B78">
        <w:t>augmentation capex</w:t>
      </w:r>
      <w:r w:rsidR="0069255F" w:rsidRPr="00241B78">
        <w:t xml:space="preserve">, or </w:t>
      </w:r>
      <w:proofErr w:type="spellStart"/>
      <w:r w:rsidRPr="00241B78">
        <w:t>augex</w:t>
      </w:r>
      <w:proofErr w:type="spellEnd"/>
      <w:r w:rsidRPr="00241B78">
        <w:t>)</w:t>
      </w:r>
      <w:r w:rsidR="0069255F" w:rsidRPr="00241B78">
        <w:t>.</w:t>
      </w:r>
      <w:r w:rsidRPr="00241B78">
        <w:t xml:space="preserve"> </w:t>
      </w:r>
      <w:r w:rsidR="0069255F" w:rsidRPr="00241B78">
        <w:t xml:space="preserve">This </w:t>
      </w:r>
      <w:r w:rsidRPr="00241B78">
        <w:t>complement</w:t>
      </w:r>
      <w:r w:rsidR="0069255F" w:rsidRPr="00241B78">
        <w:t>s</w:t>
      </w:r>
      <w:r w:rsidRPr="00241B78">
        <w:t xml:space="preserve"> our existing </w:t>
      </w:r>
      <w:r w:rsidR="0069255F" w:rsidRPr="00241B78">
        <w:t>tool that examines the expenditure needed to replace aging assets (</w:t>
      </w:r>
      <w:r w:rsidRPr="00241B78">
        <w:t>replacement capex</w:t>
      </w:r>
      <w:r w:rsidR="0069255F" w:rsidRPr="00241B78">
        <w:t xml:space="preserve">, or </w:t>
      </w:r>
      <w:proofErr w:type="spellStart"/>
      <w:r w:rsidRPr="00241B78">
        <w:t>repex</w:t>
      </w:r>
      <w:proofErr w:type="spellEnd"/>
      <w:r w:rsidRPr="00241B78">
        <w:t>).</w:t>
      </w:r>
    </w:p>
    <w:p w:rsidR="00A20E64" w:rsidRPr="00241B78" w:rsidRDefault="00A20E64" w:rsidP="00241B78">
      <w:pPr>
        <w:pStyle w:val="AERfactsheetbodytext"/>
      </w:pPr>
      <w:r w:rsidRPr="00241B78">
        <w:t>We will integrate our new and refined techniques into our assessment approach, but they will not displace our existing techniques. Rather, we will use them in combination with existing techniques to form a view about forecast expenditure. However, we anticipate placing increasing reliance on benchmarking techniques as more data becomes available.</w:t>
      </w:r>
    </w:p>
    <w:p w:rsidR="00DC56E5" w:rsidRDefault="00DC56E5" w:rsidP="00DC56E5">
      <w:pPr>
        <w:pStyle w:val="AERFactsheetHeading1"/>
      </w:pPr>
      <w:r>
        <w:t>What’s the role of benchmarking?</w:t>
      </w:r>
    </w:p>
    <w:p w:rsidR="00DC56E5" w:rsidRDefault="00CB1183" w:rsidP="00DC56E5">
      <w:pPr>
        <w:pStyle w:val="AERfactsheetbodytext"/>
      </w:pPr>
      <w:r>
        <w:t xml:space="preserve">In addition to applying our new benchmarking techniques to assist us </w:t>
      </w:r>
      <w:r w:rsidR="00241B78">
        <w:t xml:space="preserve">to </w:t>
      </w:r>
      <w:r>
        <w:t>form a view about efficient expenditure levels, w</w:t>
      </w:r>
      <w:r w:rsidR="003644A8">
        <w:t xml:space="preserve">e will </w:t>
      </w:r>
      <w:r w:rsidR="00E123B8">
        <w:t xml:space="preserve">also </w:t>
      </w:r>
      <w:r w:rsidR="003644A8">
        <w:t xml:space="preserve">publish </w:t>
      </w:r>
      <w:r w:rsidR="00DC56E5">
        <w:t xml:space="preserve">annual benchmarking reports </w:t>
      </w:r>
      <w:r w:rsidR="00E123B8">
        <w:t>from</w:t>
      </w:r>
      <w:r w:rsidR="003644A8">
        <w:t xml:space="preserve"> September 2014. These will </w:t>
      </w:r>
      <w:r w:rsidR="00DC56E5">
        <w:t xml:space="preserve">provide regular information on the </w:t>
      </w:r>
      <w:r w:rsidR="00DC56E5" w:rsidRPr="00661863">
        <w:t xml:space="preserve">relative efficiency of </w:t>
      </w:r>
      <w:r w:rsidR="00DC56E5">
        <w:t>network businesses. P</w:t>
      </w:r>
      <w:r w:rsidR="00DC56E5" w:rsidRPr="00661863">
        <w:t xml:space="preserve">ublic scrutiny of </w:t>
      </w:r>
      <w:r w:rsidR="00DC56E5">
        <w:t xml:space="preserve">network businesses’ </w:t>
      </w:r>
      <w:r w:rsidR="00DC56E5" w:rsidRPr="00661863">
        <w:t xml:space="preserve">performance </w:t>
      </w:r>
      <w:r w:rsidR="00DC56E5">
        <w:t xml:space="preserve">in our benchmarking reports </w:t>
      </w:r>
      <w:r w:rsidR="003F2D7B">
        <w:t>will encourage</w:t>
      </w:r>
      <w:r w:rsidR="00DC56E5">
        <w:t xml:space="preserve"> businesses</w:t>
      </w:r>
      <w:r w:rsidR="00DC56E5" w:rsidRPr="00661863">
        <w:t xml:space="preserve"> to </w:t>
      </w:r>
      <w:r w:rsidR="00DC56E5">
        <w:t>improve</w:t>
      </w:r>
      <w:r w:rsidR="00DC56E5" w:rsidRPr="00661863">
        <w:t xml:space="preserve">, </w:t>
      </w:r>
      <w:r w:rsidR="003F2D7B">
        <w:t>and identif</w:t>
      </w:r>
      <w:r w:rsidR="001C109A">
        <w:t>y</w:t>
      </w:r>
      <w:r w:rsidR="00DC56E5" w:rsidRPr="00661863">
        <w:t xml:space="preserve"> areas </w:t>
      </w:r>
      <w:r w:rsidR="00DC56E5">
        <w:t xml:space="preserve">we’re </w:t>
      </w:r>
      <w:r w:rsidR="00DC56E5" w:rsidRPr="00661863">
        <w:t>likely to target at the time of price review</w:t>
      </w:r>
      <w:r w:rsidR="00DC56E5">
        <w:t>s</w:t>
      </w:r>
      <w:r w:rsidR="00DC56E5" w:rsidRPr="00661863">
        <w:t>.</w:t>
      </w:r>
    </w:p>
    <w:p w:rsidR="00DC56E5" w:rsidRDefault="00046784" w:rsidP="00DC56E5">
      <w:pPr>
        <w:pStyle w:val="AERfactsheetbodytext"/>
      </w:pPr>
      <w:r w:rsidRPr="00697FF1">
        <w:rPr>
          <w:noProof/>
          <w:lang w:eastAsia="en-AU"/>
        </w:rPr>
        <w:drawing>
          <wp:anchor distT="0" distB="0" distL="114300" distR="114300" simplePos="0" relativeHeight="251668480" behindDoc="0" locked="0" layoutInCell="1" allowOverlap="1" wp14:anchorId="4709DBD5" wp14:editId="6043441B">
            <wp:simplePos x="0" y="0"/>
            <wp:positionH relativeFrom="column">
              <wp:posOffset>-511810</wp:posOffset>
            </wp:positionH>
            <wp:positionV relativeFrom="page">
              <wp:posOffset>10207625</wp:posOffset>
            </wp:positionV>
            <wp:extent cx="8827135" cy="492760"/>
            <wp:effectExtent l="0" t="0" r="0" b="2540"/>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C56E5">
        <w:rPr>
          <w:noProof/>
          <w:lang w:eastAsia="en-AU"/>
        </w:rPr>
        <mc:AlternateContent>
          <mc:Choice Requires="wps">
            <w:drawing>
              <wp:inline distT="0" distB="0" distL="0" distR="0" wp14:anchorId="0F98B5D3" wp14:editId="70841659">
                <wp:extent cx="3214468" cy="705744"/>
                <wp:effectExtent l="0" t="0" r="24130" b="1841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468" cy="705744"/>
                        </a:xfrm>
                        <a:prstGeom prst="rect">
                          <a:avLst/>
                        </a:prstGeom>
                        <a:solidFill>
                          <a:srgbClr val="DBE5F1"/>
                        </a:solidFill>
                        <a:ln w="9525">
                          <a:solidFill>
                            <a:srgbClr val="006A99"/>
                          </a:solidFill>
                          <a:miter lim="800000"/>
                          <a:headEnd/>
                          <a:tailEnd/>
                        </a:ln>
                      </wps:spPr>
                      <wps:txbx>
                        <w:txbxContent>
                          <w:p w:rsidR="0069255F" w:rsidRPr="00697FF1" w:rsidRDefault="0069255F" w:rsidP="00DC56E5">
                            <w:pPr>
                              <w:pStyle w:val="AERfactsheetbodytext"/>
                            </w:pPr>
                            <w:r>
                              <w:t>Benchmarking let</w:t>
                            </w:r>
                            <w:r w:rsidR="004A2AFB">
                              <w:t>s</w:t>
                            </w:r>
                            <w:r>
                              <w:t xml:space="preserve"> us compare electricity network businesses against each other and determine how efficient they are by comparison. Inefficient networks will face cuts to their proposed expenditure.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50" type="#_x0000_t202" style="width:253.1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" fillcolor="#dbe5f1" strokecolor="#006a99">
                <v:textbox>
                  <w:txbxContent>
                    <w:p w:rsidR="0069255F" w:rsidRPr="00697FF1" w:rsidRDefault="0069255F" w:rsidP="00DC56E5">
                      <w:pPr>
                        <w:pStyle w:val="AERfactsheetbodytext"/>
                      </w:pPr>
                      <w:r>
                        <w:t>Benchmarking let</w:t>
                      </w:r>
                      <w:r w:rsidR="004A2AFB">
                        <w:t>s</w:t>
                      </w:r>
                      <w:r>
                        <w:t xml:space="preserve"> us compare electricity network businesses against each other and determine how efficient they are by comparison. Inefficient networks will face cuts to their proposed expenditure.</w:t>
                      </w:r>
                    </w:p>
                  </w:txbxContent>
                </v:textbox>
                <w10:anchorlock/>
              </v:shape>
            </w:pict>
          </mc:Fallback>
        </mc:AlternateContent>
      </w: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7434B0" w:rsidRDefault="007434B0" w:rsidP="00241B78">
      <w:pPr>
        <w:pStyle w:val="AERFactsheetHeading1"/>
      </w:pPr>
    </w:p>
    <w:p w:rsidR="00EA680F" w:rsidRDefault="00EA680F" w:rsidP="00241B78">
      <w:pPr>
        <w:pStyle w:val="AERFactsheetHeading1"/>
      </w:pPr>
    </w:p>
    <w:p w:rsidR="00241B78" w:rsidRDefault="00241B78" w:rsidP="00241B78">
      <w:pPr>
        <w:pStyle w:val="AERFactsheetHeading1"/>
      </w:pPr>
      <w:r>
        <w:t>How does forecasting work with incentives?</w:t>
      </w:r>
    </w:p>
    <w:p w:rsidR="00241B78" w:rsidRDefault="00241B78" w:rsidP="00241B78">
      <w:pPr>
        <w:pStyle w:val="AERfactsheetbodytext"/>
      </w:pPr>
      <w:r>
        <w:t xml:space="preserve">We have </w:t>
      </w:r>
      <w:r w:rsidRPr="00DD41EA">
        <w:t xml:space="preserve">a </w:t>
      </w:r>
      <w:r>
        <w:t>strong preference for incentive-based regulation,</w:t>
      </w:r>
      <w:r w:rsidRPr="00DD41EA">
        <w:t xml:space="preserve"> </w:t>
      </w:r>
      <w:r>
        <w:t xml:space="preserve">which rewards </w:t>
      </w:r>
      <w:r w:rsidRPr="00DD41EA">
        <w:t xml:space="preserve">businesses </w:t>
      </w:r>
      <w:r>
        <w:t xml:space="preserve">for efficient </w:t>
      </w:r>
      <w:r w:rsidRPr="00DD41EA">
        <w:t>perform</w:t>
      </w:r>
      <w:r>
        <w:t>ance.</w:t>
      </w:r>
      <w:r w:rsidRPr="00DD41EA">
        <w:t xml:space="preserve"> </w:t>
      </w:r>
      <w:r>
        <w:t xml:space="preserve">Where incentives are effective we prefer to use </w:t>
      </w:r>
      <w:r w:rsidRPr="00FB5FDD">
        <w:t>a business’ past</w:t>
      </w:r>
      <w:r>
        <w:t xml:space="preserve"> </w:t>
      </w:r>
      <w:r w:rsidRPr="00FB5FDD">
        <w:t xml:space="preserve">spending </w:t>
      </w:r>
      <w:r>
        <w:t xml:space="preserve">as an efficient starting point </w:t>
      </w:r>
      <w:r w:rsidRPr="00FB5FDD">
        <w:t>to set its future</w:t>
      </w:r>
      <w:r w:rsidR="007434B0">
        <w:t xml:space="preserve"> </w:t>
      </w:r>
      <w:r w:rsidRPr="00FB5FDD">
        <w:t>expenditure allowance.</w:t>
      </w:r>
      <w:r>
        <w:t xml:space="preserve"> Where we’re not satisfied incentives are effective </w:t>
      </w:r>
      <w:r w:rsidRPr="00DD41EA">
        <w:t xml:space="preserve">we </w:t>
      </w:r>
      <w:r>
        <w:t xml:space="preserve">will now be able to </w:t>
      </w:r>
      <w:r w:rsidRPr="00DD41EA">
        <w:t xml:space="preserve">draw on our own benchmarking and other </w:t>
      </w:r>
      <w:r>
        <w:t xml:space="preserve">assessment techniques </w:t>
      </w:r>
      <w:r w:rsidRPr="00DD41EA">
        <w:t>to form a view on efficient costs</w:t>
      </w:r>
      <w:r>
        <w:t xml:space="preserve">. </w:t>
      </w:r>
    </w:p>
    <w:p w:rsidR="00F053E6" w:rsidRDefault="00F053E6" w:rsidP="00F053E6">
      <w:pPr>
        <w:pStyle w:val="AERfactsheetbodytext"/>
      </w:pPr>
      <w:r>
        <w:t xml:space="preserve">Our </w:t>
      </w:r>
      <w:r w:rsidR="00327423">
        <w:t xml:space="preserve">assessment </w:t>
      </w:r>
      <w:r>
        <w:t>guideline operates as a package with our expenditure incentives—the capital expenditure incentives guideline and efficiency benefit sharing scheme.</w:t>
      </w:r>
    </w:p>
    <w:p w:rsidR="00B0183D" w:rsidRPr="00697FF1" w:rsidRDefault="00B0183D" w:rsidP="006A5769">
      <w:pPr>
        <w:pStyle w:val="AERFactsheetHeading1"/>
      </w:pPr>
      <w:r w:rsidRPr="00697FF1">
        <w:t>How can I provide a submission or comments?</w:t>
      </w:r>
    </w:p>
    <w:p w:rsidR="00D555B0" w:rsidRDefault="00E1275F" w:rsidP="00697FF1">
      <w:pPr>
        <w:pStyle w:val="AERfactsheetbodytext"/>
      </w:pPr>
      <w:r w:rsidRPr="00A85128">
        <w:rPr>
          <w:rStyle w:val="AERtextitalic"/>
          <w:i w:val="0"/>
        </w:rPr>
        <w:t xml:space="preserve">We invite interested parties to make submissions or comments on our </w:t>
      </w:r>
      <w:r w:rsidR="00B0183D" w:rsidRPr="00697FF1">
        <w:t xml:space="preserve">draft </w:t>
      </w:r>
      <w:r w:rsidR="00CD4428">
        <w:t xml:space="preserve">assessment </w:t>
      </w:r>
      <w:r w:rsidR="003069A8">
        <w:t>guideline</w:t>
      </w:r>
      <w:r w:rsidR="00B0183D" w:rsidRPr="00697FF1">
        <w:t xml:space="preserve">. If you would like to have your say </w:t>
      </w:r>
      <w:r w:rsidR="00D555B0">
        <w:t xml:space="preserve">on the guideline </w:t>
      </w:r>
      <w:r w:rsidR="00B0183D" w:rsidRPr="00697FF1">
        <w:t xml:space="preserve">prior to us publishing </w:t>
      </w:r>
      <w:r w:rsidR="003069A8">
        <w:t xml:space="preserve">the final </w:t>
      </w:r>
      <w:r w:rsidR="00D555B0">
        <w:t>version</w:t>
      </w:r>
      <w:r w:rsidR="00B0183D" w:rsidRPr="00697FF1">
        <w:t xml:space="preserve">, you have until close of business </w:t>
      </w:r>
      <w:r w:rsidR="00995142" w:rsidRPr="00CF5286">
        <w:rPr>
          <w:b/>
        </w:rPr>
        <w:t>20</w:t>
      </w:r>
      <w:r w:rsidR="004310E5" w:rsidRPr="00CF5286">
        <w:rPr>
          <w:b/>
        </w:rPr>
        <w:t xml:space="preserve"> September</w:t>
      </w:r>
      <w:r w:rsidR="00B0183D" w:rsidRPr="00CF5286">
        <w:rPr>
          <w:b/>
        </w:rPr>
        <w:t xml:space="preserve"> 2013</w:t>
      </w:r>
      <w:r w:rsidR="00B0183D" w:rsidRPr="00995142">
        <w:t xml:space="preserve"> </w:t>
      </w:r>
      <w:r w:rsidR="00B0183D" w:rsidRPr="00697FF1">
        <w:t xml:space="preserve">to get your submission or comments to us. </w:t>
      </w:r>
    </w:p>
    <w:p w:rsidR="00D555B0" w:rsidRPr="00D555B0" w:rsidRDefault="00D555B0" w:rsidP="00697FF1">
      <w:pPr>
        <w:pStyle w:val="AERfactsheetbodytext"/>
        <w:rPr>
          <w:b/>
        </w:rPr>
      </w:pPr>
      <w:r>
        <w:t xml:space="preserve">We are </w:t>
      </w:r>
      <w:r w:rsidR="0085596A">
        <w:t xml:space="preserve">currently </w:t>
      </w:r>
      <w:r>
        <w:t xml:space="preserve">consulting </w:t>
      </w:r>
      <w:r w:rsidR="0085596A">
        <w:t xml:space="preserve">with stakeholders </w:t>
      </w:r>
      <w:r>
        <w:t xml:space="preserve">on </w:t>
      </w:r>
      <w:r w:rsidRPr="00D555B0">
        <w:t xml:space="preserve">economic benchmarking data </w:t>
      </w:r>
      <w:r w:rsidR="0085596A">
        <w:t xml:space="preserve">requirements </w:t>
      </w:r>
      <w:r>
        <w:t xml:space="preserve">under a different timeframe to the guideline. </w:t>
      </w:r>
      <w:r w:rsidR="0085596A">
        <w:t xml:space="preserve">We are requesting submissions </w:t>
      </w:r>
      <w:r>
        <w:t xml:space="preserve">on </w:t>
      </w:r>
      <w:r w:rsidR="0085596A">
        <w:t xml:space="preserve">this </w:t>
      </w:r>
      <w:r>
        <w:t xml:space="preserve">by </w:t>
      </w:r>
      <w:r w:rsidRPr="00D555B0">
        <w:rPr>
          <w:b/>
        </w:rPr>
        <w:t>16 August 2013</w:t>
      </w:r>
      <w:r w:rsidRPr="00D555B0">
        <w:t xml:space="preserve">, </w:t>
      </w:r>
      <w:r>
        <w:t xml:space="preserve">with </w:t>
      </w:r>
      <w:r w:rsidR="0085596A" w:rsidRPr="0085596A">
        <w:t>a view to proceeding to draft regulatory i</w:t>
      </w:r>
      <w:r w:rsidR="0085596A">
        <w:t>nformation notices in September.</w:t>
      </w:r>
    </w:p>
    <w:p w:rsidR="00B0183D" w:rsidRPr="00697FF1" w:rsidRDefault="00D555B0" w:rsidP="00697FF1">
      <w:pPr>
        <w:pStyle w:val="AERfactsheetbodytext"/>
      </w:pPr>
      <w:r>
        <w:t xml:space="preserve">For </w:t>
      </w:r>
      <w:r w:rsidR="00B0183D" w:rsidRPr="00697FF1">
        <w:t>details on how to provide submission</w:t>
      </w:r>
      <w:r w:rsidR="00241B78">
        <w:t xml:space="preserve">s </w:t>
      </w:r>
      <w:r>
        <w:t xml:space="preserve">please visit </w:t>
      </w:r>
      <w:r w:rsidR="00B0183D" w:rsidRPr="00697FF1">
        <w:t xml:space="preserve">our </w:t>
      </w:r>
      <w:r w:rsidR="006253A3">
        <w:t>expenditure</w:t>
      </w:r>
      <w:r w:rsidR="00995142">
        <w:t xml:space="preserve"> assessments </w:t>
      </w:r>
      <w:r w:rsidR="00B0183D" w:rsidRPr="00697FF1">
        <w:t xml:space="preserve">web page </w:t>
      </w:r>
      <w:hyperlink r:id="rId11" w:history="1">
        <w:r w:rsidR="00241B78" w:rsidRPr="000B2978">
          <w:rPr>
            <w:rStyle w:val="Hyperlink"/>
          </w:rPr>
          <w:t>www.aer.gov.au/node/18864</w:t>
        </w:r>
      </w:hyperlink>
      <w:r>
        <w:t xml:space="preserve"> or email us at </w:t>
      </w:r>
      <w:hyperlink r:id="rId12" w:history="1">
        <w:r w:rsidRPr="00380DF8">
          <w:rPr>
            <w:rStyle w:val="Hyperlink"/>
          </w:rPr>
          <w:t>expenditure@aer.gov.au</w:t>
        </w:r>
      </w:hyperlink>
      <w:r w:rsidR="00241B78">
        <w:t xml:space="preserve"> if you have questions.</w:t>
      </w:r>
    </w:p>
    <w:p w:rsidR="00B0183D" w:rsidRPr="00697FF1" w:rsidRDefault="00B0183D" w:rsidP="00697FF1">
      <w:pPr>
        <w:pStyle w:val="AERFactsheetHeading1"/>
      </w:pPr>
      <w:r w:rsidRPr="00697FF1">
        <w:t>For more information</w:t>
      </w:r>
    </w:p>
    <w:p w:rsidR="00CD4428" w:rsidRPr="009C0978" w:rsidRDefault="00B0183D" w:rsidP="008021C5">
      <w:pPr>
        <w:pStyle w:val="AERfactsheetbodytext"/>
      </w:pPr>
      <w:r w:rsidRPr="00697FF1">
        <w:t xml:space="preserve">For more information or to get involved in the consultation processes for the Better Regulation program, please visit our website </w:t>
      </w:r>
      <w:hyperlink r:id="rId13" w:history="1">
        <w:r w:rsidR="00CF5286" w:rsidRPr="00D37AAC">
          <w:rPr>
            <w:rStyle w:val="Hyperlink"/>
          </w:rPr>
          <w:t>www.aer.gov.au/better-regulation-reform-program</w:t>
        </w:r>
      </w:hyperlink>
      <w:r w:rsidRPr="00697FF1">
        <w:t xml:space="preserve"> or email us at </w:t>
      </w:r>
      <w:hyperlink r:id="rId14" w:history="1">
        <w:r w:rsidRPr="00697FF1">
          <w:rPr>
            <w:rStyle w:val="Hyperlink"/>
          </w:rPr>
          <w:t>betterregulation@aer.gov.au</w:t>
        </w:r>
      </w:hyperlink>
      <w:r w:rsidRPr="00697FF1">
        <w:t>.</w:t>
      </w:r>
    </w:p>
    <w:sectPr w:rsidR="00CD4428" w:rsidRPr="009C0978" w:rsidSect="00EE7B16">
      <w:type w:val="continuous"/>
      <w:pgSz w:w="11906" w:h="16838"/>
      <w:pgMar w:top="720" w:right="720" w:bottom="851" w:left="720"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7E" w:rsidRDefault="0020317E" w:rsidP="0020317E">
      <w:r>
        <w:separator/>
      </w:r>
    </w:p>
  </w:endnote>
  <w:endnote w:type="continuationSeparator" w:id="0">
    <w:p w:rsidR="0020317E" w:rsidRDefault="0020317E" w:rsidP="0020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7E" w:rsidRDefault="0020317E" w:rsidP="0020317E">
      <w:r>
        <w:separator/>
      </w:r>
    </w:p>
  </w:footnote>
  <w:footnote w:type="continuationSeparator" w:id="0">
    <w:p w:rsidR="0020317E" w:rsidRDefault="0020317E" w:rsidP="00203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5B0364"/>
    <w:multiLevelType w:val="hybridMultilevel"/>
    <w:tmpl w:val="9676B374"/>
    <w:lvl w:ilvl="0" w:tplc="1A0ED600">
      <w:start w:val="1"/>
      <w:numFmt w:val="bullet"/>
      <w:lvlText w:val=""/>
      <w:lvlJc w:val="left"/>
      <w:pPr>
        <w:tabs>
          <w:tab w:val="num" w:pos="720"/>
        </w:tabs>
        <w:ind w:left="720" w:hanging="360"/>
      </w:pPr>
      <w:rPr>
        <w:rFonts w:ascii="Wingdings" w:hAnsi="Wingdings" w:hint="default"/>
      </w:rPr>
    </w:lvl>
    <w:lvl w:ilvl="1" w:tplc="53DC9106" w:tentative="1">
      <w:start w:val="1"/>
      <w:numFmt w:val="bullet"/>
      <w:lvlText w:val=""/>
      <w:lvlJc w:val="left"/>
      <w:pPr>
        <w:tabs>
          <w:tab w:val="num" w:pos="1440"/>
        </w:tabs>
        <w:ind w:left="1440" w:hanging="360"/>
      </w:pPr>
      <w:rPr>
        <w:rFonts w:ascii="Wingdings" w:hAnsi="Wingdings" w:hint="default"/>
      </w:rPr>
    </w:lvl>
    <w:lvl w:ilvl="2" w:tplc="2850FAE8" w:tentative="1">
      <w:start w:val="1"/>
      <w:numFmt w:val="bullet"/>
      <w:lvlText w:val=""/>
      <w:lvlJc w:val="left"/>
      <w:pPr>
        <w:tabs>
          <w:tab w:val="num" w:pos="2160"/>
        </w:tabs>
        <w:ind w:left="2160" w:hanging="360"/>
      </w:pPr>
      <w:rPr>
        <w:rFonts w:ascii="Wingdings" w:hAnsi="Wingdings" w:hint="default"/>
      </w:rPr>
    </w:lvl>
    <w:lvl w:ilvl="3" w:tplc="563A679E" w:tentative="1">
      <w:start w:val="1"/>
      <w:numFmt w:val="bullet"/>
      <w:lvlText w:val=""/>
      <w:lvlJc w:val="left"/>
      <w:pPr>
        <w:tabs>
          <w:tab w:val="num" w:pos="2880"/>
        </w:tabs>
        <w:ind w:left="2880" w:hanging="360"/>
      </w:pPr>
      <w:rPr>
        <w:rFonts w:ascii="Wingdings" w:hAnsi="Wingdings" w:hint="default"/>
      </w:rPr>
    </w:lvl>
    <w:lvl w:ilvl="4" w:tplc="9DA65858" w:tentative="1">
      <w:start w:val="1"/>
      <w:numFmt w:val="bullet"/>
      <w:lvlText w:val=""/>
      <w:lvlJc w:val="left"/>
      <w:pPr>
        <w:tabs>
          <w:tab w:val="num" w:pos="3600"/>
        </w:tabs>
        <w:ind w:left="3600" w:hanging="360"/>
      </w:pPr>
      <w:rPr>
        <w:rFonts w:ascii="Wingdings" w:hAnsi="Wingdings" w:hint="default"/>
      </w:rPr>
    </w:lvl>
    <w:lvl w:ilvl="5" w:tplc="7CA2DEFA" w:tentative="1">
      <w:start w:val="1"/>
      <w:numFmt w:val="bullet"/>
      <w:lvlText w:val=""/>
      <w:lvlJc w:val="left"/>
      <w:pPr>
        <w:tabs>
          <w:tab w:val="num" w:pos="4320"/>
        </w:tabs>
        <w:ind w:left="4320" w:hanging="360"/>
      </w:pPr>
      <w:rPr>
        <w:rFonts w:ascii="Wingdings" w:hAnsi="Wingdings" w:hint="default"/>
      </w:rPr>
    </w:lvl>
    <w:lvl w:ilvl="6" w:tplc="C2D8679C" w:tentative="1">
      <w:start w:val="1"/>
      <w:numFmt w:val="bullet"/>
      <w:lvlText w:val=""/>
      <w:lvlJc w:val="left"/>
      <w:pPr>
        <w:tabs>
          <w:tab w:val="num" w:pos="5040"/>
        </w:tabs>
        <w:ind w:left="5040" w:hanging="360"/>
      </w:pPr>
      <w:rPr>
        <w:rFonts w:ascii="Wingdings" w:hAnsi="Wingdings" w:hint="default"/>
      </w:rPr>
    </w:lvl>
    <w:lvl w:ilvl="7" w:tplc="31CA9DF2" w:tentative="1">
      <w:start w:val="1"/>
      <w:numFmt w:val="bullet"/>
      <w:lvlText w:val=""/>
      <w:lvlJc w:val="left"/>
      <w:pPr>
        <w:tabs>
          <w:tab w:val="num" w:pos="5760"/>
        </w:tabs>
        <w:ind w:left="5760" w:hanging="360"/>
      </w:pPr>
      <w:rPr>
        <w:rFonts w:ascii="Wingdings" w:hAnsi="Wingdings" w:hint="default"/>
      </w:rPr>
    </w:lvl>
    <w:lvl w:ilvl="8" w:tplc="D7405FA6" w:tentative="1">
      <w:start w:val="1"/>
      <w:numFmt w:val="bullet"/>
      <w:lvlText w:val=""/>
      <w:lvlJc w:val="left"/>
      <w:pPr>
        <w:tabs>
          <w:tab w:val="num" w:pos="6480"/>
        </w:tabs>
        <w:ind w:left="6480" w:hanging="360"/>
      </w:pPr>
      <w:rPr>
        <w:rFonts w:ascii="Wingdings" w:hAnsi="Wingdings" w:hint="default"/>
      </w:rPr>
    </w:lvl>
  </w:abstractNum>
  <w:abstractNum w:abstractNumId="5">
    <w:nsid w:val="7E3E66ED"/>
    <w:multiLevelType w:val="hybridMultilevel"/>
    <w:tmpl w:val="BD84202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1"/>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ASAST\aaaaa DRAFT DECISION UPLOADS\factsheets\Assessments factsheet - Better Regulation - draft guidelines.DOCX"/>
  </w:docVars>
  <w:rsids>
    <w:rsidRoot w:val="00021F03"/>
    <w:rsid w:val="000065D0"/>
    <w:rsid w:val="00006CEE"/>
    <w:rsid w:val="00006EF8"/>
    <w:rsid w:val="000173D5"/>
    <w:rsid w:val="00021F03"/>
    <w:rsid w:val="00035993"/>
    <w:rsid w:val="00040F59"/>
    <w:rsid w:val="000437AC"/>
    <w:rsid w:val="000454A0"/>
    <w:rsid w:val="00046784"/>
    <w:rsid w:val="00054291"/>
    <w:rsid w:val="0007544E"/>
    <w:rsid w:val="0007791B"/>
    <w:rsid w:val="000A366A"/>
    <w:rsid w:val="000A6A1D"/>
    <w:rsid w:val="000C07AD"/>
    <w:rsid w:val="000C4181"/>
    <w:rsid w:val="000E7619"/>
    <w:rsid w:val="000E7C55"/>
    <w:rsid w:val="000F7A38"/>
    <w:rsid w:val="0010059A"/>
    <w:rsid w:val="00127B68"/>
    <w:rsid w:val="00137766"/>
    <w:rsid w:val="00155955"/>
    <w:rsid w:val="001931F4"/>
    <w:rsid w:val="00196AD6"/>
    <w:rsid w:val="001A153E"/>
    <w:rsid w:val="001A23C5"/>
    <w:rsid w:val="001A25E3"/>
    <w:rsid w:val="001A74F1"/>
    <w:rsid w:val="001A795A"/>
    <w:rsid w:val="001B10C7"/>
    <w:rsid w:val="001C109A"/>
    <w:rsid w:val="001C4EA5"/>
    <w:rsid w:val="001C71E1"/>
    <w:rsid w:val="001D49FD"/>
    <w:rsid w:val="0020317E"/>
    <w:rsid w:val="002106B5"/>
    <w:rsid w:val="00211FD6"/>
    <w:rsid w:val="002154BA"/>
    <w:rsid w:val="002333CD"/>
    <w:rsid w:val="00235440"/>
    <w:rsid w:val="00235775"/>
    <w:rsid w:val="00235852"/>
    <w:rsid w:val="00241B78"/>
    <w:rsid w:val="002425E7"/>
    <w:rsid w:val="00263811"/>
    <w:rsid w:val="00277202"/>
    <w:rsid w:val="002952EB"/>
    <w:rsid w:val="002A473F"/>
    <w:rsid w:val="002B7BBC"/>
    <w:rsid w:val="002C71CB"/>
    <w:rsid w:val="002D1DD0"/>
    <w:rsid w:val="002D7AEC"/>
    <w:rsid w:val="002E7F4D"/>
    <w:rsid w:val="002F6565"/>
    <w:rsid w:val="003069A8"/>
    <w:rsid w:val="00306DB3"/>
    <w:rsid w:val="00327423"/>
    <w:rsid w:val="00332DC3"/>
    <w:rsid w:val="00347DE6"/>
    <w:rsid w:val="00354991"/>
    <w:rsid w:val="00357BC1"/>
    <w:rsid w:val="00360C93"/>
    <w:rsid w:val="003644A8"/>
    <w:rsid w:val="00385BB9"/>
    <w:rsid w:val="00390169"/>
    <w:rsid w:val="00391B7D"/>
    <w:rsid w:val="003D0B67"/>
    <w:rsid w:val="003F0076"/>
    <w:rsid w:val="003F2D7B"/>
    <w:rsid w:val="003F48D1"/>
    <w:rsid w:val="00404570"/>
    <w:rsid w:val="00420AE9"/>
    <w:rsid w:val="004245D3"/>
    <w:rsid w:val="004310E5"/>
    <w:rsid w:val="004546C3"/>
    <w:rsid w:val="004548EF"/>
    <w:rsid w:val="00467E54"/>
    <w:rsid w:val="00467F13"/>
    <w:rsid w:val="00474754"/>
    <w:rsid w:val="004A2AFB"/>
    <w:rsid w:val="004B1331"/>
    <w:rsid w:val="004B40E2"/>
    <w:rsid w:val="004C16AB"/>
    <w:rsid w:val="004C2F50"/>
    <w:rsid w:val="004D1DC0"/>
    <w:rsid w:val="004D2D4C"/>
    <w:rsid w:val="004E2E42"/>
    <w:rsid w:val="0050430D"/>
    <w:rsid w:val="005064F3"/>
    <w:rsid w:val="005324C6"/>
    <w:rsid w:val="00536026"/>
    <w:rsid w:val="00543A0A"/>
    <w:rsid w:val="00550A48"/>
    <w:rsid w:val="005524C5"/>
    <w:rsid w:val="00586EAD"/>
    <w:rsid w:val="00596B6D"/>
    <w:rsid w:val="005B080E"/>
    <w:rsid w:val="005B3FE9"/>
    <w:rsid w:val="005C1015"/>
    <w:rsid w:val="005D2C56"/>
    <w:rsid w:val="005D2EBB"/>
    <w:rsid w:val="005F2DC5"/>
    <w:rsid w:val="006031C4"/>
    <w:rsid w:val="00605B66"/>
    <w:rsid w:val="006253A3"/>
    <w:rsid w:val="0062651D"/>
    <w:rsid w:val="006418BF"/>
    <w:rsid w:val="00651F26"/>
    <w:rsid w:val="00660659"/>
    <w:rsid w:val="006611CC"/>
    <w:rsid w:val="00661863"/>
    <w:rsid w:val="00661A9B"/>
    <w:rsid w:val="00662BB4"/>
    <w:rsid w:val="0069255F"/>
    <w:rsid w:val="00697FF1"/>
    <w:rsid w:val="006A5769"/>
    <w:rsid w:val="006B322A"/>
    <w:rsid w:val="006B39DB"/>
    <w:rsid w:val="006D2027"/>
    <w:rsid w:val="006D3FFE"/>
    <w:rsid w:val="006D5C4C"/>
    <w:rsid w:val="006E5F60"/>
    <w:rsid w:val="006F2E4F"/>
    <w:rsid w:val="006F7A30"/>
    <w:rsid w:val="00706072"/>
    <w:rsid w:val="00713B21"/>
    <w:rsid w:val="007168F1"/>
    <w:rsid w:val="00726CCA"/>
    <w:rsid w:val="007434B0"/>
    <w:rsid w:val="00753DF7"/>
    <w:rsid w:val="00754FD0"/>
    <w:rsid w:val="00785EBF"/>
    <w:rsid w:val="00790CC6"/>
    <w:rsid w:val="007A0EEB"/>
    <w:rsid w:val="007A40E0"/>
    <w:rsid w:val="007A5349"/>
    <w:rsid w:val="007C0E2B"/>
    <w:rsid w:val="007C54FB"/>
    <w:rsid w:val="007D2567"/>
    <w:rsid w:val="008021C5"/>
    <w:rsid w:val="00806703"/>
    <w:rsid w:val="008079AA"/>
    <w:rsid w:val="00810CDF"/>
    <w:rsid w:val="00817281"/>
    <w:rsid w:val="00825C3B"/>
    <w:rsid w:val="00830C26"/>
    <w:rsid w:val="008330CE"/>
    <w:rsid w:val="00834B01"/>
    <w:rsid w:val="008472A8"/>
    <w:rsid w:val="00853363"/>
    <w:rsid w:val="0085596A"/>
    <w:rsid w:val="00871903"/>
    <w:rsid w:val="008827DA"/>
    <w:rsid w:val="0088374E"/>
    <w:rsid w:val="00890DA8"/>
    <w:rsid w:val="00893B2B"/>
    <w:rsid w:val="008972B4"/>
    <w:rsid w:val="008A1C87"/>
    <w:rsid w:val="008B28DF"/>
    <w:rsid w:val="008B4919"/>
    <w:rsid w:val="008B4DBF"/>
    <w:rsid w:val="008D722A"/>
    <w:rsid w:val="008F02F0"/>
    <w:rsid w:val="009248F2"/>
    <w:rsid w:val="00925D19"/>
    <w:rsid w:val="00926EE2"/>
    <w:rsid w:val="00935CAA"/>
    <w:rsid w:val="009612A1"/>
    <w:rsid w:val="00963F5A"/>
    <w:rsid w:val="00995142"/>
    <w:rsid w:val="009A3443"/>
    <w:rsid w:val="009B4D12"/>
    <w:rsid w:val="009C0978"/>
    <w:rsid w:val="009C1FC0"/>
    <w:rsid w:val="009C7640"/>
    <w:rsid w:val="009D3F78"/>
    <w:rsid w:val="009D5399"/>
    <w:rsid w:val="009D627D"/>
    <w:rsid w:val="009F3237"/>
    <w:rsid w:val="00A0352C"/>
    <w:rsid w:val="00A10B73"/>
    <w:rsid w:val="00A20E64"/>
    <w:rsid w:val="00A30414"/>
    <w:rsid w:val="00A3190D"/>
    <w:rsid w:val="00A4626E"/>
    <w:rsid w:val="00A5157F"/>
    <w:rsid w:val="00A74A72"/>
    <w:rsid w:val="00A76CE2"/>
    <w:rsid w:val="00A85FDD"/>
    <w:rsid w:val="00A96D09"/>
    <w:rsid w:val="00A97450"/>
    <w:rsid w:val="00AA080D"/>
    <w:rsid w:val="00AB64C3"/>
    <w:rsid w:val="00AC0236"/>
    <w:rsid w:val="00AD27CE"/>
    <w:rsid w:val="00AD53EF"/>
    <w:rsid w:val="00B01429"/>
    <w:rsid w:val="00B0183D"/>
    <w:rsid w:val="00B045B3"/>
    <w:rsid w:val="00B20B42"/>
    <w:rsid w:val="00B44B4F"/>
    <w:rsid w:val="00B51188"/>
    <w:rsid w:val="00B55845"/>
    <w:rsid w:val="00B66BD0"/>
    <w:rsid w:val="00B74543"/>
    <w:rsid w:val="00B8588A"/>
    <w:rsid w:val="00B97ACC"/>
    <w:rsid w:val="00BA3C88"/>
    <w:rsid w:val="00BD26B5"/>
    <w:rsid w:val="00BD5113"/>
    <w:rsid w:val="00BD5E29"/>
    <w:rsid w:val="00BD6AE4"/>
    <w:rsid w:val="00BE3FCF"/>
    <w:rsid w:val="00BE5A7F"/>
    <w:rsid w:val="00BF4E2D"/>
    <w:rsid w:val="00C005E2"/>
    <w:rsid w:val="00C11E06"/>
    <w:rsid w:val="00C13A11"/>
    <w:rsid w:val="00C162C3"/>
    <w:rsid w:val="00C25593"/>
    <w:rsid w:val="00C42D8E"/>
    <w:rsid w:val="00C71947"/>
    <w:rsid w:val="00C73523"/>
    <w:rsid w:val="00C866CD"/>
    <w:rsid w:val="00C92E99"/>
    <w:rsid w:val="00C97BF5"/>
    <w:rsid w:val="00CA0863"/>
    <w:rsid w:val="00CB1183"/>
    <w:rsid w:val="00CB3718"/>
    <w:rsid w:val="00CD4428"/>
    <w:rsid w:val="00CD4C07"/>
    <w:rsid w:val="00CD61A6"/>
    <w:rsid w:val="00CD74B2"/>
    <w:rsid w:val="00CE2164"/>
    <w:rsid w:val="00CE2EE9"/>
    <w:rsid w:val="00CE640F"/>
    <w:rsid w:val="00CF03DF"/>
    <w:rsid w:val="00CF0485"/>
    <w:rsid w:val="00CF228C"/>
    <w:rsid w:val="00CF5286"/>
    <w:rsid w:val="00D10385"/>
    <w:rsid w:val="00D41388"/>
    <w:rsid w:val="00D51900"/>
    <w:rsid w:val="00D54590"/>
    <w:rsid w:val="00D555B0"/>
    <w:rsid w:val="00D6695D"/>
    <w:rsid w:val="00D876B6"/>
    <w:rsid w:val="00DC56E5"/>
    <w:rsid w:val="00DD41EA"/>
    <w:rsid w:val="00DD4B97"/>
    <w:rsid w:val="00DE5EEE"/>
    <w:rsid w:val="00DF0183"/>
    <w:rsid w:val="00DF7E19"/>
    <w:rsid w:val="00E075A1"/>
    <w:rsid w:val="00E123B8"/>
    <w:rsid w:val="00E1275F"/>
    <w:rsid w:val="00E342E9"/>
    <w:rsid w:val="00E53910"/>
    <w:rsid w:val="00E67143"/>
    <w:rsid w:val="00E76D48"/>
    <w:rsid w:val="00E85F44"/>
    <w:rsid w:val="00E91EBB"/>
    <w:rsid w:val="00EA4E76"/>
    <w:rsid w:val="00EA680F"/>
    <w:rsid w:val="00EB545B"/>
    <w:rsid w:val="00EE0DF3"/>
    <w:rsid w:val="00EE103B"/>
    <w:rsid w:val="00EE18BA"/>
    <w:rsid w:val="00EE7B16"/>
    <w:rsid w:val="00EF15F2"/>
    <w:rsid w:val="00EF1C49"/>
    <w:rsid w:val="00EF2F9B"/>
    <w:rsid w:val="00F02C1D"/>
    <w:rsid w:val="00F053E6"/>
    <w:rsid w:val="00F0776A"/>
    <w:rsid w:val="00F120E8"/>
    <w:rsid w:val="00F126BC"/>
    <w:rsid w:val="00F15834"/>
    <w:rsid w:val="00F15D8D"/>
    <w:rsid w:val="00F209E0"/>
    <w:rsid w:val="00F421B7"/>
    <w:rsid w:val="00F4414E"/>
    <w:rsid w:val="00F44A65"/>
    <w:rsid w:val="00F56BC0"/>
    <w:rsid w:val="00F65330"/>
    <w:rsid w:val="00F673BD"/>
    <w:rsid w:val="00F7252E"/>
    <w:rsid w:val="00F76714"/>
    <w:rsid w:val="00F83140"/>
    <w:rsid w:val="00F83DB0"/>
    <w:rsid w:val="00F932D8"/>
    <w:rsid w:val="00FB1910"/>
    <w:rsid w:val="00FB1E17"/>
    <w:rsid w:val="00FB2164"/>
    <w:rsid w:val="00FB5FDD"/>
    <w:rsid w:val="00FC3BE1"/>
    <w:rsid w:val="00FD10B4"/>
    <w:rsid w:val="00FD1508"/>
    <w:rsid w:val="00FD309C"/>
    <w:rsid w:val="00FD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EE7B16"/>
    <w:pPr>
      <w:spacing w:before="12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EE7B16"/>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numbering" w:customStyle="1" w:styleId="AERnumberedlist">
    <w:name w:val="AER numbered list"/>
    <w:uiPriority w:val="99"/>
    <w:rsid w:val="00A20E64"/>
  </w:style>
  <w:style w:type="paragraph" w:customStyle="1" w:styleId="AERnumberedlist2first">
    <w:name w:val="AER numbered list 2 first"/>
    <w:basedOn w:val="AERbodytext"/>
    <w:qFormat/>
    <w:rsid w:val="00A20E64"/>
    <w:pPr>
      <w:numPr>
        <w:numId w:val="0"/>
      </w:numPr>
      <w:tabs>
        <w:tab w:val="num" w:pos="360"/>
      </w:tabs>
      <w:ind w:left="357" w:hanging="357"/>
    </w:pPr>
  </w:style>
  <w:style w:type="paragraph" w:customStyle="1" w:styleId="AERnumberedlist2second">
    <w:name w:val="AER numbered list 2 second"/>
    <w:basedOn w:val="AERnumberedlist2first"/>
    <w:qFormat/>
    <w:rsid w:val="00A20E64"/>
    <w:pPr>
      <w:ind w:left="720" w:hanging="363"/>
    </w:pPr>
  </w:style>
  <w:style w:type="paragraph" w:customStyle="1" w:styleId="AERnumberedlist2third">
    <w:name w:val="AER numbered list 2 third"/>
    <w:basedOn w:val="AERnumberedlist2second"/>
    <w:qFormat/>
    <w:rsid w:val="00A20E64"/>
    <w:pPr>
      <w:ind w:left="1077" w:hanging="357"/>
    </w:pPr>
  </w:style>
  <w:style w:type="character" w:customStyle="1" w:styleId="AERbodytextChar">
    <w:name w:val="AER body text Char"/>
    <w:basedOn w:val="DefaultParagraphFont"/>
    <w:link w:val="AERbodytext"/>
    <w:rsid w:val="00A20E64"/>
    <w:rPr>
      <w:rFonts w:ascii="Gautami" w:eastAsia="Times New Roman" w:hAnsi="Gautami"/>
      <w:szCs w:val="24"/>
    </w:rPr>
  </w:style>
  <w:style w:type="paragraph" w:styleId="Revision">
    <w:name w:val="Revision"/>
    <w:hidden/>
    <w:uiPriority w:val="99"/>
    <w:semiHidden/>
    <w:rsid w:val="00692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EE7B16"/>
    <w:pPr>
      <w:spacing w:before="12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EE7B16"/>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numbering" w:customStyle="1" w:styleId="AERnumberedlist">
    <w:name w:val="AER numbered list"/>
    <w:uiPriority w:val="99"/>
    <w:rsid w:val="00A20E64"/>
  </w:style>
  <w:style w:type="paragraph" w:customStyle="1" w:styleId="AERnumberedlist2first">
    <w:name w:val="AER numbered list 2 first"/>
    <w:basedOn w:val="AERbodytext"/>
    <w:qFormat/>
    <w:rsid w:val="00A20E64"/>
    <w:pPr>
      <w:numPr>
        <w:numId w:val="0"/>
      </w:numPr>
      <w:tabs>
        <w:tab w:val="num" w:pos="360"/>
      </w:tabs>
      <w:ind w:left="357" w:hanging="357"/>
    </w:pPr>
  </w:style>
  <w:style w:type="paragraph" w:customStyle="1" w:styleId="AERnumberedlist2second">
    <w:name w:val="AER numbered list 2 second"/>
    <w:basedOn w:val="AERnumberedlist2first"/>
    <w:qFormat/>
    <w:rsid w:val="00A20E64"/>
    <w:pPr>
      <w:ind w:left="720" w:hanging="363"/>
    </w:pPr>
  </w:style>
  <w:style w:type="paragraph" w:customStyle="1" w:styleId="AERnumberedlist2third">
    <w:name w:val="AER numbered list 2 third"/>
    <w:basedOn w:val="AERnumberedlist2second"/>
    <w:qFormat/>
    <w:rsid w:val="00A20E64"/>
    <w:pPr>
      <w:ind w:left="1077" w:hanging="357"/>
    </w:pPr>
  </w:style>
  <w:style w:type="character" w:customStyle="1" w:styleId="AERbodytextChar">
    <w:name w:val="AER body text Char"/>
    <w:basedOn w:val="DefaultParagraphFont"/>
    <w:link w:val="AERbodytext"/>
    <w:rsid w:val="00A20E64"/>
    <w:rPr>
      <w:rFonts w:ascii="Gautami" w:eastAsia="Times New Roman" w:hAnsi="Gautami"/>
      <w:szCs w:val="24"/>
    </w:rPr>
  </w:style>
  <w:style w:type="paragraph" w:styleId="Revision">
    <w:name w:val="Revision"/>
    <w:hidden/>
    <w:uiPriority w:val="99"/>
    <w:semiHidden/>
    <w:rsid w:val="0069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gov.au/better-regulation-reform-prog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xpenditure@aer.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188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tterregulation@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5388</Characters>
  <Application>Microsoft Office Word</Application>
  <DocSecurity>0</DocSecurity>
  <Lines>173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2013-08-08T07:15:00Z</dcterms:created>
  <dcterms:modified xsi:type="dcterms:W3CDTF">2013-08-08T07:16:00Z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8030540</vt:lpwstr>
  </property>
</Properties>
</file>