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753DF7" w:rsidP="00753DF7">
      <w:pPr>
        <w:pStyle w:val="AERfactsheetsubtitle"/>
        <w:rPr>
          <w:sz w:val="12"/>
        </w:rPr>
      </w:pPr>
      <w:bookmarkStart w:id="0" w:name="_GoBack"/>
      <w:bookmarkEnd w:id="0"/>
    </w:p>
    <w:p w:rsidR="005524C5" w:rsidRDefault="00AC0236" w:rsidP="00484BD1">
      <w:pPr>
        <w:pStyle w:val="AERfactsheetsubtitle"/>
        <w:rPr>
          <w:noProof/>
          <w:lang w:eastAsia="en-AU"/>
        </w:rPr>
      </w:pPr>
      <w:r w:rsidRPr="00B0183D">
        <w:rPr>
          <w:noProof/>
          <w:lang w:eastAsia="en-AU"/>
        </w:rPr>
        <mc:AlternateContent>
          <mc:Choice Requires="wpg">
            <w:drawing>
              <wp:anchor distT="0" distB="0" distL="114300" distR="114300" simplePos="0" relativeHeight="251657216" behindDoc="0" locked="0" layoutInCell="1" allowOverlap="1" wp14:anchorId="341DC47D" wp14:editId="7507B7CA">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407" w:rsidRPr="0008782C" w:rsidRDefault="00062407" w:rsidP="001D49FD">
                              <w:pPr>
                                <w:ind w:left="567"/>
                                <w:rPr>
                                  <w:rFonts w:cs="Calibri"/>
                                  <w:color w:val="FFFFFF"/>
                                  <w:sz w:val="32"/>
                                </w:rPr>
                              </w:pPr>
                            </w:p>
                            <w:p w:rsidR="00062407" w:rsidRPr="00484BD1" w:rsidRDefault="00062407" w:rsidP="001D49FD">
                              <w:pPr>
                                <w:ind w:left="567"/>
                                <w:rPr>
                                  <w:rFonts w:ascii="MS Reference Sans Serif" w:hAnsi="MS Reference Sans Serif" w:cs="Tunga"/>
                                  <w:color w:val="FFFFFF"/>
                                  <w:spacing w:val="10"/>
                                  <w:w w:val="99"/>
                                  <w:kern w:val="44"/>
                                  <w:sz w:val="44"/>
                                </w:rPr>
                              </w:pPr>
                              <w:r w:rsidRPr="00484BD1">
                                <w:rPr>
                                  <w:rFonts w:ascii="MS Reference Sans Serif" w:hAnsi="MS Reference Sans Serif" w:cs="Tunga"/>
                                  <w:color w:val="FFFFFF"/>
                                  <w:spacing w:val="10"/>
                                  <w:w w:val="99"/>
                                  <w:kern w:val="44"/>
                                  <w:sz w:val="44"/>
                                </w:rPr>
                                <w:t>Better Regu</w:t>
                              </w:r>
                              <w:r w:rsidRPr="00484BD1">
                                <w:rPr>
                                  <w:rFonts w:ascii="Trebuchet MS" w:hAnsi="Trebuchet MS" w:cs="Tunga"/>
                                  <w:color w:val="FFFFFF"/>
                                  <w:spacing w:val="10"/>
                                  <w:w w:val="99"/>
                                  <w:kern w:val="44"/>
                                  <w:sz w:val="44"/>
                                </w:rPr>
                                <w:t>l</w:t>
                              </w:r>
                              <w:r w:rsidRPr="00484BD1">
                                <w:rPr>
                                  <w:rFonts w:ascii="MS Reference Sans Serif" w:hAnsi="MS Reference Sans Serif" w:cs="Tunga"/>
                                  <w:color w:val="FFFFFF"/>
                                  <w:spacing w:val="10"/>
                                  <w:w w:val="99"/>
                                  <w:kern w:val="44"/>
                                  <w:sz w:val="44"/>
                                </w:rPr>
                                <w:t>ation:</w:t>
                              </w:r>
                            </w:p>
                            <w:p w:rsidR="00062407" w:rsidRPr="00484BD1" w:rsidRDefault="00062407" w:rsidP="004D1DC0">
                              <w:pPr>
                                <w:ind w:left="567"/>
                                <w:rPr>
                                  <w:rFonts w:ascii="MS Reference Sans Serif" w:hAnsi="MS Reference Sans Serif" w:cs="Tunga"/>
                                  <w:color w:val="FFFFFF"/>
                                  <w:spacing w:val="10"/>
                                  <w:w w:val="99"/>
                                  <w:kern w:val="44"/>
                                  <w:sz w:val="44"/>
                                </w:rPr>
                              </w:pPr>
                              <w:r w:rsidRPr="00484BD1">
                                <w:rPr>
                                  <w:rFonts w:ascii="MS Reference Sans Serif" w:hAnsi="MS Reference Sans Serif" w:cs="Tunga"/>
                                  <w:color w:val="FFFFFF"/>
                                  <w:spacing w:val="10"/>
                                  <w:w w:val="99"/>
                                  <w:kern w:val="44"/>
                                  <w:sz w:val="44"/>
                                </w:rPr>
                                <w:t>Draft consumer engagement guideline</w:t>
                              </w:r>
                            </w:p>
                            <w:p w:rsidR="00062407" w:rsidRPr="00F97D44" w:rsidRDefault="00062407"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1 July </w:t>
                              </w:r>
                              <w:r w:rsidRPr="00F97D44">
                                <w:rPr>
                                  <w:rFonts w:ascii="MS Reference Sans Serif" w:hAnsi="MS Reference Sans Serif" w:cs="Tunga"/>
                                  <w:b/>
                                  <w:color w:val="FFFFFF"/>
                                  <w:w w:val="95"/>
                                  <w:kern w:val="44"/>
                                </w:rPr>
                                <w:t>2013</w:t>
                              </w:r>
                            </w:p>
                            <w:p w:rsidR="00062407" w:rsidRPr="00E83166" w:rsidRDefault="00062407" w:rsidP="001D49FD">
                              <w:pPr>
                                <w:ind w:left="567" w:right="681"/>
                                <w:jc w:val="right"/>
                                <w:rPr>
                                  <w:rFonts w:ascii="MS Reference Sans Serif" w:hAnsi="MS Reference Sans Serif" w:cs="Tunga"/>
                                  <w:color w:val="FFFFFF"/>
                                </w:rPr>
                              </w:pPr>
                            </w:p>
                            <w:p w:rsidR="00062407" w:rsidRPr="00390BEB" w:rsidRDefault="00062407"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062407" w:rsidRPr="0008782C" w:rsidRDefault="00062407" w:rsidP="001D49FD">
                        <w:pPr>
                          <w:ind w:left="567"/>
                          <w:rPr>
                            <w:rFonts w:cs="Calibri"/>
                            <w:color w:val="FFFFFF"/>
                            <w:sz w:val="32"/>
                          </w:rPr>
                        </w:pPr>
                      </w:p>
                      <w:p w:rsidR="00062407" w:rsidRPr="00484BD1" w:rsidRDefault="00062407" w:rsidP="001D49FD">
                        <w:pPr>
                          <w:ind w:left="567"/>
                          <w:rPr>
                            <w:rFonts w:ascii="MS Reference Sans Serif" w:hAnsi="MS Reference Sans Serif" w:cs="Tunga"/>
                            <w:color w:val="FFFFFF"/>
                            <w:spacing w:val="10"/>
                            <w:w w:val="99"/>
                            <w:kern w:val="44"/>
                            <w:sz w:val="44"/>
                          </w:rPr>
                        </w:pPr>
                        <w:r w:rsidRPr="00484BD1">
                          <w:rPr>
                            <w:rFonts w:ascii="MS Reference Sans Serif" w:hAnsi="MS Reference Sans Serif" w:cs="Tunga"/>
                            <w:color w:val="FFFFFF"/>
                            <w:spacing w:val="10"/>
                            <w:w w:val="99"/>
                            <w:kern w:val="44"/>
                            <w:sz w:val="44"/>
                          </w:rPr>
                          <w:t>Better Regu</w:t>
                        </w:r>
                        <w:r w:rsidRPr="00484BD1">
                          <w:rPr>
                            <w:rFonts w:ascii="Trebuchet MS" w:hAnsi="Trebuchet MS" w:cs="Tunga"/>
                            <w:color w:val="FFFFFF"/>
                            <w:spacing w:val="10"/>
                            <w:w w:val="99"/>
                            <w:kern w:val="44"/>
                            <w:sz w:val="44"/>
                          </w:rPr>
                          <w:t>l</w:t>
                        </w:r>
                        <w:r w:rsidRPr="00484BD1">
                          <w:rPr>
                            <w:rFonts w:ascii="MS Reference Sans Serif" w:hAnsi="MS Reference Sans Serif" w:cs="Tunga"/>
                            <w:color w:val="FFFFFF"/>
                            <w:spacing w:val="10"/>
                            <w:w w:val="99"/>
                            <w:kern w:val="44"/>
                            <w:sz w:val="44"/>
                          </w:rPr>
                          <w:t>ation:</w:t>
                        </w:r>
                      </w:p>
                      <w:p w:rsidR="00062407" w:rsidRPr="00484BD1" w:rsidRDefault="00062407" w:rsidP="004D1DC0">
                        <w:pPr>
                          <w:ind w:left="567"/>
                          <w:rPr>
                            <w:rFonts w:ascii="MS Reference Sans Serif" w:hAnsi="MS Reference Sans Serif" w:cs="Tunga"/>
                            <w:color w:val="FFFFFF"/>
                            <w:spacing w:val="10"/>
                            <w:w w:val="99"/>
                            <w:kern w:val="44"/>
                            <w:sz w:val="44"/>
                          </w:rPr>
                        </w:pPr>
                        <w:r w:rsidRPr="00484BD1">
                          <w:rPr>
                            <w:rFonts w:ascii="MS Reference Sans Serif" w:hAnsi="MS Reference Sans Serif" w:cs="Tunga"/>
                            <w:color w:val="FFFFFF"/>
                            <w:spacing w:val="10"/>
                            <w:w w:val="99"/>
                            <w:kern w:val="44"/>
                            <w:sz w:val="44"/>
                          </w:rPr>
                          <w:t>Draft consumer engagement guideline</w:t>
                        </w:r>
                      </w:p>
                      <w:p w:rsidR="00062407" w:rsidRPr="00F97D44" w:rsidRDefault="00062407"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1 July </w:t>
                        </w:r>
                        <w:r w:rsidRPr="00F97D44">
                          <w:rPr>
                            <w:rFonts w:ascii="MS Reference Sans Serif" w:hAnsi="MS Reference Sans Serif" w:cs="Tunga"/>
                            <w:b/>
                            <w:color w:val="FFFFFF"/>
                            <w:w w:val="95"/>
                            <w:kern w:val="44"/>
                          </w:rPr>
                          <w:t>2013</w:t>
                        </w:r>
                      </w:p>
                      <w:p w:rsidR="00062407" w:rsidRPr="00E83166" w:rsidRDefault="00062407" w:rsidP="001D49FD">
                        <w:pPr>
                          <w:ind w:left="567" w:right="681"/>
                          <w:jc w:val="right"/>
                          <w:rPr>
                            <w:rFonts w:ascii="MS Reference Sans Serif" w:hAnsi="MS Reference Sans Serif" w:cs="Tunga"/>
                            <w:color w:val="FFFFFF"/>
                          </w:rPr>
                        </w:pPr>
                      </w:p>
                      <w:p w:rsidR="00062407" w:rsidRPr="00390BEB" w:rsidRDefault="00062407"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484BD1" w:rsidRPr="00484BD1">
        <w:rPr>
          <w:noProof/>
          <w:lang w:eastAsia="en-AU"/>
        </w:rPr>
        <w:t>The Australian Energy Regulator (AER) commenced the Better Regulation program in December 2012. Today marks the release of our first draft guideline as part of this program. The draft consumer engagement guideline for network service providers sets out a framework for electricity and gas service providers to better engage with their consumers.</w:t>
      </w:r>
    </w:p>
    <w:p w:rsidR="00484BD1" w:rsidRPr="00484BD1" w:rsidRDefault="00484BD1" w:rsidP="00484BD1">
      <w:pPr>
        <w:rPr>
          <w:lang w:eastAsia="en-AU"/>
        </w:rPr>
      </w:pPr>
    </w:p>
    <w:p w:rsidR="005524C5" w:rsidRPr="00987843" w:rsidRDefault="005524C5" w:rsidP="004D1DC0">
      <w:pPr>
        <w:pStyle w:val="AERfactsheetbodytext"/>
        <w:rPr>
          <w:sz w:val="2"/>
        </w:rPr>
      </w:pPr>
    </w:p>
    <w:p w:rsidR="00754FD0" w:rsidRPr="004D1DC0" w:rsidRDefault="00754FD0" w:rsidP="004D1DC0">
      <w:pPr>
        <w:pStyle w:val="AERfactsheetbodytext"/>
        <w:sectPr w:rsidR="00754FD0" w:rsidRPr="004D1DC0" w:rsidSect="00BE5A7F">
          <w:pgSz w:w="11906" w:h="16838"/>
          <w:pgMar w:top="720" w:right="720" w:bottom="720" w:left="720" w:header="708" w:footer="708" w:gutter="0"/>
          <w:cols w:space="284"/>
          <w:docGrid w:linePitch="360"/>
        </w:sectPr>
      </w:pPr>
    </w:p>
    <w:p w:rsidR="00AC0236" w:rsidRPr="00697FF1" w:rsidRDefault="00AC0236" w:rsidP="00697FF1">
      <w:pPr>
        <w:pStyle w:val="AERFactsheetHeading1"/>
      </w:pPr>
      <w:r w:rsidRPr="00697FF1">
        <w:lastRenderedPageBreak/>
        <w:t>What is the Better Regulation program?</w:t>
      </w:r>
    </w:p>
    <w:p w:rsidR="00AC0236" w:rsidRPr="00697FF1" w:rsidRDefault="00AC0236" w:rsidP="00697FF1">
      <w:pPr>
        <w:pStyle w:val="AERfactsheetbodytext"/>
      </w:pPr>
      <w:r w:rsidRPr="00697FF1">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126AFEF1" wp14:editId="2DC31827">
                <wp:extent cx="2980023" cy="555172"/>
                <wp:effectExtent l="0" t="0" r="114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23" cy="555172"/>
                        </a:xfrm>
                        <a:prstGeom prst="rect">
                          <a:avLst/>
                        </a:prstGeom>
                        <a:solidFill>
                          <a:srgbClr val="DBE5F1"/>
                        </a:solidFill>
                        <a:ln w="9525">
                          <a:solidFill>
                            <a:srgbClr val="006A99"/>
                          </a:solidFill>
                          <a:miter lim="800000"/>
                          <a:headEnd/>
                          <a:tailEnd/>
                        </a:ln>
                      </wps:spPr>
                      <wps:txbx>
                        <w:txbxContent>
                          <w:p w:rsidR="00062407" w:rsidRPr="00697FF1" w:rsidRDefault="00062407" w:rsidP="00697FF1">
                            <w:pPr>
                              <w:pStyle w:val="AERfactsheetbodytext"/>
                            </w:pPr>
                            <w:r w:rsidRPr="00697FF1">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34.6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" fillcolor="#dbe5f1" strokecolor="#006a99">
                <v:textbox>
                  <w:txbxContent>
                    <w:p w:rsidR="00062407" w:rsidRPr="00697FF1" w:rsidRDefault="00062407" w:rsidP="00697FF1">
                      <w:pPr>
                        <w:pStyle w:val="AERfactsheetbodytext"/>
                      </w:pPr>
                      <w:r w:rsidRPr="00697FF1">
                        <w:t>The Better Regulation program delivers an improved regulatory framework focused on the long term interests of electricity consumers.</w:t>
                      </w:r>
                    </w:p>
                  </w:txbxContent>
                </v:textbox>
                <w10:anchorlock/>
              </v:shape>
            </w:pict>
          </mc:Fallback>
        </mc:AlternateContent>
      </w:r>
    </w:p>
    <w:p w:rsidR="00AC0236" w:rsidRPr="00697FF1" w:rsidRDefault="00AC0236" w:rsidP="00697FF1">
      <w:pPr>
        <w:pStyle w:val="AERfactsheetbodytext"/>
      </w:pPr>
      <w:r w:rsidRPr="00697FF1">
        <w:t xml:space="preserve">The Better Regulation program involves: </w:t>
      </w:r>
    </w:p>
    <w:p w:rsidR="00AC0236" w:rsidRPr="00697FF1" w:rsidRDefault="00AC0236" w:rsidP="00F3531F">
      <w:pPr>
        <w:pStyle w:val="AERfactsheetbulletlist"/>
      </w:pPr>
      <w:r w:rsidRPr="00697FF1">
        <w:t xml:space="preserve">extensive consultation on seven new guidelines that outline our revised approach to determining electricity network revenues and prices </w:t>
      </w:r>
    </w:p>
    <w:p w:rsidR="00AC0236" w:rsidRPr="00697FF1" w:rsidRDefault="00AC0236" w:rsidP="00F3531F">
      <w:pPr>
        <w:pStyle w:val="AERfactsheetbulletlist"/>
      </w:pPr>
      <w:r w:rsidRPr="00697FF1">
        <w:t xml:space="preserve">establishing a consumer reference group for our guideline development work </w:t>
      </w:r>
    </w:p>
    <w:p w:rsidR="00AC0236" w:rsidRPr="00697FF1" w:rsidRDefault="00AC0236" w:rsidP="00F3531F">
      <w:pPr>
        <w:pStyle w:val="AERfactsheetbulletlist"/>
      </w:pPr>
      <w:r w:rsidRPr="00697FF1">
        <w:t xml:space="preserve">forming an ongoing Consumer Challenge Panel </w:t>
      </w:r>
    </w:p>
    <w:p w:rsidR="00AC0236" w:rsidRPr="00697FF1" w:rsidRDefault="00AC0236" w:rsidP="00F3531F">
      <w:pPr>
        <w:pStyle w:val="AERfactsheetbulletlist"/>
      </w:pPr>
      <w:proofErr w:type="gramStart"/>
      <w:r w:rsidRPr="00697FF1">
        <w:t>improving</w:t>
      </w:r>
      <w:proofErr w:type="gramEnd"/>
      <w:r w:rsidRPr="00697FF1">
        <w:t xml:space="preserve"> our internal technical expertise and systems. </w:t>
      </w:r>
    </w:p>
    <w:p w:rsidR="00484BD1" w:rsidRDefault="00484BD1" w:rsidP="00111679">
      <w:pPr>
        <w:pStyle w:val="AERfactsheetbodytext"/>
        <w:rPr>
          <w:rFonts w:ascii="Tunga" w:eastAsia="Times New Roman" w:hAnsi="Tunga" w:cs="Tunga"/>
          <w:b/>
          <w:iCs/>
          <w:color w:val="006A99"/>
          <w:spacing w:val="0"/>
          <w:kern w:val="24"/>
          <w:sz w:val="24"/>
          <w:szCs w:val="24"/>
        </w:rPr>
      </w:pPr>
      <w:r w:rsidRPr="00484BD1">
        <w:rPr>
          <w:rFonts w:ascii="Tunga" w:eastAsia="Times New Roman" w:hAnsi="Tunga" w:cs="Tunga"/>
          <w:b/>
          <w:iCs/>
          <w:color w:val="006A99"/>
          <w:spacing w:val="0"/>
          <w:kern w:val="24"/>
          <w:sz w:val="24"/>
          <w:szCs w:val="24"/>
        </w:rPr>
        <w:t>What is the purpose of the draft consumer engagement guideline?</w:t>
      </w:r>
    </w:p>
    <w:p w:rsidR="00484BD1" w:rsidRDefault="00476A6B" w:rsidP="00484BD1">
      <w:pPr>
        <w:pStyle w:val="AERfactsheetbodytext"/>
        <w:rPr>
          <w:noProof/>
          <w:lang w:eastAsia="en-AU"/>
        </w:rPr>
      </w:pPr>
      <w:r w:rsidRPr="00697FF1">
        <w:rPr>
          <w:noProof/>
          <w:lang w:eastAsia="en-AU"/>
        </w:rPr>
        <w:drawing>
          <wp:anchor distT="0" distB="0" distL="114300" distR="114300" simplePos="0" relativeHeight="251663360" behindDoc="0" locked="0" layoutInCell="1" allowOverlap="1" wp14:anchorId="4D397CB2" wp14:editId="3171A636">
            <wp:simplePos x="0" y="0"/>
            <wp:positionH relativeFrom="column">
              <wp:posOffset>-455930</wp:posOffset>
            </wp:positionH>
            <wp:positionV relativeFrom="page">
              <wp:posOffset>10203180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484BD1" w:rsidRPr="00484BD1">
        <w:t xml:space="preserve"> </w:t>
      </w:r>
      <w:r w:rsidR="00484BD1">
        <w:rPr>
          <w:noProof/>
          <w:lang w:eastAsia="en-AU"/>
        </w:rPr>
        <w:t>The draft consumer engagement guideline sets out how we expect electricity and gas service providers to engage with their consumers.</w:t>
      </w:r>
    </w:p>
    <w:p w:rsidR="001F7393" w:rsidRDefault="00484BD1" w:rsidP="00484BD1">
      <w:pPr>
        <w:pStyle w:val="AERfactsheetbodytext"/>
      </w:pPr>
      <w:r>
        <w:rPr>
          <w:noProof/>
          <w:lang w:eastAsia="en-AU"/>
        </w:rPr>
        <w:t>In doing so, we expect service providers can better align their services with consumers’ long term interests.</w:t>
      </w:r>
      <w:r w:rsidR="001F7393">
        <w:t xml:space="preserve">  </w:t>
      </w:r>
    </w:p>
    <w:p w:rsidR="006B322A" w:rsidRDefault="006B322A" w:rsidP="006B322A">
      <w:pPr>
        <w:pStyle w:val="AERfactsheetbodytext"/>
      </w:pPr>
      <w:r>
        <w:rPr>
          <w:noProof/>
          <w:lang w:eastAsia="en-AU"/>
        </w:rPr>
        <mc:AlternateContent>
          <mc:Choice Requires="wps">
            <w:drawing>
              <wp:inline distT="0" distB="0" distL="0" distR="0" wp14:anchorId="2537D9C8" wp14:editId="6AAA8AF2">
                <wp:extent cx="3131820" cy="548640"/>
                <wp:effectExtent l="0" t="0" r="11430" b="2286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548640"/>
                        </a:xfrm>
                        <a:prstGeom prst="rect">
                          <a:avLst/>
                        </a:prstGeom>
                        <a:solidFill>
                          <a:srgbClr val="DBE5F1"/>
                        </a:solidFill>
                        <a:ln w="9525">
                          <a:solidFill>
                            <a:srgbClr val="006A99"/>
                          </a:solidFill>
                          <a:miter lim="800000"/>
                          <a:headEnd/>
                          <a:tailEnd/>
                        </a:ln>
                      </wps:spPr>
                      <wps:txbx>
                        <w:txbxContent>
                          <w:p w:rsidR="00062407" w:rsidRPr="00697FF1" w:rsidRDefault="00062407" w:rsidP="006B322A">
                            <w:pPr>
                              <w:pStyle w:val="AERfactsheetbodytext"/>
                            </w:pPr>
                            <w:r w:rsidRPr="00484BD1">
                              <w:t>The consumer engagement guideline sets out a framework for electricity and gas network service providers to better engage with their consumers.</w:t>
                            </w:r>
                          </w:p>
                        </w:txbxContent>
                      </wps:txbx>
                      <wps:bodyPr rot="0" vert="horz" wrap="square" lIns="91440" tIns="45720" rIns="72000" bIns="45720" anchor="t" anchorCtr="0" upright="1">
                        <a:noAutofit/>
                      </wps:bodyPr>
                    </wps:wsp>
                  </a:graphicData>
                </a:graphic>
              </wp:inline>
            </w:drawing>
          </mc:Choice>
          <mc:Fallback>
            <w:pict>
              <v:shape id="Text Box 51" o:spid="_x0000_s1031" type="#_x0000_t202" style="width:246.6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" fillcolor="#dbe5f1" strokecolor="#006a99">
                <v:textbox inset=",,2mm">
                  <w:txbxContent>
                    <w:p w:rsidR="00062407" w:rsidRPr="00697FF1" w:rsidRDefault="00062407" w:rsidP="006B322A">
                      <w:pPr>
                        <w:pStyle w:val="AERfactsheetbodytext"/>
                      </w:pPr>
                      <w:r w:rsidRPr="00484BD1">
                        <w:t>The consumer engagement guideline sets out a framework for electricity and gas network service providers to better engage with their consumers.</w:t>
                      </w:r>
                    </w:p>
                  </w:txbxContent>
                </v:textbox>
                <w10:anchorlock/>
              </v:shape>
            </w:pict>
          </mc:Fallback>
        </mc:AlternateContent>
      </w:r>
    </w:p>
    <w:p w:rsidR="00484BD1" w:rsidRDefault="00484BD1" w:rsidP="00111679">
      <w:pPr>
        <w:pStyle w:val="AERfactsheetbodytext"/>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br w:type="column"/>
      </w:r>
      <w:r w:rsidRPr="00484BD1">
        <w:rPr>
          <w:rFonts w:ascii="Tunga" w:eastAsia="Times New Roman" w:hAnsi="Tunga" w:cs="Tunga"/>
          <w:b/>
          <w:iCs/>
          <w:color w:val="006A99"/>
          <w:spacing w:val="0"/>
          <w:kern w:val="24"/>
          <w:sz w:val="24"/>
          <w:szCs w:val="24"/>
        </w:rPr>
        <w:lastRenderedPageBreak/>
        <w:t>What is included in our draft consumer engagement guideline</w:t>
      </w:r>
      <w:r>
        <w:rPr>
          <w:rFonts w:ascii="Tunga" w:eastAsia="Times New Roman" w:hAnsi="Tunga" w:cs="Tunga"/>
          <w:b/>
          <w:iCs/>
          <w:color w:val="006A99"/>
          <w:spacing w:val="0"/>
          <w:kern w:val="24"/>
          <w:sz w:val="24"/>
          <w:szCs w:val="24"/>
        </w:rPr>
        <w:t>?</w:t>
      </w:r>
      <w:r w:rsidRPr="00484BD1">
        <w:rPr>
          <w:rFonts w:ascii="Tunga" w:eastAsia="Times New Roman" w:hAnsi="Tunga" w:cs="Tunga"/>
          <w:b/>
          <w:iCs/>
          <w:color w:val="006A99"/>
          <w:spacing w:val="0"/>
          <w:kern w:val="24"/>
          <w:sz w:val="24"/>
          <w:szCs w:val="24"/>
        </w:rPr>
        <w:t xml:space="preserve"> </w:t>
      </w:r>
    </w:p>
    <w:p w:rsidR="00484BD1" w:rsidRDefault="00484BD1" w:rsidP="00484BD1">
      <w:pPr>
        <w:pStyle w:val="AERfactsheetbodytext"/>
      </w:pPr>
      <w:r>
        <w:t>This framework in our draft guideline has four main components:</w:t>
      </w:r>
    </w:p>
    <w:p w:rsidR="00484BD1" w:rsidRDefault="00484BD1" w:rsidP="00484BD1">
      <w:pPr>
        <w:pStyle w:val="AERfactsheetbulletlist"/>
      </w:pPr>
      <w:r>
        <w:t>priorities: the need to identify issues and set priorities for engagement with consumers</w:t>
      </w:r>
    </w:p>
    <w:p w:rsidR="00484BD1" w:rsidRDefault="00484BD1" w:rsidP="00484BD1">
      <w:pPr>
        <w:pStyle w:val="AERfactsheetbulletlist"/>
      </w:pPr>
      <w:r>
        <w:t>delivery: the activities that we would expect service providers to undertake to engage effectively with consumers</w:t>
      </w:r>
    </w:p>
    <w:p w:rsidR="00484BD1" w:rsidRDefault="00484BD1" w:rsidP="00484BD1">
      <w:pPr>
        <w:pStyle w:val="AERfactsheetbulletlist"/>
      </w:pPr>
      <w:r>
        <w:t xml:space="preserve">results: an articulation of the outputs and measures of success, focusing on explaining how consumer input affected the service providers’ decision making evaluation and </w:t>
      </w:r>
    </w:p>
    <w:p w:rsidR="00484BD1" w:rsidRDefault="00484BD1" w:rsidP="00484BD1">
      <w:pPr>
        <w:pStyle w:val="AERfactsheetbulletlist"/>
      </w:pPr>
      <w:proofErr w:type="gramStart"/>
      <w:r>
        <w:t>review</w:t>
      </w:r>
      <w:proofErr w:type="gramEnd"/>
      <w:r>
        <w:t>: a robust process to identify and make renewed commitment to addressing areas of improvement.</w:t>
      </w:r>
    </w:p>
    <w:p w:rsidR="00484BD1" w:rsidRDefault="00484BD1" w:rsidP="00484BD1">
      <w:pPr>
        <w:pStyle w:val="AERfactsheetbodytext"/>
      </w:pPr>
      <w:r w:rsidRPr="00484BD1">
        <w:t>The guideline places the onus on service providers to develop consumer engagement strategies. Service providers are in the best position to understand their consumer base and its issues. For this reason, the guideline is not prescriptive.</w:t>
      </w:r>
    </w:p>
    <w:p w:rsidR="00506AA6" w:rsidRDefault="00484BD1" w:rsidP="00484BD1">
      <w:pPr>
        <w:pStyle w:val="AERFactsheetHeading1"/>
      </w:pPr>
      <w:r w:rsidRPr="00484BD1">
        <w:t>What do we expect from service providers?</w:t>
      </w:r>
    </w:p>
    <w:p w:rsidR="00484BD1" w:rsidRDefault="00484BD1" w:rsidP="00484BD1">
      <w:pPr>
        <w:pStyle w:val="AERfactsheetbodytext"/>
      </w:pPr>
      <w:r w:rsidRPr="00484BD1">
        <w:t>We expect all service providers—gas and electricity, transmission and distribution—to use the guideline to enhance their consumer engagement activities. Service providers should demonstrate a commitment to ongoing and genuine consumer engagement on a broad range of issues relevant to consumers.</w:t>
      </w: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802901" w:rsidRDefault="00802901" w:rsidP="004E7790">
      <w:pPr>
        <w:pStyle w:val="AERfactsheetbodytext"/>
      </w:pPr>
    </w:p>
    <w:p w:rsidR="004B41DA" w:rsidRDefault="0076117A" w:rsidP="00DD6C72">
      <w:pPr>
        <w:pStyle w:val="AERFactsheetHeading1"/>
      </w:pPr>
      <w:r>
        <w:rPr>
          <w:noProof/>
          <w:lang w:eastAsia="en-AU"/>
        </w:rPr>
        <w:lastRenderedPageBreak/>
        <mc:AlternateContent>
          <mc:Choice Requires="wpc">
            <w:drawing>
              <wp:anchor distT="0" distB="0" distL="114300" distR="114300" simplePos="0" relativeHeight="251659264" behindDoc="0" locked="0" layoutInCell="1" allowOverlap="1" wp14:anchorId="5A0E0ADF" wp14:editId="67C3E919">
                <wp:simplePos x="0" y="0"/>
                <wp:positionH relativeFrom="column">
                  <wp:posOffset>0</wp:posOffset>
                </wp:positionH>
                <wp:positionV relativeFrom="paragraph">
                  <wp:posOffset>195580</wp:posOffset>
                </wp:positionV>
                <wp:extent cx="6608445" cy="207772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36005" y="0"/>
                            <a:ext cx="6420551"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062407" w:rsidRPr="004D1DC0" w:rsidRDefault="00062407" w:rsidP="00802901">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draft consumer engagement guideline for network service providers</w:t>
                              </w:r>
                            </w:p>
                          </w:txbxContent>
                        </wps:txbx>
                        <wps:bodyPr rot="0" vert="horz" wrap="square" lIns="91440" tIns="36000" rIns="91440" bIns="36000" anchor="ctr" anchorCtr="0" upright="1">
                          <a:noAutofit/>
                        </wps:bodyPr>
                      </wps:wsp>
                      <wps:wsp>
                        <wps:cNvPr id="48" name="Rectangle 48"/>
                        <wps:cNvSpPr>
                          <a:spLocks noChangeArrowheads="1"/>
                        </wps:cNvSpPr>
                        <wps:spPr bwMode="auto">
                          <a:xfrm>
                            <a:off x="832610" y="986525"/>
                            <a:ext cx="4921200" cy="280800"/>
                          </a:xfrm>
                          <a:prstGeom prst="rect">
                            <a:avLst/>
                          </a:prstGeom>
                          <a:solidFill>
                            <a:srgbClr val="DBE5F1"/>
                          </a:solidFill>
                          <a:ln>
                            <a:noFill/>
                          </a:ln>
                          <a:extLst/>
                        </wps:spPr>
                        <wps:txbx>
                          <w:txbxContent>
                            <w:p w:rsidR="00062407" w:rsidRPr="00062407" w:rsidRDefault="00062407" w:rsidP="00802901">
                              <w:pPr>
                                <w:pStyle w:val="NormalWeb"/>
                                <w:spacing w:before="0" w:beforeAutospacing="0" w:after="0" w:afterAutospacing="0" w:line="276" w:lineRule="auto"/>
                                <w:jc w:val="center"/>
                                <w:rPr>
                                  <w:b/>
                                </w:rPr>
                              </w:pPr>
                              <w:r w:rsidRPr="00062407">
                                <w:rPr>
                                  <w:rFonts w:ascii="Tunga" w:eastAsia="Calibri" w:hAnsi="Tunga" w:cs="Tunga"/>
                                  <w:b/>
                                  <w:bCs/>
                                  <w:sz w:val="16"/>
                                  <w:szCs w:val="16"/>
                                </w:rPr>
                                <w:t>Best practice principles (accessible, transparent, communication, inclusive, measurable)</w:t>
                              </w:r>
                            </w:p>
                          </w:txbxContent>
                        </wps:txbx>
                        <wps:bodyPr rot="0" vert="horz" wrap="square" lIns="91440" tIns="36000" rIns="91440" bIns="36000" anchor="ctr" anchorCtr="0" upright="1">
                          <a:noAutofit/>
                        </wps:bodyPr>
                      </wps:wsp>
                      <wps:wsp>
                        <wps:cNvPr id="41" name="Rectangle 41"/>
                        <wps:cNvSpPr>
                          <a:spLocks noChangeArrowheads="1"/>
                        </wps:cNvSpPr>
                        <wps:spPr bwMode="auto">
                          <a:xfrm>
                            <a:off x="832610" y="526699"/>
                            <a:ext cx="4919392" cy="28067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062407" w:rsidRDefault="00062407" w:rsidP="00A02F2D">
                              <w:pPr>
                                <w:pStyle w:val="NormalWeb"/>
                                <w:spacing w:before="0" w:beforeAutospacing="0" w:after="0" w:afterAutospacing="0" w:line="276" w:lineRule="auto"/>
                                <w:jc w:val="center"/>
                              </w:pPr>
                              <w:r>
                                <w:rPr>
                                  <w:rFonts w:ascii="Tunga" w:eastAsia="Calibri" w:hAnsi="Tunga" w:cs="Tunga"/>
                                  <w:b/>
                                  <w:bCs/>
                                  <w:color w:val="FFFFFF"/>
                                  <w:sz w:val="16"/>
                                  <w:szCs w:val="16"/>
                                </w:rPr>
                                <w:t xml:space="preserve">Guideline objective: aligning network services with the long term interests of consumers </w:t>
                              </w:r>
                            </w:p>
                          </w:txbxContent>
                        </wps:txbx>
                        <wps:bodyPr rot="0" vert="horz" wrap="square" lIns="91440" tIns="36000" rIns="91440" bIns="36000" anchor="ctr" anchorCtr="0" upright="1">
                          <a:noAutofit/>
                        </wps:bodyPr>
                      </wps:wsp>
                      <wps:wsp>
                        <wps:cNvPr id="46" name="Rectangle 46"/>
                        <wps:cNvSpPr>
                          <a:spLocks noChangeArrowheads="1"/>
                        </wps:cNvSpPr>
                        <wps:spPr bwMode="auto">
                          <a:xfrm>
                            <a:off x="832610" y="1549813"/>
                            <a:ext cx="1188000" cy="280800"/>
                          </a:xfrm>
                          <a:prstGeom prst="rect">
                            <a:avLst/>
                          </a:prstGeom>
                          <a:solidFill>
                            <a:srgbClr val="DBE5F1"/>
                          </a:solidFill>
                          <a:ln>
                            <a:noFill/>
                          </a:ln>
                          <a:extLst/>
                        </wps:spPr>
                        <wps:txbx>
                          <w:txbxContent>
                            <w:p w:rsidR="00062407" w:rsidRDefault="00062407" w:rsidP="005F5C65">
                              <w:pPr>
                                <w:pStyle w:val="NormalWeb"/>
                                <w:spacing w:before="0" w:beforeAutospacing="0" w:after="0" w:afterAutospacing="0" w:line="276" w:lineRule="auto"/>
                                <w:jc w:val="center"/>
                              </w:pPr>
                              <w:r>
                                <w:rPr>
                                  <w:rFonts w:ascii="Tunga" w:eastAsia="Calibri" w:hAnsi="Tunga" w:cs="Tunga"/>
                                  <w:sz w:val="16"/>
                                  <w:szCs w:val="16"/>
                                </w:rPr>
                                <w:t>Priorities</w:t>
                              </w:r>
                            </w:p>
                          </w:txbxContent>
                        </wps:txbx>
                        <wps:bodyPr rot="0" vert="horz" wrap="square" lIns="91440" tIns="36000" rIns="91440" bIns="36000" anchor="ctr" anchorCtr="0" upright="1">
                          <a:noAutofit/>
                        </wps:bodyPr>
                      </wps:wsp>
                      <wps:wsp>
                        <wps:cNvPr id="54" name="Elbow Connector 54"/>
                        <wps:cNvCnPr>
                          <a:stCxn id="48" idx="2"/>
                          <a:endCxn id="46" idx="0"/>
                        </wps:cNvCnPr>
                        <wps:spPr>
                          <a:xfrm rot="5400000">
                            <a:off x="2218666" y="475269"/>
                            <a:ext cx="282488" cy="1866600"/>
                          </a:xfrm>
                          <a:prstGeom prst="bentConnector3">
                            <a:avLst>
                              <a:gd name="adj1" fmla="val 50000"/>
                            </a:avLst>
                          </a:prstGeom>
                          <a:ln>
                            <a:solidFill>
                              <a:srgbClr val="006A99"/>
                            </a:solidFill>
                            <a:tailEnd type="none"/>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stCxn id="41" idx="2"/>
                          <a:endCxn id="48" idx="0"/>
                        </wps:cNvCnPr>
                        <wps:spPr>
                          <a:xfrm>
                            <a:off x="3292306" y="807369"/>
                            <a:ext cx="904" cy="179156"/>
                          </a:xfrm>
                          <a:prstGeom prst="line">
                            <a:avLst/>
                          </a:prstGeom>
                          <a:ln>
                            <a:solidFill>
                              <a:srgbClr val="006A99"/>
                            </a:solidFill>
                            <a:prstDash val="solid"/>
                          </a:ln>
                        </wps:spPr>
                        <wps:style>
                          <a:lnRef idx="1">
                            <a:schemeClr val="accent1"/>
                          </a:lnRef>
                          <a:fillRef idx="0">
                            <a:schemeClr val="accent1"/>
                          </a:fillRef>
                          <a:effectRef idx="0">
                            <a:schemeClr val="accent1"/>
                          </a:effectRef>
                          <a:fontRef idx="minor">
                            <a:schemeClr val="tx1"/>
                          </a:fontRef>
                        </wps:style>
                        <wps:bodyPr/>
                      </wps:wsp>
                      <wps:wsp>
                        <wps:cNvPr id="33" name="Rectangle 33"/>
                        <wps:cNvSpPr>
                          <a:spLocks noChangeArrowheads="1"/>
                        </wps:cNvSpPr>
                        <wps:spPr bwMode="auto">
                          <a:xfrm>
                            <a:off x="2074355" y="1549813"/>
                            <a:ext cx="1188000" cy="280800"/>
                          </a:xfrm>
                          <a:prstGeom prst="rect">
                            <a:avLst/>
                          </a:prstGeom>
                          <a:solidFill>
                            <a:srgbClr val="DBE5F1"/>
                          </a:solidFill>
                          <a:ln>
                            <a:noFill/>
                          </a:ln>
                          <a:extLst/>
                        </wps:spPr>
                        <wps:txbx>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Delivery</w:t>
                              </w:r>
                            </w:p>
                          </w:txbxContent>
                        </wps:txbx>
                        <wps:bodyPr rot="0" vert="horz" wrap="square" lIns="91440" tIns="36000" rIns="91440" bIns="36000" anchor="ctr" anchorCtr="0" upright="1">
                          <a:noAutofit/>
                        </wps:bodyPr>
                      </wps:wsp>
                      <wps:wsp>
                        <wps:cNvPr id="35" name="Rectangle 35"/>
                        <wps:cNvSpPr>
                          <a:spLocks noChangeArrowheads="1"/>
                        </wps:cNvSpPr>
                        <wps:spPr bwMode="auto">
                          <a:xfrm>
                            <a:off x="3330033" y="1553137"/>
                            <a:ext cx="1188000" cy="280800"/>
                          </a:xfrm>
                          <a:prstGeom prst="rect">
                            <a:avLst/>
                          </a:prstGeom>
                          <a:solidFill>
                            <a:srgbClr val="DBE5F1"/>
                          </a:solidFill>
                          <a:ln>
                            <a:noFill/>
                          </a:ln>
                          <a:extLst/>
                        </wps:spPr>
                        <wps:txbx>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Results</w:t>
                              </w:r>
                            </w:p>
                          </w:txbxContent>
                        </wps:txbx>
                        <wps:bodyPr rot="0" vert="horz" wrap="square" lIns="91440" tIns="36000" rIns="91440" bIns="36000" anchor="ctr" anchorCtr="0" upright="1">
                          <a:noAutofit/>
                        </wps:bodyPr>
                      </wps:wsp>
                      <wps:wsp>
                        <wps:cNvPr id="36" name="Rectangle 36"/>
                        <wps:cNvSpPr>
                          <a:spLocks noChangeArrowheads="1"/>
                        </wps:cNvSpPr>
                        <wps:spPr bwMode="auto">
                          <a:xfrm>
                            <a:off x="4569981" y="1550617"/>
                            <a:ext cx="1188000" cy="280800"/>
                          </a:xfrm>
                          <a:prstGeom prst="rect">
                            <a:avLst/>
                          </a:prstGeom>
                          <a:solidFill>
                            <a:srgbClr val="DBE5F1"/>
                          </a:solidFill>
                          <a:ln>
                            <a:noFill/>
                          </a:ln>
                          <a:extLst/>
                        </wps:spPr>
                        <wps:txbx>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Evaluation and review</w:t>
                              </w:r>
                            </w:p>
                          </w:txbxContent>
                        </wps:txbx>
                        <wps:bodyPr rot="0" vert="horz" wrap="square" lIns="91440" tIns="36000" rIns="91440" bIns="36000" anchor="ctr" anchorCtr="0" upright="1">
                          <a:noAutofit/>
                        </wps:bodyPr>
                      </wps:wsp>
                      <wps:wsp>
                        <wps:cNvPr id="37" name="Elbow Connector 37"/>
                        <wps:cNvCnPr>
                          <a:stCxn id="48" idx="2"/>
                          <a:endCxn id="33" idx="0"/>
                        </wps:cNvCnPr>
                        <wps:spPr>
                          <a:xfrm rot="5400000">
                            <a:off x="2839539" y="1096142"/>
                            <a:ext cx="282488" cy="624855"/>
                          </a:xfrm>
                          <a:prstGeom prst="bentConnector3">
                            <a:avLst>
                              <a:gd name="adj1" fmla="val 50000"/>
                            </a:avLst>
                          </a:prstGeom>
                          <a:ln>
                            <a:solidFill>
                              <a:srgbClr val="006A99"/>
                            </a:solidFill>
                            <a:tailEnd type="none"/>
                          </a:ln>
                        </wps:spPr>
                        <wps:style>
                          <a:lnRef idx="1">
                            <a:schemeClr val="accent1"/>
                          </a:lnRef>
                          <a:fillRef idx="0">
                            <a:schemeClr val="accent1"/>
                          </a:fillRef>
                          <a:effectRef idx="0">
                            <a:schemeClr val="accent1"/>
                          </a:effectRef>
                          <a:fontRef idx="minor">
                            <a:schemeClr val="tx1"/>
                          </a:fontRef>
                        </wps:style>
                        <wps:bodyPr/>
                      </wps:wsp>
                      <wps:wsp>
                        <wps:cNvPr id="38" name="Elbow Connector 38"/>
                        <wps:cNvCnPr>
                          <a:stCxn id="35" idx="0"/>
                          <a:endCxn id="48" idx="2"/>
                        </wps:cNvCnPr>
                        <wps:spPr>
                          <a:xfrm rot="16200000" flipV="1">
                            <a:off x="3465716" y="1094819"/>
                            <a:ext cx="285812" cy="630823"/>
                          </a:xfrm>
                          <a:prstGeom prst="bentConnector3">
                            <a:avLst>
                              <a:gd name="adj1" fmla="val 50000"/>
                            </a:avLst>
                          </a:prstGeom>
                          <a:ln>
                            <a:solidFill>
                              <a:srgbClr val="006A99"/>
                            </a:solidFill>
                            <a:tailEnd type="none"/>
                          </a:ln>
                        </wps:spPr>
                        <wps:style>
                          <a:lnRef idx="1">
                            <a:schemeClr val="accent1"/>
                          </a:lnRef>
                          <a:fillRef idx="0">
                            <a:schemeClr val="accent1"/>
                          </a:fillRef>
                          <a:effectRef idx="0">
                            <a:schemeClr val="accent1"/>
                          </a:effectRef>
                          <a:fontRef idx="minor">
                            <a:schemeClr val="tx1"/>
                          </a:fontRef>
                        </wps:style>
                        <wps:bodyPr/>
                      </wps:wsp>
                      <wps:wsp>
                        <wps:cNvPr id="39" name="Elbow Connector 39"/>
                        <wps:cNvCnPr>
                          <a:stCxn id="48" idx="2"/>
                          <a:endCxn id="36" idx="0"/>
                        </wps:cNvCnPr>
                        <wps:spPr>
                          <a:xfrm rot="16200000" flipH="1">
                            <a:off x="4086949" y="473585"/>
                            <a:ext cx="283292" cy="1870771"/>
                          </a:xfrm>
                          <a:prstGeom prst="bentConnector3">
                            <a:avLst>
                              <a:gd name="adj1" fmla="val 50000"/>
                            </a:avLst>
                          </a:prstGeom>
                          <a:ln>
                            <a:solidFill>
                              <a:srgbClr val="006A99"/>
                            </a:solidFill>
                            <a:tailEnd type="non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2" editas="canvas" style="position:absolute;margin-left:0;margin-top:15.4pt;width:520.35pt;height:163.6pt;z-index:251659264;mso-position-horizontal-relative:text;mso-position-vertical-relative:text" coordsize="66084,2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">
                <v:shape id="_x0000_s1033" type="#_x0000_t75" style="position:absolute;width:66084;height:20777;visibility:visible;mso-wrap-style:square">
                  <v:fill o:detectmouseclick="t"/>
                  <v:path o:connecttype="none"/>
                </v:shape>
                <v:rect id="Rectangle 34" o:spid="_x0000_s1034" style="position:absolute;left:360;width:64205;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062407" w:rsidRPr="004D1DC0" w:rsidRDefault="00062407" w:rsidP="00802901">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draft consumer engagement guideline for network service providers</w:t>
                        </w:r>
                      </w:p>
                    </w:txbxContent>
                  </v:textbox>
                </v:rect>
                <v:rect id="Rectangle 48" o:spid="_x0000_s1035" style="position:absolute;left:8326;top:9865;width:49212;height:2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m8LwA&#10;AADbAAAADwAAAGRycy9kb3ducmV2LnhtbERPSwrCMBDdC94hjOBOU0VEaqOIKIouxM8Bxmb6wWZS&#10;mqj19mYhuHy8f7JsTSVe1LjSsoLRMAJBnFpdcq7gdt0OZiCcR9ZYWSYFH3KwXHQ7CcbavvlMr4vP&#10;RQhhF6OCwvs6ltKlBRl0Q1sTBy6zjUEfYJNL3eA7hJtKjqNoKg2WHBoKrGldUPq4PI2C4649jQ2e&#10;13K/uR3zw4ay+5WU6vfa1RyEp9b/xT/3XiuYhL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RibwvAAAANsAAAAPAAAAAAAAAAAAAAAAAJgCAABkcnMvZG93bnJldi54&#10;bWxQSwUGAAAAAAQABAD1AAAAgQMAAAAA&#10;" fillcolor="#dbe5f1" stroked="f">
                  <v:textbox inset=",1mm,,1mm">
                    <w:txbxContent>
                      <w:p w:rsidR="00062407" w:rsidRPr="00062407" w:rsidRDefault="00062407" w:rsidP="00802901">
                        <w:pPr>
                          <w:pStyle w:val="NormalWeb"/>
                          <w:spacing w:before="0" w:beforeAutospacing="0" w:after="0" w:afterAutospacing="0" w:line="276" w:lineRule="auto"/>
                          <w:jc w:val="center"/>
                          <w:rPr>
                            <w:b/>
                          </w:rPr>
                        </w:pPr>
                        <w:r w:rsidRPr="00062407">
                          <w:rPr>
                            <w:rFonts w:ascii="Tunga" w:eastAsia="Calibri" w:hAnsi="Tunga" w:cs="Tunga"/>
                            <w:b/>
                            <w:bCs/>
                            <w:sz w:val="16"/>
                            <w:szCs w:val="16"/>
                          </w:rPr>
                          <w:t>Best practice principles (accessible, transparent, communication, inclusive, measurable)</w:t>
                        </w:r>
                      </w:p>
                    </w:txbxContent>
                  </v:textbox>
                </v:rect>
                <v:rect id="Rectangle 41" o:spid="_x0000_s1036" style="position:absolute;left:8326;top:5266;width:49194;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2sUA&#10;AADbAAAADwAAAGRycy9kb3ducmV2LnhtbESPQWvCQBSE70L/w/IKvZmN0kobXaVUilIQ20TE4yP7&#10;TILZt2F3q+m/7wqCx2FmvmFmi9604kzON5YVjJIUBHFpdcOVgl3xOXwF4QOyxtYyKfgjD4v5w2CG&#10;mbYX/qFzHioRIewzVFCH0GVS+rImgz6xHXH0jtYZDFG6SmqHlwg3rRyn6UQabDgu1NjRR03lKf81&#10;Cvart0ll860uXr7Sw2mzc9/Lwin19Ni/T0EE6sM9fGuvtYLnEV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57axQAAANsAAAAPAAAAAAAAAAAAAAAAAJgCAABkcnMv&#10;ZG93bnJldi54bWxQSwUGAAAAAAQABAD1AAAAigMAAAAA&#10;" fillcolor="#006a99" stroked="f" strokeweight="2pt">
                  <v:textbox inset=",1mm,,1mm">
                    <w:txbxContent>
                      <w:p w:rsidR="00062407" w:rsidRDefault="00062407" w:rsidP="00A02F2D">
                        <w:pPr>
                          <w:pStyle w:val="NormalWeb"/>
                          <w:spacing w:before="0" w:beforeAutospacing="0" w:after="0" w:afterAutospacing="0" w:line="276" w:lineRule="auto"/>
                          <w:jc w:val="center"/>
                        </w:pPr>
                        <w:r>
                          <w:rPr>
                            <w:rFonts w:ascii="Tunga" w:eastAsia="Calibri" w:hAnsi="Tunga" w:cs="Tunga"/>
                            <w:b/>
                            <w:bCs/>
                            <w:color w:val="FFFFFF"/>
                            <w:sz w:val="16"/>
                            <w:szCs w:val="16"/>
                          </w:rPr>
                          <w:t xml:space="preserve">Guideline objective: aligning network services with the long term interests of consumers </w:t>
                        </w:r>
                      </w:p>
                    </w:txbxContent>
                  </v:textbox>
                </v:rect>
                <v:rect id="Rectangle 46" o:spid="_x0000_s1037" style="position:absolute;left:8326;top:15498;width:11880;height:2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XGb8A&#10;AADbAAAADwAAAGRycy9kb3ducmV2LnhtbESPwQrCMBBE74L/EFbwpqkiItUoIoqiB7H6AWuztsVm&#10;U5qo9e+NIHgcZuYNM1s0phRPql1hWcGgH4EgTq0uOFNwOW96ExDOI2ssLZOCNzlYzNutGcbavvhE&#10;z8RnIkDYxagg976KpXRpTgZd31bEwbvZ2qAPss6krvEV4KaUwygaS4MFh4UcK1rllN6Th1Fw2DbH&#10;ocHTSu7Wl0O2X9Pteialup1mOQXhqfH/8K+90wpGY/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RcZvwAAANsAAAAPAAAAAAAAAAAAAAAAAJgCAABkcnMvZG93bnJl&#10;di54bWxQSwUGAAAAAAQABAD1AAAAhAMAAAAA&#10;" fillcolor="#dbe5f1" stroked="f">
                  <v:textbox inset=",1mm,,1mm">
                    <w:txbxContent>
                      <w:p w:rsidR="00062407" w:rsidRDefault="00062407" w:rsidP="005F5C65">
                        <w:pPr>
                          <w:pStyle w:val="NormalWeb"/>
                          <w:spacing w:before="0" w:beforeAutospacing="0" w:after="0" w:afterAutospacing="0" w:line="276" w:lineRule="auto"/>
                          <w:jc w:val="center"/>
                        </w:pPr>
                        <w:r>
                          <w:rPr>
                            <w:rFonts w:ascii="Tunga" w:eastAsia="Calibri" w:hAnsi="Tunga" w:cs="Tunga"/>
                            <w:sz w:val="16"/>
                            <w:szCs w:val="16"/>
                          </w:rPr>
                          <w:t>Priorities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38" type="#_x0000_t34" style="position:absolute;left:22186;top:4753;width:2825;height:186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kK8MAAADbAAAADwAAAGRycy9kb3ducmV2LnhtbESP0WoCMRRE3wv9h3ALvhTNVuxWVqNU&#10;UfFFpOoHXDa3m6WbmyWJuv69EYQ+DjNzhpnOO9uIC/lQO1bwMchAEJdO11wpOB3X/TGIEJE1No5J&#10;wY0CzGevL1MstLvyD10OsRIJwqFABSbGtpAylIYshoFriZP367zFmKSvpPZ4TXDbyGGW5dJizWnB&#10;YEtLQ+Xf4WwVuOM5r8za77/yfLNa7AxthvFdqd5b9z0BEamL/+Fne6sVfI7g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4pCvDAAAA2wAAAA8AAAAAAAAAAAAA&#10;AAAAoQIAAGRycy9kb3ducmV2LnhtbFBLBQYAAAAABAAEAPkAAACRAwAAAAA=&#10;" strokecolor="#006a99"/>
                <v:line id="Straight Connector 10" o:spid="_x0000_s1039" style="position:absolute;visibility:visible;mso-wrap-style:square" from="32923,8073" to="32932,9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GRS8YAAADbAAAADwAAAGRycy9kb3ducmV2LnhtbESPT2vCQBDF74LfYRmhF6kbBUXSbESE&#10;UosH/7TQHofsNAnNzobsqrGfvnMQvM3w3rz3m2zVu0ZdqAu1ZwPTSQKKuPC25tLA58fr8xJUiMgW&#10;G89k4EYBVvlwkGFq/ZWPdDnFUkkIhxQNVDG2qdahqMhhmPiWWLQf3zmMsnalth1eJdw1epYkC+2w&#10;ZmmosKVNRcXv6ewMvPnj9DD33+/73S6M/86tXo6/9sY8jfr1C6hIfXyY79dbK/hCL7/IAD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BkUvGAAAA2wAAAA8AAAAAAAAA&#10;AAAAAAAAoQIAAGRycy9kb3ducmV2LnhtbFBLBQYAAAAABAAEAPkAAACUAwAAAAA=&#10;" strokecolor="#006a99"/>
                <v:rect id="Rectangle 33" o:spid="_x0000_s1040" style="position:absolute;left:20743;top:15498;width:11880;height:2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TH/L8A&#10;AADbAAAADwAAAGRycy9kb3ducmV2LnhtbESPwQrCMBBE74L/EFbwpqkKItUoIoqiB7H6AWuztsVm&#10;U5qo9e+NIHgcZuYNM1s0phRPql1hWcGgH4EgTq0uOFNwOW96ExDOI2ssLZOCNzlYzNutGcbavvhE&#10;z8RnIkDYxagg976KpXRpTgZd31bEwbvZ2qAPss6krvEV4KaUwygaS4MFh4UcK1rllN6Th1Fw2DbH&#10;ocHTSu7Wl0O2X9Pteialup1mOQXhqfH/8K+90wpGI/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5Mf8vwAAANsAAAAPAAAAAAAAAAAAAAAAAJgCAABkcnMvZG93bnJl&#10;di54bWxQSwUGAAAAAAQABAD1AAAAhAMAAAAA&#10;" fillcolor="#dbe5f1" stroked="f">
                  <v:textbox inset=",1mm,,1mm">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Delivery</w:t>
                        </w:r>
                      </w:p>
                    </w:txbxContent>
                  </v:textbox>
                </v:rect>
                <v:rect id="Rectangle 35" o:spid="_x0000_s1041" style="position:absolute;left:33300;top:15531;width:11880;height:2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6E78A&#10;AADbAAAADwAAAGRycy9kb3ducmV2LnhtbESPzQrCMBCE74LvEFbwpqmKItUoIoqiB/HnAdZmbYvN&#10;pjRR69sbQfA4zMw3zHRem0I8qXK5ZQW9bgSCOLE651TB5bzujEE4j6yxsEwK3uRgPms2phhr++Ij&#10;PU8+FQHCLkYFmfdlLKVLMjLourYkDt7NVgZ9kFUqdYWvADeF7EfRSBrMOSxkWNIyo+R+ehgF+019&#10;6Bs8LuV2ddmnuxXdrmdSqt2qFxMQnmr/D//aW61gMIT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QfoTvwAAANsAAAAPAAAAAAAAAAAAAAAAAJgCAABkcnMvZG93bnJl&#10;di54bWxQSwUGAAAAAAQABAD1AAAAhAMAAAAA&#10;" fillcolor="#dbe5f1" stroked="f">
                  <v:textbox inset=",1mm,,1mm">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Results</w:t>
                        </w:r>
                      </w:p>
                    </w:txbxContent>
                  </v:textbox>
                </v:rect>
                <v:rect id="Rectangle 36" o:spid="_x0000_s1042" style="position:absolute;left:45699;top:15506;width:11880;height:28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kZL8A&#10;AADbAAAADwAAAGRycy9kb3ducmV2LnhtbESPwQrCMBBE74L/EFbwpqkKItUoIoqiB7H6AWuztsVm&#10;U5qo9e+NIHgcZuYNM1s0phRPql1hWcGgH4EgTq0uOFNwOW96ExDOI2ssLZOCNzlYzNutGcbavvhE&#10;z8RnIkDYxagg976KpXRpTgZd31bEwbvZ2qAPss6krvEV4KaUwygaS4MFh4UcK1rllN6Th1Fw2DbH&#10;ocHTSu7Wl0O2X9Pteialup1mOQXhqfH/8K+90wpGY/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2RkvwAAANsAAAAPAAAAAAAAAAAAAAAAAJgCAABkcnMvZG93bnJl&#10;di54bWxQSwUGAAAAAAQABAD1AAAAhAMAAAAA&#10;" fillcolor="#dbe5f1" stroked="f">
                  <v:textbox inset=",1mm,,1mm">
                    <w:txbxContent>
                      <w:p w:rsidR="006A6C7D" w:rsidRDefault="006A6C7D" w:rsidP="006A6C7D">
                        <w:pPr>
                          <w:pStyle w:val="NormalWeb"/>
                          <w:spacing w:before="0" w:beforeAutospacing="0" w:after="0" w:afterAutospacing="0" w:line="276" w:lineRule="auto"/>
                          <w:jc w:val="center"/>
                        </w:pPr>
                        <w:r>
                          <w:rPr>
                            <w:rFonts w:ascii="Tunga" w:eastAsia="Calibri" w:hAnsi="Tunga" w:cs="Tunga"/>
                            <w:sz w:val="16"/>
                            <w:szCs w:val="16"/>
                          </w:rPr>
                          <w:t>Evaluation and review</w:t>
                        </w:r>
                      </w:p>
                    </w:txbxContent>
                  </v:textbox>
                </v:rect>
                <v:shape id="Elbow Connector 37" o:spid="_x0000_s1043" type="#_x0000_t34" style="position:absolute;left:28395;top:10961;width:2825;height:62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Xf/MMAAADbAAAADwAAAGRycy9kb3ducmV2LnhtbESP3WoCMRSE74W+QzgFb6Rma2G3rEbR&#10;otIbEX8e4LA5bhY3J0sSdfv2TaHg5TAz3zCzRW9bcScfGscK3scZCOLK6YZrBefT5u0TRIjIGlvH&#10;pOCHAizmL4MZlto9+ED3Y6xFgnAoUYGJsSulDJUhi2HsOuLkXZy3GJP0tdQeHwluWznJslxabDgt&#10;GOzoy1B1Pd6sAne65bXZ+H2R59v1amdoO4kjpYav/XIKIlIfn+H/9rdW8FHA35f0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13/zDAAAA2wAAAA8AAAAAAAAAAAAA&#10;AAAAoQIAAGRycy9kb3ducmV2LnhtbFBLBQYAAAAABAAEAPkAAACRAwAAAAA=&#10;" strokecolor="#006a99"/>
                <v:shape id="Elbow Connector 38" o:spid="_x0000_s1044" type="#_x0000_t34" style="position:absolute;left:34657;top:10948;width:2858;height:630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tip8AAAADbAAAADwAAAGRycy9kb3ducmV2LnhtbERPzWqDQBC+F/oOyxRyq2sq2GBdRUIC&#10;IfTQxjzA6E5V4s6Ku03M22cPhR4/vv+8XMworjS7wbKCdRSDIG6tHrhTcK73rxsQziNrHC2Tgjs5&#10;KIvnpxwzbW/8TdeT70QIYZehgt77KZPStT0ZdJGdiAP3Y2eDPsC5k3rGWwg3o3yL41QaHDg09DjR&#10;tqf2cvo1Cnaf9mBI1lXzNTRpkyTvx2PaKLV6WaoPEJ4W/y/+cx+0giSMDV/CD5D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bYqfAAAAA2wAAAA8AAAAAAAAAAAAAAAAA&#10;oQIAAGRycy9kb3ducmV2LnhtbFBLBQYAAAAABAAEAPkAAACOAwAAAAA=&#10;" strokecolor="#006a99"/>
                <v:shape id="Elbow Connector 39" o:spid="_x0000_s1045" type="#_x0000_t34" style="position:absolute;left:40869;top:4736;width:2833;height:1870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HPMQAAADbAAAADwAAAGRycy9kb3ducmV2LnhtbESP0WqDQBRE3wP9h+UW8hbXRLCtySaE&#10;0IBIH1rtB1zdG5W4d8XdJvbvu4VCH4eZOcPsDrMZxI0m11tWsI5iEMSN1T23Cj6r8+oZhPPIGgfL&#10;pOCbHBz2D4sdZtre+YNupW9FgLDLUEHn/ZhJ6ZqODLrIjsTBu9jJoA9yaqWe8B7gZpCbOE6lwZ7D&#10;QocjnTpqruWXUfD6ZnNDsjrW732d1knyVBRprdTycT5uQXia/X/4r51rBckL/H4JP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8c8xAAAANsAAAAPAAAAAAAAAAAA&#10;AAAAAKECAABkcnMvZG93bnJldi54bWxQSwUGAAAAAAQABAD5AAAAkgMAAAAA&#10;" strokecolor="#006a99"/>
              </v:group>
            </w:pict>
          </mc:Fallback>
        </mc:AlternateContent>
      </w:r>
      <w:r w:rsidR="004B41DA">
        <w:rPr>
          <w:noProof/>
          <w:lang w:eastAsia="en-AU"/>
        </w:rPr>
        <mc:AlternateContent>
          <mc:Choice Requires="wpg">
            <w:drawing>
              <wp:anchor distT="0" distB="0" distL="114300" distR="114300" simplePos="0" relativeHeight="251661312" behindDoc="1" locked="0" layoutInCell="1" allowOverlap="1" wp14:anchorId="0BC74E83" wp14:editId="781BB57A">
                <wp:simplePos x="0" y="0"/>
                <wp:positionH relativeFrom="column">
                  <wp:posOffset>-457200</wp:posOffset>
                </wp:positionH>
                <wp:positionV relativeFrom="paragraph">
                  <wp:posOffset>31750</wp:posOffset>
                </wp:positionV>
                <wp:extent cx="7642225" cy="323850"/>
                <wp:effectExtent l="0" t="0" r="15875" b="38100"/>
                <wp:wrapThrough wrapText="bothSides">
                  <wp:wrapPolygon edited="0">
                    <wp:start x="0" y="0"/>
                    <wp:lineTo x="0" y="22871"/>
                    <wp:lineTo x="21591" y="22871"/>
                    <wp:lineTo x="21591"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407" w:rsidRPr="006B1EE6" w:rsidRDefault="00062407" w:rsidP="00802901">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CONSUMER ENGAGEMENT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3" o:spid="_x0000_s1046" style="position:absolute;margin-left:-36pt;margin-top:2.5pt;width:601.75pt;height:25.5pt;z-index:-251655168;mso-position-horizontal-relative:text;mso-position-vertical-relative:text;mso-width-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">
                <v:shape id="Text Box 2" o:spid="_x0000_s1047"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062407" w:rsidRPr="006B1EE6" w:rsidRDefault="00062407" w:rsidP="00802901">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CONSUMER ENGAGEMENT GUIDELINE</w:t>
                        </w:r>
                      </w:p>
                    </w:txbxContent>
                  </v:textbox>
                </v:shape>
                <v:line id="Straight Connector 6" o:spid="_x0000_s1048"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type="through"/>
              </v:group>
            </w:pict>
          </mc:Fallback>
        </mc:AlternateContent>
      </w:r>
    </w:p>
    <w:p w:rsidR="004B41DA" w:rsidRDefault="004B41DA" w:rsidP="00DD6C72">
      <w:pPr>
        <w:pStyle w:val="AERFactsheetHeading1"/>
      </w:pPr>
    </w:p>
    <w:p w:rsidR="004B41DA" w:rsidRDefault="004B41DA" w:rsidP="00DD6C72">
      <w:pPr>
        <w:pStyle w:val="AERFactsheetHeading1"/>
      </w:pPr>
    </w:p>
    <w:p w:rsidR="004B41DA" w:rsidRDefault="004B41DA" w:rsidP="00DD6C72">
      <w:pPr>
        <w:pStyle w:val="AERFactsheetHeading1"/>
      </w:pPr>
    </w:p>
    <w:p w:rsidR="004B41DA" w:rsidRDefault="004B41DA" w:rsidP="00DD6C72">
      <w:pPr>
        <w:pStyle w:val="AERFactsheetHeading1"/>
      </w:pPr>
    </w:p>
    <w:p w:rsidR="004B41DA" w:rsidRDefault="004B41DA" w:rsidP="00DD6C72">
      <w:pPr>
        <w:pStyle w:val="AERFactsheetHeading1"/>
      </w:pPr>
    </w:p>
    <w:p w:rsidR="004B41DA" w:rsidRDefault="004B41DA" w:rsidP="00DD6C72">
      <w:pPr>
        <w:pStyle w:val="AERFactsheetHeading1"/>
      </w:pPr>
    </w:p>
    <w:p w:rsidR="004B41DA" w:rsidRDefault="004B41DA" w:rsidP="00DD6C72">
      <w:pPr>
        <w:pStyle w:val="AERFactsheetHeading1"/>
      </w:pPr>
    </w:p>
    <w:p w:rsidR="00476A6B" w:rsidRPr="00DD6C72" w:rsidRDefault="00484BD1" w:rsidP="00DD6C72">
      <w:pPr>
        <w:pStyle w:val="AERFactsheetHeading1"/>
      </w:pPr>
      <w:r w:rsidRPr="00484BD1">
        <w:t>What are the best practice principles for consumer engagement?</w:t>
      </w:r>
    </w:p>
    <w:p w:rsidR="00484BD1" w:rsidRDefault="00484BD1" w:rsidP="00BD1663">
      <w:pPr>
        <w:pStyle w:val="AERFactsheetHeading1"/>
        <w:rPr>
          <w:rFonts w:ascii="MS Reference Sans Serif" w:eastAsia="Calibri" w:hAnsi="MS Reference Sans Serif" w:cs="Shruti"/>
          <w:b w:val="0"/>
          <w:iCs w:val="0"/>
          <w:color w:val="auto"/>
          <w:spacing w:val="-10"/>
          <w:kern w:val="0"/>
          <w:sz w:val="18"/>
          <w:szCs w:val="22"/>
        </w:rPr>
      </w:pPr>
      <w:r w:rsidRPr="00484BD1">
        <w:rPr>
          <w:rFonts w:ascii="MS Reference Sans Serif" w:eastAsia="Calibri" w:hAnsi="MS Reference Sans Serif" w:cs="Shruti"/>
          <w:b w:val="0"/>
          <w:iCs w:val="0"/>
          <w:color w:val="auto"/>
          <w:spacing w:val="-10"/>
          <w:kern w:val="0"/>
          <w:sz w:val="18"/>
          <w:szCs w:val="22"/>
        </w:rPr>
        <w:t>Five key principles underpin our consumer engagement guideline. Briefly, they are:</w:t>
      </w:r>
    </w:p>
    <w:p w:rsidR="00484BD1" w:rsidRPr="00484BD1" w:rsidRDefault="00484BD1" w:rsidP="00484BD1">
      <w:pPr>
        <w:pStyle w:val="AERfactsheetbulletlist"/>
        <w:rPr>
          <w:rFonts w:eastAsia="Calibri"/>
        </w:rPr>
      </w:pPr>
      <w:r>
        <w:rPr>
          <w:rFonts w:eastAsia="Calibri"/>
          <w:b/>
          <w:iCs/>
        </w:rPr>
        <w:t>a</w:t>
      </w:r>
      <w:r w:rsidRPr="00484BD1">
        <w:rPr>
          <w:rFonts w:eastAsia="Calibri"/>
        </w:rPr>
        <w:t>ccessibility: recognise, understand and involve consumers early and throughout the process</w:t>
      </w:r>
    </w:p>
    <w:p w:rsidR="00484BD1" w:rsidRPr="00484BD1" w:rsidRDefault="00484BD1" w:rsidP="00484BD1">
      <w:pPr>
        <w:pStyle w:val="AERfactsheetbulletlist"/>
        <w:rPr>
          <w:rFonts w:eastAsia="Calibri"/>
        </w:rPr>
      </w:pPr>
      <w:r w:rsidRPr="00484BD1">
        <w:rPr>
          <w:rFonts w:eastAsia="Calibri"/>
        </w:rPr>
        <w:t>transparency: explain the role of consumers in the engagement process</w:t>
      </w:r>
    </w:p>
    <w:p w:rsidR="00484BD1" w:rsidRPr="00484BD1" w:rsidRDefault="00484BD1" w:rsidP="00484BD1">
      <w:pPr>
        <w:pStyle w:val="AERfactsheetbulletlist"/>
        <w:rPr>
          <w:rFonts w:eastAsia="Calibri"/>
        </w:rPr>
      </w:pPr>
      <w:r w:rsidRPr="00484BD1">
        <w:rPr>
          <w:rFonts w:eastAsia="Calibri"/>
        </w:rPr>
        <w:t>communication: provide information that is clear, accurate, relevant and timely</w:t>
      </w:r>
    </w:p>
    <w:p w:rsidR="00484BD1" w:rsidRPr="00484BD1" w:rsidRDefault="00484BD1" w:rsidP="00484BD1">
      <w:pPr>
        <w:pStyle w:val="AERfactsheetbulletlist"/>
        <w:rPr>
          <w:rFonts w:eastAsia="Calibri"/>
        </w:rPr>
      </w:pPr>
      <w:r w:rsidRPr="00484BD1">
        <w:rPr>
          <w:rFonts w:eastAsia="Calibri"/>
        </w:rPr>
        <w:t>inclusivity: value consumer input and seek mutually beneficial outcomes</w:t>
      </w:r>
    </w:p>
    <w:p w:rsidR="00484BD1" w:rsidRDefault="00484BD1" w:rsidP="00484BD1">
      <w:pPr>
        <w:pStyle w:val="AERfactsheetbulletlist"/>
        <w:rPr>
          <w:rFonts w:eastAsia="Calibri"/>
          <w:b/>
          <w:iCs/>
        </w:rPr>
      </w:pPr>
      <w:proofErr w:type="gramStart"/>
      <w:r w:rsidRPr="00484BD1">
        <w:rPr>
          <w:rFonts w:eastAsia="Calibri"/>
        </w:rPr>
        <w:t>measurability</w:t>
      </w:r>
      <w:proofErr w:type="gramEnd"/>
      <w:r w:rsidRPr="00484BD1">
        <w:rPr>
          <w:rFonts w:eastAsia="Calibri"/>
        </w:rPr>
        <w:t>: measure the success, or otherwise, of engagement activities.</w:t>
      </w:r>
    </w:p>
    <w:p w:rsidR="00BD1663" w:rsidRDefault="00484BD1" w:rsidP="00BD1663">
      <w:pPr>
        <w:pStyle w:val="AERFactsheetHeading1"/>
      </w:pPr>
      <w:r>
        <w:t>How did we develop this guideline?</w:t>
      </w:r>
    </w:p>
    <w:p w:rsidR="00484BD1" w:rsidRPr="00484BD1" w:rsidRDefault="00484BD1" w:rsidP="00484BD1">
      <w:pPr>
        <w:pStyle w:val="AERFactsheetHeading1"/>
        <w:rPr>
          <w:rFonts w:ascii="MS Reference Sans Serif" w:eastAsia="Calibri" w:hAnsi="MS Reference Sans Serif" w:cs="Shruti"/>
          <w:b w:val="0"/>
          <w:iCs w:val="0"/>
          <w:color w:val="auto"/>
          <w:spacing w:val="-10"/>
          <w:kern w:val="0"/>
          <w:sz w:val="18"/>
          <w:szCs w:val="22"/>
        </w:rPr>
      </w:pPr>
      <w:r w:rsidRPr="00484BD1">
        <w:rPr>
          <w:rFonts w:ascii="MS Reference Sans Serif" w:eastAsia="Calibri" w:hAnsi="MS Reference Sans Serif" w:cs="Shruti"/>
          <w:b w:val="0"/>
          <w:iCs w:val="0"/>
          <w:color w:val="auto"/>
          <w:spacing w:val="-10"/>
          <w:kern w:val="0"/>
          <w:sz w:val="18"/>
          <w:szCs w:val="22"/>
        </w:rPr>
        <w:t>In developing the draft guideline and explanatory statement, we:</w:t>
      </w:r>
    </w:p>
    <w:p w:rsidR="00484BD1" w:rsidRPr="00484BD1" w:rsidRDefault="00484BD1" w:rsidP="00484BD1">
      <w:pPr>
        <w:pStyle w:val="AERfactsheetbulletlist"/>
        <w:rPr>
          <w:rFonts w:eastAsia="Calibri"/>
        </w:rPr>
      </w:pPr>
      <w:r w:rsidRPr="00484BD1">
        <w:rPr>
          <w:rFonts w:eastAsia="Calibri"/>
        </w:rPr>
        <w:t>conducted a high level survey of most service providers to understand their current consumer engagement activities</w:t>
      </w:r>
    </w:p>
    <w:p w:rsidR="00484BD1" w:rsidRPr="00484BD1" w:rsidRDefault="00484BD1" w:rsidP="00484BD1">
      <w:pPr>
        <w:pStyle w:val="AERfactsheetbulletlist"/>
        <w:rPr>
          <w:rFonts w:eastAsia="Calibri"/>
        </w:rPr>
      </w:pPr>
      <w:r w:rsidRPr="00484BD1">
        <w:rPr>
          <w:rFonts w:eastAsia="Calibri"/>
        </w:rPr>
        <w:t>held forums with consumer groups</w:t>
      </w:r>
    </w:p>
    <w:p w:rsidR="00484BD1" w:rsidRPr="00484BD1" w:rsidRDefault="00484BD1" w:rsidP="00484BD1">
      <w:pPr>
        <w:pStyle w:val="AERfactsheetbulletlist"/>
        <w:rPr>
          <w:rFonts w:eastAsia="Calibri"/>
        </w:rPr>
      </w:pPr>
      <w:r w:rsidRPr="00484BD1">
        <w:rPr>
          <w:rFonts w:eastAsia="Calibri"/>
        </w:rPr>
        <w:t>met with service providers to gain their input</w:t>
      </w:r>
    </w:p>
    <w:p w:rsidR="00484BD1" w:rsidRPr="00484BD1" w:rsidRDefault="00484BD1" w:rsidP="00484BD1">
      <w:pPr>
        <w:pStyle w:val="AERfactsheetbulletlist"/>
        <w:rPr>
          <w:rFonts w:eastAsia="Calibri"/>
        </w:rPr>
      </w:pPr>
      <w:r w:rsidRPr="00484BD1">
        <w:rPr>
          <w:rFonts w:eastAsia="Calibri"/>
        </w:rPr>
        <w:t>workshopped a range of issues with our consumer reference group</w:t>
      </w:r>
    </w:p>
    <w:p w:rsidR="00484BD1" w:rsidRPr="004B41DA" w:rsidRDefault="00484BD1" w:rsidP="00484BD1">
      <w:pPr>
        <w:pStyle w:val="AERfactsheetbulletlist"/>
        <w:rPr>
          <w:rFonts w:eastAsia="Calibri"/>
        </w:rPr>
      </w:pPr>
      <w:r w:rsidRPr="00484BD1">
        <w:rPr>
          <w:rFonts w:eastAsia="Calibri"/>
        </w:rPr>
        <w:t xml:space="preserve">issued an open invitation to service providers to make </w:t>
      </w:r>
      <w:r w:rsidRPr="00484BD1">
        <w:t>comments</w:t>
      </w: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r w:rsidRPr="00697FF1">
        <w:rPr>
          <w:noProof/>
          <w:lang w:eastAsia="en-AU"/>
        </w:rPr>
        <w:drawing>
          <wp:anchor distT="0" distB="0" distL="114300" distR="114300" simplePos="0" relativeHeight="251665408" behindDoc="0" locked="0" layoutInCell="1" allowOverlap="1" wp14:anchorId="320F037D" wp14:editId="0505A523">
            <wp:simplePos x="0" y="0"/>
            <wp:positionH relativeFrom="column">
              <wp:posOffset>-457200</wp:posOffset>
            </wp:positionH>
            <wp:positionV relativeFrom="page">
              <wp:posOffset>10205085</wp:posOffset>
            </wp:positionV>
            <wp:extent cx="8827135" cy="492760"/>
            <wp:effectExtent l="0" t="0" r="0" b="2540"/>
            <wp:wrapNone/>
            <wp:docPr id="8" name="Picture 8"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B41DA" w:rsidRDefault="004B41DA" w:rsidP="004B41DA">
      <w:pPr>
        <w:pStyle w:val="AERfactsheetbulletlist"/>
        <w:numPr>
          <w:ilvl w:val="0"/>
          <w:numId w:val="0"/>
        </w:numPr>
        <w:ind w:left="284" w:hanging="284"/>
      </w:pPr>
    </w:p>
    <w:p w:rsidR="00484BD1" w:rsidRPr="00484BD1" w:rsidRDefault="00484BD1" w:rsidP="00484BD1">
      <w:pPr>
        <w:pStyle w:val="AERfactsheetbulletlist"/>
      </w:pPr>
      <w:r w:rsidRPr="00484BD1">
        <w:t>researched other regulated businesses, both domestic and international</w:t>
      </w:r>
    </w:p>
    <w:p w:rsidR="00484BD1" w:rsidRPr="00484BD1" w:rsidRDefault="00484BD1" w:rsidP="00484BD1">
      <w:pPr>
        <w:pStyle w:val="AERfactsheetbulletlist"/>
      </w:pPr>
      <w:r w:rsidRPr="00484BD1">
        <w:t>reviewed literature on consumer engagement</w:t>
      </w:r>
    </w:p>
    <w:p w:rsidR="00484BD1" w:rsidRPr="00484BD1" w:rsidRDefault="00484BD1" w:rsidP="00484BD1">
      <w:pPr>
        <w:pStyle w:val="AERfactsheetbulletlist"/>
      </w:pPr>
      <w:proofErr w:type="gramStart"/>
      <w:r w:rsidRPr="00484BD1">
        <w:t>held</w:t>
      </w:r>
      <w:proofErr w:type="gramEnd"/>
      <w:r w:rsidRPr="00484BD1">
        <w:t xml:space="preserve"> informal discussions with interested parties.</w:t>
      </w:r>
    </w:p>
    <w:p w:rsidR="00484BD1" w:rsidRDefault="00484BD1" w:rsidP="00484BD1">
      <w:pPr>
        <w:pStyle w:val="AERfactsheetbodytext"/>
      </w:pPr>
      <w:r w:rsidRPr="00484BD1">
        <w:t>Treating all interested parties’ views as submissions, we developed a framework underpinned by the best practice principles for consumer engagement.</w:t>
      </w:r>
    </w:p>
    <w:p w:rsidR="00484BD1" w:rsidRPr="00484BD1" w:rsidRDefault="00484BD1" w:rsidP="00484BD1">
      <w:pPr>
        <w:pStyle w:val="AERfactsheetbodytext"/>
      </w:pPr>
      <w:r>
        <w:rPr>
          <w:noProof/>
          <w:lang w:eastAsia="en-AU"/>
        </w:rPr>
        <mc:AlternateContent>
          <mc:Choice Requires="wps">
            <w:drawing>
              <wp:inline distT="0" distB="0" distL="0" distR="0" wp14:anchorId="4B41F3EB" wp14:editId="3C3756F0">
                <wp:extent cx="3101340" cy="555172"/>
                <wp:effectExtent l="0" t="0" r="22860" b="1651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555172"/>
                        </a:xfrm>
                        <a:prstGeom prst="rect">
                          <a:avLst/>
                        </a:prstGeom>
                        <a:solidFill>
                          <a:srgbClr val="DBE5F1"/>
                        </a:solidFill>
                        <a:ln w="9525">
                          <a:solidFill>
                            <a:srgbClr val="006A99"/>
                          </a:solidFill>
                          <a:miter lim="800000"/>
                          <a:headEnd/>
                          <a:tailEnd/>
                        </a:ln>
                      </wps:spPr>
                      <wps:txbx>
                        <w:txbxContent>
                          <w:p w:rsidR="00062407" w:rsidRPr="00697FF1" w:rsidRDefault="00062407" w:rsidP="00484BD1">
                            <w:pPr>
                              <w:pStyle w:val="AERfactsheetbodytext"/>
                            </w:pPr>
                            <w:r w:rsidRPr="00484BD1">
                              <w:t>Consumer groups indicated that consumers want an opportunity to influence service provider decision making</w:t>
                            </w:r>
                          </w:p>
                        </w:txbxContent>
                      </wps:txbx>
                      <wps:bodyPr rot="0" vert="horz" wrap="square" lIns="91440" tIns="45720" rIns="91440" bIns="45720" anchor="t" anchorCtr="0" upright="1">
                        <a:noAutofit/>
                      </wps:bodyPr>
                    </wps:wsp>
                  </a:graphicData>
                </a:graphic>
              </wp:inline>
            </w:drawing>
          </mc:Choice>
          <mc:Fallback>
            <w:pict>
              <v:shape id="Text Box 1" o:spid="_x0000_s1049" type="#_x0000_t202" style="width:244.2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" fillcolor="#dbe5f1" strokecolor="#006a99">
                <v:textbox>
                  <w:txbxContent>
                    <w:p w:rsidR="00062407" w:rsidRPr="00697FF1" w:rsidRDefault="00062407" w:rsidP="00484BD1">
                      <w:pPr>
                        <w:pStyle w:val="AERfactsheetbodytext"/>
                      </w:pPr>
                      <w:r w:rsidRPr="00484BD1">
                        <w:t>Consumer groups indicated that consumers want an opportunity to influence service provider decision making</w:t>
                      </w:r>
                    </w:p>
                  </w:txbxContent>
                </v:textbox>
                <w10:anchorlock/>
              </v:shape>
            </w:pict>
          </mc:Fallback>
        </mc:AlternateContent>
      </w:r>
    </w:p>
    <w:p w:rsidR="00B0183D" w:rsidRPr="00697FF1" w:rsidRDefault="00B0183D" w:rsidP="00484BD1">
      <w:pPr>
        <w:pStyle w:val="AERFactsheetHeading1"/>
      </w:pPr>
      <w:r w:rsidRPr="00697FF1">
        <w:t>How can I provide a submission or comments?</w:t>
      </w:r>
    </w:p>
    <w:p w:rsidR="004E2EF3" w:rsidRPr="00697FF1" w:rsidRDefault="00E1275F" w:rsidP="004E2EF3">
      <w:pPr>
        <w:pStyle w:val="AERfactsheetbodytext"/>
      </w:pPr>
      <w:r w:rsidRPr="00B751A5">
        <w:t xml:space="preserve">We invite interested parties to make submissions or comments on our </w:t>
      </w:r>
      <w:r w:rsidR="00B0183D" w:rsidRPr="00697FF1">
        <w:t xml:space="preserve">draft </w:t>
      </w:r>
      <w:r w:rsidR="00484BD1">
        <w:t>consumer engagement guideline</w:t>
      </w:r>
      <w:r w:rsidR="00B0183D" w:rsidRPr="00697FF1">
        <w:t>. If you would like to have your say prior to us publishing t</w:t>
      </w:r>
      <w:r w:rsidR="00844636">
        <w:t>he final guideline</w:t>
      </w:r>
      <w:r w:rsidR="00B0183D" w:rsidRPr="00697FF1">
        <w:t xml:space="preserve">, you have until close of business </w:t>
      </w:r>
      <w:r w:rsidR="00484BD1" w:rsidRPr="00484BD1">
        <w:rPr>
          <w:b/>
        </w:rPr>
        <w:t>16</w:t>
      </w:r>
      <w:r w:rsidR="00844636" w:rsidRPr="00484BD1">
        <w:rPr>
          <w:b/>
        </w:rPr>
        <w:t xml:space="preserve"> </w:t>
      </w:r>
      <w:r w:rsidR="00484BD1" w:rsidRPr="00484BD1">
        <w:rPr>
          <w:b/>
        </w:rPr>
        <w:t xml:space="preserve">August </w:t>
      </w:r>
      <w:r w:rsidR="00B0183D" w:rsidRPr="00484BD1">
        <w:rPr>
          <w:b/>
        </w:rPr>
        <w:t>2013</w:t>
      </w:r>
      <w:r w:rsidR="00B0183D" w:rsidRPr="00697FF1">
        <w:t xml:space="preserve"> to get your submission or comments to us. You can find further details on how to provide your submission on our </w:t>
      </w:r>
      <w:r w:rsidR="00484BD1">
        <w:t xml:space="preserve">consumer engagement </w:t>
      </w:r>
      <w:r w:rsidR="00B0183D" w:rsidRPr="00697FF1">
        <w:t>web page</w:t>
      </w:r>
      <w:r w:rsidR="00844636">
        <w:t xml:space="preserve"> </w:t>
      </w:r>
      <w:hyperlink r:id="rId12" w:history="1">
        <w:r w:rsidR="00484BD1" w:rsidRPr="004B79B7">
          <w:rPr>
            <w:rStyle w:val="Hyperlink"/>
          </w:rPr>
          <w:t>www.aer.gov.au/node/18894</w:t>
        </w:r>
      </w:hyperlink>
      <w:r w:rsidR="004E2EF3">
        <w:t xml:space="preserve">, or you can email us at </w:t>
      </w:r>
      <w:hyperlink r:id="rId13" w:history="1">
        <w:r w:rsidR="004E2EF3" w:rsidRPr="009436FD">
          <w:rPr>
            <w:rStyle w:val="Hyperlink"/>
          </w:rPr>
          <w:t>consumerengagement@aer.gov.au</w:t>
        </w:r>
      </w:hyperlink>
      <w:r w:rsidR="004E2EF3">
        <w:t>.</w:t>
      </w:r>
    </w:p>
    <w:p w:rsidR="00B0183D" w:rsidRPr="00697FF1" w:rsidRDefault="00B0183D" w:rsidP="00B751A5">
      <w:pPr>
        <w:pStyle w:val="AERFactsheetHeading1"/>
      </w:pPr>
      <w:r w:rsidRPr="00697FF1">
        <w:t>For more information</w:t>
      </w:r>
    </w:p>
    <w:p w:rsidR="00484BD1" w:rsidRDefault="00B0183D" w:rsidP="004B41DA">
      <w:pPr>
        <w:pStyle w:val="AERfactsheetbodytext"/>
      </w:pPr>
      <w:r w:rsidRPr="00697FF1">
        <w:t xml:space="preserve">For more information or to get involved in the consultation processes for the Better Regulation program, please visit our website </w:t>
      </w:r>
      <w:hyperlink r:id="rId14" w:history="1">
        <w:r w:rsidR="00CE61CE" w:rsidRPr="00D37AAC">
          <w:rPr>
            <w:rStyle w:val="Hyperlink"/>
          </w:rPr>
          <w:t>www.aer.gov.au/better-regulation-reform-program</w:t>
        </w:r>
      </w:hyperlink>
      <w:r w:rsidRPr="00697FF1">
        <w:t xml:space="preserve"> or email us at </w:t>
      </w:r>
      <w:hyperlink r:id="rId15" w:history="1">
        <w:r w:rsidRPr="00697FF1">
          <w:rPr>
            <w:rStyle w:val="Hyperlink"/>
          </w:rPr>
          <w:t>betterregulation@aer.gov.au</w:t>
        </w:r>
      </w:hyperlink>
      <w:r w:rsidRPr="00697FF1">
        <w:t>.</w:t>
      </w:r>
    </w:p>
    <w:p w:rsidR="00802901" w:rsidRDefault="00802901" w:rsidP="00035993">
      <w:pPr>
        <w:pStyle w:val="AERfactsheetbodytext"/>
      </w:pPr>
    </w:p>
    <w:sectPr w:rsidR="00802901" w:rsidSect="00C770AC">
      <w:type w:val="continuous"/>
      <w:pgSz w:w="11906" w:h="16838"/>
      <w:pgMar w:top="720" w:right="720" w:bottom="851" w:left="720"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C75" w:rsidRDefault="001C5C75" w:rsidP="001C5C75">
      <w:r>
        <w:separator/>
      </w:r>
    </w:p>
  </w:endnote>
  <w:endnote w:type="continuationSeparator" w:id="0">
    <w:p w:rsidR="001C5C75" w:rsidRDefault="001C5C75" w:rsidP="001C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C75" w:rsidRDefault="001C5C75" w:rsidP="001C5C75">
      <w:r>
        <w:separator/>
      </w:r>
    </w:p>
  </w:footnote>
  <w:footnote w:type="continuationSeparator" w:id="0">
    <w:p w:rsidR="001C5C75" w:rsidRDefault="001C5C75" w:rsidP="001C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8A4CF272"/>
    <w:lvl w:ilvl="0" w:tplc="8EF83B6A">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2955620C"/>
    <w:multiLevelType w:val="hybridMultilevel"/>
    <w:tmpl w:val="601A5076"/>
    <w:lvl w:ilvl="0" w:tplc="3D5A202E">
      <w:start w:val="1"/>
      <w:numFmt w:val="bullet"/>
      <w:lvlText w:val=""/>
      <w:lvlJc w:val="left"/>
      <w:pPr>
        <w:tabs>
          <w:tab w:val="num" w:pos="720"/>
        </w:tabs>
        <w:ind w:left="720" w:hanging="360"/>
      </w:pPr>
      <w:rPr>
        <w:rFonts w:ascii="Wingdings" w:hAnsi="Wingdings" w:hint="default"/>
      </w:rPr>
    </w:lvl>
    <w:lvl w:ilvl="1" w:tplc="0F6C0442" w:tentative="1">
      <w:start w:val="1"/>
      <w:numFmt w:val="bullet"/>
      <w:lvlText w:val=""/>
      <w:lvlJc w:val="left"/>
      <w:pPr>
        <w:tabs>
          <w:tab w:val="num" w:pos="1440"/>
        </w:tabs>
        <w:ind w:left="1440" w:hanging="360"/>
      </w:pPr>
      <w:rPr>
        <w:rFonts w:ascii="Wingdings" w:hAnsi="Wingdings" w:hint="default"/>
      </w:rPr>
    </w:lvl>
    <w:lvl w:ilvl="2" w:tplc="9EFEF43A" w:tentative="1">
      <w:start w:val="1"/>
      <w:numFmt w:val="bullet"/>
      <w:lvlText w:val=""/>
      <w:lvlJc w:val="left"/>
      <w:pPr>
        <w:tabs>
          <w:tab w:val="num" w:pos="2160"/>
        </w:tabs>
        <w:ind w:left="2160" w:hanging="360"/>
      </w:pPr>
      <w:rPr>
        <w:rFonts w:ascii="Wingdings" w:hAnsi="Wingdings" w:hint="default"/>
      </w:rPr>
    </w:lvl>
    <w:lvl w:ilvl="3" w:tplc="DEE82D8C" w:tentative="1">
      <w:start w:val="1"/>
      <w:numFmt w:val="bullet"/>
      <w:lvlText w:val=""/>
      <w:lvlJc w:val="left"/>
      <w:pPr>
        <w:tabs>
          <w:tab w:val="num" w:pos="2880"/>
        </w:tabs>
        <w:ind w:left="2880" w:hanging="360"/>
      </w:pPr>
      <w:rPr>
        <w:rFonts w:ascii="Wingdings" w:hAnsi="Wingdings" w:hint="default"/>
      </w:rPr>
    </w:lvl>
    <w:lvl w:ilvl="4" w:tplc="ADFE95C2" w:tentative="1">
      <w:start w:val="1"/>
      <w:numFmt w:val="bullet"/>
      <w:lvlText w:val=""/>
      <w:lvlJc w:val="left"/>
      <w:pPr>
        <w:tabs>
          <w:tab w:val="num" w:pos="3600"/>
        </w:tabs>
        <w:ind w:left="3600" w:hanging="360"/>
      </w:pPr>
      <w:rPr>
        <w:rFonts w:ascii="Wingdings" w:hAnsi="Wingdings" w:hint="default"/>
      </w:rPr>
    </w:lvl>
    <w:lvl w:ilvl="5" w:tplc="AF56F244" w:tentative="1">
      <w:start w:val="1"/>
      <w:numFmt w:val="bullet"/>
      <w:lvlText w:val=""/>
      <w:lvlJc w:val="left"/>
      <w:pPr>
        <w:tabs>
          <w:tab w:val="num" w:pos="4320"/>
        </w:tabs>
        <w:ind w:left="4320" w:hanging="360"/>
      </w:pPr>
      <w:rPr>
        <w:rFonts w:ascii="Wingdings" w:hAnsi="Wingdings" w:hint="default"/>
      </w:rPr>
    </w:lvl>
    <w:lvl w:ilvl="6" w:tplc="CDAAB0B6" w:tentative="1">
      <w:start w:val="1"/>
      <w:numFmt w:val="bullet"/>
      <w:lvlText w:val=""/>
      <w:lvlJc w:val="left"/>
      <w:pPr>
        <w:tabs>
          <w:tab w:val="num" w:pos="5040"/>
        </w:tabs>
        <w:ind w:left="5040" w:hanging="360"/>
      </w:pPr>
      <w:rPr>
        <w:rFonts w:ascii="Wingdings" w:hAnsi="Wingdings" w:hint="default"/>
      </w:rPr>
    </w:lvl>
    <w:lvl w:ilvl="7" w:tplc="DB722964" w:tentative="1">
      <w:start w:val="1"/>
      <w:numFmt w:val="bullet"/>
      <w:lvlText w:val=""/>
      <w:lvlJc w:val="left"/>
      <w:pPr>
        <w:tabs>
          <w:tab w:val="num" w:pos="5760"/>
        </w:tabs>
        <w:ind w:left="5760" w:hanging="360"/>
      </w:pPr>
      <w:rPr>
        <w:rFonts w:ascii="Wingdings" w:hAnsi="Wingdings" w:hint="default"/>
      </w:rPr>
    </w:lvl>
    <w:lvl w:ilvl="8" w:tplc="4E86D866" w:tentative="1">
      <w:start w:val="1"/>
      <w:numFmt w:val="bullet"/>
      <w:lvlText w:val=""/>
      <w:lvlJc w:val="left"/>
      <w:pPr>
        <w:tabs>
          <w:tab w:val="num" w:pos="6480"/>
        </w:tabs>
        <w:ind w:left="6480" w:hanging="360"/>
      </w:pPr>
      <w:rPr>
        <w:rFonts w:ascii="Wingdings" w:hAnsi="Wingdings" w:hint="default"/>
      </w:rPr>
    </w:lvl>
  </w:abstractNum>
  <w:abstractNum w:abstractNumId="2">
    <w:nsid w:val="49E06401"/>
    <w:multiLevelType w:val="hybridMultilevel"/>
    <w:tmpl w:val="23304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4"/>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ER Better Regulation factsheet - Draft consumer engagement guideline for network service providers - July 2013.docx"/>
  </w:docVars>
  <w:rsids>
    <w:rsidRoot w:val="00021F03"/>
    <w:rsid w:val="000173D5"/>
    <w:rsid w:val="00021F03"/>
    <w:rsid w:val="0002557F"/>
    <w:rsid w:val="00035993"/>
    <w:rsid w:val="000437AC"/>
    <w:rsid w:val="000454A0"/>
    <w:rsid w:val="00062407"/>
    <w:rsid w:val="00064636"/>
    <w:rsid w:val="00074102"/>
    <w:rsid w:val="000C07AD"/>
    <w:rsid w:val="000C2F7A"/>
    <w:rsid w:val="000F6D07"/>
    <w:rsid w:val="0010059A"/>
    <w:rsid w:val="00111679"/>
    <w:rsid w:val="00197841"/>
    <w:rsid w:val="001A23C5"/>
    <w:rsid w:val="001B10C7"/>
    <w:rsid w:val="001B656D"/>
    <w:rsid w:val="001C5C75"/>
    <w:rsid w:val="001D30D8"/>
    <w:rsid w:val="001D49FD"/>
    <w:rsid w:val="001F7393"/>
    <w:rsid w:val="002106B5"/>
    <w:rsid w:val="00211FD6"/>
    <w:rsid w:val="00225391"/>
    <w:rsid w:val="00226045"/>
    <w:rsid w:val="00235775"/>
    <w:rsid w:val="00235852"/>
    <w:rsid w:val="002425E7"/>
    <w:rsid w:val="00243D15"/>
    <w:rsid w:val="00263811"/>
    <w:rsid w:val="0027568A"/>
    <w:rsid w:val="00276959"/>
    <w:rsid w:val="002952EB"/>
    <w:rsid w:val="002A473F"/>
    <w:rsid w:val="002B7BBC"/>
    <w:rsid w:val="002D4811"/>
    <w:rsid w:val="002E7F4D"/>
    <w:rsid w:val="00325469"/>
    <w:rsid w:val="00354991"/>
    <w:rsid w:val="00360C93"/>
    <w:rsid w:val="00385BB9"/>
    <w:rsid w:val="00391B7D"/>
    <w:rsid w:val="003937FA"/>
    <w:rsid w:val="00404570"/>
    <w:rsid w:val="0042131D"/>
    <w:rsid w:val="00425A1C"/>
    <w:rsid w:val="004310E5"/>
    <w:rsid w:val="004322B2"/>
    <w:rsid w:val="004374EE"/>
    <w:rsid w:val="004548EF"/>
    <w:rsid w:val="00474754"/>
    <w:rsid w:val="00476A6B"/>
    <w:rsid w:val="00484BD1"/>
    <w:rsid w:val="004853A0"/>
    <w:rsid w:val="00494E80"/>
    <w:rsid w:val="004B2C04"/>
    <w:rsid w:val="004B3799"/>
    <w:rsid w:val="004B40E2"/>
    <w:rsid w:val="004B41DA"/>
    <w:rsid w:val="004C19B8"/>
    <w:rsid w:val="004D13FD"/>
    <w:rsid w:val="004D1DC0"/>
    <w:rsid w:val="004D7FEB"/>
    <w:rsid w:val="004E0603"/>
    <w:rsid w:val="004E2EF3"/>
    <w:rsid w:val="004E7790"/>
    <w:rsid w:val="00502044"/>
    <w:rsid w:val="0050430D"/>
    <w:rsid w:val="00506AA6"/>
    <w:rsid w:val="005324C6"/>
    <w:rsid w:val="005524C5"/>
    <w:rsid w:val="00563172"/>
    <w:rsid w:val="005744F0"/>
    <w:rsid w:val="00594FDF"/>
    <w:rsid w:val="005D2EBB"/>
    <w:rsid w:val="005E1E92"/>
    <w:rsid w:val="005F2DC5"/>
    <w:rsid w:val="005F5C65"/>
    <w:rsid w:val="00614C66"/>
    <w:rsid w:val="00631FDC"/>
    <w:rsid w:val="00644E9D"/>
    <w:rsid w:val="00655949"/>
    <w:rsid w:val="00661A9B"/>
    <w:rsid w:val="0066205E"/>
    <w:rsid w:val="00662BB4"/>
    <w:rsid w:val="006773B7"/>
    <w:rsid w:val="00697FF1"/>
    <w:rsid w:val="006A07F6"/>
    <w:rsid w:val="006A6C7D"/>
    <w:rsid w:val="006B322A"/>
    <w:rsid w:val="006B39DB"/>
    <w:rsid w:val="006C2281"/>
    <w:rsid w:val="006D0E7F"/>
    <w:rsid w:val="006D5C4C"/>
    <w:rsid w:val="006D6D14"/>
    <w:rsid w:val="006F2E4F"/>
    <w:rsid w:val="00700FDF"/>
    <w:rsid w:val="00717108"/>
    <w:rsid w:val="00726CCA"/>
    <w:rsid w:val="00742DF1"/>
    <w:rsid w:val="00753DF7"/>
    <w:rsid w:val="00754FD0"/>
    <w:rsid w:val="0075602D"/>
    <w:rsid w:val="0076117A"/>
    <w:rsid w:val="00776ACC"/>
    <w:rsid w:val="00781A7F"/>
    <w:rsid w:val="00792589"/>
    <w:rsid w:val="007A0EEB"/>
    <w:rsid w:val="007C3C57"/>
    <w:rsid w:val="007C5329"/>
    <w:rsid w:val="007C54FB"/>
    <w:rsid w:val="007D01A2"/>
    <w:rsid w:val="007E5C20"/>
    <w:rsid w:val="00802901"/>
    <w:rsid w:val="00802F24"/>
    <w:rsid w:val="00806704"/>
    <w:rsid w:val="00844636"/>
    <w:rsid w:val="00845455"/>
    <w:rsid w:val="008472A8"/>
    <w:rsid w:val="00854115"/>
    <w:rsid w:val="00871903"/>
    <w:rsid w:val="00877A69"/>
    <w:rsid w:val="00893B2B"/>
    <w:rsid w:val="008A20E4"/>
    <w:rsid w:val="008B28DF"/>
    <w:rsid w:val="008B4DBF"/>
    <w:rsid w:val="008C3A60"/>
    <w:rsid w:val="008D2ED6"/>
    <w:rsid w:val="008D722A"/>
    <w:rsid w:val="008F4918"/>
    <w:rsid w:val="009145A0"/>
    <w:rsid w:val="0091544F"/>
    <w:rsid w:val="00935CAA"/>
    <w:rsid w:val="00953C1D"/>
    <w:rsid w:val="009612A1"/>
    <w:rsid w:val="00963F5A"/>
    <w:rsid w:val="0097251D"/>
    <w:rsid w:val="00987843"/>
    <w:rsid w:val="00995A34"/>
    <w:rsid w:val="009A49EB"/>
    <w:rsid w:val="009A702D"/>
    <w:rsid w:val="009B4D12"/>
    <w:rsid w:val="009D253A"/>
    <w:rsid w:val="009D3387"/>
    <w:rsid w:val="009D3F78"/>
    <w:rsid w:val="00A02F2D"/>
    <w:rsid w:val="00A0352C"/>
    <w:rsid w:val="00A20317"/>
    <w:rsid w:val="00A30414"/>
    <w:rsid w:val="00A30634"/>
    <w:rsid w:val="00A427A5"/>
    <w:rsid w:val="00A43FE2"/>
    <w:rsid w:val="00A45346"/>
    <w:rsid w:val="00A456A9"/>
    <w:rsid w:val="00A764A5"/>
    <w:rsid w:val="00A85826"/>
    <w:rsid w:val="00A95AD6"/>
    <w:rsid w:val="00AC0236"/>
    <w:rsid w:val="00AD2EBC"/>
    <w:rsid w:val="00AD53EF"/>
    <w:rsid w:val="00AE5C52"/>
    <w:rsid w:val="00B0183D"/>
    <w:rsid w:val="00B74543"/>
    <w:rsid w:val="00B751A5"/>
    <w:rsid w:val="00B7575A"/>
    <w:rsid w:val="00BC41F3"/>
    <w:rsid w:val="00BD1663"/>
    <w:rsid w:val="00BE2BD4"/>
    <w:rsid w:val="00BE4211"/>
    <w:rsid w:val="00BE5A7F"/>
    <w:rsid w:val="00BF38DF"/>
    <w:rsid w:val="00C00B1A"/>
    <w:rsid w:val="00C11E06"/>
    <w:rsid w:val="00C13A11"/>
    <w:rsid w:val="00C162C3"/>
    <w:rsid w:val="00C26A23"/>
    <w:rsid w:val="00C51D00"/>
    <w:rsid w:val="00C67154"/>
    <w:rsid w:val="00C70568"/>
    <w:rsid w:val="00C71947"/>
    <w:rsid w:val="00C73523"/>
    <w:rsid w:val="00C770AC"/>
    <w:rsid w:val="00C81EED"/>
    <w:rsid w:val="00C866CD"/>
    <w:rsid w:val="00C92E99"/>
    <w:rsid w:val="00CA0863"/>
    <w:rsid w:val="00CB3718"/>
    <w:rsid w:val="00CD6D0F"/>
    <w:rsid w:val="00CE61CE"/>
    <w:rsid w:val="00CF0FE0"/>
    <w:rsid w:val="00CF228C"/>
    <w:rsid w:val="00D11F93"/>
    <w:rsid w:val="00D132C4"/>
    <w:rsid w:val="00D45458"/>
    <w:rsid w:val="00D87002"/>
    <w:rsid w:val="00DB2082"/>
    <w:rsid w:val="00DB4C0F"/>
    <w:rsid w:val="00DB6002"/>
    <w:rsid w:val="00DC20AA"/>
    <w:rsid w:val="00DC29DC"/>
    <w:rsid w:val="00DD6C72"/>
    <w:rsid w:val="00DE2845"/>
    <w:rsid w:val="00DE2C4E"/>
    <w:rsid w:val="00DE5EEE"/>
    <w:rsid w:val="00E06D2B"/>
    <w:rsid w:val="00E1275F"/>
    <w:rsid w:val="00E21E56"/>
    <w:rsid w:val="00E32544"/>
    <w:rsid w:val="00E342E9"/>
    <w:rsid w:val="00E618EC"/>
    <w:rsid w:val="00E61AE2"/>
    <w:rsid w:val="00E67143"/>
    <w:rsid w:val="00E71C1A"/>
    <w:rsid w:val="00E737B2"/>
    <w:rsid w:val="00E810FA"/>
    <w:rsid w:val="00E811A1"/>
    <w:rsid w:val="00E91EBB"/>
    <w:rsid w:val="00EB092A"/>
    <w:rsid w:val="00ED6C64"/>
    <w:rsid w:val="00F0776A"/>
    <w:rsid w:val="00F12DB4"/>
    <w:rsid w:val="00F209E0"/>
    <w:rsid w:val="00F21494"/>
    <w:rsid w:val="00F317A2"/>
    <w:rsid w:val="00F3531F"/>
    <w:rsid w:val="00F44A65"/>
    <w:rsid w:val="00F52FF0"/>
    <w:rsid w:val="00F56BC0"/>
    <w:rsid w:val="00F65D6C"/>
    <w:rsid w:val="00F7252E"/>
    <w:rsid w:val="00F84D92"/>
    <w:rsid w:val="00F8612A"/>
    <w:rsid w:val="00F9348B"/>
    <w:rsid w:val="00FB1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F3531F"/>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F3531F"/>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sumerengagement@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node/188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etterregulation@aer.gov.au" TargetMode="Externa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hyperlink" Target="http://www.aer.gov.au/better-regulation-reform-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2013-08-19T07:19:00Z</dcterms:created>
  <dcterms:modified xsi:type="dcterms:W3CDTF">2013-08-19T07:19:00Z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8006339</vt:lpwstr>
  </property>
</Properties>
</file>