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F7" w:rsidRPr="009A2BB4" w:rsidRDefault="00753DF7" w:rsidP="00F27ABE">
      <w:pPr>
        <w:pStyle w:val="AERfactsheetsubtitle"/>
        <w:widowControl w:val="0"/>
        <w:rPr>
          <w:sz w:val="22"/>
        </w:rPr>
      </w:pPr>
      <w:bookmarkStart w:id="0" w:name="_GoBack"/>
      <w:bookmarkEnd w:id="0"/>
    </w:p>
    <w:p w:rsidR="009B176A" w:rsidRPr="00132FB3" w:rsidRDefault="00AC0236" w:rsidP="00132FB3">
      <w:pPr>
        <w:pStyle w:val="AERfactsheetsubtitle"/>
      </w:pPr>
      <w:r w:rsidRPr="00132FB3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34036C3" wp14:editId="6181B253">
                <wp:simplePos x="0" y="0"/>
                <wp:positionH relativeFrom="column">
                  <wp:posOffset>-457200</wp:posOffset>
                </wp:positionH>
                <wp:positionV relativeFrom="paragraph">
                  <wp:posOffset>-42545</wp:posOffset>
                </wp:positionV>
                <wp:extent cx="7640955" cy="2122805"/>
                <wp:effectExtent l="0" t="0" r="17145" b="29845"/>
                <wp:wrapTopAndBottom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0955" cy="2122805"/>
                          <a:chOff x="0" y="0"/>
                          <a:chExt cx="7641536" cy="2122998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87179"/>
                            <a:ext cx="7632015" cy="1333500"/>
                          </a:xfrm>
                          <a:prstGeom prst="rect">
                            <a:avLst/>
                          </a:prstGeom>
                          <a:solidFill>
                            <a:srgbClr val="006A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49E3" w:rsidRPr="00225391" w:rsidRDefault="00132FB3" w:rsidP="004D1DC0">
                              <w:pPr>
                                <w:ind w:left="567"/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8"/>
                                </w:rPr>
                              </w:pPr>
                              <w:r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8"/>
                                </w:rPr>
                                <w:t>Benchmarking</w:t>
                              </w:r>
                            </w:p>
                            <w:p w:rsidR="00C949E3" w:rsidRPr="00E83166" w:rsidRDefault="00C949E3" w:rsidP="001D49FD">
                              <w:pPr>
                                <w:ind w:left="567" w:right="681"/>
                                <w:jc w:val="right"/>
                                <w:rPr>
                                  <w:rFonts w:ascii="MS Reference Sans Serif" w:hAnsi="MS Reference Sans Serif" w:cs="Tunga"/>
                                  <w:color w:val="FFFFFF"/>
                                </w:rPr>
                              </w:pPr>
                            </w:p>
                            <w:p w:rsidR="00C949E3" w:rsidRPr="00390BEB" w:rsidRDefault="00C949E3" w:rsidP="001D49FD">
                              <w:pPr>
                                <w:ind w:left="567" w:right="941"/>
                                <w:jc w:val="right"/>
                                <w:rPr>
                                  <w:rFonts w:cs="Calibri"/>
                                  <w:b/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  <wps:wsp>
                        <wps:cNvPr id="3" name="Straight Connector 2"/>
                        <wps:cNvCnPr>
                          <a:cxnSpLocks noChangeShapeType="1"/>
                        </wps:cNvCnPr>
                        <wps:spPr bwMode="auto">
                          <a:xfrm>
                            <a:off x="0" y="2122998"/>
                            <a:ext cx="7641536" cy="0"/>
                          </a:xfrm>
                          <a:prstGeom prst="line">
                            <a:avLst/>
                          </a:prstGeom>
                          <a:noFill/>
                          <a:ln w="63500" algn="ctr">
                            <a:solidFill>
                              <a:srgbClr val="92929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835" y="0"/>
                            <a:ext cx="2361537" cy="66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-36pt;margin-top:-3.35pt;width:601.65pt;height:167.15pt;z-index:251657216" coordsize="76415,21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7871;width:76320;height:1333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bMZ8IA&#10;AADaAAAADwAAAGRycy9kb3ducmV2LnhtbESPT2vCQBTE74LfYXmF3nRTD1VTV6kWwYsH/9DzI/ua&#10;DWbfhuwzpv30XUHwOMzMb5jFqve16qiNVWADb+MMFHERbMWlgfNpO5qBioJssQ5MBn4pwmo5HCww&#10;t+HGB+qOUqoE4ZijASfS5FrHwpHHOA4NcfJ+QutRkmxLbVu8Jbiv9STL3rXHitOCw4Y2jorL8eoN&#10;yParu8Ry//c938m0Pmg31fu1Ma8v/ecHKKFenuFHe2cNTOB+Jd0Av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sxnwgAAANoAAAAPAAAAAAAAAAAAAAAAAJgCAABkcnMvZG93&#10;bnJldi54bWxQSwUGAAAAAAQABAD1AAAAhwMAAAAA&#10;" fillcolor="#006a99" stroked="f">
                  <v:textbox>
                    <w:txbxContent>
                      <w:p w:rsidR="00C949E3" w:rsidRPr="00225391" w:rsidRDefault="00132FB3" w:rsidP="004D1DC0">
                        <w:pPr>
                          <w:ind w:left="567"/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8"/>
                          </w:rPr>
                        </w:pPr>
                        <w:r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8"/>
                          </w:rPr>
                          <w:t>Benchmarking</w:t>
                        </w:r>
                      </w:p>
                      <w:p w:rsidR="00C949E3" w:rsidRPr="00E83166" w:rsidRDefault="00C949E3" w:rsidP="001D49FD">
                        <w:pPr>
                          <w:ind w:left="567" w:right="681"/>
                          <w:jc w:val="right"/>
                          <w:rPr>
                            <w:rFonts w:ascii="MS Reference Sans Serif" w:hAnsi="MS Reference Sans Serif" w:cs="Tunga"/>
                            <w:color w:val="FFFFFF"/>
                          </w:rPr>
                        </w:pPr>
                      </w:p>
                      <w:p w:rsidR="00C949E3" w:rsidRPr="00390BEB" w:rsidRDefault="00C949E3" w:rsidP="001D49FD">
                        <w:pPr>
                          <w:ind w:left="567" w:right="941"/>
                          <w:jc w:val="right"/>
                          <w:rPr>
                            <w:rFonts w:cs="Calibri"/>
                            <w:b/>
                            <w:color w:val="FFFFFF"/>
                          </w:rPr>
                        </w:pPr>
                      </w:p>
                    </w:txbxContent>
                  </v:textbox>
                </v:shape>
                <v:line id="Straight Connector 2" o:spid="_x0000_s1028" style="position:absolute;visibility:visible;mso-wrap-style:square" from="0,21229" to="76415,21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TpqMUAAADaAAAADwAAAGRycy9kb3ducmV2LnhtbESPT2vCQBTE70K/w/IKXoJuasDa1FWK&#10;IFqlB/8cenzsvibB7NuQXTV+e7cgeBxm5jfMdN7ZWlyo9ZVjBW/DFASxdqbiQsHxsBxMQPiAbLB2&#10;TApu5GE+e+lNMTfuyju67EMhIoR9jgrKEJpcSq9LsuiHriGO3p9rLYYo20KaFq8Rbms5StOxtFhx&#10;XCixoUVJ+rQ/WwXJ92+RGa1/1stF8nE6Ju+rzXirVP+1+/oEEagLz/CjvTYKMvi/Em+An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bTpqMUAAADaAAAADwAAAAAAAAAA&#10;AAAAAAChAgAAZHJzL2Rvd25yZXYueG1sUEsFBgAAAAAEAAQA+QAAAJMDAAAAAA==&#10;" strokecolor="#929292" strokeweight="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style="position:absolute;left:5168;width:23615;height:66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B3kbEAAAA2gAAAA8AAABkcnMvZG93bnJldi54bWxEj09rwkAUxO8Fv8PyBG91o7ai0VWk0FKK&#10;F/+AHp/ZZzYk+zZktzF++65Q8DjMzG+Y5bqzlWip8YVjBaNhAoI4c7rgXMHx8Pk6A+EDssbKMSm4&#10;k4f1qveyxFS7G++o3YdcRAj7FBWYEOpUSp8ZsuiHriaO3tU1FkOUTS51g7cIt5UcJ8lUWiw4Lhis&#10;6cNQVu5/rYL2ej6+l5ufy+E+357Kydx8uWSn1KDfbRYgAnXhGf5vf2sFb/C4Em+AXP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DB3kbEAAAA2gAAAA8AAAAAAAAAAAAAAAAA&#10;nwIAAGRycy9kb3ducmV2LnhtbFBLBQYAAAAABAAEAPcAAACQAwAAAAA=&#10;">
                  <v:imagedata r:id="rId10" o:title=""/>
                  <v:path arrowok="t"/>
                </v:shape>
                <w10:wrap type="topAndBottom"/>
              </v:group>
            </w:pict>
          </mc:Fallback>
        </mc:AlternateContent>
      </w:r>
      <w:r w:rsidR="00132FB3" w:rsidRPr="00132FB3">
        <w:t xml:space="preserve">Benchmarking allows us to </w:t>
      </w:r>
      <w:r w:rsidR="00451178">
        <w:t>compare</w:t>
      </w:r>
      <w:r w:rsidR="00132FB3" w:rsidRPr="00132FB3">
        <w:t xml:space="preserve"> the cost of undertaking similar activities across service providers in the </w:t>
      </w:r>
      <w:r w:rsidR="00132FB3">
        <w:t>National Electricity Market</w:t>
      </w:r>
      <w:r w:rsidR="00132FB3" w:rsidRPr="00132FB3">
        <w:t xml:space="preserve">. </w:t>
      </w:r>
      <w:r w:rsidR="00451178">
        <w:t>Assessing</w:t>
      </w:r>
      <w:r w:rsidR="00132FB3" w:rsidRPr="00132FB3">
        <w:t xml:space="preserve"> relative costs </w:t>
      </w:r>
      <w:r w:rsidR="00451178">
        <w:t xml:space="preserve">enables us to understand efficiency, which is an </w:t>
      </w:r>
      <w:r w:rsidR="00132FB3" w:rsidRPr="00132FB3">
        <w:t xml:space="preserve">important consideration </w:t>
      </w:r>
      <w:r w:rsidR="00A33B07">
        <w:t xml:space="preserve">for </w:t>
      </w:r>
      <w:r w:rsidR="00132FB3" w:rsidRPr="00132FB3">
        <w:t>determin</w:t>
      </w:r>
      <w:r w:rsidR="00A33B07">
        <w:t>ing expenditure allowances as part of our pricing decisions</w:t>
      </w:r>
      <w:r w:rsidR="00132FB3">
        <w:t>.</w:t>
      </w:r>
    </w:p>
    <w:p w:rsidR="00754FD0" w:rsidRDefault="00754FD0" w:rsidP="00EF1802">
      <w:pPr>
        <w:pStyle w:val="AERfactsheetsubtitle"/>
        <w:widowControl w:val="0"/>
        <w:rPr>
          <w:lang w:val="en"/>
        </w:rPr>
      </w:pPr>
    </w:p>
    <w:p w:rsidR="00451178" w:rsidRDefault="00451178" w:rsidP="00451178">
      <w:pPr>
        <w:rPr>
          <w:lang w:val="en"/>
        </w:rPr>
      </w:pPr>
    </w:p>
    <w:p w:rsidR="00451178" w:rsidRPr="00451178" w:rsidRDefault="00451178" w:rsidP="00451178">
      <w:pPr>
        <w:rPr>
          <w:lang w:val="en"/>
        </w:rPr>
        <w:sectPr w:rsidR="00451178" w:rsidRPr="00451178" w:rsidSect="00BE5A7F">
          <w:pgSz w:w="11906" w:h="16838"/>
          <w:pgMar w:top="720" w:right="720" w:bottom="720" w:left="720" w:header="708" w:footer="708" w:gutter="0"/>
          <w:cols w:space="284"/>
          <w:docGrid w:linePitch="360"/>
        </w:sectPr>
      </w:pPr>
    </w:p>
    <w:p w:rsidR="00AC0236" w:rsidRPr="00697FF1" w:rsidRDefault="00132FB3" w:rsidP="00F27ABE">
      <w:pPr>
        <w:pStyle w:val="AERFactsheetHeading1"/>
        <w:keepNext w:val="0"/>
        <w:widowControl w:val="0"/>
      </w:pPr>
      <w:r>
        <w:lastRenderedPageBreak/>
        <w:t>Benchmarking</w:t>
      </w:r>
      <w:r w:rsidR="00DF40F8">
        <w:t xml:space="preserve"> in expenditure assessment</w:t>
      </w:r>
    </w:p>
    <w:p w:rsidR="00332FB2" w:rsidRDefault="00332FB2" w:rsidP="00332FB2">
      <w:pPr>
        <w:pStyle w:val="AERfactsheetbodytext"/>
        <w:widowControl w:val="0"/>
      </w:pPr>
      <w:r>
        <w:t>The National Electricity Rules (</w:t>
      </w:r>
      <w:r w:rsidR="00A3288E">
        <w:t>‘</w:t>
      </w:r>
      <w:r w:rsidRPr="00A3288E">
        <w:rPr>
          <w:b/>
        </w:rPr>
        <w:t>NER</w:t>
      </w:r>
      <w:r w:rsidR="00A3288E">
        <w:t>’</w:t>
      </w:r>
      <w:r>
        <w:t xml:space="preserve">) require us to </w:t>
      </w:r>
      <w:r w:rsidR="00DF40F8">
        <w:t>determine</w:t>
      </w:r>
      <w:r>
        <w:t xml:space="preserve"> operating and capital expenditure allowances that reasonably reflect the efficient costs of providing safe and reliable electricity supply.</w:t>
      </w:r>
    </w:p>
    <w:p w:rsidR="00DF40F8" w:rsidRDefault="00DF40F8" w:rsidP="00DF40F8">
      <w:pPr>
        <w:pStyle w:val="AERfactsheetbodytext"/>
        <w:widowControl w:val="0"/>
      </w:pPr>
      <w:r>
        <w:t>In doing so, the NER also require us to have regard to benchmarking when forming a view about the efficiency of a service provider’s proposed expenditure.</w:t>
      </w:r>
    </w:p>
    <w:p w:rsidR="002067E6" w:rsidRDefault="00451178" w:rsidP="001D4048">
      <w:pPr>
        <w:pStyle w:val="AERfactsheetbodytext"/>
        <w:widowControl w:val="0"/>
      </w:pPr>
      <w:r>
        <w:t>Benchmarking is a useful tool</w:t>
      </w:r>
      <w:r w:rsidR="00A33B07">
        <w:t xml:space="preserve"> that enables us to compare </w:t>
      </w:r>
      <w:r w:rsidR="00332FB2">
        <w:t>a service provider to its peers</w:t>
      </w:r>
      <w:r w:rsidR="007E0FCE">
        <w:t xml:space="preserve">. </w:t>
      </w:r>
      <w:r w:rsidR="00332FB2">
        <w:t xml:space="preserve">By examining the cost of undertaking similar activities, we can determine how efficient the service provider is relative to its peers. </w:t>
      </w:r>
    </w:p>
    <w:p w:rsidR="00117566" w:rsidRDefault="00117566" w:rsidP="00117566">
      <w:pPr>
        <w:pStyle w:val="AERfactsheetbodytext"/>
        <w:widowControl w:val="0"/>
      </w:pPr>
      <w:r>
        <w:t>We have a number of benchmarking techniques. We developed these techniques as part of the Better Regulation process that commenced in late 2012.</w:t>
      </w:r>
    </w:p>
    <w:p w:rsidR="00F27ABE" w:rsidRDefault="00F27ABE" w:rsidP="00F27ABE"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47A3120A" wp14:editId="55F7D516">
                <wp:extent cx="3214370" cy="425302"/>
                <wp:effectExtent l="0" t="0" r="24130" b="13335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425302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6A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9E3" w:rsidRPr="00916002" w:rsidRDefault="00DB761B" w:rsidP="00F27ABE">
                            <w:pPr>
                              <w:pStyle w:val="AERfactsheetbodytext"/>
                            </w:pPr>
                            <w:r>
                              <w:t>The NER require us to have regard to benchmarking when determining efficient expenditure allowances.</w:t>
                            </w:r>
                            <w:r w:rsidR="00C949E3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30" type="#_x0000_t202" style="width:253.1pt;height:3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" fillcolor="#dbe5f1" strokecolor="#006a99">
                <v:textbox>
                  <w:txbxContent>
                    <w:p w:rsidR="00C949E3" w:rsidRPr="00916002" w:rsidRDefault="00DB761B" w:rsidP="00F27ABE">
                      <w:pPr>
                        <w:pStyle w:val="AERfactsheetbodytext"/>
                      </w:pPr>
                      <w:r>
                        <w:t>The NER require us to have regard to benchmarking when determining efficient expenditure allowances.</w:t>
                      </w:r>
                      <w:r w:rsidR="00C949E3"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101C1" w:rsidRDefault="00C90A07" w:rsidP="00C5335F">
      <w:pPr>
        <w:pStyle w:val="AERFactsheetHeading1"/>
        <w:keepNext w:val="0"/>
        <w:widowControl w:val="0"/>
      </w:pPr>
      <w:r>
        <w:t xml:space="preserve">Our approach </w:t>
      </w:r>
    </w:p>
    <w:p w:rsidR="00DF3D2B" w:rsidRDefault="001D4048" w:rsidP="00F27ABE">
      <w:pPr>
        <w:pStyle w:val="AERfactsheetbodytext"/>
        <w:widowControl w:val="0"/>
      </w:pPr>
      <w:r>
        <w:t xml:space="preserve">Our approach </w:t>
      </w:r>
      <w:r w:rsidR="00DF3D2B">
        <w:t xml:space="preserve">to benchmarking </w:t>
      </w:r>
      <w:r>
        <w:t xml:space="preserve">includes a process that captures a broad range of material from stakeholders. We set out this approach in </w:t>
      </w:r>
      <w:r w:rsidR="00DF3D2B">
        <w:t xml:space="preserve">the </w:t>
      </w:r>
      <w:r w:rsidR="004C146D" w:rsidRPr="004C146D">
        <w:rPr>
          <w:i/>
        </w:rPr>
        <w:t>Expenditure Forecast Assessment Guideline</w:t>
      </w:r>
      <w:r>
        <w:t xml:space="preserve"> (</w:t>
      </w:r>
      <w:r w:rsidR="00A3288E">
        <w:t>‘</w:t>
      </w:r>
      <w:r w:rsidRPr="00A3288E">
        <w:rPr>
          <w:b/>
        </w:rPr>
        <w:t>the Guideline</w:t>
      </w:r>
      <w:r w:rsidR="00A3288E">
        <w:t>’</w:t>
      </w:r>
      <w:r>
        <w:t xml:space="preserve">) </w:t>
      </w:r>
      <w:r w:rsidR="00DB761B">
        <w:t xml:space="preserve">that we </w:t>
      </w:r>
      <w:r>
        <w:t xml:space="preserve">published in </w:t>
      </w:r>
      <w:r w:rsidR="00332FB2">
        <w:t>November 201</w:t>
      </w:r>
      <w:r>
        <w:t xml:space="preserve">3. </w:t>
      </w:r>
    </w:p>
    <w:p w:rsidR="00E63E0A" w:rsidRDefault="00E63E0A" w:rsidP="00F27ABE">
      <w:pPr>
        <w:pStyle w:val="AERfactsheetbodytext"/>
        <w:widowControl w:val="0"/>
      </w:pPr>
      <w:r>
        <w:t>We developed t</w:t>
      </w:r>
      <w:r w:rsidR="001D4048">
        <w:t xml:space="preserve">he Guideline </w:t>
      </w:r>
      <w:r>
        <w:t xml:space="preserve">following </w:t>
      </w:r>
      <w:r w:rsidR="001D4048">
        <w:t xml:space="preserve">extensive consultation and effective and inclusive consumer engagement </w:t>
      </w:r>
      <w:r w:rsidR="009B176A">
        <w:t>throughout 2013.</w:t>
      </w:r>
      <w:r w:rsidR="00DF3D2B">
        <w:t xml:space="preserve"> This consultation included numerous workshops with service providers and consumer representatives to seek their input in developing our benchmarking techniques.</w:t>
      </w:r>
    </w:p>
    <w:p w:rsidR="009B176A" w:rsidRDefault="000F4BE7" w:rsidP="00F27ABE">
      <w:pPr>
        <w:pStyle w:val="AERfactsheetbodytext"/>
        <w:widowControl w:val="0"/>
      </w:pPr>
      <w:r w:rsidRPr="007E0179">
        <w:rPr>
          <w:noProof/>
          <w:lang w:eastAsia="en-AU"/>
        </w:rPr>
        <w:drawing>
          <wp:anchor distT="0" distB="0" distL="114300" distR="114300" simplePos="0" relativeHeight="251666432" behindDoc="0" locked="0" layoutInCell="1" allowOverlap="1" wp14:anchorId="1FB68376" wp14:editId="37DE10DF">
            <wp:simplePos x="0" y="0"/>
            <wp:positionH relativeFrom="column">
              <wp:posOffset>-457835</wp:posOffset>
            </wp:positionH>
            <wp:positionV relativeFrom="page">
              <wp:posOffset>10217785</wp:posOffset>
            </wp:positionV>
            <wp:extent cx="15687675" cy="492125"/>
            <wp:effectExtent l="0" t="0" r="9525" b="3175"/>
            <wp:wrapNone/>
            <wp:docPr id="14" name="Picture 14" descr="Title: Blue end box - Description: Blue end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itle: Blue end box - Description: Blue end box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767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E0A">
        <w:t xml:space="preserve">Following the Guideline process, we collected </w:t>
      </w:r>
      <w:r w:rsidR="00DF3D2B">
        <w:t xml:space="preserve">independently audited </w:t>
      </w:r>
      <w:r w:rsidR="00E63E0A">
        <w:t>data from each service provider in the National Electricity Market (</w:t>
      </w:r>
      <w:r w:rsidR="00A3288E">
        <w:t>‘</w:t>
      </w:r>
      <w:r w:rsidR="00E63E0A" w:rsidRPr="00A3288E">
        <w:rPr>
          <w:b/>
        </w:rPr>
        <w:t>NEM</w:t>
      </w:r>
      <w:r w:rsidR="00A3288E" w:rsidRPr="00A3288E">
        <w:rPr>
          <w:b/>
        </w:rPr>
        <w:t>’</w:t>
      </w:r>
      <w:r w:rsidR="00E63E0A">
        <w:t>)</w:t>
      </w:r>
      <w:r w:rsidR="00DF3D2B">
        <w:t>, which we then tested and validated</w:t>
      </w:r>
      <w:r w:rsidR="00770C52">
        <w:t xml:space="preserve"> in consultation with the service providers</w:t>
      </w:r>
      <w:r w:rsidR="00DF3D2B">
        <w:t>. We have used this data to develop and refine our benchmarking techniques.</w:t>
      </w:r>
    </w:p>
    <w:p w:rsidR="00DF40F8" w:rsidRDefault="004C146D" w:rsidP="00DF40F8">
      <w:pPr>
        <w:pStyle w:val="AERfactsheetbodytext"/>
        <w:widowControl w:val="0"/>
      </w:pPr>
      <w:r>
        <w:lastRenderedPageBreak/>
        <w:t>While</w:t>
      </w:r>
      <w:r w:rsidR="00DF40F8">
        <w:t xml:space="preserve"> benchmarking is </w:t>
      </w:r>
      <w:r>
        <w:t xml:space="preserve">a key component of our approach, it is </w:t>
      </w:r>
      <w:r w:rsidR="00DF40F8">
        <w:t>not all we consider. We seek to gather evidence from other sources to make a holistic decision.</w:t>
      </w:r>
    </w:p>
    <w:p w:rsidR="00DF3D2B" w:rsidRDefault="004C146D" w:rsidP="00F27ABE">
      <w:pPr>
        <w:pStyle w:val="AERfactsheetbodytext"/>
        <w:widowControl w:val="0"/>
      </w:pPr>
      <w:r>
        <w:t>Therefore, i</w:t>
      </w:r>
      <w:r w:rsidR="009B176A">
        <w:t xml:space="preserve">n making </w:t>
      </w:r>
      <w:r w:rsidR="00770C52">
        <w:t>our</w:t>
      </w:r>
      <w:r w:rsidR="009B176A">
        <w:t xml:space="preserve"> </w:t>
      </w:r>
      <w:r w:rsidR="009C6DC3">
        <w:t xml:space="preserve">draft </w:t>
      </w:r>
      <w:r w:rsidR="009B176A">
        <w:t xml:space="preserve">decisions we have reviewed a </w:t>
      </w:r>
      <w:r w:rsidR="00DF3D2B">
        <w:t>large</w:t>
      </w:r>
      <w:r w:rsidR="009B176A">
        <w:t xml:space="preserve"> amount of material</w:t>
      </w:r>
      <w:r w:rsidR="00D9277B">
        <w:t>. This includes</w:t>
      </w:r>
      <w:r w:rsidR="009B176A">
        <w:t xml:space="preserve"> </w:t>
      </w:r>
      <w:r w:rsidR="00D9277B">
        <w:t>reports from e</w:t>
      </w:r>
      <w:r w:rsidR="009B176A">
        <w:t>xpert</w:t>
      </w:r>
      <w:r w:rsidR="00D9277B">
        <w:t xml:space="preserve">s engaged by the </w:t>
      </w:r>
      <w:r w:rsidR="00770C52">
        <w:t>service providers</w:t>
      </w:r>
      <w:r w:rsidR="00D9277B">
        <w:t xml:space="preserve"> and </w:t>
      </w:r>
      <w:r>
        <w:t>ourselves</w:t>
      </w:r>
      <w:r w:rsidR="00D9277B">
        <w:t xml:space="preserve"> and submissions from </w:t>
      </w:r>
      <w:r>
        <w:t xml:space="preserve">service providers, </w:t>
      </w:r>
      <w:r w:rsidR="00D9277B">
        <w:t xml:space="preserve">users, consumer groups and the Consumer Challenge Panel. </w:t>
      </w:r>
    </w:p>
    <w:p w:rsidR="00A14E17" w:rsidRDefault="00D9277B" w:rsidP="00F27ABE">
      <w:pPr>
        <w:pStyle w:val="AERfactsheetbodytext"/>
        <w:widowControl w:val="0"/>
      </w:pPr>
      <w:r>
        <w:t xml:space="preserve">Overall, our approach is consistent with what we set out in the Guideline. </w:t>
      </w:r>
      <w:r w:rsidR="00AA44D4">
        <w:t>Further details</w:t>
      </w:r>
      <w:r>
        <w:t xml:space="preserve"> of our Guideline approach are available at </w:t>
      </w:r>
      <w:hyperlink r:id="rId12" w:history="1">
        <w:r w:rsidR="00332FB2">
          <w:rPr>
            <w:rStyle w:val="Hyperlink"/>
          </w:rPr>
          <w:t>http://www.aer.gov.au/node/18864</w:t>
        </w:r>
      </w:hyperlink>
      <w:r w:rsidR="00E137F1">
        <w:rPr>
          <w:rStyle w:val="Hyperlink"/>
        </w:rPr>
        <w:t>.</w:t>
      </w:r>
      <w:r>
        <w:t xml:space="preserve"> </w:t>
      </w:r>
    </w:p>
    <w:p w:rsidR="009462FA" w:rsidRDefault="00AA44D4" w:rsidP="00F27ABE">
      <w:pPr>
        <w:pStyle w:val="AERfactsheetbodytext"/>
        <w:widowControl w:val="0"/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5D3A0E08" wp14:editId="17392CA3">
                <wp:extent cx="3214370" cy="574158"/>
                <wp:effectExtent l="0" t="0" r="24130" b="1651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574158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6A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4D4" w:rsidRDefault="00117566" w:rsidP="00AA44D4">
                            <w:pPr>
                              <w:pStyle w:val="AERfactsheetbodytext"/>
                              <w:keepNext/>
                              <w:widowControl w:val="0"/>
                            </w:pPr>
                            <w:r>
                              <w:t xml:space="preserve">Our </w:t>
                            </w:r>
                            <w:r w:rsidR="00DF40F8">
                              <w:t xml:space="preserve">assessment </w:t>
                            </w:r>
                            <w:r>
                              <w:t>approach involves numerous benchmarking techniques, which we complement with other analysis to make a holistic decision.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31" type="#_x0000_t202" style="width:253.1pt;height:4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" fillcolor="#dbe5f1" strokecolor="#006a99">
                <v:textbox>
                  <w:txbxContent>
                    <w:p w:rsidR="00AA44D4" w:rsidRDefault="00117566" w:rsidP="00AA44D4">
                      <w:pPr>
                        <w:pStyle w:val="AERfactsheetbodytext"/>
                        <w:keepNext/>
                        <w:widowControl w:val="0"/>
                      </w:pPr>
                      <w:r>
                        <w:t xml:space="preserve">Our </w:t>
                      </w:r>
                      <w:r w:rsidR="00DF40F8">
                        <w:t xml:space="preserve">assessment </w:t>
                      </w:r>
                      <w:r>
                        <w:t>approach involves numerous benchmarking techniques, which we complement with other analysis to make a holistic decision.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17167" w:rsidRDefault="00451178" w:rsidP="00F27ABE">
      <w:pPr>
        <w:pStyle w:val="AERFactsheetHeading1"/>
        <w:keepNext w:val="0"/>
        <w:widowControl w:val="0"/>
      </w:pPr>
      <w:r>
        <w:t>Benchmarking for operating expenditure</w:t>
      </w:r>
    </w:p>
    <w:p w:rsidR="00892CCA" w:rsidRDefault="00892CCA" w:rsidP="00846713">
      <w:pPr>
        <w:pStyle w:val="AERfactsheetbodytext"/>
        <w:widowControl w:val="0"/>
      </w:pPr>
      <w:r>
        <w:t xml:space="preserve">As </w:t>
      </w:r>
      <w:r w:rsidR="00846713">
        <w:t>operating expenditure (</w:t>
      </w:r>
      <w:r w:rsidR="00A3288E">
        <w:t>‘</w:t>
      </w:r>
      <w:r w:rsidRPr="00A3288E">
        <w:rPr>
          <w:b/>
        </w:rPr>
        <w:t>opex</w:t>
      </w:r>
      <w:r w:rsidR="00A3288E">
        <w:t>’</w:t>
      </w:r>
      <w:r w:rsidR="00846713">
        <w:t>)</w:t>
      </w:r>
      <w:r>
        <w:t xml:space="preserve"> is largely recurrent and predictable, we </w:t>
      </w:r>
      <w:r w:rsidR="00846713">
        <w:t xml:space="preserve">assess a service provider’s proposed opex by developing our own estimate </w:t>
      </w:r>
      <w:r w:rsidR="008A6298">
        <w:t>starting with</w:t>
      </w:r>
      <w:r>
        <w:t xml:space="preserve"> the actual opex </w:t>
      </w:r>
      <w:r w:rsidR="00846713">
        <w:t xml:space="preserve">the service provider </w:t>
      </w:r>
      <w:r>
        <w:t>spen</w:t>
      </w:r>
      <w:r w:rsidR="00846713">
        <w:t>t</w:t>
      </w:r>
      <w:r>
        <w:t xml:space="preserve"> in one year of the </w:t>
      </w:r>
      <w:r w:rsidR="00846713">
        <w:t xml:space="preserve">previous </w:t>
      </w:r>
      <w:r>
        <w:t>regulatory period</w:t>
      </w:r>
      <w:r w:rsidR="00846713">
        <w:t xml:space="preserve">. </w:t>
      </w:r>
      <w:r>
        <w:t>We refer to this year as the ‘</w:t>
      </w:r>
      <w:r w:rsidRPr="00A3288E">
        <w:rPr>
          <w:b/>
        </w:rPr>
        <w:t>base year</w:t>
      </w:r>
      <w:r>
        <w:t xml:space="preserve">’. </w:t>
      </w:r>
    </w:p>
    <w:p w:rsidR="00A3288E" w:rsidRDefault="00846713" w:rsidP="00846713">
      <w:pPr>
        <w:pStyle w:val="AERfactsheetbodytext"/>
        <w:widowControl w:val="0"/>
      </w:pPr>
      <w:r>
        <w:t xml:space="preserve">We use our techniques to </w:t>
      </w:r>
      <w:r w:rsidR="004C146D">
        <w:t>assess the efficiency of the base year. If we find the base year is materially inefficient, we</w:t>
      </w:r>
      <w:r w:rsidR="008A6298">
        <w:t xml:space="preserve"> adjust it. Then </w:t>
      </w:r>
      <w:r w:rsidR="00892CCA">
        <w:t>we apply a rate of change to account for changes in prices, productivity and the outputs the b</w:t>
      </w:r>
      <w:r>
        <w:t>usiness is required to deliver.</w:t>
      </w:r>
      <w:r w:rsidR="00745CA3">
        <w:t xml:space="preserve"> In certain circumstances, we may also include a</w:t>
      </w:r>
      <w:r w:rsidR="008A6298">
        <w:t xml:space="preserve">dditional efficient costs. </w:t>
      </w:r>
    </w:p>
    <w:p w:rsidR="00892CCA" w:rsidRDefault="008A6298" w:rsidP="00846713">
      <w:pPr>
        <w:pStyle w:val="AERfactsheetbodytext"/>
        <w:widowControl w:val="0"/>
      </w:pPr>
      <w:r>
        <w:t xml:space="preserve">We </w:t>
      </w:r>
      <w:r w:rsidR="00745CA3">
        <w:t xml:space="preserve">then </w:t>
      </w:r>
      <w:r>
        <w:t>compare our estimate with the service provider’s proposal to determine if it reasonably reflects the opex criteria.</w:t>
      </w:r>
    </w:p>
    <w:p w:rsidR="00B325BB" w:rsidRDefault="00846713" w:rsidP="008A6298">
      <w:pPr>
        <w:pStyle w:val="AERfactsheetbodytext"/>
        <w:widowControl w:val="0"/>
      </w:pPr>
      <w:r>
        <w:t>For electricity distribution service providers, benchmarking is central to assessing the efficiency of the base year.</w:t>
      </w:r>
      <w:r w:rsidR="00770C52">
        <w:t xml:space="preserve"> </w:t>
      </w:r>
      <w:r w:rsidR="002235FF">
        <w:t xml:space="preserve">We engaged Economic Insights to develop the following </w:t>
      </w:r>
      <w:r w:rsidR="001D4AAF">
        <w:t xml:space="preserve">economic benchmarking </w:t>
      </w:r>
      <w:r w:rsidR="002235FF">
        <w:t>techniques</w:t>
      </w:r>
      <w:r w:rsidR="008A6298">
        <w:t xml:space="preserve"> to assist with this</w:t>
      </w:r>
      <w:r w:rsidR="004C146D">
        <w:t>, including</w:t>
      </w:r>
      <w:r w:rsidR="002235FF">
        <w:t>:</w:t>
      </w:r>
    </w:p>
    <w:p w:rsidR="002235FF" w:rsidRDefault="002235FF" w:rsidP="003114D7">
      <w:pPr>
        <w:pStyle w:val="AERfactsheetbulletlist"/>
      </w:pPr>
      <w:r>
        <w:t>Multilateral total factor productivity</w:t>
      </w:r>
      <w:r w:rsidR="003114D7">
        <w:t xml:space="preserve"> (MTFP)</w:t>
      </w:r>
    </w:p>
    <w:p w:rsidR="002235FF" w:rsidRDefault="002235FF" w:rsidP="003114D7">
      <w:pPr>
        <w:pStyle w:val="AERfactsheetbulletlist"/>
      </w:pPr>
      <w:r>
        <w:lastRenderedPageBreak/>
        <w:t>Multilateral partial factor productivity</w:t>
      </w:r>
      <w:r w:rsidR="003114D7">
        <w:t xml:space="preserve"> (MPFP)</w:t>
      </w:r>
    </w:p>
    <w:p w:rsidR="002235FF" w:rsidRDefault="002235FF" w:rsidP="003114D7">
      <w:pPr>
        <w:pStyle w:val="AERfactsheetbulletlist"/>
      </w:pPr>
      <w:r>
        <w:t>Cobb Douglas stochastic frontier analysis</w:t>
      </w:r>
      <w:r w:rsidR="003114D7">
        <w:t xml:space="preserve"> (SFA)</w:t>
      </w:r>
    </w:p>
    <w:p w:rsidR="002235FF" w:rsidRDefault="00846713" w:rsidP="003114D7">
      <w:pPr>
        <w:pStyle w:val="AERfactsheetbulletlist"/>
      </w:pPr>
      <w:r w:rsidRPr="00E0500A">
        <w:rPr>
          <w:rFonts w:ascii="Tunga" w:hAnsi="Tunga" w:cs="Tunga"/>
          <w:b/>
          <w:iCs/>
          <w:noProof/>
          <w:color w:val="006A99"/>
          <w:spacing w:val="0"/>
          <w:kern w:val="24"/>
          <w:sz w:val="24"/>
          <w:lang w:eastAsia="en-A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77239FE" wp14:editId="44277168">
                <wp:simplePos x="0" y="0"/>
                <wp:positionH relativeFrom="column">
                  <wp:posOffset>-497205</wp:posOffset>
                </wp:positionH>
                <wp:positionV relativeFrom="page">
                  <wp:posOffset>100965</wp:posOffset>
                </wp:positionV>
                <wp:extent cx="7642225" cy="323850"/>
                <wp:effectExtent l="0" t="0" r="15875" b="3810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2225" cy="323850"/>
                          <a:chOff x="-15351" y="0"/>
                          <a:chExt cx="7646046" cy="323850"/>
                        </a:xfrm>
                      </wpg:grpSpPr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5351" y="0"/>
                            <a:ext cx="7635238" cy="304631"/>
                          </a:xfrm>
                          <a:prstGeom prst="rect">
                            <a:avLst/>
                          </a:prstGeom>
                          <a:solidFill>
                            <a:srgbClr val="006A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49E3" w:rsidRPr="006B1EE6" w:rsidRDefault="00E63E0A" w:rsidP="001D49FD">
                              <w:pPr>
                                <w:ind w:left="567"/>
                                <w:rPr>
                                  <w:rFonts w:ascii="Univers 45 Light" w:hAnsi="Univers 45 Light" w:cs="Calibri"/>
                                  <w:b/>
                                  <w:color w:val="FFFFFF"/>
                                  <w:spacing w:val="20"/>
                                  <w:w w:val="80"/>
                                  <w:kern w:val="22"/>
                                </w:rPr>
                              </w:pPr>
                              <w:r>
                                <w:rPr>
                                  <w:rFonts w:ascii="Univers 45 Light" w:hAnsi="Univers 45 Light" w:cs="Calibri"/>
                                  <w:b/>
                                  <w:color w:val="FFFFFF"/>
                                  <w:spacing w:val="20"/>
                                  <w:w w:val="80"/>
                                  <w:kern w:val="22"/>
                                </w:rPr>
                                <w:t>BENCHMARKING</w:t>
                              </w:r>
                              <w:r w:rsidR="00C949E3">
                                <w:rPr>
                                  <w:rFonts w:ascii="Univers 45 Light" w:hAnsi="Univers 45 Light" w:cs="Calibri"/>
                                  <w:b/>
                                  <w:color w:val="FFFFFF"/>
                                  <w:spacing w:val="20"/>
                                  <w:w w:val="80"/>
                                  <w:kern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Straight Connector 6"/>
                        <wps:cNvCnPr>
                          <a:cxnSpLocks noChangeShapeType="1"/>
                        </wps:cNvCnPr>
                        <wps:spPr bwMode="auto">
                          <a:xfrm>
                            <a:off x="-14070" y="323850"/>
                            <a:ext cx="7644765" cy="0"/>
                          </a:xfrm>
                          <a:prstGeom prst="line">
                            <a:avLst/>
                          </a:prstGeom>
                          <a:noFill/>
                          <a:ln w="63500" algn="ctr">
                            <a:solidFill>
                              <a:srgbClr val="92929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" o:spid="_x0000_s1032" style="position:absolute;left:0;text-align:left;margin-left:-39.15pt;margin-top:7.95pt;width:601.75pt;height:25.5pt;z-index:251661312;mso-position-horizontal-relative:text;mso-position-vertical-relative:page;mso-width-relative:margin;mso-height-relative:margin" coordorigin="-153" coordsize="7646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">
                <v:shape id="_x0000_s1033" type="#_x0000_t202" style="position:absolute;left:-153;width:76351;height:30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Ev+MEA&#10;AADbAAAADwAAAGRycy9kb3ducmV2LnhtbERP22oCMRB9L/gPYYS+1axCL2yNImKhfRCp9gOGZLq7&#10;uJmsmzG7/n1TKPRtDuc6y/XoW5Woj01gA/NZAYrYBtdwZeDr9PbwAioKssM2MBm4UYT1anK3xNKF&#10;gT8pHaVSOYRjiQZqka7UOtqaPMZZ6Igz9x16j5JhX2nX45DDfasXRfGkPTacG2rsaFuTPR+v3oAc&#10;Fnt7k/Rsh3T6uOzTbvt42BlzPx03r6CERvkX/7nfXZ4/h99f8gF6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BL/jBAAAA2wAAAA8AAAAAAAAAAAAAAAAAmAIAAGRycy9kb3du&#10;cmV2LnhtbFBLBQYAAAAABAAEAPUAAACGAwAAAAA=&#10;" fillcolor="#006a99" stroked="f">
                  <v:textbox>
                    <w:txbxContent>
                      <w:p w:rsidR="00C949E3" w:rsidRPr="006B1EE6" w:rsidRDefault="00E63E0A" w:rsidP="001D49FD">
                        <w:pPr>
                          <w:ind w:left="567"/>
                          <w:rPr>
                            <w:rFonts w:ascii="Univers 45 Light" w:hAnsi="Univers 45 Light" w:cs="Calibri"/>
                            <w:b/>
                            <w:color w:val="FFFFFF"/>
                            <w:spacing w:val="20"/>
                            <w:w w:val="80"/>
                            <w:kern w:val="22"/>
                          </w:rPr>
                        </w:pPr>
                        <w:r>
                          <w:rPr>
                            <w:rFonts w:ascii="Univers 45 Light" w:hAnsi="Univers 45 Light" w:cs="Calibri"/>
                            <w:b/>
                            <w:color w:val="FFFFFF"/>
                            <w:spacing w:val="20"/>
                            <w:w w:val="80"/>
                            <w:kern w:val="22"/>
                          </w:rPr>
                          <w:t>BENCHMARKING</w:t>
                        </w:r>
                        <w:r w:rsidR="00C949E3">
                          <w:rPr>
                            <w:rFonts w:ascii="Univers 45 Light" w:hAnsi="Univers 45 Light" w:cs="Calibri"/>
                            <w:b/>
                            <w:color w:val="FFFFFF"/>
                            <w:spacing w:val="20"/>
                            <w:w w:val="80"/>
                            <w:kern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Straight Connector 6" o:spid="_x0000_s1034" style="position:absolute;visibility:visible;mso-wrap-style:square" from="-140,3238" to="76306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wjw8MAAADbAAAADwAAAGRycy9kb3ducmV2LnhtbERPS4vCMBC+C/sfwix4KZqugqtdoyyC&#10;qCt78HHwOCSzbbGZlCZq/fdGWPA2H99zpvPWVuJKjS8dK/jopyCItTMl5wqOh2VvDMIHZIOVY1Jw&#10;Jw/z2VtniplxN97RdR9yEUPYZ6igCKHOpPS6IIu+72riyP25xmKIsMmlafAWw20lB2k6khZLjg0F&#10;1rQoSJ/3F6sg2ZzyodH6d71cJJPzMflc/Yy2SnXf2+8vEIHa8BL/u9cmzh/A85d4gJ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cI8PDAAAA2wAAAA8AAAAAAAAAAAAA&#10;AAAAoQIAAGRycy9kb3ducmV2LnhtbFBLBQYAAAAABAAEAPkAAACRAwAAAAA=&#10;" strokecolor="#929292" strokeweight="5pt"/>
                <w10:wrap anchory="page"/>
              </v:group>
            </w:pict>
          </mc:Fallback>
        </mc:AlternateContent>
      </w:r>
      <w:r w:rsidR="003114D7">
        <w:t>Translog least squares estimate</w:t>
      </w:r>
      <w:r w:rsidR="00A3288E">
        <w:t xml:space="preserve"> regression</w:t>
      </w:r>
    </w:p>
    <w:p w:rsidR="003114D7" w:rsidRDefault="003114D7" w:rsidP="003114D7">
      <w:pPr>
        <w:pStyle w:val="AERfactsheetbulletlist"/>
      </w:pPr>
      <w:r>
        <w:t>Cobb Douglas least squares estimate</w:t>
      </w:r>
      <w:r w:rsidR="00A3288E">
        <w:t xml:space="preserve"> regression</w:t>
      </w:r>
      <w:r>
        <w:t>.</w:t>
      </w:r>
    </w:p>
    <w:p w:rsidR="00745CA3" w:rsidRDefault="00892CCA" w:rsidP="00892CCA">
      <w:pPr>
        <w:pStyle w:val="AERfactsheetbodytext"/>
      </w:pPr>
      <w:r>
        <w:t xml:space="preserve">MTFP enables us to assess the overall efficiency of service providers. The other four techniques </w:t>
      </w:r>
      <w:r w:rsidR="00A3288E">
        <w:t xml:space="preserve">specifically measure </w:t>
      </w:r>
      <w:r w:rsidR="008A6298">
        <w:t>how efficiently the service providers use</w:t>
      </w:r>
      <w:r>
        <w:t xml:space="preserve"> opex</w:t>
      </w:r>
      <w:r w:rsidR="008A6298">
        <w:t>.</w:t>
      </w:r>
    </w:p>
    <w:p w:rsidR="007C1B56" w:rsidRDefault="007C1B56" w:rsidP="00892CCA">
      <w:pPr>
        <w:pStyle w:val="AERfactsheetbodytext"/>
      </w:pPr>
      <w:r>
        <w:t>Figure 1 shows the results of Economic Insights’ four opex modelling techniques. A score of 1.0 is the highest score. Figure 1 demonstrates that on each of the four models, the historic opex of ActewAGL, Ausgrid, Endeavour Energy and Essential Energy</w:t>
      </w:r>
      <w:r w:rsidR="00AD5946">
        <w:t xml:space="preserve"> (‘</w:t>
      </w:r>
      <w:r w:rsidR="00AD5946" w:rsidRPr="00A3288E">
        <w:rPr>
          <w:b/>
        </w:rPr>
        <w:t>the ACT/NSW service providers</w:t>
      </w:r>
      <w:r w:rsidR="00AD5946">
        <w:t>’)</w:t>
      </w:r>
      <w:r>
        <w:t xml:space="preserve"> </w:t>
      </w:r>
      <w:r w:rsidR="00464004">
        <w:t>have low scores</w:t>
      </w:r>
      <w:r>
        <w:t xml:space="preserve">. Other </w:t>
      </w:r>
      <w:r w:rsidR="00A656AA">
        <w:t xml:space="preserve">NEM </w:t>
      </w:r>
      <w:r>
        <w:t>service providers such as CitiPower and Powercor have comparatively higher scores.</w:t>
      </w:r>
    </w:p>
    <w:p w:rsidR="006941A2" w:rsidRDefault="006941A2" w:rsidP="006941A2">
      <w:pPr>
        <w:pStyle w:val="AERfactsheetbodytext"/>
        <w:widowControl w:val="0"/>
      </w:pPr>
      <w:r>
        <w:t>We also conducted analysis using partial performance indicators (</w:t>
      </w:r>
      <w:r w:rsidR="00A656AA">
        <w:t>‘</w:t>
      </w:r>
      <w:r w:rsidRPr="00A656AA">
        <w:rPr>
          <w:b/>
        </w:rPr>
        <w:t>PPIs</w:t>
      </w:r>
      <w:r w:rsidR="00A656AA">
        <w:t>’</w:t>
      </w:r>
      <w:r>
        <w:t xml:space="preserve">) and opex driver-based category analysis metrics. The results of these simpler benchmarking techniques </w:t>
      </w:r>
      <w:r w:rsidR="00055EC6">
        <w:t>are</w:t>
      </w:r>
      <w:r w:rsidR="00713EC1">
        <w:t xml:space="preserve"> consistent with</w:t>
      </w:r>
      <w:r>
        <w:t xml:space="preserve"> the </w:t>
      </w:r>
      <w:r w:rsidR="00713EC1">
        <w:t xml:space="preserve">benchmarking </w:t>
      </w:r>
      <w:r>
        <w:t>results.</w:t>
      </w:r>
    </w:p>
    <w:p w:rsidR="006941A2" w:rsidRDefault="00055EC6" w:rsidP="006941A2">
      <w:pPr>
        <w:pStyle w:val="AERfactsheetbodytext"/>
        <w:widowControl w:val="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367C19" wp14:editId="1D439257">
                <wp:simplePos x="0" y="0"/>
                <wp:positionH relativeFrom="column">
                  <wp:posOffset>323850</wp:posOffset>
                </wp:positionH>
                <wp:positionV relativeFrom="paragraph">
                  <wp:posOffset>523078</wp:posOffset>
                </wp:positionV>
                <wp:extent cx="2374265" cy="3429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AAF" w:rsidRPr="001D4AAF" w:rsidRDefault="001D4AAF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1D4AAF">
                              <w:rPr>
                                <w:b/>
                                <w:sz w:val="22"/>
                              </w:rPr>
                              <w:t>Figure 1</w:t>
                            </w:r>
                            <w:r w:rsidRPr="001D4AAF">
                              <w:rPr>
                                <w:b/>
                                <w:sz w:val="22"/>
                              </w:rPr>
                              <w:tab/>
                              <w:t>Opex modelling results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margin-left:25.5pt;margin-top:41.2pt;width:186.95pt;height:27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" filled="f" stroked="f">
                <v:textbox>
                  <w:txbxContent>
                    <w:p w:rsidR="001D4AAF" w:rsidRPr="001D4AAF" w:rsidRDefault="001D4AAF">
                      <w:pPr>
                        <w:rPr>
                          <w:b/>
                          <w:sz w:val="22"/>
                        </w:rPr>
                      </w:pPr>
                      <w:r w:rsidRPr="001D4AAF">
                        <w:rPr>
                          <w:b/>
                          <w:sz w:val="22"/>
                        </w:rPr>
                        <w:t>Figure 1</w:t>
                      </w:r>
                      <w:r w:rsidRPr="001D4AAF">
                        <w:rPr>
                          <w:b/>
                          <w:sz w:val="22"/>
                        </w:rPr>
                        <w:tab/>
                        <w:t>Opex modelling results</w:t>
                      </w:r>
                    </w:p>
                  </w:txbxContent>
                </v:textbox>
              </v:shape>
            </w:pict>
          </mc:Fallback>
        </mc:AlternateContent>
      </w:r>
      <w:r w:rsidR="004C146D">
        <w:t xml:space="preserve">Additionally, we conducted targeted detailed reviews of certain opex categories. Our findings from these reviews </w:t>
      </w:r>
      <w:r w:rsidR="00713EC1">
        <w:t>support the benchmarking results.</w:t>
      </w:r>
      <w:r w:rsidR="00B53C71">
        <w:br/>
      </w:r>
    </w:p>
    <w:p w:rsidR="004C146D" w:rsidRPr="00AD5946" w:rsidRDefault="004C146D" w:rsidP="004C146D">
      <w:pPr>
        <w:pStyle w:val="AERFactsheetHeading1"/>
        <w:rPr>
          <w:i/>
          <w:sz w:val="22"/>
        </w:rPr>
      </w:pPr>
      <w:r>
        <w:rPr>
          <w:i/>
          <w:sz w:val="22"/>
        </w:rPr>
        <w:lastRenderedPageBreak/>
        <w:t>Our ap</w:t>
      </w:r>
      <w:r w:rsidRPr="00AD5946">
        <w:rPr>
          <w:i/>
          <w:sz w:val="22"/>
        </w:rPr>
        <w:t>plication of opex benchmarking</w:t>
      </w:r>
    </w:p>
    <w:p w:rsidR="00713EC1" w:rsidRDefault="00D21817" w:rsidP="006941A2">
      <w:pPr>
        <w:pStyle w:val="AERfactsheetbodytext"/>
        <w:widowControl w:val="0"/>
      </w:pPr>
      <w:r w:rsidRPr="00C13B2B">
        <w:t xml:space="preserve">Following our analysis using a combination of </w:t>
      </w:r>
      <w:r>
        <w:t xml:space="preserve">quantitative and qualitative </w:t>
      </w:r>
      <w:r w:rsidRPr="00C13B2B">
        <w:t xml:space="preserve">techniques, we </w:t>
      </w:r>
      <w:r>
        <w:t>we</w:t>
      </w:r>
      <w:r w:rsidRPr="00C13B2B">
        <w:t xml:space="preserve">re satisfied a forecast based on </w:t>
      </w:r>
      <w:r>
        <w:t>the ACT/NSW service providers</w:t>
      </w:r>
      <w:r w:rsidRPr="00C13B2B">
        <w:t>' historical opex would not reasonably reflect the opex criteria. Therefore, adjustment</w:t>
      </w:r>
      <w:r>
        <w:t>s</w:t>
      </w:r>
      <w:r w:rsidRPr="00C13B2B">
        <w:t xml:space="preserve"> </w:t>
      </w:r>
      <w:r>
        <w:t>were</w:t>
      </w:r>
      <w:r w:rsidRPr="00C13B2B">
        <w:t xml:space="preserve"> necessary.</w:t>
      </w:r>
    </w:p>
    <w:p w:rsidR="006941A2" w:rsidRDefault="006941A2" w:rsidP="006941A2">
      <w:pPr>
        <w:pStyle w:val="AERfactsheetbodytext"/>
        <w:widowControl w:val="0"/>
      </w:pPr>
      <w:r>
        <w:t>We used our preferred benchmarking model as the starting point to arrive at an alternative estimate of what we consider</w:t>
      </w:r>
      <w:r w:rsidR="00D21817">
        <w:t>ed</w:t>
      </w:r>
      <w:r>
        <w:t xml:space="preserve"> reasonably reflects an efficient base level of opex. </w:t>
      </w:r>
      <w:r w:rsidR="00D21817">
        <w:t>H</w:t>
      </w:r>
      <w:r>
        <w:t>owever, we consider</w:t>
      </w:r>
      <w:r w:rsidR="00A3288E">
        <w:t>ed</w:t>
      </w:r>
      <w:r>
        <w:t xml:space="preserve"> </w:t>
      </w:r>
      <w:r w:rsidR="00D25A7F">
        <w:t>it was</w:t>
      </w:r>
      <w:r>
        <w:t xml:space="preserve"> necessary</w:t>
      </w:r>
      <w:r w:rsidR="00D25A7F">
        <w:t xml:space="preserve"> to reduce the target level of efficiency by</w:t>
      </w:r>
      <w:r>
        <w:t>:</w:t>
      </w:r>
    </w:p>
    <w:p w:rsidR="00D25A7F" w:rsidRDefault="00D25A7F" w:rsidP="00D25A7F">
      <w:pPr>
        <w:pStyle w:val="AERfactsheetbodytext"/>
        <w:widowControl w:val="0"/>
        <w:numPr>
          <w:ilvl w:val="0"/>
          <w:numId w:val="11"/>
        </w:numPr>
      </w:pPr>
      <w:r>
        <w:t xml:space="preserve">Providing </w:t>
      </w:r>
      <w:r w:rsidR="006941A2">
        <w:t>a</w:t>
      </w:r>
      <w:r w:rsidR="00A3288E">
        <w:t>n</w:t>
      </w:r>
      <w:r w:rsidR="006941A2">
        <w:t xml:space="preserve"> allowance for operating environment differences not completely captured by our preferred benchmarking model</w:t>
      </w:r>
    </w:p>
    <w:p w:rsidR="00D25A7F" w:rsidRDefault="00D25A7F" w:rsidP="00D25A7F">
      <w:pPr>
        <w:pStyle w:val="AERfactsheetbodytext"/>
        <w:widowControl w:val="0"/>
        <w:numPr>
          <w:ilvl w:val="0"/>
          <w:numId w:val="11"/>
        </w:numPr>
      </w:pPr>
      <w:r>
        <w:t xml:space="preserve">Comparing </w:t>
      </w:r>
      <w:r w:rsidR="00A3288E">
        <w:t>the service providers</w:t>
      </w:r>
      <w:r w:rsidR="006941A2">
        <w:t>' efficiency to a weighted average of all networks with efficiency scores above 0.75 rather than the most efficient service provider in our preferred model.</w:t>
      </w:r>
      <w:r w:rsidRPr="00D25A7F">
        <w:t xml:space="preserve"> </w:t>
      </w:r>
    </w:p>
    <w:p w:rsidR="00055EC6" w:rsidRDefault="004C146D" w:rsidP="00055EC6">
      <w:pPr>
        <w:pStyle w:val="AERfactsheetbodytext"/>
        <w:sectPr w:rsidR="00055EC6" w:rsidSect="00D202AC">
          <w:type w:val="continuous"/>
          <w:pgSz w:w="11906" w:h="16838"/>
          <w:pgMar w:top="1135" w:right="720" w:bottom="851" w:left="720" w:header="709" w:footer="709" w:gutter="0"/>
          <w:cols w:num="2" w:space="340"/>
          <w:docGrid w:linePitch="360"/>
        </w:sectPr>
      </w:pPr>
      <w:r>
        <w:t>Therefore</w:t>
      </w:r>
      <w:r w:rsidR="00AA4BA7">
        <w:t>, o</w:t>
      </w:r>
      <w:r w:rsidR="00AA4BA7" w:rsidRPr="00AA4BA7">
        <w:t xml:space="preserve">ur benchmark comparison point incorporates the different operating environments of a number of service providers, </w:t>
      </w:r>
      <w:r w:rsidR="00AA4BA7">
        <w:t xml:space="preserve">covering </w:t>
      </w:r>
      <w:r w:rsidR="00AA4BA7" w:rsidRPr="00AA4BA7">
        <w:t>rural and urban areas, different terrains, different sized customer bases and circuit lengths</w:t>
      </w:r>
      <w:r w:rsidR="00D25A7F">
        <w:t xml:space="preserve">. </w:t>
      </w:r>
    </w:p>
    <w:p w:rsidR="001D4AAF" w:rsidRDefault="00B53C71" w:rsidP="007C1B56">
      <w:pPr>
        <w:pStyle w:val="AERfactsheetbodytext"/>
      </w:pPr>
      <w:r w:rsidRPr="001D4AAF">
        <w:rPr>
          <w:noProof/>
          <w:lang w:eastAsia="en-AU"/>
        </w:rPr>
        <w:drawing>
          <wp:anchor distT="0" distB="180340" distL="114300" distR="114300" simplePos="0" relativeHeight="251656191" behindDoc="0" locked="0" layoutInCell="1" allowOverlap="1" wp14:anchorId="4451E37B" wp14:editId="1490B14A">
            <wp:simplePos x="0" y="0"/>
            <wp:positionH relativeFrom="column">
              <wp:posOffset>171450</wp:posOffset>
            </wp:positionH>
            <wp:positionV relativeFrom="paragraph">
              <wp:posOffset>136525</wp:posOffset>
            </wp:positionV>
            <wp:extent cx="6388100" cy="3514725"/>
            <wp:effectExtent l="0" t="0" r="0" b="0"/>
            <wp:wrapTopAndBottom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AAF">
        <w:t xml:space="preserve">The resulting adjustments to </w:t>
      </w:r>
      <w:r w:rsidR="004C146D">
        <w:t xml:space="preserve">base year opex for </w:t>
      </w:r>
      <w:r w:rsidR="001D4AAF">
        <w:t>each of the ACT/NSW service providers are ($2013-14):</w:t>
      </w:r>
    </w:p>
    <w:p w:rsidR="006941A2" w:rsidRDefault="006941A2" w:rsidP="007C1B56">
      <w:pPr>
        <w:pStyle w:val="AERfactsheetbodytext"/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0DEE21ED" wp14:editId="039843DD">
                <wp:extent cx="3214370" cy="962025"/>
                <wp:effectExtent l="0" t="0" r="24130" b="28575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96202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6A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1A2" w:rsidRDefault="006941A2" w:rsidP="001D4AAF">
                            <w:pPr>
                              <w:pStyle w:val="AERfactsheetbodytext"/>
                            </w:pPr>
                            <w:r>
                              <w:t>ActewAGL – $26.6 million (38.6%)</w:t>
                            </w:r>
                          </w:p>
                          <w:p w:rsidR="006941A2" w:rsidRDefault="006941A2" w:rsidP="001D4AAF">
                            <w:pPr>
                              <w:pStyle w:val="AERfactsheetbodytext"/>
                            </w:pPr>
                            <w:r>
                              <w:t>Ausgrid – $163.7 million (33.3%)</w:t>
                            </w:r>
                          </w:p>
                          <w:p w:rsidR="006941A2" w:rsidRDefault="006941A2" w:rsidP="001D4AAF">
                            <w:pPr>
                              <w:pStyle w:val="AERfactsheetbodytext"/>
                            </w:pPr>
                            <w:r>
                              <w:t>Endeavour Energy – $23.0 million (10.3%)</w:t>
                            </w:r>
                          </w:p>
                          <w:p w:rsidR="006941A2" w:rsidRPr="00216CEB" w:rsidRDefault="006941A2" w:rsidP="00055EC6">
                            <w:pPr>
                              <w:pStyle w:val="AERfactsheetbodytext"/>
                            </w:pPr>
                            <w:r>
                              <w:t>Essential Energy – $144.1 million (34.7%)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8" o:spid="_x0000_s1036" type="#_x0000_t202" style="width:253.1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" fillcolor="#dbe5f1" strokecolor="#006a99">
                <v:textbox>
                  <w:txbxContent>
                    <w:p w:rsidR="006941A2" w:rsidRDefault="006941A2" w:rsidP="001D4AAF">
                      <w:pPr>
                        <w:pStyle w:val="AERfactsheetbodytext"/>
                      </w:pPr>
                      <w:proofErr w:type="spellStart"/>
                      <w:r>
                        <w:t>ActewAGL</w:t>
                      </w:r>
                      <w:proofErr w:type="spellEnd"/>
                      <w:r>
                        <w:t xml:space="preserve"> – $26.6 million (38.6%)</w:t>
                      </w:r>
                    </w:p>
                    <w:p w:rsidR="006941A2" w:rsidRDefault="006941A2" w:rsidP="001D4AAF">
                      <w:pPr>
                        <w:pStyle w:val="AERfactsheetbodytext"/>
                      </w:pPr>
                      <w:proofErr w:type="spellStart"/>
                      <w:r>
                        <w:t>Ausgrid</w:t>
                      </w:r>
                      <w:proofErr w:type="spellEnd"/>
                      <w:r>
                        <w:t xml:space="preserve"> – $163.7 million (33.3%)</w:t>
                      </w:r>
                    </w:p>
                    <w:p w:rsidR="006941A2" w:rsidRDefault="006941A2" w:rsidP="001D4AAF">
                      <w:pPr>
                        <w:pStyle w:val="AERfactsheetbodytext"/>
                      </w:pPr>
                      <w:r>
                        <w:t>Endeavour Energy – $23.0 million (10.3%)</w:t>
                      </w:r>
                    </w:p>
                    <w:p w:rsidR="006941A2" w:rsidRPr="00216CEB" w:rsidRDefault="006941A2" w:rsidP="00055EC6">
                      <w:pPr>
                        <w:pStyle w:val="AERfactsheetbodytext"/>
                      </w:pPr>
                      <w:r>
                        <w:t>Essential Energy – $144.1 million (34.7%)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D75B5" w:rsidRDefault="000F4BE7" w:rsidP="007C1B56">
      <w:pPr>
        <w:pStyle w:val="AERfactsheetbodytext"/>
      </w:pPr>
      <w:r w:rsidRPr="007E0179">
        <w:rPr>
          <w:noProof/>
          <w:lang w:eastAsia="en-AU"/>
        </w:rPr>
        <w:drawing>
          <wp:anchor distT="0" distB="0" distL="114300" distR="114300" simplePos="0" relativeHeight="251668480" behindDoc="0" locked="0" layoutInCell="1" allowOverlap="1" wp14:anchorId="037022B2" wp14:editId="7FEFBCFC">
            <wp:simplePos x="0" y="0"/>
            <wp:positionH relativeFrom="column">
              <wp:posOffset>-4508839</wp:posOffset>
            </wp:positionH>
            <wp:positionV relativeFrom="page">
              <wp:posOffset>10217785</wp:posOffset>
            </wp:positionV>
            <wp:extent cx="15687675" cy="492125"/>
            <wp:effectExtent l="0" t="0" r="9525" b="3175"/>
            <wp:wrapNone/>
            <wp:docPr id="1" name="Picture 1" descr="Title: Blue end box - Description: Blue end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itle: Blue end box - Description: Blue end box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767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B56" w:rsidRDefault="007C1B56" w:rsidP="007C1B56">
      <w:pPr>
        <w:pStyle w:val="AERfactsheetbodytext"/>
      </w:pPr>
      <w:r>
        <w:t>For electricity transmission service providers, we produced MTFP, MPFP and PPI analysis. However, due to limited data, we were unable to draw conclusions about relative efficiency of base year opex.</w:t>
      </w:r>
    </w:p>
    <w:p w:rsidR="007C1B56" w:rsidRDefault="007C1B56" w:rsidP="007C1B56">
      <w:pPr>
        <w:pStyle w:val="AERfactsheetbodytext"/>
        <w:widowControl w:val="0"/>
      </w:pPr>
      <w:r>
        <w:t>Due to the absence of sufficient data, we were unable to conduct benchmarking to assess opex for gas or for interconnectors.</w:t>
      </w:r>
    </w:p>
    <w:sectPr w:rsidR="007C1B56" w:rsidSect="00D202AC">
      <w:type w:val="continuous"/>
      <w:pgSz w:w="11906" w:h="16838"/>
      <w:pgMar w:top="1135" w:right="720" w:bottom="851" w:left="720" w:header="709" w:footer="709" w:gutter="0"/>
      <w:cols w:num="2"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9E3" w:rsidRDefault="00C949E3" w:rsidP="00A24D2E">
      <w:r>
        <w:separator/>
      </w:r>
    </w:p>
  </w:endnote>
  <w:endnote w:type="continuationSeparator" w:id="0">
    <w:p w:rsidR="00C949E3" w:rsidRDefault="00C949E3" w:rsidP="00A2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DINOT-Regular">
    <w:altName w:val="DINOT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Univers 45 Light">
    <w:panose1 w:val="020B040302020202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9E3" w:rsidRDefault="00C949E3" w:rsidP="00A24D2E">
      <w:r>
        <w:separator/>
      </w:r>
    </w:p>
  </w:footnote>
  <w:footnote w:type="continuationSeparator" w:id="0">
    <w:p w:rsidR="00C949E3" w:rsidRDefault="00C949E3" w:rsidP="00A24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2DD4"/>
    <w:multiLevelType w:val="hybridMultilevel"/>
    <w:tmpl w:val="CA5CD5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9A6AA9"/>
    <w:multiLevelType w:val="hybridMultilevel"/>
    <w:tmpl w:val="4C12C33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3D32CE"/>
    <w:multiLevelType w:val="hybridMultilevel"/>
    <w:tmpl w:val="64CEB9F0"/>
    <w:lvl w:ilvl="0" w:tplc="C9C406E8">
      <w:start w:val="1"/>
      <w:numFmt w:val="bullet"/>
      <w:pStyle w:val="AERfactsheetbulletlist"/>
      <w:lvlText w:val=""/>
      <w:lvlJc w:val="left"/>
      <w:pPr>
        <w:ind w:left="578" w:hanging="360"/>
      </w:pPr>
      <w:rPr>
        <w:rFonts w:ascii="Wingdings" w:hAnsi="Wingdings" w:hint="default"/>
        <w:b w:val="0"/>
        <w:i w:val="0"/>
        <w:sz w:val="22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17A8313B"/>
    <w:multiLevelType w:val="hybridMultilevel"/>
    <w:tmpl w:val="BF106898"/>
    <w:lvl w:ilvl="0" w:tplc="DC0067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B40A8"/>
    <w:multiLevelType w:val="hybridMultilevel"/>
    <w:tmpl w:val="7BFCF0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575BF"/>
    <w:multiLevelType w:val="hybridMultilevel"/>
    <w:tmpl w:val="520AAE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E1809"/>
    <w:multiLevelType w:val="hybridMultilevel"/>
    <w:tmpl w:val="8B549D7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87971"/>
    <w:multiLevelType w:val="multilevel"/>
    <w:tmpl w:val="B1FCC85A"/>
    <w:lvl w:ilvl="0">
      <w:start w:val="1"/>
      <w:numFmt w:val="none"/>
      <w:pStyle w:val="AERbodytext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AERnumberedlistfirststyle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2">
      <w:start w:val="1"/>
      <w:numFmt w:val="lowerLetter"/>
      <w:pStyle w:val="AERnumberedlistsecondstyle"/>
      <w:lvlText w:val="%3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>
      <w:start w:val="1"/>
      <w:numFmt w:val="lowerRoman"/>
      <w:pStyle w:val="AERnumberedlistthirdstyle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nsid w:val="5C04619A"/>
    <w:multiLevelType w:val="hybridMultilevel"/>
    <w:tmpl w:val="56C09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2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\\cdchnas-evs02\home$\ssutt\Better Regulation\Opex\Benchmarking Fact Sheet.DOCX"/>
  </w:docVars>
  <w:rsids>
    <w:rsidRoot w:val="00021F03"/>
    <w:rsid w:val="00012AC9"/>
    <w:rsid w:val="000173D5"/>
    <w:rsid w:val="000175A4"/>
    <w:rsid w:val="00021F03"/>
    <w:rsid w:val="00022077"/>
    <w:rsid w:val="00027076"/>
    <w:rsid w:val="00035993"/>
    <w:rsid w:val="000424BD"/>
    <w:rsid w:val="000437AC"/>
    <w:rsid w:val="000454A0"/>
    <w:rsid w:val="00055816"/>
    <w:rsid w:val="00055EC6"/>
    <w:rsid w:val="000742B2"/>
    <w:rsid w:val="0007657B"/>
    <w:rsid w:val="00084C36"/>
    <w:rsid w:val="000864DB"/>
    <w:rsid w:val="00097937"/>
    <w:rsid w:val="000A6866"/>
    <w:rsid w:val="000B05F7"/>
    <w:rsid w:val="000B3EAD"/>
    <w:rsid w:val="000C025A"/>
    <w:rsid w:val="000C07AD"/>
    <w:rsid w:val="000C712D"/>
    <w:rsid w:val="000D4877"/>
    <w:rsid w:val="000E2D55"/>
    <w:rsid w:val="000F4BE7"/>
    <w:rsid w:val="0010059A"/>
    <w:rsid w:val="00113361"/>
    <w:rsid w:val="001152E2"/>
    <w:rsid w:val="00117167"/>
    <w:rsid w:val="00117472"/>
    <w:rsid w:val="00117566"/>
    <w:rsid w:val="00131C78"/>
    <w:rsid w:val="00132FB3"/>
    <w:rsid w:val="00134644"/>
    <w:rsid w:val="001364E9"/>
    <w:rsid w:val="00140E1A"/>
    <w:rsid w:val="00152151"/>
    <w:rsid w:val="0016071A"/>
    <w:rsid w:val="00161050"/>
    <w:rsid w:val="00161423"/>
    <w:rsid w:val="00163E50"/>
    <w:rsid w:val="00193867"/>
    <w:rsid w:val="00194A45"/>
    <w:rsid w:val="001A231A"/>
    <w:rsid w:val="001A23C5"/>
    <w:rsid w:val="001A3711"/>
    <w:rsid w:val="001A5BC1"/>
    <w:rsid w:val="001B10C7"/>
    <w:rsid w:val="001D3D87"/>
    <w:rsid w:val="001D4048"/>
    <w:rsid w:val="001D49FD"/>
    <w:rsid w:val="001D4AAF"/>
    <w:rsid w:val="001E42DA"/>
    <w:rsid w:val="001F15F8"/>
    <w:rsid w:val="001F2550"/>
    <w:rsid w:val="002067E6"/>
    <w:rsid w:val="002106B5"/>
    <w:rsid w:val="00211FD6"/>
    <w:rsid w:val="002144C3"/>
    <w:rsid w:val="00216967"/>
    <w:rsid w:val="00216CEB"/>
    <w:rsid w:val="00223084"/>
    <w:rsid w:val="002235FF"/>
    <w:rsid w:val="00225391"/>
    <w:rsid w:val="00225620"/>
    <w:rsid w:val="0022594B"/>
    <w:rsid w:val="00235775"/>
    <w:rsid w:val="00235852"/>
    <w:rsid w:val="00236E3C"/>
    <w:rsid w:val="002425E7"/>
    <w:rsid w:val="00244D7A"/>
    <w:rsid w:val="00257B6D"/>
    <w:rsid w:val="00260768"/>
    <w:rsid w:val="00263811"/>
    <w:rsid w:val="00266275"/>
    <w:rsid w:val="00285C21"/>
    <w:rsid w:val="00290C21"/>
    <w:rsid w:val="002952EB"/>
    <w:rsid w:val="002A4196"/>
    <w:rsid w:val="002A473F"/>
    <w:rsid w:val="002B7BBC"/>
    <w:rsid w:val="002D56B2"/>
    <w:rsid w:val="002E3F5B"/>
    <w:rsid w:val="002E57B4"/>
    <w:rsid w:val="002E7F4D"/>
    <w:rsid w:val="002F5CD2"/>
    <w:rsid w:val="00305687"/>
    <w:rsid w:val="003114D7"/>
    <w:rsid w:val="003118DF"/>
    <w:rsid w:val="0031269F"/>
    <w:rsid w:val="003224AC"/>
    <w:rsid w:val="00327E8A"/>
    <w:rsid w:val="00332FB2"/>
    <w:rsid w:val="00342DB1"/>
    <w:rsid w:val="00346F63"/>
    <w:rsid w:val="00354991"/>
    <w:rsid w:val="00356833"/>
    <w:rsid w:val="00360C93"/>
    <w:rsid w:val="00363D63"/>
    <w:rsid w:val="003851C0"/>
    <w:rsid w:val="00385BB9"/>
    <w:rsid w:val="003870D8"/>
    <w:rsid w:val="003876E1"/>
    <w:rsid w:val="003906E2"/>
    <w:rsid w:val="00391B7D"/>
    <w:rsid w:val="00392D55"/>
    <w:rsid w:val="003A08FC"/>
    <w:rsid w:val="003A683A"/>
    <w:rsid w:val="003B46EA"/>
    <w:rsid w:val="003E6A27"/>
    <w:rsid w:val="003F527A"/>
    <w:rsid w:val="003F6819"/>
    <w:rsid w:val="00404570"/>
    <w:rsid w:val="0040796A"/>
    <w:rsid w:val="00422429"/>
    <w:rsid w:val="0042329B"/>
    <w:rsid w:val="004310E5"/>
    <w:rsid w:val="00446186"/>
    <w:rsid w:val="00451178"/>
    <w:rsid w:val="0045172C"/>
    <w:rsid w:val="004548EF"/>
    <w:rsid w:val="004579EB"/>
    <w:rsid w:val="00457E3A"/>
    <w:rsid w:val="00464004"/>
    <w:rsid w:val="0047394F"/>
    <w:rsid w:val="00474754"/>
    <w:rsid w:val="004842F6"/>
    <w:rsid w:val="004971B8"/>
    <w:rsid w:val="004B0368"/>
    <w:rsid w:val="004B40E2"/>
    <w:rsid w:val="004C1027"/>
    <w:rsid w:val="004C146D"/>
    <w:rsid w:val="004C19B8"/>
    <w:rsid w:val="004C5F9A"/>
    <w:rsid w:val="004D1DC0"/>
    <w:rsid w:val="004D52BB"/>
    <w:rsid w:val="004D75B5"/>
    <w:rsid w:val="004E0FF6"/>
    <w:rsid w:val="004E1208"/>
    <w:rsid w:val="004E4F29"/>
    <w:rsid w:val="004F4392"/>
    <w:rsid w:val="0050430D"/>
    <w:rsid w:val="005064D7"/>
    <w:rsid w:val="00511B82"/>
    <w:rsid w:val="00513FFD"/>
    <w:rsid w:val="00526C37"/>
    <w:rsid w:val="005324C6"/>
    <w:rsid w:val="005432E0"/>
    <w:rsid w:val="00544345"/>
    <w:rsid w:val="00547E18"/>
    <w:rsid w:val="005524C5"/>
    <w:rsid w:val="00554E14"/>
    <w:rsid w:val="0055584F"/>
    <w:rsid w:val="005746F0"/>
    <w:rsid w:val="005A1CBA"/>
    <w:rsid w:val="005A468C"/>
    <w:rsid w:val="005C144C"/>
    <w:rsid w:val="005D2EBB"/>
    <w:rsid w:val="005E0762"/>
    <w:rsid w:val="005E1E92"/>
    <w:rsid w:val="005E4018"/>
    <w:rsid w:val="005F2D40"/>
    <w:rsid w:val="005F2DC5"/>
    <w:rsid w:val="005F4DFA"/>
    <w:rsid w:val="006030C0"/>
    <w:rsid w:val="00603298"/>
    <w:rsid w:val="0061155D"/>
    <w:rsid w:val="00615CF1"/>
    <w:rsid w:val="00616F0E"/>
    <w:rsid w:val="00621752"/>
    <w:rsid w:val="006246A9"/>
    <w:rsid w:val="0064571A"/>
    <w:rsid w:val="00652BED"/>
    <w:rsid w:val="00661A9B"/>
    <w:rsid w:val="00662BB4"/>
    <w:rsid w:val="00664010"/>
    <w:rsid w:val="0066415A"/>
    <w:rsid w:val="006658A5"/>
    <w:rsid w:val="006721DC"/>
    <w:rsid w:val="006941A2"/>
    <w:rsid w:val="00697FF1"/>
    <w:rsid w:val="006A07F6"/>
    <w:rsid w:val="006A5A15"/>
    <w:rsid w:val="006B1A2B"/>
    <w:rsid w:val="006B322A"/>
    <w:rsid w:val="006B39DB"/>
    <w:rsid w:val="006B6050"/>
    <w:rsid w:val="006B73DD"/>
    <w:rsid w:val="006C4CC5"/>
    <w:rsid w:val="006D0E7F"/>
    <w:rsid w:val="006D137A"/>
    <w:rsid w:val="006D5C4C"/>
    <w:rsid w:val="006F2E4F"/>
    <w:rsid w:val="006F47BA"/>
    <w:rsid w:val="00701628"/>
    <w:rsid w:val="00702500"/>
    <w:rsid w:val="00704EDA"/>
    <w:rsid w:val="007101C1"/>
    <w:rsid w:val="00713EC1"/>
    <w:rsid w:val="00726CCA"/>
    <w:rsid w:val="00732564"/>
    <w:rsid w:val="007325CC"/>
    <w:rsid w:val="00742DF1"/>
    <w:rsid w:val="00745CA3"/>
    <w:rsid w:val="00753DF7"/>
    <w:rsid w:val="00754FD0"/>
    <w:rsid w:val="00755D16"/>
    <w:rsid w:val="0075714F"/>
    <w:rsid w:val="00770C52"/>
    <w:rsid w:val="00776ACC"/>
    <w:rsid w:val="007853FF"/>
    <w:rsid w:val="00785986"/>
    <w:rsid w:val="00787B39"/>
    <w:rsid w:val="00792075"/>
    <w:rsid w:val="007952B3"/>
    <w:rsid w:val="007A0EEB"/>
    <w:rsid w:val="007B591B"/>
    <w:rsid w:val="007B6947"/>
    <w:rsid w:val="007C1B56"/>
    <w:rsid w:val="007C2122"/>
    <w:rsid w:val="007C2B2C"/>
    <w:rsid w:val="007C3C57"/>
    <w:rsid w:val="007C5329"/>
    <w:rsid w:val="007C54FB"/>
    <w:rsid w:val="007E0FCE"/>
    <w:rsid w:val="007F437A"/>
    <w:rsid w:val="00807259"/>
    <w:rsid w:val="00846713"/>
    <w:rsid w:val="008472A8"/>
    <w:rsid w:val="008535C7"/>
    <w:rsid w:val="00856D44"/>
    <w:rsid w:val="00860B4E"/>
    <w:rsid w:val="008665CD"/>
    <w:rsid w:val="00871903"/>
    <w:rsid w:val="00877259"/>
    <w:rsid w:val="00877A69"/>
    <w:rsid w:val="00890964"/>
    <w:rsid w:val="00892CCA"/>
    <w:rsid w:val="00893B2B"/>
    <w:rsid w:val="008A1608"/>
    <w:rsid w:val="008A6298"/>
    <w:rsid w:val="008A7F44"/>
    <w:rsid w:val="008B28DF"/>
    <w:rsid w:val="008B297F"/>
    <w:rsid w:val="008B33C3"/>
    <w:rsid w:val="008B4DBF"/>
    <w:rsid w:val="008C1F3B"/>
    <w:rsid w:val="008C32AF"/>
    <w:rsid w:val="008C5689"/>
    <w:rsid w:val="008D2A86"/>
    <w:rsid w:val="008D722A"/>
    <w:rsid w:val="008E3256"/>
    <w:rsid w:val="008F6C14"/>
    <w:rsid w:val="009032EB"/>
    <w:rsid w:val="00916002"/>
    <w:rsid w:val="0092057B"/>
    <w:rsid w:val="00930D72"/>
    <w:rsid w:val="00935936"/>
    <w:rsid w:val="00935CAA"/>
    <w:rsid w:val="009462FA"/>
    <w:rsid w:val="00947D6F"/>
    <w:rsid w:val="00960E54"/>
    <w:rsid w:val="009612A1"/>
    <w:rsid w:val="00963F5A"/>
    <w:rsid w:val="00974FE1"/>
    <w:rsid w:val="00993D60"/>
    <w:rsid w:val="009A2BB4"/>
    <w:rsid w:val="009A702D"/>
    <w:rsid w:val="009B0AC4"/>
    <w:rsid w:val="009B176A"/>
    <w:rsid w:val="009B2454"/>
    <w:rsid w:val="009B4D12"/>
    <w:rsid w:val="009B60B7"/>
    <w:rsid w:val="009C0036"/>
    <w:rsid w:val="009C6DC3"/>
    <w:rsid w:val="009D246A"/>
    <w:rsid w:val="009D3F78"/>
    <w:rsid w:val="009E0E68"/>
    <w:rsid w:val="009E4276"/>
    <w:rsid w:val="009E7CD2"/>
    <w:rsid w:val="009F664C"/>
    <w:rsid w:val="009F6F78"/>
    <w:rsid w:val="009F7619"/>
    <w:rsid w:val="00A02437"/>
    <w:rsid w:val="00A0352C"/>
    <w:rsid w:val="00A0490B"/>
    <w:rsid w:val="00A1351A"/>
    <w:rsid w:val="00A14E17"/>
    <w:rsid w:val="00A16F47"/>
    <w:rsid w:val="00A20B7E"/>
    <w:rsid w:val="00A24D2E"/>
    <w:rsid w:val="00A24D5C"/>
    <w:rsid w:val="00A2725A"/>
    <w:rsid w:val="00A30414"/>
    <w:rsid w:val="00A32825"/>
    <w:rsid w:val="00A3288E"/>
    <w:rsid w:val="00A33B07"/>
    <w:rsid w:val="00A427A5"/>
    <w:rsid w:val="00A43B3F"/>
    <w:rsid w:val="00A43FE2"/>
    <w:rsid w:val="00A45346"/>
    <w:rsid w:val="00A5063D"/>
    <w:rsid w:val="00A50ACB"/>
    <w:rsid w:val="00A656AA"/>
    <w:rsid w:val="00A70454"/>
    <w:rsid w:val="00A95A1E"/>
    <w:rsid w:val="00A95AD6"/>
    <w:rsid w:val="00A964D1"/>
    <w:rsid w:val="00AA408F"/>
    <w:rsid w:val="00AA44D4"/>
    <w:rsid w:val="00AA4694"/>
    <w:rsid w:val="00AA4BA7"/>
    <w:rsid w:val="00AA7208"/>
    <w:rsid w:val="00AB2954"/>
    <w:rsid w:val="00AB7321"/>
    <w:rsid w:val="00AC0236"/>
    <w:rsid w:val="00AC5FBF"/>
    <w:rsid w:val="00AD2EBC"/>
    <w:rsid w:val="00AD53EF"/>
    <w:rsid w:val="00AD5946"/>
    <w:rsid w:val="00AF7E5B"/>
    <w:rsid w:val="00B0183D"/>
    <w:rsid w:val="00B2084F"/>
    <w:rsid w:val="00B221EC"/>
    <w:rsid w:val="00B321CF"/>
    <w:rsid w:val="00B325BB"/>
    <w:rsid w:val="00B3667B"/>
    <w:rsid w:val="00B4272E"/>
    <w:rsid w:val="00B53C71"/>
    <w:rsid w:val="00B54743"/>
    <w:rsid w:val="00B54816"/>
    <w:rsid w:val="00B600D2"/>
    <w:rsid w:val="00B608C6"/>
    <w:rsid w:val="00B64AAB"/>
    <w:rsid w:val="00B73353"/>
    <w:rsid w:val="00B74064"/>
    <w:rsid w:val="00B74543"/>
    <w:rsid w:val="00B74C3C"/>
    <w:rsid w:val="00B80182"/>
    <w:rsid w:val="00B87130"/>
    <w:rsid w:val="00B96B44"/>
    <w:rsid w:val="00BA42E7"/>
    <w:rsid w:val="00BA4FD9"/>
    <w:rsid w:val="00BB4F93"/>
    <w:rsid w:val="00BB5A5D"/>
    <w:rsid w:val="00BB6ACB"/>
    <w:rsid w:val="00BB7E86"/>
    <w:rsid w:val="00BB7E90"/>
    <w:rsid w:val="00BC5637"/>
    <w:rsid w:val="00BD1D0C"/>
    <w:rsid w:val="00BE5A7F"/>
    <w:rsid w:val="00BF24CD"/>
    <w:rsid w:val="00BF5D39"/>
    <w:rsid w:val="00C034EE"/>
    <w:rsid w:val="00C039EB"/>
    <w:rsid w:val="00C10C2B"/>
    <w:rsid w:val="00C11E06"/>
    <w:rsid w:val="00C12C1F"/>
    <w:rsid w:val="00C13A11"/>
    <w:rsid w:val="00C162C3"/>
    <w:rsid w:val="00C258B0"/>
    <w:rsid w:val="00C410E6"/>
    <w:rsid w:val="00C5335F"/>
    <w:rsid w:val="00C70125"/>
    <w:rsid w:val="00C71947"/>
    <w:rsid w:val="00C73523"/>
    <w:rsid w:val="00C76528"/>
    <w:rsid w:val="00C866CD"/>
    <w:rsid w:val="00C87AC3"/>
    <w:rsid w:val="00C90A07"/>
    <w:rsid w:val="00C919E6"/>
    <w:rsid w:val="00C92E99"/>
    <w:rsid w:val="00C93D3E"/>
    <w:rsid w:val="00C949E3"/>
    <w:rsid w:val="00C95BF3"/>
    <w:rsid w:val="00C97E4C"/>
    <w:rsid w:val="00CA0863"/>
    <w:rsid w:val="00CA171E"/>
    <w:rsid w:val="00CA4673"/>
    <w:rsid w:val="00CA53B1"/>
    <w:rsid w:val="00CB3718"/>
    <w:rsid w:val="00CD4560"/>
    <w:rsid w:val="00CE16B5"/>
    <w:rsid w:val="00CF228C"/>
    <w:rsid w:val="00CF35B3"/>
    <w:rsid w:val="00D015A2"/>
    <w:rsid w:val="00D0705E"/>
    <w:rsid w:val="00D113E9"/>
    <w:rsid w:val="00D202AC"/>
    <w:rsid w:val="00D21817"/>
    <w:rsid w:val="00D23092"/>
    <w:rsid w:val="00D25A7F"/>
    <w:rsid w:val="00D30B52"/>
    <w:rsid w:val="00D403E1"/>
    <w:rsid w:val="00D53ED7"/>
    <w:rsid w:val="00D5558F"/>
    <w:rsid w:val="00D61CE8"/>
    <w:rsid w:val="00D67257"/>
    <w:rsid w:val="00D74296"/>
    <w:rsid w:val="00D9277B"/>
    <w:rsid w:val="00D94B4D"/>
    <w:rsid w:val="00DA03CB"/>
    <w:rsid w:val="00DA4F7E"/>
    <w:rsid w:val="00DB14DA"/>
    <w:rsid w:val="00DB4F80"/>
    <w:rsid w:val="00DB761B"/>
    <w:rsid w:val="00DC20AA"/>
    <w:rsid w:val="00DD18BD"/>
    <w:rsid w:val="00DD5448"/>
    <w:rsid w:val="00DE5EEE"/>
    <w:rsid w:val="00DF28BC"/>
    <w:rsid w:val="00DF3D2B"/>
    <w:rsid w:val="00DF40F8"/>
    <w:rsid w:val="00DF7134"/>
    <w:rsid w:val="00E0500A"/>
    <w:rsid w:val="00E10713"/>
    <w:rsid w:val="00E1275F"/>
    <w:rsid w:val="00E137F1"/>
    <w:rsid w:val="00E32544"/>
    <w:rsid w:val="00E342E9"/>
    <w:rsid w:val="00E36170"/>
    <w:rsid w:val="00E43302"/>
    <w:rsid w:val="00E54B7A"/>
    <w:rsid w:val="00E55E88"/>
    <w:rsid w:val="00E56580"/>
    <w:rsid w:val="00E61AE2"/>
    <w:rsid w:val="00E63E0A"/>
    <w:rsid w:val="00E67143"/>
    <w:rsid w:val="00E674FC"/>
    <w:rsid w:val="00E86ED3"/>
    <w:rsid w:val="00E8783E"/>
    <w:rsid w:val="00E90E01"/>
    <w:rsid w:val="00E91EBB"/>
    <w:rsid w:val="00EA56D7"/>
    <w:rsid w:val="00EA61F6"/>
    <w:rsid w:val="00ED0443"/>
    <w:rsid w:val="00ED6886"/>
    <w:rsid w:val="00EF1802"/>
    <w:rsid w:val="00EF2D77"/>
    <w:rsid w:val="00F02DAD"/>
    <w:rsid w:val="00F06A11"/>
    <w:rsid w:val="00F0776A"/>
    <w:rsid w:val="00F12886"/>
    <w:rsid w:val="00F12DB4"/>
    <w:rsid w:val="00F13827"/>
    <w:rsid w:val="00F209E0"/>
    <w:rsid w:val="00F2534B"/>
    <w:rsid w:val="00F27ABE"/>
    <w:rsid w:val="00F415A3"/>
    <w:rsid w:val="00F44A65"/>
    <w:rsid w:val="00F4505F"/>
    <w:rsid w:val="00F52FF0"/>
    <w:rsid w:val="00F56BC0"/>
    <w:rsid w:val="00F62290"/>
    <w:rsid w:val="00F67377"/>
    <w:rsid w:val="00F675D7"/>
    <w:rsid w:val="00F7252E"/>
    <w:rsid w:val="00F84E99"/>
    <w:rsid w:val="00F85337"/>
    <w:rsid w:val="00F91200"/>
    <w:rsid w:val="00F96A16"/>
    <w:rsid w:val="00FA406F"/>
    <w:rsid w:val="00FA71F1"/>
    <w:rsid w:val="00FB1910"/>
    <w:rsid w:val="00FB7D9A"/>
    <w:rsid w:val="00FC5AB0"/>
    <w:rsid w:val="00FD34FF"/>
    <w:rsid w:val="00FE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258B0"/>
  </w:style>
  <w:style w:type="paragraph" w:styleId="Heading4">
    <w:name w:val="heading 4"/>
    <w:basedOn w:val="Normal"/>
    <w:next w:val="Normal"/>
    <w:link w:val="Heading4Char"/>
    <w:uiPriority w:val="9"/>
    <w:qFormat/>
    <w:rsid w:val="00697FF1"/>
    <w:pPr>
      <w:keepNext/>
      <w:spacing w:after="240" w:line="288" w:lineRule="auto"/>
      <w:jc w:val="both"/>
      <w:outlineLvl w:val="3"/>
    </w:pPr>
    <w:rPr>
      <w:rFonts w:ascii="Gautami" w:eastAsia="Times New Roman" w:hAnsi="Gautami"/>
      <w:b/>
      <w:iCs/>
      <w:color w:val="365F9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ERtextitalic">
    <w:name w:val="AER text italic"/>
    <w:rsid w:val="00AC0236"/>
    <w:rPr>
      <w:i/>
    </w:rPr>
  </w:style>
  <w:style w:type="character" w:customStyle="1" w:styleId="Heading4Char">
    <w:name w:val="Heading 4 Char"/>
    <w:link w:val="Heading4"/>
    <w:uiPriority w:val="9"/>
    <w:rsid w:val="00697FF1"/>
    <w:rPr>
      <w:rFonts w:ascii="Gautami" w:eastAsia="Times New Roman" w:hAnsi="Gautami"/>
      <w:b/>
      <w:iCs/>
      <w:color w:val="365F91"/>
      <w:sz w:val="24"/>
      <w:szCs w:val="24"/>
    </w:rPr>
  </w:style>
  <w:style w:type="character" w:customStyle="1" w:styleId="AERtextbold">
    <w:name w:val="AER text bold"/>
    <w:rsid w:val="00AC0236"/>
    <w:rPr>
      <w:b/>
    </w:rPr>
  </w:style>
  <w:style w:type="paragraph" w:customStyle="1" w:styleId="AERbodytextnospace">
    <w:name w:val="AER body text no space"/>
    <w:basedOn w:val="Normal"/>
    <w:rsid w:val="00AC0236"/>
    <w:pPr>
      <w:spacing w:line="288" w:lineRule="auto"/>
      <w:jc w:val="both"/>
    </w:pPr>
    <w:rPr>
      <w:rFonts w:ascii="Gautami" w:eastAsia="Times New Roman" w:hAnsi="Gautami"/>
      <w:szCs w:val="24"/>
    </w:rPr>
  </w:style>
  <w:style w:type="paragraph" w:customStyle="1" w:styleId="AERbodytext">
    <w:name w:val="AER body text"/>
    <w:rsid w:val="00AC0236"/>
    <w:pPr>
      <w:numPr>
        <w:numId w:val="2"/>
      </w:numPr>
      <w:spacing w:after="240" w:line="288" w:lineRule="auto"/>
      <w:jc w:val="both"/>
    </w:pPr>
    <w:rPr>
      <w:rFonts w:ascii="Gautami" w:eastAsia="Times New Roman" w:hAnsi="Gautami"/>
      <w:szCs w:val="24"/>
    </w:rPr>
  </w:style>
  <w:style w:type="paragraph" w:customStyle="1" w:styleId="AERnumberedlistfirststyle">
    <w:name w:val="AER numbered list (first style)"/>
    <w:basedOn w:val="AERbodytext"/>
    <w:rsid w:val="00AC0236"/>
    <w:pPr>
      <w:numPr>
        <w:ilvl w:val="1"/>
      </w:numPr>
      <w:spacing w:after="200"/>
    </w:pPr>
  </w:style>
  <w:style w:type="paragraph" w:customStyle="1" w:styleId="AERnumberedlistsecondstyle">
    <w:name w:val="AER numbered list (second style)"/>
    <w:basedOn w:val="AERnumberedlistfirststyle"/>
    <w:rsid w:val="00AC0236"/>
    <w:pPr>
      <w:numPr>
        <w:ilvl w:val="2"/>
      </w:numPr>
    </w:pPr>
  </w:style>
  <w:style w:type="paragraph" w:customStyle="1" w:styleId="AERnumberedlistthirdstyle">
    <w:name w:val="AER numbered list (third style)"/>
    <w:basedOn w:val="AERnumberedlistsecondstyle"/>
    <w:rsid w:val="00AC0236"/>
    <w:pPr>
      <w:numPr>
        <w:ilvl w:val="3"/>
      </w:numPr>
    </w:pPr>
  </w:style>
  <w:style w:type="paragraph" w:customStyle="1" w:styleId="Default">
    <w:name w:val="Default"/>
    <w:rsid w:val="00AC0236"/>
    <w:pPr>
      <w:autoSpaceDE w:val="0"/>
      <w:autoSpaceDN w:val="0"/>
      <w:adjustRightInd w:val="0"/>
    </w:pPr>
    <w:rPr>
      <w:rFonts w:ascii="DINOT-Regular" w:eastAsia="Times New Roman" w:hAnsi="DINOT-Regular" w:cs="DINOT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324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uiPriority w:val="99"/>
    <w:unhideWhenUsed/>
    <w:rsid w:val="005324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9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7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2A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2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2A8"/>
    <w:rPr>
      <w:b/>
      <w:bCs/>
      <w:sz w:val="20"/>
      <w:szCs w:val="20"/>
    </w:rPr>
  </w:style>
  <w:style w:type="paragraph" w:customStyle="1" w:styleId="AERfactsheetsubtitle">
    <w:name w:val="AER factsheet subtitle"/>
    <w:basedOn w:val="Subtitle"/>
    <w:next w:val="Normal"/>
    <w:qFormat/>
    <w:rsid w:val="00697FF1"/>
    <w:pPr>
      <w:spacing w:after="0"/>
    </w:pPr>
    <w:rPr>
      <w:rFonts w:ascii="Tunga" w:eastAsia="Times New Roman" w:hAnsi="Tunga" w:cs="Tunga"/>
      <w:i w:val="0"/>
      <w:color w:val="000000"/>
      <w:spacing w:val="16"/>
      <w:kern w:val="20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FF1"/>
    <w:pPr>
      <w:numPr>
        <w:ilvl w:val="1"/>
      </w:numPr>
      <w:spacing w:after="200" w:line="276" w:lineRule="auto"/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697FF1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paragraph" w:customStyle="1" w:styleId="AERFactsheetHeading1">
    <w:name w:val="AER Factsheet Heading 1"/>
    <w:basedOn w:val="Heading4"/>
    <w:qFormat/>
    <w:rsid w:val="00697FF1"/>
    <w:pPr>
      <w:spacing w:before="240" w:after="120" w:line="240" w:lineRule="auto"/>
      <w:jc w:val="left"/>
    </w:pPr>
    <w:rPr>
      <w:rFonts w:ascii="Tunga" w:hAnsi="Tunga" w:cs="Tunga"/>
      <w:color w:val="006A99"/>
      <w:kern w:val="24"/>
    </w:rPr>
  </w:style>
  <w:style w:type="paragraph" w:customStyle="1" w:styleId="AERfactsheetbodytext">
    <w:name w:val="AER factsheet body text"/>
    <w:basedOn w:val="Normal"/>
    <w:qFormat/>
    <w:rsid w:val="00697FF1"/>
    <w:pPr>
      <w:spacing w:after="120" w:line="252" w:lineRule="auto"/>
    </w:pPr>
    <w:rPr>
      <w:rFonts w:ascii="MS Reference Sans Serif" w:hAnsi="MS Reference Sans Serif" w:cs="Shruti"/>
      <w:spacing w:val="-10"/>
      <w:sz w:val="18"/>
      <w:szCs w:val="22"/>
    </w:rPr>
  </w:style>
  <w:style w:type="paragraph" w:customStyle="1" w:styleId="AERfactsheetbulletlist">
    <w:name w:val="AER factsheet bullet list"/>
    <w:basedOn w:val="AERbodytextnospace"/>
    <w:qFormat/>
    <w:rsid w:val="00697FF1"/>
    <w:pPr>
      <w:numPr>
        <w:numId w:val="1"/>
      </w:numPr>
      <w:spacing w:after="120" w:line="252" w:lineRule="auto"/>
      <w:ind w:left="284" w:hanging="284"/>
      <w:jc w:val="left"/>
    </w:pPr>
    <w:rPr>
      <w:rFonts w:ascii="MS Reference Sans Serif" w:hAnsi="MS Reference Sans Serif" w:cs="Shruti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697FF1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Caption">
    <w:name w:val="caption"/>
    <w:basedOn w:val="Normal"/>
    <w:next w:val="Normal"/>
    <w:uiPriority w:val="35"/>
    <w:qFormat/>
    <w:rsid w:val="007C1B56"/>
    <w:pPr>
      <w:keepNext/>
      <w:tabs>
        <w:tab w:val="left" w:pos="1440"/>
      </w:tabs>
      <w:spacing w:before="120" w:line="288" w:lineRule="auto"/>
      <w:ind w:left="1440" w:hanging="1440"/>
      <w:jc w:val="both"/>
    </w:pPr>
    <w:rPr>
      <w:rFonts w:ascii="Gautami" w:eastAsia="Times New Roman" w:hAnsi="Gautami"/>
      <w:b/>
      <w:bCs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D2A8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63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258B0"/>
  </w:style>
  <w:style w:type="paragraph" w:styleId="Heading4">
    <w:name w:val="heading 4"/>
    <w:basedOn w:val="Normal"/>
    <w:next w:val="Normal"/>
    <w:link w:val="Heading4Char"/>
    <w:uiPriority w:val="9"/>
    <w:qFormat/>
    <w:rsid w:val="00697FF1"/>
    <w:pPr>
      <w:keepNext/>
      <w:spacing w:after="240" w:line="288" w:lineRule="auto"/>
      <w:jc w:val="both"/>
      <w:outlineLvl w:val="3"/>
    </w:pPr>
    <w:rPr>
      <w:rFonts w:ascii="Gautami" w:eastAsia="Times New Roman" w:hAnsi="Gautami"/>
      <w:b/>
      <w:iCs/>
      <w:color w:val="365F9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ERtextitalic">
    <w:name w:val="AER text italic"/>
    <w:rsid w:val="00AC0236"/>
    <w:rPr>
      <w:i/>
    </w:rPr>
  </w:style>
  <w:style w:type="character" w:customStyle="1" w:styleId="Heading4Char">
    <w:name w:val="Heading 4 Char"/>
    <w:link w:val="Heading4"/>
    <w:uiPriority w:val="9"/>
    <w:rsid w:val="00697FF1"/>
    <w:rPr>
      <w:rFonts w:ascii="Gautami" w:eastAsia="Times New Roman" w:hAnsi="Gautami"/>
      <w:b/>
      <w:iCs/>
      <w:color w:val="365F91"/>
      <w:sz w:val="24"/>
      <w:szCs w:val="24"/>
    </w:rPr>
  </w:style>
  <w:style w:type="character" w:customStyle="1" w:styleId="AERtextbold">
    <w:name w:val="AER text bold"/>
    <w:rsid w:val="00AC0236"/>
    <w:rPr>
      <w:b/>
    </w:rPr>
  </w:style>
  <w:style w:type="paragraph" w:customStyle="1" w:styleId="AERbodytextnospace">
    <w:name w:val="AER body text no space"/>
    <w:basedOn w:val="Normal"/>
    <w:rsid w:val="00AC0236"/>
    <w:pPr>
      <w:spacing w:line="288" w:lineRule="auto"/>
      <w:jc w:val="both"/>
    </w:pPr>
    <w:rPr>
      <w:rFonts w:ascii="Gautami" w:eastAsia="Times New Roman" w:hAnsi="Gautami"/>
      <w:szCs w:val="24"/>
    </w:rPr>
  </w:style>
  <w:style w:type="paragraph" w:customStyle="1" w:styleId="AERbodytext">
    <w:name w:val="AER body text"/>
    <w:rsid w:val="00AC0236"/>
    <w:pPr>
      <w:numPr>
        <w:numId w:val="2"/>
      </w:numPr>
      <w:spacing w:after="240" w:line="288" w:lineRule="auto"/>
      <w:jc w:val="both"/>
    </w:pPr>
    <w:rPr>
      <w:rFonts w:ascii="Gautami" w:eastAsia="Times New Roman" w:hAnsi="Gautami"/>
      <w:szCs w:val="24"/>
    </w:rPr>
  </w:style>
  <w:style w:type="paragraph" w:customStyle="1" w:styleId="AERnumberedlistfirststyle">
    <w:name w:val="AER numbered list (first style)"/>
    <w:basedOn w:val="AERbodytext"/>
    <w:rsid w:val="00AC0236"/>
    <w:pPr>
      <w:numPr>
        <w:ilvl w:val="1"/>
      </w:numPr>
      <w:spacing w:after="200"/>
    </w:pPr>
  </w:style>
  <w:style w:type="paragraph" w:customStyle="1" w:styleId="AERnumberedlistsecondstyle">
    <w:name w:val="AER numbered list (second style)"/>
    <w:basedOn w:val="AERnumberedlistfirststyle"/>
    <w:rsid w:val="00AC0236"/>
    <w:pPr>
      <w:numPr>
        <w:ilvl w:val="2"/>
      </w:numPr>
    </w:pPr>
  </w:style>
  <w:style w:type="paragraph" w:customStyle="1" w:styleId="AERnumberedlistthirdstyle">
    <w:name w:val="AER numbered list (third style)"/>
    <w:basedOn w:val="AERnumberedlistsecondstyle"/>
    <w:rsid w:val="00AC0236"/>
    <w:pPr>
      <w:numPr>
        <w:ilvl w:val="3"/>
      </w:numPr>
    </w:pPr>
  </w:style>
  <w:style w:type="paragraph" w:customStyle="1" w:styleId="Default">
    <w:name w:val="Default"/>
    <w:rsid w:val="00AC0236"/>
    <w:pPr>
      <w:autoSpaceDE w:val="0"/>
      <w:autoSpaceDN w:val="0"/>
      <w:adjustRightInd w:val="0"/>
    </w:pPr>
    <w:rPr>
      <w:rFonts w:ascii="DINOT-Regular" w:eastAsia="Times New Roman" w:hAnsi="DINOT-Regular" w:cs="DINOT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324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uiPriority w:val="99"/>
    <w:unhideWhenUsed/>
    <w:rsid w:val="005324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9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7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2A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2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2A8"/>
    <w:rPr>
      <w:b/>
      <w:bCs/>
      <w:sz w:val="20"/>
      <w:szCs w:val="20"/>
    </w:rPr>
  </w:style>
  <w:style w:type="paragraph" w:customStyle="1" w:styleId="AERfactsheetsubtitle">
    <w:name w:val="AER factsheet subtitle"/>
    <w:basedOn w:val="Subtitle"/>
    <w:next w:val="Normal"/>
    <w:qFormat/>
    <w:rsid w:val="00697FF1"/>
    <w:pPr>
      <w:spacing w:after="0"/>
    </w:pPr>
    <w:rPr>
      <w:rFonts w:ascii="Tunga" w:eastAsia="Times New Roman" w:hAnsi="Tunga" w:cs="Tunga"/>
      <w:i w:val="0"/>
      <w:color w:val="000000"/>
      <w:spacing w:val="16"/>
      <w:kern w:val="20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FF1"/>
    <w:pPr>
      <w:numPr>
        <w:ilvl w:val="1"/>
      </w:numPr>
      <w:spacing w:after="200" w:line="276" w:lineRule="auto"/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697FF1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paragraph" w:customStyle="1" w:styleId="AERFactsheetHeading1">
    <w:name w:val="AER Factsheet Heading 1"/>
    <w:basedOn w:val="Heading4"/>
    <w:qFormat/>
    <w:rsid w:val="00697FF1"/>
    <w:pPr>
      <w:spacing w:before="240" w:after="120" w:line="240" w:lineRule="auto"/>
      <w:jc w:val="left"/>
    </w:pPr>
    <w:rPr>
      <w:rFonts w:ascii="Tunga" w:hAnsi="Tunga" w:cs="Tunga"/>
      <w:color w:val="006A99"/>
      <w:kern w:val="24"/>
    </w:rPr>
  </w:style>
  <w:style w:type="paragraph" w:customStyle="1" w:styleId="AERfactsheetbodytext">
    <w:name w:val="AER factsheet body text"/>
    <w:basedOn w:val="Normal"/>
    <w:qFormat/>
    <w:rsid w:val="00697FF1"/>
    <w:pPr>
      <w:spacing w:after="120" w:line="252" w:lineRule="auto"/>
    </w:pPr>
    <w:rPr>
      <w:rFonts w:ascii="MS Reference Sans Serif" w:hAnsi="MS Reference Sans Serif" w:cs="Shruti"/>
      <w:spacing w:val="-10"/>
      <w:sz w:val="18"/>
      <w:szCs w:val="22"/>
    </w:rPr>
  </w:style>
  <w:style w:type="paragraph" w:customStyle="1" w:styleId="AERfactsheetbulletlist">
    <w:name w:val="AER factsheet bullet list"/>
    <w:basedOn w:val="AERbodytextnospace"/>
    <w:qFormat/>
    <w:rsid w:val="00697FF1"/>
    <w:pPr>
      <w:numPr>
        <w:numId w:val="1"/>
      </w:numPr>
      <w:spacing w:after="120" w:line="252" w:lineRule="auto"/>
      <w:ind w:left="284" w:hanging="284"/>
      <w:jc w:val="left"/>
    </w:pPr>
    <w:rPr>
      <w:rFonts w:ascii="MS Reference Sans Serif" w:hAnsi="MS Reference Sans Serif" w:cs="Shruti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697FF1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Caption">
    <w:name w:val="caption"/>
    <w:basedOn w:val="Normal"/>
    <w:next w:val="Normal"/>
    <w:uiPriority w:val="35"/>
    <w:qFormat/>
    <w:rsid w:val="007C1B56"/>
    <w:pPr>
      <w:keepNext/>
      <w:tabs>
        <w:tab w:val="left" w:pos="1440"/>
      </w:tabs>
      <w:spacing w:before="120" w:line="288" w:lineRule="auto"/>
      <w:ind w:left="1440" w:hanging="1440"/>
      <w:jc w:val="both"/>
    </w:pPr>
    <w:rPr>
      <w:rFonts w:ascii="Gautami" w:eastAsia="Times New Roman" w:hAnsi="Gautami"/>
      <w:b/>
      <w:bCs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D2A8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63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04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0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0350">
                                      <w:marLeft w:val="240"/>
                                      <w:marRight w:val="24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77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38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975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67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050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01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er.gov.au/node/188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772D6A51.dotm</Template>
  <TotalTime>0</TotalTime>
  <Pages>2</Pages>
  <Words>938</Words>
  <Characters>5348</Characters>
  <Application>Microsoft Office Word</Application>
  <DocSecurity>0</DocSecurity>
  <Lines>44</Lines>
  <Paragraphs>12</Paragraphs>
  <ScaleCrop>false</ScaleCrop>
  <Company/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2014-11-26T06:54:00Z</dcterms:created>
  <dcterms:modified xsi:type="dcterms:W3CDTF">2014-11-26T06:54:00Z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URI">
    <vt:lpwstr>8307317</vt:lpwstr>
  </property>
</Properties>
</file>