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41A" w:rsidRPr="00F6235D" w:rsidRDefault="0088341A" w:rsidP="0088341A">
      <w:bookmarkStart w:id="0" w:name="_GoBack"/>
      <w:bookmarkEnd w:id="0"/>
      <w:r w:rsidRPr="00824CC8">
        <w:rPr>
          <w:noProof/>
          <w:lang w:eastAsia="en-AU"/>
        </w:rPr>
        <w:drawing>
          <wp:anchor distT="0" distB="0" distL="114300" distR="114300" simplePos="0" relativeHeight="251659264" behindDoc="1" locked="0" layoutInCell="1" allowOverlap="1" wp14:anchorId="70D026D9" wp14:editId="7C6F3E80">
            <wp:simplePos x="0" y="0"/>
            <wp:positionH relativeFrom="column">
              <wp:posOffset>-955040</wp:posOffset>
            </wp:positionH>
            <wp:positionV relativeFrom="paragraph">
              <wp:posOffset>-914400</wp:posOffset>
            </wp:positionV>
            <wp:extent cx="7656195" cy="11090275"/>
            <wp:effectExtent l="0" t="0" r="1905" b="0"/>
            <wp:wrapNone/>
            <wp:docPr id="40" name="Picture 2" descr="AER-draft-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draft-brown"/>
                    <pic:cNvPicPr>
                      <a:picLocks noChangeAspect="1" noChangeArrowheads="1"/>
                    </pic:cNvPicPr>
                  </pic:nvPicPr>
                  <pic:blipFill>
                    <a:blip r:embed="rId9" cstate="print"/>
                    <a:srcRect/>
                    <a:stretch>
                      <a:fillRect/>
                    </a:stretch>
                  </pic:blipFill>
                  <pic:spPr bwMode="auto">
                    <a:xfrm>
                      <a:off x="0" y="0"/>
                      <a:ext cx="7656195" cy="11090275"/>
                    </a:xfrm>
                    <a:prstGeom prst="rect">
                      <a:avLst/>
                    </a:prstGeom>
                    <a:noFill/>
                    <a:ln w="9525">
                      <a:noFill/>
                      <a:miter lim="800000"/>
                      <a:headEnd/>
                      <a:tailEnd/>
                    </a:ln>
                  </pic:spPr>
                </pic:pic>
              </a:graphicData>
            </a:graphic>
            <wp14:sizeRelV relativeFrom="margin">
              <wp14:pctHeight>0</wp14:pctHeight>
            </wp14:sizeRelV>
          </wp:anchor>
        </w:drawing>
      </w:r>
    </w:p>
    <w:p w:rsidR="0088341A" w:rsidRDefault="0088341A" w:rsidP="0088341A">
      <w:pPr>
        <w:pStyle w:val="AERtitle1"/>
      </w:pPr>
    </w:p>
    <w:p w:rsidR="0088341A" w:rsidRDefault="0088341A" w:rsidP="0088341A">
      <w:pPr>
        <w:pStyle w:val="AERtitle1"/>
      </w:pPr>
    </w:p>
    <w:p w:rsidR="0088341A" w:rsidRDefault="0088341A" w:rsidP="0088341A">
      <w:pPr>
        <w:pStyle w:val="AERtitle1"/>
      </w:pPr>
    </w:p>
    <w:p w:rsidR="0088341A" w:rsidRDefault="0088341A" w:rsidP="0088341A">
      <w:pPr>
        <w:pStyle w:val="AERtitle1"/>
      </w:pPr>
    </w:p>
    <w:p w:rsidR="0088341A" w:rsidRDefault="0088341A" w:rsidP="0088341A">
      <w:pPr>
        <w:pStyle w:val="AERtitle1"/>
      </w:pPr>
    </w:p>
    <w:p w:rsidR="0088341A" w:rsidRDefault="0088341A" w:rsidP="0088341A">
      <w:pPr>
        <w:pStyle w:val="AERtitle1"/>
      </w:pPr>
      <w:r>
        <w:t>Draft decision</w:t>
      </w:r>
    </w:p>
    <w:p w:rsidR="0088341A" w:rsidRDefault="0088341A" w:rsidP="0088341A">
      <w:pPr>
        <w:pStyle w:val="AERtitle1"/>
      </w:pPr>
      <w:r>
        <w:t>SP AusNet</w:t>
      </w:r>
    </w:p>
    <w:p w:rsidR="0088341A" w:rsidRDefault="0088341A" w:rsidP="0088341A">
      <w:pPr>
        <w:pStyle w:val="AERtitle1"/>
      </w:pPr>
      <w:r>
        <w:t>Transmission determination</w:t>
      </w:r>
    </w:p>
    <w:p w:rsidR="0088341A" w:rsidRDefault="0088341A" w:rsidP="0088341A">
      <w:pPr>
        <w:pStyle w:val="AERtitle1"/>
      </w:pPr>
      <w:r>
        <w:t>2014–15 to 2016–17</w:t>
      </w:r>
    </w:p>
    <w:p w:rsidR="0088341A" w:rsidRDefault="0088341A" w:rsidP="0088341A"/>
    <w:p w:rsidR="0088341A" w:rsidRDefault="0088341A" w:rsidP="0088341A"/>
    <w:p w:rsidR="0088341A" w:rsidRPr="00F6235D" w:rsidRDefault="0088341A" w:rsidP="0088341A"/>
    <w:p w:rsidR="0088341A" w:rsidRDefault="0088341A" w:rsidP="0088341A">
      <w:pPr>
        <w:pStyle w:val="AERtitle2"/>
      </w:pPr>
      <w:r>
        <w:t>August 2013</w:t>
      </w:r>
    </w:p>
    <w:p w:rsidR="0088341A" w:rsidRDefault="0088341A" w:rsidP="0088341A">
      <w:pPr>
        <w:pStyle w:val="AERtitle2"/>
      </w:pPr>
    </w:p>
    <w:p w:rsidR="0088341A" w:rsidRPr="00F6235D" w:rsidRDefault="0088341A" w:rsidP="0088341A"/>
    <w:p w:rsidR="0088341A" w:rsidRPr="00EF0E19" w:rsidRDefault="0088341A" w:rsidP="0088341A">
      <w:pPr>
        <w:rPr>
          <w:rStyle w:val="AERtextbold"/>
        </w:rPr>
      </w:pPr>
      <w:r>
        <w:rPr>
          <w:rStyle w:val="AERtextbold"/>
        </w:rPr>
        <w:br w:type="page"/>
      </w:r>
    </w:p>
    <w:p w:rsidR="0088341A" w:rsidRPr="008F1A4A" w:rsidRDefault="0088341A" w:rsidP="0088341A">
      <w:pPr>
        <w:pStyle w:val="AERbodytextnospace"/>
        <w:numPr>
          <w:ilvl w:val="0"/>
          <w:numId w:val="3"/>
        </w:numPr>
        <w:rPr>
          <w:rStyle w:val="AERtextbold"/>
        </w:rPr>
      </w:pPr>
      <w:r w:rsidRPr="008F1A4A">
        <w:rPr>
          <w:rStyle w:val="AERtextbold"/>
        </w:rPr>
        <w:lastRenderedPageBreak/>
        <w:t xml:space="preserve">© </w:t>
      </w:r>
      <w:r>
        <w:rPr>
          <w:rStyle w:val="AERtextbold"/>
        </w:rPr>
        <w:t>Commonwealth of Australia 2013</w:t>
      </w:r>
    </w:p>
    <w:p w:rsidR="0088341A" w:rsidRPr="00F6235D" w:rsidRDefault="0088341A" w:rsidP="0088341A">
      <w:r w:rsidRPr="00F6235D">
        <w:t>This work is copyright. Apart from any use permitted by the Copyright Act 1968, no part may be reproduced without permission of the Australian Competition and Consumer Commission. Requests and inquiries concerning reproduction and rights should be addressed to the Director Publishing, Australian Competition and Consumer Commission, GPO Box 3131, Canberra ACT 2601.</w:t>
      </w:r>
    </w:p>
    <w:p w:rsidR="0088341A" w:rsidRDefault="0088341A" w:rsidP="0088341A">
      <w:r>
        <w:t>Inquiries about this document should be addressed to:</w:t>
      </w:r>
    </w:p>
    <w:p w:rsidR="0088341A" w:rsidRDefault="0088341A" w:rsidP="0088341A">
      <w:pPr>
        <w:pStyle w:val="AERbodytextnospace"/>
        <w:numPr>
          <w:ilvl w:val="0"/>
          <w:numId w:val="3"/>
        </w:numPr>
      </w:pPr>
      <w:r>
        <w:t>Australian Energy Regulator</w:t>
      </w:r>
    </w:p>
    <w:p w:rsidR="0088341A" w:rsidRDefault="0088341A" w:rsidP="0088341A">
      <w:pPr>
        <w:pStyle w:val="AERbodytextnospace"/>
        <w:numPr>
          <w:ilvl w:val="0"/>
          <w:numId w:val="3"/>
        </w:numPr>
      </w:pPr>
      <w:r>
        <w:t>GPO Box 520</w:t>
      </w:r>
    </w:p>
    <w:p w:rsidR="0088341A" w:rsidRDefault="0088341A" w:rsidP="0088341A">
      <w:pPr>
        <w:pStyle w:val="AERbodytextnospace"/>
        <w:numPr>
          <w:ilvl w:val="0"/>
          <w:numId w:val="3"/>
        </w:numPr>
      </w:pPr>
      <w:r>
        <w:t>Melbourne  Vic  3001</w:t>
      </w:r>
    </w:p>
    <w:p w:rsidR="0088341A" w:rsidRDefault="0088341A" w:rsidP="0088341A">
      <w:pPr>
        <w:pStyle w:val="AERbodytextnospace"/>
        <w:numPr>
          <w:ilvl w:val="0"/>
          <w:numId w:val="3"/>
        </w:numPr>
      </w:pPr>
      <w:r>
        <w:t>Tel: (03) 9290 1444</w:t>
      </w:r>
    </w:p>
    <w:p w:rsidR="0088341A" w:rsidRDefault="0088341A" w:rsidP="0088341A">
      <w:pPr>
        <w:pStyle w:val="AERbodytextnospace"/>
        <w:numPr>
          <w:ilvl w:val="0"/>
          <w:numId w:val="3"/>
        </w:numPr>
      </w:pPr>
      <w:r>
        <w:t>Fax: (03) 9290 1457</w:t>
      </w:r>
    </w:p>
    <w:p w:rsidR="0088341A" w:rsidRDefault="0088341A" w:rsidP="0088341A">
      <w:pPr>
        <w:pStyle w:val="AERbodytextnospace"/>
        <w:numPr>
          <w:ilvl w:val="0"/>
          <w:numId w:val="3"/>
        </w:numPr>
      </w:pPr>
      <w:r>
        <w:t xml:space="preserve">Email: </w:t>
      </w:r>
      <w:hyperlink r:id="rId10" w:history="1">
        <w:r w:rsidRPr="003E184A">
          <w:rPr>
            <w:rStyle w:val="Hyperlink"/>
          </w:rPr>
          <w:t>AERInquiry@aer.gov.au</w:t>
        </w:r>
      </w:hyperlink>
    </w:p>
    <w:p w:rsidR="0088341A" w:rsidRPr="008F1A4A" w:rsidRDefault="0088341A" w:rsidP="0088341A"/>
    <w:p w:rsidR="0088341A" w:rsidRDefault="0088341A" w:rsidP="0088341A">
      <w:r>
        <w:t xml:space="preserve">AER reference:   </w:t>
      </w:r>
      <w:r w:rsidRPr="00EA23BD">
        <w:t>50377</w:t>
      </w:r>
    </w:p>
    <w:p w:rsidR="006D5151" w:rsidRDefault="006D5151" w:rsidP="0088341A"/>
    <w:p w:rsidR="006D5151" w:rsidRDefault="006D5151" w:rsidP="0088341A">
      <w:pPr>
        <w:sectPr w:rsidR="006D5151">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p>
    <w:p w:rsidR="0088341A" w:rsidRDefault="0088341A" w:rsidP="0088341A">
      <w:pPr>
        <w:pStyle w:val="UnnumberedHeading"/>
        <w:numPr>
          <w:ilvl w:val="0"/>
          <w:numId w:val="2"/>
        </w:numPr>
      </w:pPr>
      <w:bookmarkStart w:id="1" w:name="_Toc360023682"/>
      <w:bookmarkStart w:id="2" w:name="_Toc360024843"/>
      <w:bookmarkStart w:id="3" w:name="_Toc365283226"/>
      <w:bookmarkStart w:id="4" w:name="_Toc365461978"/>
      <w:r>
        <w:lastRenderedPageBreak/>
        <w:t>Contents</w:t>
      </w:r>
      <w:bookmarkEnd w:id="1"/>
      <w:bookmarkEnd w:id="2"/>
      <w:bookmarkEnd w:id="3"/>
      <w:bookmarkEnd w:id="4"/>
    </w:p>
    <w:bookmarkStart w:id="5" w:name="_Toc360023683"/>
    <w:bookmarkStart w:id="6" w:name="_Toc360024844"/>
    <w:p w:rsidR="00B40446" w:rsidRDefault="00B40446">
      <w:pPr>
        <w:pStyle w:val="TOC1"/>
        <w:tabs>
          <w:tab w:val="right" w:leader="dot" w:pos="9016"/>
        </w:tabs>
        <w:rPr>
          <w:rFonts w:asciiTheme="minorHAnsi" w:eastAsiaTheme="minorEastAsia" w:hAnsiTheme="minorHAnsi" w:cstheme="minorBidi"/>
          <w:b w:val="0"/>
          <w:bCs w:val="0"/>
          <w:noProof/>
          <w:sz w:val="22"/>
          <w:szCs w:val="22"/>
          <w:lang w:eastAsia="en-AU"/>
        </w:rPr>
      </w:pPr>
      <w:r>
        <w:fldChar w:fldCharType="begin"/>
      </w:r>
      <w:r>
        <w:instrText xml:space="preserve"> TOC \o "1-1" \h \z \u </w:instrText>
      </w:r>
      <w:r>
        <w:fldChar w:fldCharType="separate"/>
      </w:r>
      <w:hyperlink w:anchor="_Toc365461978" w:history="1">
        <w:r w:rsidRPr="00F71326">
          <w:rPr>
            <w:rStyle w:val="Hyperlink"/>
            <w:noProof/>
          </w:rPr>
          <w:t>Contents</w:t>
        </w:r>
        <w:r>
          <w:rPr>
            <w:noProof/>
            <w:webHidden/>
          </w:rPr>
          <w:tab/>
        </w:r>
        <w:r>
          <w:rPr>
            <w:noProof/>
            <w:webHidden/>
          </w:rPr>
          <w:fldChar w:fldCharType="begin"/>
        </w:r>
        <w:r>
          <w:rPr>
            <w:noProof/>
            <w:webHidden/>
          </w:rPr>
          <w:instrText xml:space="preserve"> PAGEREF _Toc365461978 \h </w:instrText>
        </w:r>
        <w:r>
          <w:rPr>
            <w:noProof/>
            <w:webHidden/>
          </w:rPr>
        </w:r>
        <w:r>
          <w:rPr>
            <w:noProof/>
            <w:webHidden/>
          </w:rPr>
          <w:fldChar w:fldCharType="separate"/>
        </w:r>
        <w:r>
          <w:rPr>
            <w:noProof/>
            <w:webHidden/>
          </w:rPr>
          <w:t>3</w:t>
        </w:r>
        <w:r>
          <w:rPr>
            <w:noProof/>
            <w:webHidden/>
          </w:rPr>
          <w:fldChar w:fldCharType="end"/>
        </w:r>
      </w:hyperlink>
    </w:p>
    <w:p w:rsidR="00B40446" w:rsidRDefault="00FB44D8">
      <w:pPr>
        <w:pStyle w:val="TOC1"/>
        <w:tabs>
          <w:tab w:val="right" w:leader="dot" w:pos="9016"/>
        </w:tabs>
        <w:rPr>
          <w:rFonts w:asciiTheme="minorHAnsi" w:eastAsiaTheme="minorEastAsia" w:hAnsiTheme="minorHAnsi" w:cstheme="minorBidi"/>
          <w:b w:val="0"/>
          <w:bCs w:val="0"/>
          <w:noProof/>
          <w:sz w:val="22"/>
          <w:szCs w:val="22"/>
          <w:lang w:eastAsia="en-AU"/>
        </w:rPr>
      </w:pPr>
      <w:hyperlink w:anchor="_Toc365461979" w:history="1">
        <w:r w:rsidR="00B40446" w:rsidRPr="00F71326">
          <w:rPr>
            <w:rStyle w:val="Hyperlink"/>
            <w:noProof/>
          </w:rPr>
          <w:t>Shortened forms</w:t>
        </w:r>
        <w:r w:rsidR="00B40446">
          <w:rPr>
            <w:noProof/>
            <w:webHidden/>
          </w:rPr>
          <w:tab/>
        </w:r>
        <w:r w:rsidR="00B40446">
          <w:rPr>
            <w:noProof/>
            <w:webHidden/>
          </w:rPr>
          <w:fldChar w:fldCharType="begin"/>
        </w:r>
        <w:r w:rsidR="00B40446">
          <w:rPr>
            <w:noProof/>
            <w:webHidden/>
          </w:rPr>
          <w:instrText xml:space="preserve"> PAGEREF _Toc365461979 \h </w:instrText>
        </w:r>
        <w:r w:rsidR="00B40446">
          <w:rPr>
            <w:noProof/>
            <w:webHidden/>
          </w:rPr>
        </w:r>
        <w:r w:rsidR="00B40446">
          <w:rPr>
            <w:noProof/>
            <w:webHidden/>
          </w:rPr>
          <w:fldChar w:fldCharType="separate"/>
        </w:r>
        <w:r w:rsidR="00B40446">
          <w:rPr>
            <w:noProof/>
            <w:webHidden/>
          </w:rPr>
          <w:t>6</w:t>
        </w:r>
        <w:r w:rsidR="00B40446">
          <w:rPr>
            <w:noProof/>
            <w:webHidden/>
          </w:rPr>
          <w:fldChar w:fldCharType="end"/>
        </w:r>
      </w:hyperlink>
    </w:p>
    <w:p w:rsidR="00B40446" w:rsidRDefault="00FB44D8">
      <w:pPr>
        <w:pStyle w:val="TOC1"/>
        <w:tabs>
          <w:tab w:val="right" w:leader="dot" w:pos="9016"/>
        </w:tabs>
        <w:rPr>
          <w:rFonts w:asciiTheme="minorHAnsi" w:eastAsiaTheme="minorEastAsia" w:hAnsiTheme="minorHAnsi" w:cstheme="minorBidi"/>
          <w:b w:val="0"/>
          <w:bCs w:val="0"/>
          <w:noProof/>
          <w:sz w:val="22"/>
          <w:szCs w:val="22"/>
          <w:lang w:eastAsia="en-AU"/>
        </w:rPr>
      </w:pPr>
      <w:hyperlink w:anchor="_Toc365461980" w:history="1">
        <w:r w:rsidR="00B40446" w:rsidRPr="00F71326">
          <w:rPr>
            <w:rStyle w:val="Hyperlink"/>
            <w:noProof/>
          </w:rPr>
          <w:t>Part 1 – Overview</w:t>
        </w:r>
        <w:r w:rsidR="00B40446">
          <w:rPr>
            <w:noProof/>
            <w:webHidden/>
          </w:rPr>
          <w:tab/>
        </w:r>
        <w:r w:rsidR="00B40446">
          <w:rPr>
            <w:noProof/>
            <w:webHidden/>
          </w:rPr>
          <w:fldChar w:fldCharType="begin"/>
        </w:r>
        <w:r w:rsidR="00B40446">
          <w:rPr>
            <w:noProof/>
            <w:webHidden/>
          </w:rPr>
          <w:instrText xml:space="preserve"> PAGEREF _Toc365461980 \h </w:instrText>
        </w:r>
        <w:r w:rsidR="00B40446">
          <w:rPr>
            <w:noProof/>
            <w:webHidden/>
          </w:rPr>
        </w:r>
        <w:r w:rsidR="00B40446">
          <w:rPr>
            <w:noProof/>
            <w:webHidden/>
          </w:rPr>
          <w:fldChar w:fldCharType="separate"/>
        </w:r>
        <w:r w:rsidR="00B40446">
          <w:rPr>
            <w:noProof/>
            <w:webHidden/>
          </w:rPr>
          <w:t>8</w:t>
        </w:r>
        <w:r w:rsidR="00B40446">
          <w:rPr>
            <w:noProof/>
            <w:webHidden/>
          </w:rPr>
          <w:fldChar w:fldCharType="end"/>
        </w:r>
      </w:hyperlink>
    </w:p>
    <w:p w:rsidR="00B40446" w:rsidRDefault="00FB44D8">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65461981" w:history="1">
        <w:r w:rsidR="00B40446" w:rsidRPr="00F71326">
          <w:rPr>
            <w:rStyle w:val="Hyperlink"/>
            <w:noProof/>
          </w:rPr>
          <w:t>1</w:t>
        </w:r>
        <w:r w:rsidR="00B40446">
          <w:rPr>
            <w:rFonts w:asciiTheme="minorHAnsi" w:eastAsiaTheme="minorEastAsia" w:hAnsiTheme="minorHAnsi" w:cstheme="minorBidi"/>
            <w:b w:val="0"/>
            <w:bCs w:val="0"/>
            <w:noProof/>
            <w:sz w:val="22"/>
            <w:szCs w:val="22"/>
            <w:lang w:eastAsia="en-AU"/>
          </w:rPr>
          <w:tab/>
        </w:r>
        <w:r w:rsidR="00B40446" w:rsidRPr="00F71326">
          <w:rPr>
            <w:rStyle w:val="Hyperlink"/>
            <w:noProof/>
          </w:rPr>
          <w:t>About the review</w:t>
        </w:r>
        <w:r w:rsidR="00B40446">
          <w:rPr>
            <w:noProof/>
            <w:webHidden/>
          </w:rPr>
          <w:tab/>
        </w:r>
        <w:r w:rsidR="00B40446">
          <w:rPr>
            <w:noProof/>
            <w:webHidden/>
          </w:rPr>
          <w:fldChar w:fldCharType="begin"/>
        </w:r>
        <w:r w:rsidR="00B40446">
          <w:rPr>
            <w:noProof/>
            <w:webHidden/>
          </w:rPr>
          <w:instrText xml:space="preserve"> PAGEREF _Toc365461981 \h </w:instrText>
        </w:r>
        <w:r w:rsidR="00B40446">
          <w:rPr>
            <w:noProof/>
            <w:webHidden/>
          </w:rPr>
        </w:r>
        <w:r w:rsidR="00B40446">
          <w:rPr>
            <w:noProof/>
            <w:webHidden/>
          </w:rPr>
          <w:fldChar w:fldCharType="separate"/>
        </w:r>
        <w:r w:rsidR="00B40446">
          <w:rPr>
            <w:noProof/>
            <w:webHidden/>
          </w:rPr>
          <w:t>9</w:t>
        </w:r>
        <w:r w:rsidR="00B40446">
          <w:rPr>
            <w:noProof/>
            <w:webHidden/>
          </w:rPr>
          <w:fldChar w:fldCharType="end"/>
        </w:r>
      </w:hyperlink>
    </w:p>
    <w:p w:rsidR="00B40446" w:rsidRDefault="00FB44D8">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65461982" w:history="1">
        <w:r w:rsidR="00B40446" w:rsidRPr="00F71326">
          <w:rPr>
            <w:rStyle w:val="Hyperlink"/>
            <w:noProof/>
          </w:rPr>
          <w:t>2</w:t>
        </w:r>
        <w:r w:rsidR="00B40446">
          <w:rPr>
            <w:rFonts w:asciiTheme="minorHAnsi" w:eastAsiaTheme="minorEastAsia" w:hAnsiTheme="minorHAnsi" w:cstheme="minorBidi"/>
            <w:b w:val="0"/>
            <w:bCs w:val="0"/>
            <w:noProof/>
            <w:sz w:val="22"/>
            <w:szCs w:val="22"/>
            <w:lang w:eastAsia="en-AU"/>
          </w:rPr>
          <w:tab/>
        </w:r>
        <w:r w:rsidR="00B40446" w:rsidRPr="00F71326">
          <w:rPr>
            <w:rStyle w:val="Hyperlink"/>
            <w:noProof/>
          </w:rPr>
          <w:t>AER's approach</w:t>
        </w:r>
        <w:r w:rsidR="00B40446">
          <w:rPr>
            <w:noProof/>
            <w:webHidden/>
          </w:rPr>
          <w:tab/>
        </w:r>
        <w:r w:rsidR="00B40446">
          <w:rPr>
            <w:noProof/>
            <w:webHidden/>
          </w:rPr>
          <w:fldChar w:fldCharType="begin"/>
        </w:r>
        <w:r w:rsidR="00B40446">
          <w:rPr>
            <w:noProof/>
            <w:webHidden/>
          </w:rPr>
          <w:instrText xml:space="preserve"> PAGEREF _Toc365461982 \h </w:instrText>
        </w:r>
        <w:r w:rsidR="00B40446">
          <w:rPr>
            <w:noProof/>
            <w:webHidden/>
          </w:rPr>
        </w:r>
        <w:r w:rsidR="00B40446">
          <w:rPr>
            <w:noProof/>
            <w:webHidden/>
          </w:rPr>
          <w:fldChar w:fldCharType="separate"/>
        </w:r>
        <w:r w:rsidR="00B40446">
          <w:rPr>
            <w:noProof/>
            <w:webHidden/>
          </w:rPr>
          <w:t>15</w:t>
        </w:r>
        <w:r w:rsidR="00B40446">
          <w:rPr>
            <w:noProof/>
            <w:webHidden/>
          </w:rPr>
          <w:fldChar w:fldCharType="end"/>
        </w:r>
      </w:hyperlink>
    </w:p>
    <w:p w:rsidR="00B40446" w:rsidRDefault="00FB44D8">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65461983" w:history="1">
        <w:r w:rsidR="00B40446" w:rsidRPr="00F71326">
          <w:rPr>
            <w:rStyle w:val="Hyperlink"/>
            <w:noProof/>
          </w:rPr>
          <w:t>3</w:t>
        </w:r>
        <w:r w:rsidR="00B40446">
          <w:rPr>
            <w:rFonts w:asciiTheme="minorHAnsi" w:eastAsiaTheme="minorEastAsia" w:hAnsiTheme="minorHAnsi" w:cstheme="minorBidi"/>
            <w:b w:val="0"/>
            <w:bCs w:val="0"/>
            <w:noProof/>
            <w:sz w:val="22"/>
            <w:szCs w:val="22"/>
            <w:lang w:eastAsia="en-AU"/>
          </w:rPr>
          <w:tab/>
        </w:r>
        <w:r w:rsidR="00B40446" w:rsidRPr="00F71326">
          <w:rPr>
            <w:rStyle w:val="Hyperlink"/>
            <w:noProof/>
          </w:rPr>
          <w:t>Total revenue requirements and the impact on price</w:t>
        </w:r>
        <w:r w:rsidR="00B40446">
          <w:rPr>
            <w:noProof/>
            <w:webHidden/>
          </w:rPr>
          <w:tab/>
        </w:r>
        <w:r w:rsidR="00B40446">
          <w:rPr>
            <w:noProof/>
            <w:webHidden/>
          </w:rPr>
          <w:fldChar w:fldCharType="begin"/>
        </w:r>
        <w:r w:rsidR="00B40446">
          <w:rPr>
            <w:noProof/>
            <w:webHidden/>
          </w:rPr>
          <w:instrText xml:space="preserve"> PAGEREF _Toc365461983 \h </w:instrText>
        </w:r>
        <w:r w:rsidR="00B40446">
          <w:rPr>
            <w:noProof/>
            <w:webHidden/>
          </w:rPr>
        </w:r>
        <w:r w:rsidR="00B40446">
          <w:rPr>
            <w:noProof/>
            <w:webHidden/>
          </w:rPr>
          <w:fldChar w:fldCharType="separate"/>
        </w:r>
        <w:r w:rsidR="00B40446">
          <w:rPr>
            <w:noProof/>
            <w:webHidden/>
          </w:rPr>
          <w:t>17</w:t>
        </w:r>
        <w:r w:rsidR="00B40446">
          <w:rPr>
            <w:noProof/>
            <w:webHidden/>
          </w:rPr>
          <w:fldChar w:fldCharType="end"/>
        </w:r>
      </w:hyperlink>
    </w:p>
    <w:p w:rsidR="00B40446" w:rsidRDefault="00FB44D8">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65461984" w:history="1">
        <w:r w:rsidR="00B40446" w:rsidRPr="00F71326">
          <w:rPr>
            <w:rStyle w:val="Hyperlink"/>
            <w:noProof/>
          </w:rPr>
          <w:t>4</w:t>
        </w:r>
        <w:r w:rsidR="00B40446">
          <w:rPr>
            <w:rFonts w:asciiTheme="minorHAnsi" w:eastAsiaTheme="minorEastAsia" w:hAnsiTheme="minorHAnsi" w:cstheme="minorBidi"/>
            <w:b w:val="0"/>
            <w:bCs w:val="0"/>
            <w:noProof/>
            <w:sz w:val="22"/>
            <w:szCs w:val="22"/>
            <w:lang w:eastAsia="en-AU"/>
          </w:rPr>
          <w:tab/>
        </w:r>
        <w:r w:rsidR="00B40446" w:rsidRPr="00F71326">
          <w:rPr>
            <w:rStyle w:val="Hyperlink"/>
            <w:noProof/>
          </w:rPr>
          <w:t>Regulatory asset base</w:t>
        </w:r>
        <w:r w:rsidR="00B40446">
          <w:rPr>
            <w:noProof/>
            <w:webHidden/>
          </w:rPr>
          <w:tab/>
        </w:r>
        <w:r w:rsidR="00B40446">
          <w:rPr>
            <w:noProof/>
            <w:webHidden/>
          </w:rPr>
          <w:fldChar w:fldCharType="begin"/>
        </w:r>
        <w:r w:rsidR="00B40446">
          <w:rPr>
            <w:noProof/>
            <w:webHidden/>
          </w:rPr>
          <w:instrText xml:space="preserve"> PAGEREF _Toc365461984 \h </w:instrText>
        </w:r>
        <w:r w:rsidR="00B40446">
          <w:rPr>
            <w:noProof/>
            <w:webHidden/>
          </w:rPr>
        </w:r>
        <w:r w:rsidR="00B40446">
          <w:rPr>
            <w:noProof/>
            <w:webHidden/>
          </w:rPr>
          <w:fldChar w:fldCharType="separate"/>
        </w:r>
        <w:r w:rsidR="00B40446">
          <w:rPr>
            <w:noProof/>
            <w:webHidden/>
          </w:rPr>
          <w:t>22</w:t>
        </w:r>
        <w:r w:rsidR="00B40446">
          <w:rPr>
            <w:noProof/>
            <w:webHidden/>
          </w:rPr>
          <w:fldChar w:fldCharType="end"/>
        </w:r>
      </w:hyperlink>
    </w:p>
    <w:p w:rsidR="00B40446" w:rsidRDefault="00FB44D8">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65461985" w:history="1">
        <w:r w:rsidR="00B40446" w:rsidRPr="00F71326">
          <w:rPr>
            <w:rStyle w:val="Hyperlink"/>
            <w:noProof/>
          </w:rPr>
          <w:t>5</w:t>
        </w:r>
        <w:r w:rsidR="00B40446">
          <w:rPr>
            <w:rFonts w:asciiTheme="minorHAnsi" w:eastAsiaTheme="minorEastAsia" w:hAnsiTheme="minorHAnsi" w:cstheme="minorBidi"/>
            <w:b w:val="0"/>
            <w:bCs w:val="0"/>
            <w:noProof/>
            <w:sz w:val="22"/>
            <w:szCs w:val="22"/>
            <w:lang w:eastAsia="en-AU"/>
          </w:rPr>
          <w:tab/>
        </w:r>
        <w:r w:rsidR="00B40446" w:rsidRPr="00F71326">
          <w:rPr>
            <w:rStyle w:val="Hyperlink"/>
            <w:noProof/>
          </w:rPr>
          <w:t>Return on capital</w:t>
        </w:r>
        <w:r w:rsidR="00B40446">
          <w:rPr>
            <w:noProof/>
            <w:webHidden/>
          </w:rPr>
          <w:tab/>
        </w:r>
        <w:r w:rsidR="00B40446">
          <w:rPr>
            <w:noProof/>
            <w:webHidden/>
          </w:rPr>
          <w:fldChar w:fldCharType="begin"/>
        </w:r>
        <w:r w:rsidR="00B40446">
          <w:rPr>
            <w:noProof/>
            <w:webHidden/>
          </w:rPr>
          <w:instrText xml:space="preserve"> PAGEREF _Toc365461985 \h </w:instrText>
        </w:r>
        <w:r w:rsidR="00B40446">
          <w:rPr>
            <w:noProof/>
            <w:webHidden/>
          </w:rPr>
        </w:r>
        <w:r w:rsidR="00B40446">
          <w:rPr>
            <w:noProof/>
            <w:webHidden/>
          </w:rPr>
          <w:fldChar w:fldCharType="separate"/>
        </w:r>
        <w:r w:rsidR="00B40446">
          <w:rPr>
            <w:noProof/>
            <w:webHidden/>
          </w:rPr>
          <w:t>25</w:t>
        </w:r>
        <w:r w:rsidR="00B40446">
          <w:rPr>
            <w:noProof/>
            <w:webHidden/>
          </w:rPr>
          <w:fldChar w:fldCharType="end"/>
        </w:r>
      </w:hyperlink>
    </w:p>
    <w:p w:rsidR="00B40446" w:rsidRDefault="00FB44D8">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65461986" w:history="1">
        <w:r w:rsidR="00B40446" w:rsidRPr="00F71326">
          <w:rPr>
            <w:rStyle w:val="Hyperlink"/>
            <w:noProof/>
          </w:rPr>
          <w:t>6</w:t>
        </w:r>
        <w:r w:rsidR="00B40446">
          <w:rPr>
            <w:rFonts w:asciiTheme="minorHAnsi" w:eastAsiaTheme="minorEastAsia" w:hAnsiTheme="minorHAnsi" w:cstheme="minorBidi"/>
            <w:b w:val="0"/>
            <w:bCs w:val="0"/>
            <w:noProof/>
            <w:sz w:val="22"/>
            <w:szCs w:val="22"/>
            <w:lang w:eastAsia="en-AU"/>
          </w:rPr>
          <w:tab/>
        </w:r>
        <w:r w:rsidR="00B40446" w:rsidRPr="00F71326">
          <w:rPr>
            <w:rStyle w:val="Hyperlink"/>
            <w:noProof/>
          </w:rPr>
          <w:t>Regulatory depreciation</w:t>
        </w:r>
        <w:r w:rsidR="00B40446">
          <w:rPr>
            <w:noProof/>
            <w:webHidden/>
          </w:rPr>
          <w:tab/>
        </w:r>
        <w:r w:rsidR="00B40446">
          <w:rPr>
            <w:noProof/>
            <w:webHidden/>
          </w:rPr>
          <w:fldChar w:fldCharType="begin"/>
        </w:r>
        <w:r w:rsidR="00B40446">
          <w:rPr>
            <w:noProof/>
            <w:webHidden/>
          </w:rPr>
          <w:instrText xml:space="preserve"> PAGEREF _Toc365461986 \h </w:instrText>
        </w:r>
        <w:r w:rsidR="00B40446">
          <w:rPr>
            <w:noProof/>
            <w:webHidden/>
          </w:rPr>
        </w:r>
        <w:r w:rsidR="00B40446">
          <w:rPr>
            <w:noProof/>
            <w:webHidden/>
          </w:rPr>
          <w:fldChar w:fldCharType="separate"/>
        </w:r>
        <w:r w:rsidR="00B40446">
          <w:rPr>
            <w:noProof/>
            <w:webHidden/>
          </w:rPr>
          <w:t>28</w:t>
        </w:r>
        <w:r w:rsidR="00B40446">
          <w:rPr>
            <w:noProof/>
            <w:webHidden/>
          </w:rPr>
          <w:fldChar w:fldCharType="end"/>
        </w:r>
      </w:hyperlink>
    </w:p>
    <w:p w:rsidR="00B40446" w:rsidRDefault="00FB44D8">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65461987" w:history="1">
        <w:r w:rsidR="00B40446" w:rsidRPr="00F71326">
          <w:rPr>
            <w:rStyle w:val="Hyperlink"/>
            <w:noProof/>
          </w:rPr>
          <w:t>7</w:t>
        </w:r>
        <w:r w:rsidR="00B40446">
          <w:rPr>
            <w:rFonts w:asciiTheme="minorHAnsi" w:eastAsiaTheme="minorEastAsia" w:hAnsiTheme="minorHAnsi" w:cstheme="minorBidi"/>
            <w:b w:val="0"/>
            <w:bCs w:val="0"/>
            <w:noProof/>
            <w:sz w:val="22"/>
            <w:szCs w:val="22"/>
            <w:lang w:eastAsia="en-AU"/>
          </w:rPr>
          <w:tab/>
        </w:r>
        <w:r w:rsidR="00B40446" w:rsidRPr="00F71326">
          <w:rPr>
            <w:rStyle w:val="Hyperlink"/>
            <w:noProof/>
          </w:rPr>
          <w:t>Capital expenditure</w:t>
        </w:r>
        <w:r w:rsidR="00B40446">
          <w:rPr>
            <w:noProof/>
            <w:webHidden/>
          </w:rPr>
          <w:tab/>
        </w:r>
        <w:r w:rsidR="00B40446">
          <w:rPr>
            <w:noProof/>
            <w:webHidden/>
          </w:rPr>
          <w:fldChar w:fldCharType="begin"/>
        </w:r>
        <w:r w:rsidR="00B40446">
          <w:rPr>
            <w:noProof/>
            <w:webHidden/>
          </w:rPr>
          <w:instrText xml:space="preserve"> PAGEREF _Toc365461987 \h </w:instrText>
        </w:r>
        <w:r w:rsidR="00B40446">
          <w:rPr>
            <w:noProof/>
            <w:webHidden/>
          </w:rPr>
        </w:r>
        <w:r w:rsidR="00B40446">
          <w:rPr>
            <w:noProof/>
            <w:webHidden/>
          </w:rPr>
          <w:fldChar w:fldCharType="separate"/>
        </w:r>
        <w:r w:rsidR="00B40446">
          <w:rPr>
            <w:noProof/>
            <w:webHidden/>
          </w:rPr>
          <w:t>29</w:t>
        </w:r>
        <w:r w:rsidR="00B40446">
          <w:rPr>
            <w:noProof/>
            <w:webHidden/>
          </w:rPr>
          <w:fldChar w:fldCharType="end"/>
        </w:r>
      </w:hyperlink>
    </w:p>
    <w:p w:rsidR="00B40446" w:rsidRDefault="00FB44D8">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65461988" w:history="1">
        <w:r w:rsidR="00B40446" w:rsidRPr="00F71326">
          <w:rPr>
            <w:rStyle w:val="Hyperlink"/>
            <w:noProof/>
          </w:rPr>
          <w:t>8</w:t>
        </w:r>
        <w:r w:rsidR="00B40446">
          <w:rPr>
            <w:rFonts w:asciiTheme="minorHAnsi" w:eastAsiaTheme="minorEastAsia" w:hAnsiTheme="minorHAnsi" w:cstheme="minorBidi"/>
            <w:b w:val="0"/>
            <w:bCs w:val="0"/>
            <w:noProof/>
            <w:sz w:val="22"/>
            <w:szCs w:val="22"/>
            <w:lang w:eastAsia="en-AU"/>
          </w:rPr>
          <w:tab/>
        </w:r>
        <w:r w:rsidR="00B40446" w:rsidRPr="00F71326">
          <w:rPr>
            <w:rStyle w:val="Hyperlink"/>
            <w:noProof/>
          </w:rPr>
          <w:t>Operating expenditure</w:t>
        </w:r>
        <w:r w:rsidR="00B40446">
          <w:rPr>
            <w:noProof/>
            <w:webHidden/>
          </w:rPr>
          <w:tab/>
        </w:r>
        <w:r w:rsidR="00B40446">
          <w:rPr>
            <w:noProof/>
            <w:webHidden/>
          </w:rPr>
          <w:fldChar w:fldCharType="begin"/>
        </w:r>
        <w:r w:rsidR="00B40446">
          <w:rPr>
            <w:noProof/>
            <w:webHidden/>
          </w:rPr>
          <w:instrText xml:space="preserve"> PAGEREF _Toc365461988 \h </w:instrText>
        </w:r>
        <w:r w:rsidR="00B40446">
          <w:rPr>
            <w:noProof/>
            <w:webHidden/>
          </w:rPr>
        </w:r>
        <w:r w:rsidR="00B40446">
          <w:rPr>
            <w:noProof/>
            <w:webHidden/>
          </w:rPr>
          <w:fldChar w:fldCharType="separate"/>
        </w:r>
        <w:r w:rsidR="00B40446">
          <w:rPr>
            <w:noProof/>
            <w:webHidden/>
          </w:rPr>
          <w:t>35</w:t>
        </w:r>
        <w:r w:rsidR="00B40446">
          <w:rPr>
            <w:noProof/>
            <w:webHidden/>
          </w:rPr>
          <w:fldChar w:fldCharType="end"/>
        </w:r>
      </w:hyperlink>
    </w:p>
    <w:p w:rsidR="00B40446" w:rsidRDefault="00FB44D8">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65461989" w:history="1">
        <w:r w:rsidR="00B40446" w:rsidRPr="00F71326">
          <w:rPr>
            <w:rStyle w:val="Hyperlink"/>
            <w:noProof/>
          </w:rPr>
          <w:t>9</w:t>
        </w:r>
        <w:r w:rsidR="00B40446">
          <w:rPr>
            <w:rFonts w:asciiTheme="minorHAnsi" w:eastAsiaTheme="minorEastAsia" w:hAnsiTheme="minorHAnsi" w:cstheme="minorBidi"/>
            <w:b w:val="0"/>
            <w:bCs w:val="0"/>
            <w:noProof/>
            <w:sz w:val="22"/>
            <w:szCs w:val="22"/>
            <w:lang w:eastAsia="en-AU"/>
          </w:rPr>
          <w:tab/>
        </w:r>
        <w:r w:rsidR="00B40446" w:rsidRPr="00F71326">
          <w:rPr>
            <w:rStyle w:val="Hyperlink"/>
            <w:noProof/>
          </w:rPr>
          <w:t>Efficiency benefit sharing scheme</w:t>
        </w:r>
        <w:r w:rsidR="00B40446">
          <w:rPr>
            <w:noProof/>
            <w:webHidden/>
          </w:rPr>
          <w:tab/>
        </w:r>
        <w:r w:rsidR="00B40446">
          <w:rPr>
            <w:noProof/>
            <w:webHidden/>
          </w:rPr>
          <w:fldChar w:fldCharType="begin"/>
        </w:r>
        <w:r w:rsidR="00B40446">
          <w:rPr>
            <w:noProof/>
            <w:webHidden/>
          </w:rPr>
          <w:instrText xml:space="preserve"> PAGEREF _Toc365461989 \h </w:instrText>
        </w:r>
        <w:r w:rsidR="00B40446">
          <w:rPr>
            <w:noProof/>
            <w:webHidden/>
          </w:rPr>
        </w:r>
        <w:r w:rsidR="00B40446">
          <w:rPr>
            <w:noProof/>
            <w:webHidden/>
          </w:rPr>
          <w:fldChar w:fldCharType="separate"/>
        </w:r>
        <w:r w:rsidR="00B40446">
          <w:rPr>
            <w:noProof/>
            <w:webHidden/>
          </w:rPr>
          <w:t>46</w:t>
        </w:r>
        <w:r w:rsidR="00B40446">
          <w:rPr>
            <w:noProof/>
            <w:webHidden/>
          </w:rPr>
          <w:fldChar w:fldCharType="end"/>
        </w:r>
      </w:hyperlink>
    </w:p>
    <w:p w:rsidR="00B40446" w:rsidRDefault="00FB44D8">
      <w:pPr>
        <w:pStyle w:val="TOC1"/>
        <w:tabs>
          <w:tab w:val="left" w:pos="600"/>
          <w:tab w:val="right" w:leader="dot" w:pos="9016"/>
        </w:tabs>
        <w:rPr>
          <w:rFonts w:asciiTheme="minorHAnsi" w:eastAsiaTheme="minorEastAsia" w:hAnsiTheme="minorHAnsi" w:cstheme="minorBidi"/>
          <w:b w:val="0"/>
          <w:bCs w:val="0"/>
          <w:noProof/>
          <w:sz w:val="22"/>
          <w:szCs w:val="22"/>
          <w:lang w:eastAsia="en-AU"/>
        </w:rPr>
      </w:pPr>
      <w:hyperlink w:anchor="_Toc365461990" w:history="1">
        <w:r w:rsidR="00B40446" w:rsidRPr="00F71326">
          <w:rPr>
            <w:rStyle w:val="Hyperlink"/>
            <w:noProof/>
          </w:rPr>
          <w:t>10</w:t>
        </w:r>
        <w:r w:rsidR="00B40446">
          <w:rPr>
            <w:rFonts w:asciiTheme="minorHAnsi" w:eastAsiaTheme="minorEastAsia" w:hAnsiTheme="minorHAnsi" w:cstheme="minorBidi"/>
            <w:b w:val="0"/>
            <w:bCs w:val="0"/>
            <w:noProof/>
            <w:sz w:val="22"/>
            <w:szCs w:val="22"/>
            <w:lang w:eastAsia="en-AU"/>
          </w:rPr>
          <w:tab/>
        </w:r>
        <w:r w:rsidR="00B40446" w:rsidRPr="00F71326">
          <w:rPr>
            <w:rStyle w:val="Hyperlink"/>
            <w:noProof/>
          </w:rPr>
          <w:t>Corporate income tax</w:t>
        </w:r>
        <w:r w:rsidR="00B40446">
          <w:rPr>
            <w:noProof/>
            <w:webHidden/>
          </w:rPr>
          <w:tab/>
        </w:r>
        <w:r w:rsidR="00B40446">
          <w:rPr>
            <w:noProof/>
            <w:webHidden/>
          </w:rPr>
          <w:fldChar w:fldCharType="begin"/>
        </w:r>
        <w:r w:rsidR="00B40446">
          <w:rPr>
            <w:noProof/>
            <w:webHidden/>
          </w:rPr>
          <w:instrText xml:space="preserve"> PAGEREF _Toc365461990 \h </w:instrText>
        </w:r>
        <w:r w:rsidR="00B40446">
          <w:rPr>
            <w:noProof/>
            <w:webHidden/>
          </w:rPr>
        </w:r>
        <w:r w:rsidR="00B40446">
          <w:rPr>
            <w:noProof/>
            <w:webHidden/>
          </w:rPr>
          <w:fldChar w:fldCharType="separate"/>
        </w:r>
        <w:r w:rsidR="00B40446">
          <w:rPr>
            <w:noProof/>
            <w:webHidden/>
          </w:rPr>
          <w:t>48</w:t>
        </w:r>
        <w:r w:rsidR="00B40446">
          <w:rPr>
            <w:noProof/>
            <w:webHidden/>
          </w:rPr>
          <w:fldChar w:fldCharType="end"/>
        </w:r>
      </w:hyperlink>
    </w:p>
    <w:p w:rsidR="00B40446" w:rsidRDefault="00FB44D8">
      <w:pPr>
        <w:pStyle w:val="TOC1"/>
        <w:tabs>
          <w:tab w:val="left" w:pos="600"/>
          <w:tab w:val="right" w:leader="dot" w:pos="9016"/>
        </w:tabs>
        <w:rPr>
          <w:rFonts w:asciiTheme="minorHAnsi" w:eastAsiaTheme="minorEastAsia" w:hAnsiTheme="minorHAnsi" w:cstheme="minorBidi"/>
          <w:b w:val="0"/>
          <w:bCs w:val="0"/>
          <w:noProof/>
          <w:sz w:val="22"/>
          <w:szCs w:val="22"/>
          <w:lang w:eastAsia="en-AU"/>
        </w:rPr>
      </w:pPr>
      <w:hyperlink w:anchor="_Toc365461991" w:history="1">
        <w:r w:rsidR="00B40446" w:rsidRPr="00F71326">
          <w:rPr>
            <w:rStyle w:val="Hyperlink"/>
            <w:noProof/>
          </w:rPr>
          <w:t>11</w:t>
        </w:r>
        <w:r w:rsidR="00B40446">
          <w:rPr>
            <w:rFonts w:asciiTheme="minorHAnsi" w:eastAsiaTheme="minorEastAsia" w:hAnsiTheme="minorHAnsi" w:cstheme="minorBidi"/>
            <w:b w:val="0"/>
            <w:bCs w:val="0"/>
            <w:noProof/>
            <w:sz w:val="22"/>
            <w:szCs w:val="22"/>
            <w:lang w:eastAsia="en-AU"/>
          </w:rPr>
          <w:tab/>
        </w:r>
        <w:r w:rsidR="00B40446" w:rsidRPr="00F71326">
          <w:rPr>
            <w:rStyle w:val="Hyperlink"/>
            <w:noProof/>
          </w:rPr>
          <w:t>Contingent projects</w:t>
        </w:r>
        <w:r w:rsidR="00B40446">
          <w:rPr>
            <w:noProof/>
            <w:webHidden/>
          </w:rPr>
          <w:tab/>
        </w:r>
        <w:r w:rsidR="00B40446">
          <w:rPr>
            <w:noProof/>
            <w:webHidden/>
          </w:rPr>
          <w:fldChar w:fldCharType="begin"/>
        </w:r>
        <w:r w:rsidR="00B40446">
          <w:rPr>
            <w:noProof/>
            <w:webHidden/>
          </w:rPr>
          <w:instrText xml:space="preserve"> PAGEREF _Toc365461991 \h </w:instrText>
        </w:r>
        <w:r w:rsidR="00B40446">
          <w:rPr>
            <w:noProof/>
            <w:webHidden/>
          </w:rPr>
        </w:r>
        <w:r w:rsidR="00B40446">
          <w:rPr>
            <w:noProof/>
            <w:webHidden/>
          </w:rPr>
          <w:fldChar w:fldCharType="separate"/>
        </w:r>
        <w:r w:rsidR="00B40446">
          <w:rPr>
            <w:noProof/>
            <w:webHidden/>
          </w:rPr>
          <w:t>50</w:t>
        </w:r>
        <w:r w:rsidR="00B40446">
          <w:rPr>
            <w:noProof/>
            <w:webHidden/>
          </w:rPr>
          <w:fldChar w:fldCharType="end"/>
        </w:r>
      </w:hyperlink>
    </w:p>
    <w:p w:rsidR="00B40446" w:rsidRDefault="00FB44D8">
      <w:pPr>
        <w:pStyle w:val="TOC1"/>
        <w:tabs>
          <w:tab w:val="left" w:pos="600"/>
          <w:tab w:val="right" w:leader="dot" w:pos="9016"/>
        </w:tabs>
        <w:rPr>
          <w:rFonts w:asciiTheme="minorHAnsi" w:eastAsiaTheme="minorEastAsia" w:hAnsiTheme="minorHAnsi" w:cstheme="minorBidi"/>
          <w:b w:val="0"/>
          <w:bCs w:val="0"/>
          <w:noProof/>
          <w:sz w:val="22"/>
          <w:szCs w:val="22"/>
          <w:lang w:eastAsia="en-AU"/>
        </w:rPr>
      </w:pPr>
      <w:hyperlink w:anchor="_Toc365461992" w:history="1">
        <w:r w:rsidR="00B40446" w:rsidRPr="00F71326">
          <w:rPr>
            <w:rStyle w:val="Hyperlink"/>
            <w:noProof/>
          </w:rPr>
          <w:t>12</w:t>
        </w:r>
        <w:r w:rsidR="00B40446">
          <w:rPr>
            <w:rFonts w:asciiTheme="minorHAnsi" w:eastAsiaTheme="minorEastAsia" w:hAnsiTheme="minorHAnsi" w:cstheme="minorBidi"/>
            <w:b w:val="0"/>
            <w:bCs w:val="0"/>
            <w:noProof/>
            <w:sz w:val="22"/>
            <w:szCs w:val="22"/>
            <w:lang w:eastAsia="en-AU"/>
          </w:rPr>
          <w:tab/>
        </w:r>
        <w:r w:rsidR="00B40446" w:rsidRPr="00F71326">
          <w:rPr>
            <w:rStyle w:val="Hyperlink"/>
            <w:noProof/>
          </w:rPr>
          <w:t>Service target performance incentive scheme</w:t>
        </w:r>
        <w:r w:rsidR="00B40446">
          <w:rPr>
            <w:noProof/>
            <w:webHidden/>
          </w:rPr>
          <w:tab/>
        </w:r>
        <w:r w:rsidR="00B40446">
          <w:rPr>
            <w:noProof/>
            <w:webHidden/>
          </w:rPr>
          <w:fldChar w:fldCharType="begin"/>
        </w:r>
        <w:r w:rsidR="00B40446">
          <w:rPr>
            <w:noProof/>
            <w:webHidden/>
          </w:rPr>
          <w:instrText xml:space="preserve"> PAGEREF _Toc365461992 \h </w:instrText>
        </w:r>
        <w:r w:rsidR="00B40446">
          <w:rPr>
            <w:noProof/>
            <w:webHidden/>
          </w:rPr>
        </w:r>
        <w:r w:rsidR="00B40446">
          <w:rPr>
            <w:noProof/>
            <w:webHidden/>
          </w:rPr>
          <w:fldChar w:fldCharType="separate"/>
        </w:r>
        <w:r w:rsidR="00B40446">
          <w:rPr>
            <w:noProof/>
            <w:webHidden/>
          </w:rPr>
          <w:t>51</w:t>
        </w:r>
        <w:r w:rsidR="00B40446">
          <w:rPr>
            <w:noProof/>
            <w:webHidden/>
          </w:rPr>
          <w:fldChar w:fldCharType="end"/>
        </w:r>
      </w:hyperlink>
    </w:p>
    <w:p w:rsidR="00B40446" w:rsidRDefault="00FB44D8">
      <w:pPr>
        <w:pStyle w:val="TOC1"/>
        <w:tabs>
          <w:tab w:val="left" w:pos="600"/>
          <w:tab w:val="right" w:leader="dot" w:pos="9016"/>
        </w:tabs>
        <w:rPr>
          <w:rFonts w:asciiTheme="minorHAnsi" w:eastAsiaTheme="minorEastAsia" w:hAnsiTheme="minorHAnsi" w:cstheme="minorBidi"/>
          <w:b w:val="0"/>
          <w:bCs w:val="0"/>
          <w:noProof/>
          <w:sz w:val="22"/>
          <w:szCs w:val="22"/>
          <w:lang w:eastAsia="en-AU"/>
        </w:rPr>
      </w:pPr>
      <w:hyperlink w:anchor="_Toc365461993" w:history="1">
        <w:r w:rsidR="00B40446" w:rsidRPr="00F71326">
          <w:rPr>
            <w:rStyle w:val="Hyperlink"/>
            <w:noProof/>
          </w:rPr>
          <w:t>13</w:t>
        </w:r>
        <w:r w:rsidR="00B40446">
          <w:rPr>
            <w:rFonts w:asciiTheme="minorHAnsi" w:eastAsiaTheme="minorEastAsia" w:hAnsiTheme="minorHAnsi" w:cstheme="minorBidi"/>
            <w:b w:val="0"/>
            <w:bCs w:val="0"/>
            <w:noProof/>
            <w:sz w:val="22"/>
            <w:szCs w:val="22"/>
            <w:lang w:eastAsia="en-AU"/>
          </w:rPr>
          <w:tab/>
        </w:r>
        <w:r w:rsidR="00B40446" w:rsidRPr="00F71326">
          <w:rPr>
            <w:rStyle w:val="Hyperlink"/>
            <w:noProof/>
          </w:rPr>
          <w:t>Pricing methodology</w:t>
        </w:r>
        <w:r w:rsidR="00B40446">
          <w:rPr>
            <w:noProof/>
            <w:webHidden/>
          </w:rPr>
          <w:tab/>
        </w:r>
        <w:r w:rsidR="00B40446">
          <w:rPr>
            <w:noProof/>
            <w:webHidden/>
          </w:rPr>
          <w:fldChar w:fldCharType="begin"/>
        </w:r>
        <w:r w:rsidR="00B40446">
          <w:rPr>
            <w:noProof/>
            <w:webHidden/>
          </w:rPr>
          <w:instrText xml:space="preserve"> PAGEREF _Toc365461993 \h </w:instrText>
        </w:r>
        <w:r w:rsidR="00B40446">
          <w:rPr>
            <w:noProof/>
            <w:webHidden/>
          </w:rPr>
        </w:r>
        <w:r w:rsidR="00B40446">
          <w:rPr>
            <w:noProof/>
            <w:webHidden/>
          </w:rPr>
          <w:fldChar w:fldCharType="separate"/>
        </w:r>
        <w:r w:rsidR="00B40446">
          <w:rPr>
            <w:noProof/>
            <w:webHidden/>
          </w:rPr>
          <w:t>55</w:t>
        </w:r>
        <w:r w:rsidR="00B40446">
          <w:rPr>
            <w:noProof/>
            <w:webHidden/>
          </w:rPr>
          <w:fldChar w:fldCharType="end"/>
        </w:r>
      </w:hyperlink>
    </w:p>
    <w:p w:rsidR="00B40446" w:rsidRDefault="00FB44D8">
      <w:pPr>
        <w:pStyle w:val="TOC1"/>
        <w:tabs>
          <w:tab w:val="left" w:pos="600"/>
          <w:tab w:val="right" w:leader="dot" w:pos="9016"/>
        </w:tabs>
        <w:rPr>
          <w:rFonts w:asciiTheme="minorHAnsi" w:eastAsiaTheme="minorEastAsia" w:hAnsiTheme="minorHAnsi" w:cstheme="minorBidi"/>
          <w:b w:val="0"/>
          <w:bCs w:val="0"/>
          <w:noProof/>
          <w:sz w:val="22"/>
          <w:szCs w:val="22"/>
          <w:lang w:eastAsia="en-AU"/>
        </w:rPr>
      </w:pPr>
      <w:hyperlink w:anchor="_Toc365461994" w:history="1">
        <w:r w:rsidR="00B40446" w:rsidRPr="00F71326">
          <w:rPr>
            <w:rStyle w:val="Hyperlink"/>
            <w:noProof/>
          </w:rPr>
          <w:t>14</w:t>
        </w:r>
        <w:r w:rsidR="00B40446">
          <w:rPr>
            <w:rFonts w:asciiTheme="minorHAnsi" w:eastAsiaTheme="minorEastAsia" w:hAnsiTheme="minorHAnsi" w:cstheme="minorBidi"/>
            <w:b w:val="0"/>
            <w:bCs w:val="0"/>
            <w:noProof/>
            <w:sz w:val="22"/>
            <w:szCs w:val="22"/>
            <w:lang w:eastAsia="en-AU"/>
          </w:rPr>
          <w:tab/>
        </w:r>
        <w:r w:rsidR="00B40446" w:rsidRPr="00F71326">
          <w:rPr>
            <w:rStyle w:val="Hyperlink"/>
            <w:noProof/>
          </w:rPr>
          <w:t>Negotiated transmission services</w:t>
        </w:r>
        <w:r w:rsidR="00B40446">
          <w:rPr>
            <w:noProof/>
            <w:webHidden/>
          </w:rPr>
          <w:tab/>
        </w:r>
        <w:r w:rsidR="00B40446">
          <w:rPr>
            <w:noProof/>
            <w:webHidden/>
          </w:rPr>
          <w:fldChar w:fldCharType="begin"/>
        </w:r>
        <w:r w:rsidR="00B40446">
          <w:rPr>
            <w:noProof/>
            <w:webHidden/>
          </w:rPr>
          <w:instrText xml:space="preserve"> PAGEREF _Toc365461994 \h </w:instrText>
        </w:r>
        <w:r w:rsidR="00B40446">
          <w:rPr>
            <w:noProof/>
            <w:webHidden/>
          </w:rPr>
        </w:r>
        <w:r w:rsidR="00B40446">
          <w:rPr>
            <w:noProof/>
            <w:webHidden/>
          </w:rPr>
          <w:fldChar w:fldCharType="separate"/>
        </w:r>
        <w:r w:rsidR="00B40446">
          <w:rPr>
            <w:noProof/>
            <w:webHidden/>
          </w:rPr>
          <w:t>56</w:t>
        </w:r>
        <w:r w:rsidR="00B40446">
          <w:rPr>
            <w:noProof/>
            <w:webHidden/>
          </w:rPr>
          <w:fldChar w:fldCharType="end"/>
        </w:r>
      </w:hyperlink>
    </w:p>
    <w:p w:rsidR="00B40446" w:rsidRDefault="00FB44D8">
      <w:pPr>
        <w:pStyle w:val="TOC1"/>
        <w:tabs>
          <w:tab w:val="left" w:pos="600"/>
          <w:tab w:val="right" w:leader="dot" w:pos="9016"/>
        </w:tabs>
        <w:rPr>
          <w:rFonts w:asciiTheme="minorHAnsi" w:eastAsiaTheme="minorEastAsia" w:hAnsiTheme="minorHAnsi" w:cstheme="minorBidi"/>
          <w:b w:val="0"/>
          <w:bCs w:val="0"/>
          <w:noProof/>
          <w:sz w:val="22"/>
          <w:szCs w:val="22"/>
          <w:lang w:eastAsia="en-AU"/>
        </w:rPr>
      </w:pPr>
      <w:hyperlink w:anchor="_Toc365461995" w:history="1">
        <w:r w:rsidR="00B40446" w:rsidRPr="00F71326">
          <w:rPr>
            <w:rStyle w:val="Hyperlink"/>
            <w:noProof/>
          </w:rPr>
          <w:t>15</w:t>
        </w:r>
        <w:r w:rsidR="00B40446">
          <w:rPr>
            <w:rFonts w:asciiTheme="minorHAnsi" w:eastAsiaTheme="minorEastAsia" w:hAnsiTheme="minorHAnsi" w:cstheme="minorBidi"/>
            <w:b w:val="0"/>
            <w:bCs w:val="0"/>
            <w:noProof/>
            <w:sz w:val="22"/>
            <w:szCs w:val="22"/>
            <w:lang w:eastAsia="en-AU"/>
          </w:rPr>
          <w:tab/>
        </w:r>
        <w:r w:rsidR="00B40446" w:rsidRPr="00F71326">
          <w:rPr>
            <w:rStyle w:val="Hyperlink"/>
            <w:noProof/>
          </w:rPr>
          <w:t>Cost pass throughs</w:t>
        </w:r>
        <w:r w:rsidR="00B40446">
          <w:rPr>
            <w:noProof/>
            <w:webHidden/>
          </w:rPr>
          <w:tab/>
        </w:r>
        <w:r w:rsidR="00B40446">
          <w:rPr>
            <w:noProof/>
            <w:webHidden/>
          </w:rPr>
          <w:fldChar w:fldCharType="begin"/>
        </w:r>
        <w:r w:rsidR="00B40446">
          <w:rPr>
            <w:noProof/>
            <w:webHidden/>
          </w:rPr>
          <w:instrText xml:space="preserve"> PAGEREF _Toc365461995 \h </w:instrText>
        </w:r>
        <w:r w:rsidR="00B40446">
          <w:rPr>
            <w:noProof/>
            <w:webHidden/>
          </w:rPr>
        </w:r>
        <w:r w:rsidR="00B40446">
          <w:rPr>
            <w:noProof/>
            <w:webHidden/>
          </w:rPr>
          <w:fldChar w:fldCharType="separate"/>
        </w:r>
        <w:r w:rsidR="00B40446">
          <w:rPr>
            <w:noProof/>
            <w:webHidden/>
          </w:rPr>
          <w:t>57</w:t>
        </w:r>
        <w:r w:rsidR="00B40446">
          <w:rPr>
            <w:noProof/>
            <w:webHidden/>
          </w:rPr>
          <w:fldChar w:fldCharType="end"/>
        </w:r>
      </w:hyperlink>
    </w:p>
    <w:p w:rsidR="00B40446" w:rsidRDefault="00FB44D8">
      <w:pPr>
        <w:pStyle w:val="TOC1"/>
        <w:tabs>
          <w:tab w:val="right" w:leader="dot" w:pos="9016"/>
        </w:tabs>
        <w:rPr>
          <w:rFonts w:asciiTheme="minorHAnsi" w:eastAsiaTheme="minorEastAsia" w:hAnsiTheme="minorHAnsi" w:cstheme="minorBidi"/>
          <w:b w:val="0"/>
          <w:bCs w:val="0"/>
          <w:noProof/>
          <w:sz w:val="22"/>
          <w:szCs w:val="22"/>
          <w:lang w:eastAsia="en-AU"/>
        </w:rPr>
      </w:pPr>
      <w:hyperlink w:anchor="_Toc365461996" w:history="1">
        <w:r w:rsidR="00B40446" w:rsidRPr="00F71326">
          <w:rPr>
            <w:rStyle w:val="Hyperlink"/>
            <w:noProof/>
          </w:rPr>
          <w:t>Part 2 – Attachments</w:t>
        </w:r>
        <w:r w:rsidR="00B40446">
          <w:rPr>
            <w:noProof/>
            <w:webHidden/>
          </w:rPr>
          <w:tab/>
        </w:r>
        <w:r w:rsidR="00B40446">
          <w:rPr>
            <w:noProof/>
            <w:webHidden/>
          </w:rPr>
          <w:fldChar w:fldCharType="begin"/>
        </w:r>
        <w:r w:rsidR="00B40446">
          <w:rPr>
            <w:noProof/>
            <w:webHidden/>
          </w:rPr>
          <w:instrText xml:space="preserve"> PAGEREF _Toc365461996 \h </w:instrText>
        </w:r>
        <w:r w:rsidR="00B40446">
          <w:rPr>
            <w:noProof/>
            <w:webHidden/>
          </w:rPr>
        </w:r>
        <w:r w:rsidR="00B40446">
          <w:rPr>
            <w:noProof/>
            <w:webHidden/>
          </w:rPr>
          <w:fldChar w:fldCharType="separate"/>
        </w:r>
        <w:r w:rsidR="00B40446">
          <w:rPr>
            <w:noProof/>
            <w:webHidden/>
          </w:rPr>
          <w:t>58</w:t>
        </w:r>
        <w:r w:rsidR="00B40446">
          <w:rPr>
            <w:noProof/>
            <w:webHidden/>
          </w:rPr>
          <w:fldChar w:fldCharType="end"/>
        </w:r>
      </w:hyperlink>
    </w:p>
    <w:p w:rsidR="00B40446" w:rsidRDefault="00FB44D8">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65461997" w:history="1">
        <w:r w:rsidR="00B40446" w:rsidRPr="00F71326">
          <w:rPr>
            <w:rStyle w:val="Hyperlink"/>
            <w:noProof/>
          </w:rPr>
          <w:t>1</w:t>
        </w:r>
        <w:r w:rsidR="00B40446">
          <w:rPr>
            <w:rFonts w:asciiTheme="minorHAnsi" w:eastAsiaTheme="minorEastAsia" w:hAnsiTheme="minorHAnsi" w:cstheme="minorBidi"/>
            <w:b w:val="0"/>
            <w:bCs w:val="0"/>
            <w:noProof/>
            <w:sz w:val="22"/>
            <w:szCs w:val="22"/>
            <w:lang w:eastAsia="en-AU"/>
          </w:rPr>
          <w:tab/>
        </w:r>
        <w:r w:rsidR="00B40446" w:rsidRPr="00F71326">
          <w:rPr>
            <w:rStyle w:val="Hyperlink"/>
            <w:noProof/>
          </w:rPr>
          <w:t>Real cost escalation</w:t>
        </w:r>
        <w:r w:rsidR="00B40446">
          <w:rPr>
            <w:noProof/>
            <w:webHidden/>
          </w:rPr>
          <w:tab/>
        </w:r>
        <w:r w:rsidR="00B40446">
          <w:rPr>
            <w:noProof/>
            <w:webHidden/>
          </w:rPr>
          <w:fldChar w:fldCharType="begin"/>
        </w:r>
        <w:r w:rsidR="00B40446">
          <w:rPr>
            <w:noProof/>
            <w:webHidden/>
          </w:rPr>
          <w:instrText xml:space="preserve"> PAGEREF _Toc365461997 \h </w:instrText>
        </w:r>
        <w:r w:rsidR="00B40446">
          <w:rPr>
            <w:noProof/>
            <w:webHidden/>
          </w:rPr>
        </w:r>
        <w:r w:rsidR="00B40446">
          <w:rPr>
            <w:noProof/>
            <w:webHidden/>
          </w:rPr>
          <w:fldChar w:fldCharType="separate"/>
        </w:r>
        <w:r w:rsidR="00B40446">
          <w:rPr>
            <w:noProof/>
            <w:webHidden/>
          </w:rPr>
          <w:t>59</w:t>
        </w:r>
        <w:r w:rsidR="00B40446">
          <w:rPr>
            <w:noProof/>
            <w:webHidden/>
          </w:rPr>
          <w:fldChar w:fldCharType="end"/>
        </w:r>
      </w:hyperlink>
    </w:p>
    <w:p w:rsidR="00B40446" w:rsidRDefault="00FB44D8">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65461998" w:history="1">
        <w:r w:rsidR="00B40446" w:rsidRPr="00F71326">
          <w:rPr>
            <w:rStyle w:val="Hyperlink"/>
            <w:noProof/>
          </w:rPr>
          <w:t>2</w:t>
        </w:r>
        <w:r w:rsidR="00B40446">
          <w:rPr>
            <w:rFonts w:asciiTheme="minorHAnsi" w:eastAsiaTheme="minorEastAsia" w:hAnsiTheme="minorHAnsi" w:cstheme="minorBidi"/>
            <w:b w:val="0"/>
            <w:bCs w:val="0"/>
            <w:noProof/>
            <w:sz w:val="22"/>
            <w:szCs w:val="22"/>
            <w:lang w:eastAsia="en-AU"/>
          </w:rPr>
          <w:tab/>
        </w:r>
        <w:r w:rsidR="00B40446" w:rsidRPr="00F71326">
          <w:rPr>
            <w:rStyle w:val="Hyperlink"/>
            <w:noProof/>
          </w:rPr>
          <w:t>Capital expenditure</w:t>
        </w:r>
        <w:r w:rsidR="00B40446">
          <w:rPr>
            <w:noProof/>
            <w:webHidden/>
          </w:rPr>
          <w:tab/>
        </w:r>
        <w:r w:rsidR="00B40446">
          <w:rPr>
            <w:noProof/>
            <w:webHidden/>
          </w:rPr>
          <w:fldChar w:fldCharType="begin"/>
        </w:r>
        <w:r w:rsidR="00B40446">
          <w:rPr>
            <w:noProof/>
            <w:webHidden/>
          </w:rPr>
          <w:instrText xml:space="preserve"> PAGEREF _Toc365461998 \h </w:instrText>
        </w:r>
        <w:r w:rsidR="00B40446">
          <w:rPr>
            <w:noProof/>
            <w:webHidden/>
          </w:rPr>
        </w:r>
        <w:r w:rsidR="00B40446">
          <w:rPr>
            <w:noProof/>
            <w:webHidden/>
          </w:rPr>
          <w:fldChar w:fldCharType="separate"/>
        </w:r>
        <w:r w:rsidR="00B40446">
          <w:rPr>
            <w:noProof/>
            <w:webHidden/>
          </w:rPr>
          <w:t>71</w:t>
        </w:r>
        <w:r w:rsidR="00B40446">
          <w:rPr>
            <w:noProof/>
            <w:webHidden/>
          </w:rPr>
          <w:fldChar w:fldCharType="end"/>
        </w:r>
      </w:hyperlink>
    </w:p>
    <w:p w:rsidR="00B40446" w:rsidRDefault="00FB44D8">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65461999" w:history="1">
        <w:r w:rsidR="00B40446" w:rsidRPr="00F71326">
          <w:rPr>
            <w:rStyle w:val="Hyperlink"/>
            <w:noProof/>
          </w:rPr>
          <w:t>3</w:t>
        </w:r>
        <w:r w:rsidR="00B40446">
          <w:rPr>
            <w:rFonts w:asciiTheme="minorHAnsi" w:eastAsiaTheme="minorEastAsia" w:hAnsiTheme="minorHAnsi" w:cstheme="minorBidi"/>
            <w:b w:val="0"/>
            <w:bCs w:val="0"/>
            <w:noProof/>
            <w:sz w:val="22"/>
            <w:szCs w:val="22"/>
            <w:lang w:eastAsia="en-AU"/>
          </w:rPr>
          <w:tab/>
        </w:r>
        <w:r w:rsidR="00B40446" w:rsidRPr="00F71326">
          <w:rPr>
            <w:rStyle w:val="Hyperlink"/>
            <w:noProof/>
          </w:rPr>
          <w:t>Operating expenditure</w:t>
        </w:r>
        <w:r w:rsidR="00B40446">
          <w:rPr>
            <w:noProof/>
            <w:webHidden/>
          </w:rPr>
          <w:tab/>
        </w:r>
        <w:r w:rsidR="00B40446">
          <w:rPr>
            <w:noProof/>
            <w:webHidden/>
          </w:rPr>
          <w:fldChar w:fldCharType="begin"/>
        </w:r>
        <w:r w:rsidR="00B40446">
          <w:rPr>
            <w:noProof/>
            <w:webHidden/>
          </w:rPr>
          <w:instrText xml:space="preserve"> PAGEREF _Toc365461999 \h </w:instrText>
        </w:r>
        <w:r w:rsidR="00B40446">
          <w:rPr>
            <w:noProof/>
            <w:webHidden/>
          </w:rPr>
        </w:r>
        <w:r w:rsidR="00B40446">
          <w:rPr>
            <w:noProof/>
            <w:webHidden/>
          </w:rPr>
          <w:fldChar w:fldCharType="separate"/>
        </w:r>
        <w:r w:rsidR="00B40446">
          <w:rPr>
            <w:noProof/>
            <w:webHidden/>
          </w:rPr>
          <w:t>92</w:t>
        </w:r>
        <w:r w:rsidR="00B40446">
          <w:rPr>
            <w:noProof/>
            <w:webHidden/>
          </w:rPr>
          <w:fldChar w:fldCharType="end"/>
        </w:r>
      </w:hyperlink>
    </w:p>
    <w:p w:rsidR="00B40446" w:rsidRDefault="00FB44D8">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65462000" w:history="1">
        <w:r w:rsidR="00B40446" w:rsidRPr="00F71326">
          <w:rPr>
            <w:rStyle w:val="Hyperlink"/>
            <w:noProof/>
          </w:rPr>
          <w:t>4</w:t>
        </w:r>
        <w:r w:rsidR="00B40446">
          <w:rPr>
            <w:rFonts w:asciiTheme="minorHAnsi" w:eastAsiaTheme="minorEastAsia" w:hAnsiTheme="minorHAnsi" w:cstheme="minorBidi"/>
            <w:b w:val="0"/>
            <w:bCs w:val="0"/>
            <w:noProof/>
            <w:sz w:val="22"/>
            <w:szCs w:val="22"/>
            <w:lang w:eastAsia="en-AU"/>
          </w:rPr>
          <w:tab/>
        </w:r>
        <w:r w:rsidR="00B40446" w:rsidRPr="00F71326">
          <w:rPr>
            <w:rStyle w:val="Hyperlink"/>
            <w:noProof/>
          </w:rPr>
          <w:t>Cost of capital</w:t>
        </w:r>
        <w:r w:rsidR="00B40446">
          <w:rPr>
            <w:noProof/>
            <w:webHidden/>
          </w:rPr>
          <w:tab/>
        </w:r>
        <w:r w:rsidR="00B40446">
          <w:rPr>
            <w:noProof/>
            <w:webHidden/>
          </w:rPr>
          <w:fldChar w:fldCharType="begin"/>
        </w:r>
        <w:r w:rsidR="00B40446">
          <w:rPr>
            <w:noProof/>
            <w:webHidden/>
          </w:rPr>
          <w:instrText xml:space="preserve"> PAGEREF _Toc365462000 \h </w:instrText>
        </w:r>
        <w:r w:rsidR="00B40446">
          <w:rPr>
            <w:noProof/>
            <w:webHidden/>
          </w:rPr>
        </w:r>
        <w:r w:rsidR="00B40446">
          <w:rPr>
            <w:noProof/>
            <w:webHidden/>
          </w:rPr>
          <w:fldChar w:fldCharType="separate"/>
        </w:r>
        <w:r w:rsidR="00B40446">
          <w:rPr>
            <w:noProof/>
            <w:webHidden/>
          </w:rPr>
          <w:t>125</w:t>
        </w:r>
        <w:r w:rsidR="00B40446">
          <w:rPr>
            <w:noProof/>
            <w:webHidden/>
          </w:rPr>
          <w:fldChar w:fldCharType="end"/>
        </w:r>
      </w:hyperlink>
    </w:p>
    <w:p w:rsidR="00B40446" w:rsidRDefault="00FB44D8">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65462001" w:history="1">
        <w:r w:rsidR="00B40446" w:rsidRPr="00F71326">
          <w:rPr>
            <w:rStyle w:val="Hyperlink"/>
            <w:noProof/>
          </w:rPr>
          <w:t>5</w:t>
        </w:r>
        <w:r w:rsidR="00B40446">
          <w:rPr>
            <w:rFonts w:asciiTheme="minorHAnsi" w:eastAsiaTheme="minorEastAsia" w:hAnsiTheme="minorHAnsi" w:cstheme="minorBidi"/>
            <w:b w:val="0"/>
            <w:bCs w:val="0"/>
            <w:noProof/>
            <w:sz w:val="22"/>
            <w:szCs w:val="22"/>
            <w:lang w:eastAsia="en-AU"/>
          </w:rPr>
          <w:tab/>
        </w:r>
        <w:r w:rsidR="00B40446" w:rsidRPr="00F71326">
          <w:rPr>
            <w:rStyle w:val="Hyperlink"/>
            <w:noProof/>
          </w:rPr>
          <w:t>Regulatory asset base</w:t>
        </w:r>
        <w:r w:rsidR="00B40446">
          <w:rPr>
            <w:noProof/>
            <w:webHidden/>
          </w:rPr>
          <w:tab/>
        </w:r>
        <w:r w:rsidR="00B40446">
          <w:rPr>
            <w:noProof/>
            <w:webHidden/>
          </w:rPr>
          <w:fldChar w:fldCharType="begin"/>
        </w:r>
        <w:r w:rsidR="00B40446">
          <w:rPr>
            <w:noProof/>
            <w:webHidden/>
          </w:rPr>
          <w:instrText xml:space="preserve"> PAGEREF _Toc365462001 \h </w:instrText>
        </w:r>
        <w:r w:rsidR="00B40446">
          <w:rPr>
            <w:noProof/>
            <w:webHidden/>
          </w:rPr>
        </w:r>
        <w:r w:rsidR="00B40446">
          <w:rPr>
            <w:noProof/>
            <w:webHidden/>
          </w:rPr>
          <w:fldChar w:fldCharType="separate"/>
        </w:r>
        <w:r w:rsidR="00B40446">
          <w:rPr>
            <w:noProof/>
            <w:webHidden/>
          </w:rPr>
          <w:t>133</w:t>
        </w:r>
        <w:r w:rsidR="00B40446">
          <w:rPr>
            <w:noProof/>
            <w:webHidden/>
          </w:rPr>
          <w:fldChar w:fldCharType="end"/>
        </w:r>
      </w:hyperlink>
    </w:p>
    <w:p w:rsidR="00B40446" w:rsidRDefault="00FB44D8">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65462002" w:history="1">
        <w:r w:rsidR="00B40446" w:rsidRPr="00F71326">
          <w:rPr>
            <w:rStyle w:val="Hyperlink"/>
            <w:noProof/>
          </w:rPr>
          <w:t>6</w:t>
        </w:r>
        <w:r w:rsidR="00B40446">
          <w:rPr>
            <w:rFonts w:asciiTheme="minorHAnsi" w:eastAsiaTheme="minorEastAsia" w:hAnsiTheme="minorHAnsi" w:cstheme="minorBidi"/>
            <w:b w:val="0"/>
            <w:bCs w:val="0"/>
            <w:noProof/>
            <w:sz w:val="22"/>
            <w:szCs w:val="22"/>
            <w:lang w:eastAsia="en-AU"/>
          </w:rPr>
          <w:tab/>
        </w:r>
        <w:r w:rsidR="00B40446" w:rsidRPr="00F71326">
          <w:rPr>
            <w:rStyle w:val="Hyperlink"/>
            <w:noProof/>
          </w:rPr>
          <w:t>Regulatory depreciation</w:t>
        </w:r>
        <w:r w:rsidR="00B40446">
          <w:rPr>
            <w:noProof/>
            <w:webHidden/>
          </w:rPr>
          <w:tab/>
        </w:r>
        <w:r w:rsidR="00B40446">
          <w:rPr>
            <w:noProof/>
            <w:webHidden/>
          </w:rPr>
          <w:fldChar w:fldCharType="begin"/>
        </w:r>
        <w:r w:rsidR="00B40446">
          <w:rPr>
            <w:noProof/>
            <w:webHidden/>
          </w:rPr>
          <w:instrText xml:space="preserve"> PAGEREF _Toc365462002 \h </w:instrText>
        </w:r>
        <w:r w:rsidR="00B40446">
          <w:rPr>
            <w:noProof/>
            <w:webHidden/>
          </w:rPr>
        </w:r>
        <w:r w:rsidR="00B40446">
          <w:rPr>
            <w:noProof/>
            <w:webHidden/>
          </w:rPr>
          <w:fldChar w:fldCharType="separate"/>
        </w:r>
        <w:r w:rsidR="00B40446">
          <w:rPr>
            <w:noProof/>
            <w:webHidden/>
          </w:rPr>
          <w:t>143</w:t>
        </w:r>
        <w:r w:rsidR="00B40446">
          <w:rPr>
            <w:noProof/>
            <w:webHidden/>
          </w:rPr>
          <w:fldChar w:fldCharType="end"/>
        </w:r>
      </w:hyperlink>
    </w:p>
    <w:p w:rsidR="00B40446" w:rsidRDefault="00FB44D8">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65462003" w:history="1">
        <w:r w:rsidR="00B40446" w:rsidRPr="00F71326">
          <w:rPr>
            <w:rStyle w:val="Hyperlink"/>
            <w:noProof/>
          </w:rPr>
          <w:t>7</w:t>
        </w:r>
        <w:r w:rsidR="00B40446">
          <w:rPr>
            <w:rFonts w:asciiTheme="minorHAnsi" w:eastAsiaTheme="minorEastAsia" w:hAnsiTheme="minorHAnsi" w:cstheme="minorBidi"/>
            <w:b w:val="0"/>
            <w:bCs w:val="0"/>
            <w:noProof/>
            <w:sz w:val="22"/>
            <w:szCs w:val="22"/>
            <w:lang w:eastAsia="en-AU"/>
          </w:rPr>
          <w:tab/>
        </w:r>
        <w:r w:rsidR="00B40446" w:rsidRPr="00F71326">
          <w:rPr>
            <w:rStyle w:val="Hyperlink"/>
            <w:noProof/>
          </w:rPr>
          <w:t>Corporate income tax</w:t>
        </w:r>
        <w:r w:rsidR="00B40446">
          <w:rPr>
            <w:noProof/>
            <w:webHidden/>
          </w:rPr>
          <w:tab/>
        </w:r>
        <w:r w:rsidR="00B40446">
          <w:rPr>
            <w:noProof/>
            <w:webHidden/>
          </w:rPr>
          <w:fldChar w:fldCharType="begin"/>
        </w:r>
        <w:r w:rsidR="00B40446">
          <w:rPr>
            <w:noProof/>
            <w:webHidden/>
          </w:rPr>
          <w:instrText xml:space="preserve"> PAGEREF _Toc365462003 \h </w:instrText>
        </w:r>
        <w:r w:rsidR="00B40446">
          <w:rPr>
            <w:noProof/>
            <w:webHidden/>
          </w:rPr>
        </w:r>
        <w:r w:rsidR="00B40446">
          <w:rPr>
            <w:noProof/>
            <w:webHidden/>
          </w:rPr>
          <w:fldChar w:fldCharType="separate"/>
        </w:r>
        <w:r w:rsidR="00B40446">
          <w:rPr>
            <w:noProof/>
            <w:webHidden/>
          </w:rPr>
          <w:t>149</w:t>
        </w:r>
        <w:r w:rsidR="00B40446">
          <w:rPr>
            <w:noProof/>
            <w:webHidden/>
          </w:rPr>
          <w:fldChar w:fldCharType="end"/>
        </w:r>
      </w:hyperlink>
    </w:p>
    <w:p w:rsidR="00B40446" w:rsidRDefault="00FB44D8">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65462004" w:history="1">
        <w:r w:rsidR="00B40446" w:rsidRPr="00F71326">
          <w:rPr>
            <w:rStyle w:val="Hyperlink"/>
            <w:noProof/>
          </w:rPr>
          <w:t>8</w:t>
        </w:r>
        <w:r w:rsidR="00B40446">
          <w:rPr>
            <w:rFonts w:asciiTheme="minorHAnsi" w:eastAsiaTheme="minorEastAsia" w:hAnsiTheme="minorHAnsi" w:cstheme="minorBidi"/>
            <w:b w:val="0"/>
            <w:bCs w:val="0"/>
            <w:noProof/>
            <w:sz w:val="22"/>
            <w:szCs w:val="22"/>
            <w:lang w:eastAsia="en-AU"/>
          </w:rPr>
          <w:tab/>
        </w:r>
        <w:r w:rsidR="00B40446" w:rsidRPr="00F71326">
          <w:rPr>
            <w:rStyle w:val="Hyperlink"/>
            <w:noProof/>
          </w:rPr>
          <w:t>Maximum allowed revenue</w:t>
        </w:r>
        <w:r w:rsidR="00B40446">
          <w:rPr>
            <w:noProof/>
            <w:webHidden/>
          </w:rPr>
          <w:tab/>
        </w:r>
        <w:r w:rsidR="00B40446">
          <w:rPr>
            <w:noProof/>
            <w:webHidden/>
          </w:rPr>
          <w:fldChar w:fldCharType="begin"/>
        </w:r>
        <w:r w:rsidR="00B40446">
          <w:rPr>
            <w:noProof/>
            <w:webHidden/>
          </w:rPr>
          <w:instrText xml:space="preserve"> PAGEREF _Toc365462004 \h </w:instrText>
        </w:r>
        <w:r w:rsidR="00B40446">
          <w:rPr>
            <w:noProof/>
            <w:webHidden/>
          </w:rPr>
        </w:r>
        <w:r w:rsidR="00B40446">
          <w:rPr>
            <w:noProof/>
            <w:webHidden/>
          </w:rPr>
          <w:fldChar w:fldCharType="separate"/>
        </w:r>
        <w:r w:rsidR="00B40446">
          <w:rPr>
            <w:noProof/>
            <w:webHidden/>
          </w:rPr>
          <w:t>155</w:t>
        </w:r>
        <w:r w:rsidR="00B40446">
          <w:rPr>
            <w:noProof/>
            <w:webHidden/>
          </w:rPr>
          <w:fldChar w:fldCharType="end"/>
        </w:r>
      </w:hyperlink>
    </w:p>
    <w:p w:rsidR="00B40446" w:rsidRDefault="00FB44D8">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65462005" w:history="1">
        <w:r w:rsidR="00B40446" w:rsidRPr="00F71326">
          <w:rPr>
            <w:rStyle w:val="Hyperlink"/>
            <w:noProof/>
          </w:rPr>
          <w:t>9</w:t>
        </w:r>
        <w:r w:rsidR="00B40446">
          <w:rPr>
            <w:rFonts w:asciiTheme="minorHAnsi" w:eastAsiaTheme="minorEastAsia" w:hAnsiTheme="minorHAnsi" w:cstheme="minorBidi"/>
            <w:b w:val="0"/>
            <w:bCs w:val="0"/>
            <w:noProof/>
            <w:sz w:val="22"/>
            <w:szCs w:val="22"/>
            <w:lang w:eastAsia="en-AU"/>
          </w:rPr>
          <w:tab/>
        </w:r>
        <w:r w:rsidR="00B40446" w:rsidRPr="00F71326">
          <w:rPr>
            <w:rStyle w:val="Hyperlink"/>
            <w:noProof/>
          </w:rPr>
          <w:t>Service target performance incentive scheme</w:t>
        </w:r>
        <w:r w:rsidR="00B40446">
          <w:rPr>
            <w:noProof/>
            <w:webHidden/>
          </w:rPr>
          <w:tab/>
        </w:r>
        <w:r w:rsidR="00B40446">
          <w:rPr>
            <w:noProof/>
            <w:webHidden/>
          </w:rPr>
          <w:fldChar w:fldCharType="begin"/>
        </w:r>
        <w:r w:rsidR="00B40446">
          <w:rPr>
            <w:noProof/>
            <w:webHidden/>
          </w:rPr>
          <w:instrText xml:space="preserve"> PAGEREF _Toc365462005 \h </w:instrText>
        </w:r>
        <w:r w:rsidR="00B40446">
          <w:rPr>
            <w:noProof/>
            <w:webHidden/>
          </w:rPr>
        </w:r>
        <w:r w:rsidR="00B40446">
          <w:rPr>
            <w:noProof/>
            <w:webHidden/>
          </w:rPr>
          <w:fldChar w:fldCharType="separate"/>
        </w:r>
        <w:r w:rsidR="00B40446">
          <w:rPr>
            <w:noProof/>
            <w:webHidden/>
          </w:rPr>
          <w:t>167</w:t>
        </w:r>
        <w:r w:rsidR="00B40446">
          <w:rPr>
            <w:noProof/>
            <w:webHidden/>
          </w:rPr>
          <w:fldChar w:fldCharType="end"/>
        </w:r>
      </w:hyperlink>
    </w:p>
    <w:p w:rsidR="00B40446" w:rsidRDefault="00FB44D8">
      <w:pPr>
        <w:pStyle w:val="TOC1"/>
        <w:tabs>
          <w:tab w:val="left" w:pos="600"/>
          <w:tab w:val="right" w:leader="dot" w:pos="9016"/>
        </w:tabs>
        <w:rPr>
          <w:rFonts w:asciiTheme="minorHAnsi" w:eastAsiaTheme="minorEastAsia" w:hAnsiTheme="minorHAnsi" w:cstheme="minorBidi"/>
          <w:b w:val="0"/>
          <w:bCs w:val="0"/>
          <w:noProof/>
          <w:sz w:val="22"/>
          <w:szCs w:val="22"/>
          <w:lang w:eastAsia="en-AU"/>
        </w:rPr>
      </w:pPr>
      <w:hyperlink w:anchor="_Toc365462006" w:history="1">
        <w:r w:rsidR="00B40446" w:rsidRPr="00F71326">
          <w:rPr>
            <w:rStyle w:val="Hyperlink"/>
            <w:noProof/>
          </w:rPr>
          <w:t>10</w:t>
        </w:r>
        <w:r w:rsidR="00B40446">
          <w:rPr>
            <w:rFonts w:asciiTheme="minorHAnsi" w:eastAsiaTheme="minorEastAsia" w:hAnsiTheme="minorHAnsi" w:cstheme="minorBidi"/>
            <w:b w:val="0"/>
            <w:bCs w:val="0"/>
            <w:noProof/>
            <w:sz w:val="22"/>
            <w:szCs w:val="22"/>
            <w:lang w:eastAsia="en-AU"/>
          </w:rPr>
          <w:tab/>
        </w:r>
        <w:r w:rsidR="00B40446" w:rsidRPr="00F71326">
          <w:rPr>
            <w:rStyle w:val="Hyperlink"/>
            <w:noProof/>
          </w:rPr>
          <w:t>Efficiency benefit sharing scheme</w:t>
        </w:r>
        <w:r w:rsidR="00B40446">
          <w:rPr>
            <w:noProof/>
            <w:webHidden/>
          </w:rPr>
          <w:tab/>
        </w:r>
        <w:r w:rsidR="00B40446">
          <w:rPr>
            <w:noProof/>
            <w:webHidden/>
          </w:rPr>
          <w:fldChar w:fldCharType="begin"/>
        </w:r>
        <w:r w:rsidR="00B40446">
          <w:rPr>
            <w:noProof/>
            <w:webHidden/>
          </w:rPr>
          <w:instrText xml:space="preserve"> PAGEREF _Toc365462006 \h </w:instrText>
        </w:r>
        <w:r w:rsidR="00B40446">
          <w:rPr>
            <w:noProof/>
            <w:webHidden/>
          </w:rPr>
        </w:r>
        <w:r w:rsidR="00B40446">
          <w:rPr>
            <w:noProof/>
            <w:webHidden/>
          </w:rPr>
          <w:fldChar w:fldCharType="separate"/>
        </w:r>
        <w:r w:rsidR="00B40446">
          <w:rPr>
            <w:noProof/>
            <w:webHidden/>
          </w:rPr>
          <w:t>190</w:t>
        </w:r>
        <w:r w:rsidR="00B40446">
          <w:rPr>
            <w:noProof/>
            <w:webHidden/>
          </w:rPr>
          <w:fldChar w:fldCharType="end"/>
        </w:r>
      </w:hyperlink>
    </w:p>
    <w:p w:rsidR="00B40446" w:rsidRDefault="00FB44D8">
      <w:pPr>
        <w:pStyle w:val="TOC1"/>
        <w:tabs>
          <w:tab w:val="left" w:pos="600"/>
          <w:tab w:val="right" w:leader="dot" w:pos="9016"/>
        </w:tabs>
        <w:rPr>
          <w:rFonts w:asciiTheme="minorHAnsi" w:eastAsiaTheme="minorEastAsia" w:hAnsiTheme="minorHAnsi" w:cstheme="minorBidi"/>
          <w:b w:val="0"/>
          <w:bCs w:val="0"/>
          <w:noProof/>
          <w:sz w:val="22"/>
          <w:szCs w:val="22"/>
          <w:lang w:eastAsia="en-AU"/>
        </w:rPr>
      </w:pPr>
      <w:hyperlink w:anchor="_Toc365462007" w:history="1">
        <w:r w:rsidR="00B40446" w:rsidRPr="00F71326">
          <w:rPr>
            <w:rStyle w:val="Hyperlink"/>
            <w:noProof/>
          </w:rPr>
          <w:t>11</w:t>
        </w:r>
        <w:r w:rsidR="00B40446">
          <w:rPr>
            <w:rFonts w:asciiTheme="minorHAnsi" w:eastAsiaTheme="minorEastAsia" w:hAnsiTheme="minorHAnsi" w:cstheme="minorBidi"/>
            <w:b w:val="0"/>
            <w:bCs w:val="0"/>
            <w:noProof/>
            <w:sz w:val="22"/>
            <w:szCs w:val="22"/>
            <w:lang w:eastAsia="en-AU"/>
          </w:rPr>
          <w:tab/>
        </w:r>
        <w:r w:rsidR="00B40446" w:rsidRPr="00F71326">
          <w:rPr>
            <w:rStyle w:val="Hyperlink"/>
            <w:noProof/>
          </w:rPr>
          <w:t>Contingent projects</w:t>
        </w:r>
        <w:r w:rsidR="00B40446">
          <w:rPr>
            <w:noProof/>
            <w:webHidden/>
          </w:rPr>
          <w:tab/>
        </w:r>
        <w:r w:rsidR="00B40446">
          <w:rPr>
            <w:noProof/>
            <w:webHidden/>
          </w:rPr>
          <w:fldChar w:fldCharType="begin"/>
        </w:r>
        <w:r w:rsidR="00B40446">
          <w:rPr>
            <w:noProof/>
            <w:webHidden/>
          </w:rPr>
          <w:instrText xml:space="preserve"> PAGEREF _Toc365462007 \h </w:instrText>
        </w:r>
        <w:r w:rsidR="00B40446">
          <w:rPr>
            <w:noProof/>
            <w:webHidden/>
          </w:rPr>
        </w:r>
        <w:r w:rsidR="00B40446">
          <w:rPr>
            <w:noProof/>
            <w:webHidden/>
          </w:rPr>
          <w:fldChar w:fldCharType="separate"/>
        </w:r>
        <w:r w:rsidR="00B40446">
          <w:rPr>
            <w:noProof/>
            <w:webHidden/>
          </w:rPr>
          <w:t>200</w:t>
        </w:r>
        <w:r w:rsidR="00B40446">
          <w:rPr>
            <w:noProof/>
            <w:webHidden/>
          </w:rPr>
          <w:fldChar w:fldCharType="end"/>
        </w:r>
      </w:hyperlink>
    </w:p>
    <w:p w:rsidR="00B40446" w:rsidRDefault="00FB44D8">
      <w:pPr>
        <w:pStyle w:val="TOC1"/>
        <w:tabs>
          <w:tab w:val="left" w:pos="600"/>
          <w:tab w:val="right" w:leader="dot" w:pos="9016"/>
        </w:tabs>
        <w:rPr>
          <w:rFonts w:asciiTheme="minorHAnsi" w:eastAsiaTheme="minorEastAsia" w:hAnsiTheme="minorHAnsi" w:cstheme="minorBidi"/>
          <w:b w:val="0"/>
          <w:bCs w:val="0"/>
          <w:noProof/>
          <w:sz w:val="22"/>
          <w:szCs w:val="22"/>
          <w:lang w:eastAsia="en-AU"/>
        </w:rPr>
      </w:pPr>
      <w:hyperlink w:anchor="_Toc365462008" w:history="1">
        <w:r w:rsidR="00B40446" w:rsidRPr="00F71326">
          <w:rPr>
            <w:rStyle w:val="Hyperlink"/>
            <w:noProof/>
          </w:rPr>
          <w:t>12</w:t>
        </w:r>
        <w:r w:rsidR="00B40446">
          <w:rPr>
            <w:rFonts w:asciiTheme="minorHAnsi" w:eastAsiaTheme="minorEastAsia" w:hAnsiTheme="minorHAnsi" w:cstheme="minorBidi"/>
            <w:b w:val="0"/>
            <w:bCs w:val="0"/>
            <w:noProof/>
            <w:sz w:val="22"/>
            <w:szCs w:val="22"/>
            <w:lang w:eastAsia="en-AU"/>
          </w:rPr>
          <w:tab/>
        </w:r>
        <w:r w:rsidR="00B40446" w:rsidRPr="00F71326">
          <w:rPr>
            <w:rStyle w:val="Hyperlink"/>
            <w:noProof/>
          </w:rPr>
          <w:t>Pricing methodology</w:t>
        </w:r>
        <w:r w:rsidR="00B40446">
          <w:rPr>
            <w:noProof/>
            <w:webHidden/>
          </w:rPr>
          <w:tab/>
        </w:r>
        <w:r w:rsidR="00B40446">
          <w:rPr>
            <w:noProof/>
            <w:webHidden/>
          </w:rPr>
          <w:fldChar w:fldCharType="begin"/>
        </w:r>
        <w:r w:rsidR="00B40446">
          <w:rPr>
            <w:noProof/>
            <w:webHidden/>
          </w:rPr>
          <w:instrText xml:space="preserve"> PAGEREF _Toc365462008 \h </w:instrText>
        </w:r>
        <w:r w:rsidR="00B40446">
          <w:rPr>
            <w:noProof/>
            <w:webHidden/>
          </w:rPr>
        </w:r>
        <w:r w:rsidR="00B40446">
          <w:rPr>
            <w:noProof/>
            <w:webHidden/>
          </w:rPr>
          <w:fldChar w:fldCharType="separate"/>
        </w:r>
        <w:r w:rsidR="00B40446">
          <w:rPr>
            <w:noProof/>
            <w:webHidden/>
          </w:rPr>
          <w:t>206</w:t>
        </w:r>
        <w:r w:rsidR="00B40446">
          <w:rPr>
            <w:noProof/>
            <w:webHidden/>
          </w:rPr>
          <w:fldChar w:fldCharType="end"/>
        </w:r>
      </w:hyperlink>
    </w:p>
    <w:p w:rsidR="00B40446" w:rsidRDefault="00FB44D8">
      <w:pPr>
        <w:pStyle w:val="TOC1"/>
        <w:tabs>
          <w:tab w:val="left" w:pos="600"/>
          <w:tab w:val="right" w:leader="dot" w:pos="9016"/>
        </w:tabs>
        <w:rPr>
          <w:rFonts w:asciiTheme="minorHAnsi" w:eastAsiaTheme="minorEastAsia" w:hAnsiTheme="minorHAnsi" w:cstheme="minorBidi"/>
          <w:b w:val="0"/>
          <w:bCs w:val="0"/>
          <w:noProof/>
          <w:sz w:val="22"/>
          <w:szCs w:val="22"/>
          <w:lang w:eastAsia="en-AU"/>
        </w:rPr>
      </w:pPr>
      <w:hyperlink w:anchor="_Toc365462009" w:history="1">
        <w:r w:rsidR="00B40446" w:rsidRPr="00F71326">
          <w:rPr>
            <w:rStyle w:val="Hyperlink"/>
            <w:noProof/>
          </w:rPr>
          <w:t>13</w:t>
        </w:r>
        <w:r w:rsidR="00B40446">
          <w:rPr>
            <w:rFonts w:asciiTheme="minorHAnsi" w:eastAsiaTheme="minorEastAsia" w:hAnsiTheme="minorHAnsi" w:cstheme="minorBidi"/>
            <w:b w:val="0"/>
            <w:bCs w:val="0"/>
            <w:noProof/>
            <w:sz w:val="22"/>
            <w:szCs w:val="22"/>
            <w:lang w:eastAsia="en-AU"/>
          </w:rPr>
          <w:tab/>
        </w:r>
        <w:r w:rsidR="00B40446" w:rsidRPr="00F71326">
          <w:rPr>
            <w:rStyle w:val="Hyperlink"/>
            <w:noProof/>
          </w:rPr>
          <w:t>Negotiated services</w:t>
        </w:r>
        <w:r w:rsidR="00B40446">
          <w:rPr>
            <w:noProof/>
            <w:webHidden/>
          </w:rPr>
          <w:tab/>
        </w:r>
        <w:r w:rsidR="00B40446">
          <w:rPr>
            <w:noProof/>
            <w:webHidden/>
          </w:rPr>
          <w:fldChar w:fldCharType="begin"/>
        </w:r>
        <w:r w:rsidR="00B40446">
          <w:rPr>
            <w:noProof/>
            <w:webHidden/>
          </w:rPr>
          <w:instrText xml:space="preserve"> PAGEREF _Toc365462009 \h </w:instrText>
        </w:r>
        <w:r w:rsidR="00B40446">
          <w:rPr>
            <w:noProof/>
            <w:webHidden/>
          </w:rPr>
        </w:r>
        <w:r w:rsidR="00B40446">
          <w:rPr>
            <w:noProof/>
            <w:webHidden/>
          </w:rPr>
          <w:fldChar w:fldCharType="separate"/>
        </w:r>
        <w:r w:rsidR="00B40446">
          <w:rPr>
            <w:noProof/>
            <w:webHidden/>
          </w:rPr>
          <w:t>214</w:t>
        </w:r>
        <w:r w:rsidR="00B40446">
          <w:rPr>
            <w:noProof/>
            <w:webHidden/>
          </w:rPr>
          <w:fldChar w:fldCharType="end"/>
        </w:r>
      </w:hyperlink>
    </w:p>
    <w:p w:rsidR="00B40446" w:rsidRDefault="00FB44D8">
      <w:pPr>
        <w:pStyle w:val="TOC1"/>
        <w:tabs>
          <w:tab w:val="left" w:pos="600"/>
          <w:tab w:val="right" w:leader="dot" w:pos="9016"/>
        </w:tabs>
        <w:rPr>
          <w:rFonts w:asciiTheme="minorHAnsi" w:eastAsiaTheme="minorEastAsia" w:hAnsiTheme="minorHAnsi" w:cstheme="minorBidi"/>
          <w:b w:val="0"/>
          <w:bCs w:val="0"/>
          <w:noProof/>
          <w:sz w:val="22"/>
          <w:szCs w:val="22"/>
          <w:lang w:eastAsia="en-AU"/>
        </w:rPr>
      </w:pPr>
      <w:hyperlink w:anchor="_Toc365462010" w:history="1">
        <w:r w:rsidR="00B40446" w:rsidRPr="00F71326">
          <w:rPr>
            <w:rStyle w:val="Hyperlink"/>
            <w:noProof/>
          </w:rPr>
          <w:t>14</w:t>
        </w:r>
        <w:r w:rsidR="00B40446">
          <w:rPr>
            <w:rFonts w:asciiTheme="minorHAnsi" w:eastAsiaTheme="minorEastAsia" w:hAnsiTheme="minorHAnsi" w:cstheme="minorBidi"/>
            <w:b w:val="0"/>
            <w:bCs w:val="0"/>
            <w:noProof/>
            <w:sz w:val="22"/>
            <w:szCs w:val="22"/>
            <w:lang w:eastAsia="en-AU"/>
          </w:rPr>
          <w:tab/>
        </w:r>
        <w:r w:rsidR="00B40446" w:rsidRPr="00F71326">
          <w:rPr>
            <w:rStyle w:val="Hyperlink"/>
            <w:noProof/>
          </w:rPr>
          <w:t>Cost pass throughs</w:t>
        </w:r>
        <w:r w:rsidR="00B40446">
          <w:rPr>
            <w:noProof/>
            <w:webHidden/>
          </w:rPr>
          <w:tab/>
        </w:r>
        <w:r w:rsidR="00B40446">
          <w:rPr>
            <w:noProof/>
            <w:webHidden/>
          </w:rPr>
          <w:fldChar w:fldCharType="begin"/>
        </w:r>
        <w:r w:rsidR="00B40446">
          <w:rPr>
            <w:noProof/>
            <w:webHidden/>
          </w:rPr>
          <w:instrText xml:space="preserve"> PAGEREF _Toc365462010 \h </w:instrText>
        </w:r>
        <w:r w:rsidR="00B40446">
          <w:rPr>
            <w:noProof/>
            <w:webHidden/>
          </w:rPr>
        </w:r>
        <w:r w:rsidR="00B40446">
          <w:rPr>
            <w:noProof/>
            <w:webHidden/>
          </w:rPr>
          <w:fldChar w:fldCharType="separate"/>
        </w:r>
        <w:r w:rsidR="00B40446">
          <w:rPr>
            <w:noProof/>
            <w:webHidden/>
          </w:rPr>
          <w:t>219</w:t>
        </w:r>
        <w:r w:rsidR="00B40446">
          <w:rPr>
            <w:noProof/>
            <w:webHidden/>
          </w:rPr>
          <w:fldChar w:fldCharType="end"/>
        </w:r>
      </w:hyperlink>
    </w:p>
    <w:p w:rsidR="00B40446" w:rsidRDefault="00FB44D8">
      <w:pPr>
        <w:pStyle w:val="TOC1"/>
        <w:tabs>
          <w:tab w:val="right" w:leader="dot" w:pos="9016"/>
        </w:tabs>
        <w:rPr>
          <w:noProof/>
        </w:rPr>
      </w:pPr>
      <w:hyperlink w:anchor="_Toc365462011" w:history="1">
        <w:r w:rsidR="00B40446" w:rsidRPr="00F71326">
          <w:rPr>
            <w:rStyle w:val="Hyperlink"/>
            <w:noProof/>
          </w:rPr>
          <w:t>Part 3 – Appendixes</w:t>
        </w:r>
        <w:r w:rsidR="00B40446">
          <w:rPr>
            <w:noProof/>
            <w:webHidden/>
          </w:rPr>
          <w:tab/>
        </w:r>
        <w:r w:rsidR="00B40446">
          <w:rPr>
            <w:noProof/>
            <w:webHidden/>
          </w:rPr>
          <w:fldChar w:fldCharType="begin"/>
        </w:r>
        <w:r w:rsidR="00B40446">
          <w:rPr>
            <w:noProof/>
            <w:webHidden/>
          </w:rPr>
          <w:instrText xml:space="preserve"> PAGEREF _Toc365462011 \h </w:instrText>
        </w:r>
        <w:r w:rsidR="00B40446">
          <w:rPr>
            <w:noProof/>
            <w:webHidden/>
          </w:rPr>
        </w:r>
        <w:r w:rsidR="00B40446">
          <w:rPr>
            <w:noProof/>
            <w:webHidden/>
          </w:rPr>
          <w:fldChar w:fldCharType="separate"/>
        </w:r>
        <w:r w:rsidR="00B40446">
          <w:rPr>
            <w:noProof/>
            <w:webHidden/>
          </w:rPr>
          <w:t>227</w:t>
        </w:r>
        <w:r w:rsidR="00B40446">
          <w:rPr>
            <w:noProof/>
            <w:webHidden/>
          </w:rPr>
          <w:fldChar w:fldCharType="end"/>
        </w:r>
      </w:hyperlink>
    </w:p>
    <w:p w:rsidR="006D5151" w:rsidRDefault="006D5151" w:rsidP="006D5151"/>
    <w:p w:rsidR="006D5151" w:rsidRDefault="006D5151" w:rsidP="006D5151">
      <w:pPr>
        <w:sectPr w:rsidR="006D5151">
          <w:footerReference w:type="default" r:id="rId17"/>
          <w:pgSz w:w="11906" w:h="16838"/>
          <w:pgMar w:top="1440" w:right="1440" w:bottom="1440" w:left="1440" w:header="708" w:footer="708" w:gutter="0"/>
          <w:cols w:space="708"/>
          <w:docGrid w:linePitch="360"/>
        </w:sectPr>
      </w:pPr>
    </w:p>
    <w:p w:rsidR="0088341A" w:rsidRDefault="00B40446" w:rsidP="0088341A">
      <w:pPr>
        <w:pStyle w:val="UnnumberedHeading"/>
        <w:numPr>
          <w:ilvl w:val="0"/>
          <w:numId w:val="2"/>
        </w:numPr>
      </w:pPr>
      <w:r>
        <w:lastRenderedPageBreak/>
        <w:fldChar w:fldCharType="end"/>
      </w:r>
      <w:bookmarkStart w:id="7" w:name="_Toc365283227"/>
      <w:bookmarkStart w:id="8" w:name="_Toc365461979"/>
      <w:r w:rsidR="0088341A">
        <w:t>Shortened forms</w:t>
      </w:r>
      <w:bookmarkEnd w:id="5"/>
      <w:bookmarkEnd w:id="6"/>
      <w:bookmarkEnd w:id="7"/>
      <w:bookmarkEnd w:id="8"/>
    </w:p>
    <w:tbl>
      <w:tblPr>
        <w:tblStyle w:val="AERtable-text"/>
        <w:tblW w:w="0" w:type="auto"/>
        <w:tblLook w:val="01E0" w:firstRow="1" w:lastRow="1" w:firstColumn="1" w:lastColumn="1" w:noHBand="0" w:noVBand="0"/>
      </w:tblPr>
      <w:tblGrid>
        <w:gridCol w:w="2802"/>
        <w:gridCol w:w="5726"/>
      </w:tblGrid>
      <w:tr w:rsidR="0088341A" w:rsidRPr="00304632" w:rsidTr="00657046">
        <w:trPr>
          <w:cnfStyle w:val="100000000000" w:firstRow="1" w:lastRow="0" w:firstColumn="0" w:lastColumn="0" w:oddVBand="0" w:evenVBand="0" w:oddHBand="0" w:evenHBand="0" w:firstRowFirstColumn="0" w:firstRowLastColumn="0" w:lastRowFirstColumn="0" w:lastRowLastColumn="0"/>
          <w:tblHeader/>
        </w:trPr>
        <w:tc>
          <w:tcPr>
            <w:tcW w:w="2802" w:type="dxa"/>
            <w:noWrap/>
          </w:tcPr>
          <w:p w:rsidR="0088341A" w:rsidRPr="00304632" w:rsidRDefault="0088341A" w:rsidP="00501137">
            <w:pPr>
              <w:pStyle w:val="AERtabletextleft"/>
            </w:pPr>
            <w:r w:rsidRPr="00304632">
              <w:t>Shortened form</w:t>
            </w:r>
          </w:p>
        </w:tc>
        <w:tc>
          <w:tcPr>
            <w:tcW w:w="5726" w:type="dxa"/>
            <w:noWrap/>
          </w:tcPr>
          <w:p w:rsidR="0088341A" w:rsidRPr="00304632" w:rsidRDefault="0088341A" w:rsidP="00501137">
            <w:pPr>
              <w:pStyle w:val="AERtabletextleft"/>
            </w:pPr>
            <w:r w:rsidRPr="00304632">
              <w:t>Extended form</w:t>
            </w:r>
          </w:p>
        </w:tc>
      </w:tr>
      <w:tr w:rsidR="0088341A" w:rsidRPr="00304632" w:rsidTr="00501137">
        <w:tc>
          <w:tcPr>
            <w:tcW w:w="2802" w:type="dxa"/>
            <w:noWrap/>
          </w:tcPr>
          <w:p w:rsidR="0088341A" w:rsidRPr="00304632" w:rsidRDefault="0088341A" w:rsidP="00501137">
            <w:pPr>
              <w:pStyle w:val="AERtabletextleft"/>
            </w:pPr>
            <w:r w:rsidRPr="00304632">
              <w:t>AARR</w:t>
            </w:r>
          </w:p>
        </w:tc>
        <w:tc>
          <w:tcPr>
            <w:tcW w:w="5726" w:type="dxa"/>
            <w:noWrap/>
          </w:tcPr>
          <w:p w:rsidR="0088341A" w:rsidRPr="00304632" w:rsidRDefault="0088341A" w:rsidP="00501137">
            <w:pPr>
              <w:pStyle w:val="AERtabletextleft"/>
            </w:pPr>
            <w:r w:rsidRPr="00304632">
              <w:t>aggregate annual revenue requirement</w:t>
            </w:r>
          </w:p>
        </w:tc>
      </w:tr>
      <w:tr w:rsidR="0088341A" w:rsidRPr="00304632" w:rsidTr="00501137">
        <w:trPr>
          <w:cnfStyle w:val="000000010000" w:firstRow="0" w:lastRow="0" w:firstColumn="0" w:lastColumn="0" w:oddVBand="0" w:evenVBand="0" w:oddHBand="0" w:evenHBand="1" w:firstRowFirstColumn="0" w:firstRowLastColumn="0" w:lastRowFirstColumn="0" w:lastRowLastColumn="0"/>
        </w:trPr>
        <w:tc>
          <w:tcPr>
            <w:tcW w:w="2802" w:type="dxa"/>
            <w:noWrap/>
          </w:tcPr>
          <w:p w:rsidR="0088341A" w:rsidRPr="00304632" w:rsidRDefault="0088341A" w:rsidP="00501137">
            <w:pPr>
              <w:pStyle w:val="AERtabletextleft"/>
            </w:pPr>
            <w:r w:rsidRPr="00304632">
              <w:t>ACCC</w:t>
            </w:r>
          </w:p>
        </w:tc>
        <w:tc>
          <w:tcPr>
            <w:tcW w:w="5726" w:type="dxa"/>
            <w:noWrap/>
          </w:tcPr>
          <w:p w:rsidR="0088341A" w:rsidRPr="00304632" w:rsidRDefault="0088341A" w:rsidP="00501137">
            <w:pPr>
              <w:pStyle w:val="AERtabletextleft"/>
            </w:pPr>
            <w:r w:rsidRPr="00304632">
              <w:t>Australian Competition &amp; Consumer Commission</w:t>
            </w:r>
          </w:p>
        </w:tc>
      </w:tr>
      <w:tr w:rsidR="0088341A" w:rsidRPr="00304632" w:rsidTr="00501137">
        <w:tc>
          <w:tcPr>
            <w:tcW w:w="2802" w:type="dxa"/>
            <w:noWrap/>
          </w:tcPr>
          <w:p w:rsidR="0088341A" w:rsidRPr="00304632" w:rsidRDefault="0088341A" w:rsidP="00501137">
            <w:pPr>
              <w:pStyle w:val="AERtabletextleft"/>
            </w:pPr>
            <w:r w:rsidRPr="00304632">
              <w:t>AEMC</w:t>
            </w:r>
          </w:p>
        </w:tc>
        <w:tc>
          <w:tcPr>
            <w:tcW w:w="5726" w:type="dxa"/>
            <w:noWrap/>
          </w:tcPr>
          <w:p w:rsidR="0088341A" w:rsidRPr="00304632" w:rsidRDefault="0088341A" w:rsidP="00501137">
            <w:pPr>
              <w:pStyle w:val="AERtabletextleft"/>
            </w:pPr>
            <w:r w:rsidRPr="00304632">
              <w:t>Australian Energy Market Commission</w:t>
            </w:r>
          </w:p>
        </w:tc>
      </w:tr>
      <w:tr w:rsidR="0088341A" w:rsidRPr="00304632" w:rsidTr="00501137">
        <w:trPr>
          <w:cnfStyle w:val="000000010000" w:firstRow="0" w:lastRow="0" w:firstColumn="0" w:lastColumn="0" w:oddVBand="0" w:evenVBand="0" w:oddHBand="0" w:evenHBand="1" w:firstRowFirstColumn="0" w:firstRowLastColumn="0" w:lastRowFirstColumn="0" w:lastRowLastColumn="0"/>
        </w:trPr>
        <w:tc>
          <w:tcPr>
            <w:tcW w:w="2802" w:type="dxa"/>
            <w:noWrap/>
          </w:tcPr>
          <w:p w:rsidR="0088341A" w:rsidRPr="00304632" w:rsidRDefault="0088341A" w:rsidP="00501137">
            <w:pPr>
              <w:pStyle w:val="AERtabletextleft"/>
            </w:pPr>
            <w:r w:rsidRPr="00304632">
              <w:t>AEMO</w:t>
            </w:r>
          </w:p>
        </w:tc>
        <w:tc>
          <w:tcPr>
            <w:tcW w:w="5726" w:type="dxa"/>
            <w:noWrap/>
          </w:tcPr>
          <w:p w:rsidR="0088341A" w:rsidRPr="00304632" w:rsidRDefault="0088341A" w:rsidP="00501137">
            <w:pPr>
              <w:pStyle w:val="AERtabletextleft"/>
            </w:pPr>
            <w:r w:rsidRPr="00304632">
              <w:t>Australian Energy Market Operator</w:t>
            </w:r>
          </w:p>
        </w:tc>
      </w:tr>
      <w:tr w:rsidR="0088341A" w:rsidRPr="00304632" w:rsidTr="00501137">
        <w:tc>
          <w:tcPr>
            <w:tcW w:w="2802" w:type="dxa"/>
            <w:noWrap/>
          </w:tcPr>
          <w:p w:rsidR="0088341A" w:rsidRPr="00304632" w:rsidRDefault="0088341A" w:rsidP="00501137">
            <w:pPr>
              <w:pStyle w:val="AERtabletextleft"/>
            </w:pPr>
            <w:r w:rsidRPr="00304632">
              <w:t>AER</w:t>
            </w:r>
          </w:p>
        </w:tc>
        <w:tc>
          <w:tcPr>
            <w:tcW w:w="5726" w:type="dxa"/>
            <w:noWrap/>
          </w:tcPr>
          <w:p w:rsidR="0088341A" w:rsidRPr="00304632" w:rsidRDefault="0088341A" w:rsidP="00501137">
            <w:pPr>
              <w:pStyle w:val="AERtabletextleft"/>
            </w:pPr>
            <w:r w:rsidRPr="00304632">
              <w:t>Australian Energy Regulator</w:t>
            </w:r>
          </w:p>
        </w:tc>
      </w:tr>
      <w:tr w:rsidR="00523552" w:rsidRPr="00304632" w:rsidTr="00501137">
        <w:trPr>
          <w:cnfStyle w:val="000000010000" w:firstRow="0" w:lastRow="0" w:firstColumn="0" w:lastColumn="0" w:oddVBand="0" w:evenVBand="0" w:oddHBand="0" w:evenHBand="1" w:firstRowFirstColumn="0" w:firstRowLastColumn="0" w:lastRowFirstColumn="0" w:lastRowLastColumn="0"/>
        </w:trPr>
        <w:tc>
          <w:tcPr>
            <w:tcW w:w="2802" w:type="dxa"/>
            <w:noWrap/>
          </w:tcPr>
          <w:p w:rsidR="00523552" w:rsidRPr="00304632" w:rsidRDefault="00523552" w:rsidP="00501137">
            <w:pPr>
              <w:pStyle w:val="AERtabletextleft"/>
            </w:pPr>
            <w:r>
              <w:t>AIS</w:t>
            </w:r>
          </w:p>
        </w:tc>
        <w:tc>
          <w:tcPr>
            <w:tcW w:w="5726" w:type="dxa"/>
            <w:noWrap/>
          </w:tcPr>
          <w:p w:rsidR="00523552" w:rsidRPr="00304632" w:rsidRDefault="00523552" w:rsidP="00501137">
            <w:pPr>
              <w:pStyle w:val="AERtabletextleft"/>
            </w:pPr>
            <w:r>
              <w:t>Air insulated switchgear</w:t>
            </w:r>
          </w:p>
        </w:tc>
      </w:tr>
      <w:tr w:rsidR="0088341A" w:rsidRPr="00304632" w:rsidTr="00501137">
        <w:tc>
          <w:tcPr>
            <w:tcW w:w="2802" w:type="dxa"/>
            <w:noWrap/>
          </w:tcPr>
          <w:p w:rsidR="0088341A" w:rsidRPr="00304632" w:rsidRDefault="0088341A" w:rsidP="00501137">
            <w:pPr>
              <w:pStyle w:val="AERtabletextleft"/>
            </w:pPr>
            <w:r w:rsidRPr="00304632">
              <w:t>ASRR</w:t>
            </w:r>
          </w:p>
        </w:tc>
        <w:tc>
          <w:tcPr>
            <w:tcW w:w="5726" w:type="dxa"/>
            <w:noWrap/>
          </w:tcPr>
          <w:p w:rsidR="0088341A" w:rsidRPr="00304632" w:rsidRDefault="0088341A" w:rsidP="00501137">
            <w:pPr>
              <w:pStyle w:val="AERtabletextleft"/>
            </w:pPr>
            <w:r w:rsidRPr="00304632">
              <w:t>annual service revenue requirement</w:t>
            </w:r>
          </w:p>
        </w:tc>
      </w:tr>
      <w:tr w:rsidR="0088341A" w:rsidRPr="00304632" w:rsidTr="00501137">
        <w:trPr>
          <w:cnfStyle w:val="000000010000" w:firstRow="0" w:lastRow="0" w:firstColumn="0" w:lastColumn="0" w:oddVBand="0" w:evenVBand="0" w:oddHBand="0" w:evenHBand="1" w:firstRowFirstColumn="0" w:firstRowLastColumn="0" w:lastRowFirstColumn="0" w:lastRowLastColumn="0"/>
        </w:trPr>
        <w:tc>
          <w:tcPr>
            <w:tcW w:w="2802" w:type="dxa"/>
            <w:noWrap/>
          </w:tcPr>
          <w:p w:rsidR="0088341A" w:rsidRPr="00304632" w:rsidRDefault="0088341A" w:rsidP="00501137">
            <w:pPr>
              <w:pStyle w:val="AERtabletextleft"/>
            </w:pPr>
            <w:r w:rsidRPr="00304632">
              <w:t>capex</w:t>
            </w:r>
          </w:p>
        </w:tc>
        <w:tc>
          <w:tcPr>
            <w:tcW w:w="5726" w:type="dxa"/>
            <w:noWrap/>
          </w:tcPr>
          <w:p w:rsidR="0088341A" w:rsidRPr="00304632" w:rsidRDefault="0088341A" w:rsidP="00501137">
            <w:pPr>
              <w:pStyle w:val="AERtabletextleft"/>
            </w:pPr>
            <w:r w:rsidRPr="00304632">
              <w:t>capital expenditure</w:t>
            </w:r>
          </w:p>
        </w:tc>
      </w:tr>
      <w:tr w:rsidR="006B0798" w:rsidRPr="00304632" w:rsidTr="00501137">
        <w:tc>
          <w:tcPr>
            <w:tcW w:w="2802" w:type="dxa"/>
            <w:noWrap/>
          </w:tcPr>
          <w:p w:rsidR="006B0798" w:rsidRPr="00304632" w:rsidRDefault="006B0798" w:rsidP="006B0798">
            <w:pPr>
              <w:pStyle w:val="AERtabletextleft"/>
            </w:pPr>
            <w:r w:rsidRPr="00304632">
              <w:t>CEG</w:t>
            </w:r>
          </w:p>
        </w:tc>
        <w:tc>
          <w:tcPr>
            <w:tcW w:w="5726" w:type="dxa"/>
            <w:noWrap/>
          </w:tcPr>
          <w:p w:rsidR="006B0798" w:rsidRPr="00304632" w:rsidRDefault="006B0798" w:rsidP="006B0798">
            <w:pPr>
              <w:pStyle w:val="AERtabletextleft"/>
            </w:pPr>
            <w:r w:rsidRPr="00304632">
              <w:t>Competition Economists Group</w:t>
            </w:r>
          </w:p>
        </w:tc>
      </w:tr>
      <w:tr w:rsidR="006B0798" w:rsidRPr="00304632" w:rsidTr="00501137">
        <w:trPr>
          <w:cnfStyle w:val="000000010000" w:firstRow="0" w:lastRow="0" w:firstColumn="0" w:lastColumn="0" w:oddVBand="0" w:evenVBand="0" w:oddHBand="0" w:evenHBand="1" w:firstRowFirstColumn="0" w:firstRowLastColumn="0" w:lastRowFirstColumn="0" w:lastRowLastColumn="0"/>
        </w:trPr>
        <w:tc>
          <w:tcPr>
            <w:tcW w:w="2802" w:type="dxa"/>
            <w:noWrap/>
          </w:tcPr>
          <w:p w:rsidR="006B0798" w:rsidRPr="00304632" w:rsidRDefault="006B0798" w:rsidP="006B0798">
            <w:pPr>
              <w:pStyle w:val="AERtabletextleft"/>
            </w:pPr>
            <w:r w:rsidRPr="00304632">
              <w:t>CGS</w:t>
            </w:r>
          </w:p>
        </w:tc>
        <w:tc>
          <w:tcPr>
            <w:tcW w:w="5726" w:type="dxa"/>
            <w:noWrap/>
          </w:tcPr>
          <w:p w:rsidR="006B0798" w:rsidRPr="00304632" w:rsidRDefault="006B0798" w:rsidP="006B0798">
            <w:pPr>
              <w:pStyle w:val="AERtabletextleft"/>
            </w:pPr>
            <w:r w:rsidRPr="00304632">
              <w:t>Commonwealth Government securities</w:t>
            </w:r>
          </w:p>
        </w:tc>
      </w:tr>
      <w:tr w:rsidR="006B0798" w:rsidRPr="00304632" w:rsidTr="00501137">
        <w:tc>
          <w:tcPr>
            <w:tcW w:w="2802" w:type="dxa"/>
            <w:noWrap/>
          </w:tcPr>
          <w:p w:rsidR="006B0798" w:rsidRPr="00304632" w:rsidRDefault="006B0798" w:rsidP="006B0798">
            <w:pPr>
              <w:pStyle w:val="AERtabletextleft"/>
            </w:pPr>
            <w:r w:rsidRPr="00304632">
              <w:t>CPI</w:t>
            </w:r>
          </w:p>
        </w:tc>
        <w:tc>
          <w:tcPr>
            <w:tcW w:w="5726" w:type="dxa"/>
            <w:noWrap/>
          </w:tcPr>
          <w:p w:rsidR="006B0798" w:rsidRPr="00304632" w:rsidRDefault="006B0798" w:rsidP="006B0798">
            <w:pPr>
              <w:pStyle w:val="AERtabletextleft"/>
            </w:pPr>
            <w:r w:rsidRPr="00304632">
              <w:t>consumer price index</w:t>
            </w:r>
          </w:p>
        </w:tc>
      </w:tr>
      <w:tr w:rsidR="006B0798" w:rsidRPr="00304632" w:rsidTr="00501137">
        <w:trPr>
          <w:cnfStyle w:val="000000010000" w:firstRow="0" w:lastRow="0" w:firstColumn="0" w:lastColumn="0" w:oddVBand="0" w:evenVBand="0" w:oddHBand="0" w:evenHBand="1" w:firstRowFirstColumn="0" w:firstRowLastColumn="0" w:lastRowFirstColumn="0" w:lastRowLastColumn="0"/>
        </w:trPr>
        <w:tc>
          <w:tcPr>
            <w:tcW w:w="2802" w:type="dxa"/>
            <w:noWrap/>
          </w:tcPr>
          <w:p w:rsidR="006B0798" w:rsidRPr="00304632" w:rsidRDefault="006B0798" w:rsidP="006B0798">
            <w:pPr>
              <w:pStyle w:val="AERtabletextleft"/>
            </w:pPr>
            <w:r w:rsidRPr="00304632">
              <w:t>DAE</w:t>
            </w:r>
          </w:p>
        </w:tc>
        <w:tc>
          <w:tcPr>
            <w:tcW w:w="5726" w:type="dxa"/>
            <w:noWrap/>
          </w:tcPr>
          <w:p w:rsidR="006B0798" w:rsidRPr="00304632" w:rsidRDefault="006B0798" w:rsidP="006B0798">
            <w:pPr>
              <w:pStyle w:val="AERtabletextleft"/>
            </w:pPr>
            <w:r w:rsidRPr="00304632">
              <w:t>Deloitte Access Economics</w:t>
            </w:r>
          </w:p>
        </w:tc>
      </w:tr>
      <w:tr w:rsidR="006B0798" w:rsidRPr="00304632" w:rsidTr="00501137">
        <w:tc>
          <w:tcPr>
            <w:tcW w:w="2802" w:type="dxa"/>
            <w:noWrap/>
          </w:tcPr>
          <w:p w:rsidR="006B0798" w:rsidRDefault="006B0798" w:rsidP="006B0798">
            <w:pPr>
              <w:pStyle w:val="AERtabletextleft"/>
            </w:pPr>
            <w:r>
              <w:t>DNSP</w:t>
            </w:r>
          </w:p>
        </w:tc>
        <w:tc>
          <w:tcPr>
            <w:tcW w:w="5726" w:type="dxa"/>
            <w:noWrap/>
          </w:tcPr>
          <w:p w:rsidR="006B0798" w:rsidRDefault="006B0798" w:rsidP="006B0798">
            <w:pPr>
              <w:pStyle w:val="AERtabletextleft"/>
            </w:pPr>
            <w:r>
              <w:t>distribution network service provider</w:t>
            </w:r>
          </w:p>
        </w:tc>
      </w:tr>
      <w:tr w:rsidR="006B0798" w:rsidRPr="00304632" w:rsidTr="00501137">
        <w:trPr>
          <w:cnfStyle w:val="000000010000" w:firstRow="0" w:lastRow="0" w:firstColumn="0" w:lastColumn="0" w:oddVBand="0" w:evenVBand="0" w:oddHBand="0" w:evenHBand="1" w:firstRowFirstColumn="0" w:firstRowLastColumn="0" w:lastRowFirstColumn="0" w:lastRowLastColumn="0"/>
        </w:trPr>
        <w:tc>
          <w:tcPr>
            <w:tcW w:w="2802" w:type="dxa"/>
            <w:noWrap/>
          </w:tcPr>
          <w:p w:rsidR="006B0798" w:rsidRPr="00F02526" w:rsidRDefault="006B0798" w:rsidP="00501137">
            <w:pPr>
              <w:pStyle w:val="AERtabletextleft"/>
            </w:pPr>
            <w:r>
              <w:t>DRP</w:t>
            </w:r>
          </w:p>
        </w:tc>
        <w:tc>
          <w:tcPr>
            <w:tcW w:w="5726" w:type="dxa"/>
            <w:noWrap/>
          </w:tcPr>
          <w:p w:rsidR="006B0798" w:rsidRPr="00F02526" w:rsidRDefault="006B0798" w:rsidP="00501137">
            <w:pPr>
              <w:pStyle w:val="AERtabletextleft"/>
            </w:pPr>
            <w:r>
              <w:t>debt risk premium</w:t>
            </w:r>
          </w:p>
        </w:tc>
      </w:tr>
      <w:tr w:rsidR="006B0798" w:rsidRPr="00304632" w:rsidTr="00501137">
        <w:tc>
          <w:tcPr>
            <w:tcW w:w="2802" w:type="dxa"/>
            <w:noWrap/>
          </w:tcPr>
          <w:p w:rsidR="006B0798" w:rsidRPr="00F02526" w:rsidRDefault="006B0798" w:rsidP="00501137">
            <w:pPr>
              <w:pStyle w:val="AERtabletextleft"/>
            </w:pPr>
            <w:r>
              <w:t>DTSO</w:t>
            </w:r>
          </w:p>
        </w:tc>
        <w:tc>
          <w:tcPr>
            <w:tcW w:w="5726" w:type="dxa"/>
            <w:noWrap/>
          </w:tcPr>
          <w:p w:rsidR="006B0798" w:rsidRPr="00F02526" w:rsidRDefault="006B0798" w:rsidP="00501137">
            <w:pPr>
              <w:pStyle w:val="AERtabletextleft"/>
            </w:pPr>
            <w:r>
              <w:t>declared transmission system operator</w:t>
            </w:r>
          </w:p>
        </w:tc>
      </w:tr>
      <w:tr w:rsidR="006B0798" w:rsidRPr="00304632" w:rsidTr="00501137">
        <w:trPr>
          <w:cnfStyle w:val="000000010000" w:firstRow="0" w:lastRow="0" w:firstColumn="0" w:lastColumn="0" w:oddVBand="0" w:evenVBand="0" w:oddHBand="0" w:evenHBand="1" w:firstRowFirstColumn="0" w:firstRowLastColumn="0" w:lastRowFirstColumn="0" w:lastRowLastColumn="0"/>
        </w:trPr>
        <w:tc>
          <w:tcPr>
            <w:tcW w:w="2802" w:type="dxa"/>
            <w:noWrap/>
          </w:tcPr>
          <w:p w:rsidR="006B0798" w:rsidRPr="00304632" w:rsidRDefault="006B0798" w:rsidP="00501137">
            <w:pPr>
              <w:pStyle w:val="AERtabletextleft"/>
            </w:pPr>
            <w:r w:rsidRPr="00304632">
              <w:t>EBSS</w:t>
            </w:r>
          </w:p>
        </w:tc>
        <w:tc>
          <w:tcPr>
            <w:tcW w:w="5726" w:type="dxa"/>
            <w:noWrap/>
          </w:tcPr>
          <w:p w:rsidR="006B0798" w:rsidRPr="00304632" w:rsidRDefault="006B0798" w:rsidP="00501137">
            <w:pPr>
              <w:pStyle w:val="AERtabletextleft"/>
            </w:pPr>
            <w:r w:rsidRPr="00304632">
              <w:t>efficiency benefit sharing scheme</w:t>
            </w:r>
          </w:p>
        </w:tc>
      </w:tr>
      <w:tr w:rsidR="006B0798" w:rsidRPr="00304632" w:rsidTr="00501137">
        <w:tc>
          <w:tcPr>
            <w:tcW w:w="2802" w:type="dxa"/>
            <w:noWrap/>
          </w:tcPr>
          <w:p w:rsidR="006B0798" w:rsidRPr="00304632" w:rsidRDefault="006B0798" w:rsidP="00501137">
            <w:pPr>
              <w:pStyle w:val="AERtabletextleft"/>
            </w:pPr>
            <w:r w:rsidRPr="00304632">
              <w:t>EGW</w:t>
            </w:r>
          </w:p>
        </w:tc>
        <w:tc>
          <w:tcPr>
            <w:tcW w:w="5726" w:type="dxa"/>
            <w:noWrap/>
          </w:tcPr>
          <w:p w:rsidR="006B0798" w:rsidRPr="00304632" w:rsidRDefault="006B0798" w:rsidP="00501137">
            <w:pPr>
              <w:pStyle w:val="AERtabletextleft"/>
            </w:pPr>
            <w:r w:rsidRPr="00304632">
              <w:t>electricity, gas and water</w:t>
            </w:r>
          </w:p>
        </w:tc>
      </w:tr>
      <w:tr w:rsidR="006B0798" w:rsidRPr="00304632" w:rsidTr="00501137">
        <w:trPr>
          <w:cnfStyle w:val="000000010000" w:firstRow="0" w:lastRow="0" w:firstColumn="0" w:lastColumn="0" w:oddVBand="0" w:evenVBand="0" w:oddHBand="0" w:evenHBand="1" w:firstRowFirstColumn="0" w:firstRowLastColumn="0" w:lastRowFirstColumn="0" w:lastRowLastColumn="0"/>
        </w:trPr>
        <w:tc>
          <w:tcPr>
            <w:tcW w:w="2802" w:type="dxa"/>
            <w:noWrap/>
          </w:tcPr>
          <w:p w:rsidR="006B0798" w:rsidRPr="00304632" w:rsidRDefault="006B0798" w:rsidP="00501137">
            <w:pPr>
              <w:pStyle w:val="AERtabletextleft"/>
            </w:pPr>
            <w:r w:rsidRPr="00304632">
              <w:t>EGWWS</w:t>
            </w:r>
          </w:p>
        </w:tc>
        <w:tc>
          <w:tcPr>
            <w:tcW w:w="5726" w:type="dxa"/>
            <w:noWrap/>
          </w:tcPr>
          <w:p w:rsidR="006B0798" w:rsidRPr="00304632" w:rsidRDefault="006B0798" w:rsidP="00501137">
            <w:pPr>
              <w:pStyle w:val="AERtabletextleft"/>
            </w:pPr>
            <w:r w:rsidRPr="00304632">
              <w:t>electricity, gas, water and waste services</w:t>
            </w:r>
          </w:p>
        </w:tc>
      </w:tr>
      <w:tr w:rsidR="006B0798" w:rsidRPr="00304632" w:rsidTr="00501137">
        <w:tc>
          <w:tcPr>
            <w:tcW w:w="2802" w:type="dxa"/>
            <w:noWrap/>
          </w:tcPr>
          <w:p w:rsidR="006B0798" w:rsidRPr="00304632" w:rsidRDefault="006B0798" w:rsidP="00501137">
            <w:pPr>
              <w:pStyle w:val="AERtabletextleft"/>
            </w:pPr>
            <w:r w:rsidRPr="00304632">
              <w:t>EMCa</w:t>
            </w:r>
          </w:p>
        </w:tc>
        <w:tc>
          <w:tcPr>
            <w:tcW w:w="5726" w:type="dxa"/>
            <w:noWrap/>
          </w:tcPr>
          <w:p w:rsidR="006B0798" w:rsidRPr="00F02526" w:rsidRDefault="006B0798" w:rsidP="00501137">
            <w:pPr>
              <w:pStyle w:val="AERtabletextleft"/>
            </w:pPr>
            <w:r w:rsidRPr="00304632">
              <w:t>Energy Market Consulting associates</w:t>
            </w:r>
            <w:r w:rsidRPr="00F02526">
              <w:t xml:space="preserve"> and Strata Energy Consulting Ltd</w:t>
            </w:r>
          </w:p>
        </w:tc>
      </w:tr>
      <w:tr w:rsidR="006B0798" w:rsidRPr="00304632" w:rsidTr="00501137">
        <w:trPr>
          <w:cnfStyle w:val="000000010000" w:firstRow="0" w:lastRow="0" w:firstColumn="0" w:lastColumn="0" w:oddVBand="0" w:evenVBand="0" w:oddHBand="0" w:evenHBand="1" w:firstRowFirstColumn="0" w:firstRowLastColumn="0" w:lastRowFirstColumn="0" w:lastRowLastColumn="0"/>
        </w:trPr>
        <w:tc>
          <w:tcPr>
            <w:tcW w:w="2802" w:type="dxa"/>
            <w:noWrap/>
          </w:tcPr>
          <w:p w:rsidR="006B0798" w:rsidRPr="00F02526" w:rsidRDefault="006B0798" w:rsidP="00501137">
            <w:pPr>
              <w:pStyle w:val="AERtabletextleft"/>
            </w:pPr>
            <w:r>
              <w:t>EUAA</w:t>
            </w:r>
          </w:p>
        </w:tc>
        <w:tc>
          <w:tcPr>
            <w:tcW w:w="5726" w:type="dxa"/>
            <w:noWrap/>
          </w:tcPr>
          <w:p w:rsidR="006B0798" w:rsidRPr="00F02526" w:rsidRDefault="006B0798" w:rsidP="00501137">
            <w:pPr>
              <w:pStyle w:val="AERtabletextleft"/>
            </w:pPr>
            <w:r>
              <w:t>Energy Users Association of Australia</w:t>
            </w:r>
          </w:p>
        </w:tc>
      </w:tr>
      <w:tr w:rsidR="006B0798" w:rsidRPr="00304632" w:rsidTr="00501137">
        <w:tc>
          <w:tcPr>
            <w:tcW w:w="2802" w:type="dxa"/>
            <w:noWrap/>
          </w:tcPr>
          <w:p w:rsidR="006B0798" w:rsidRPr="00F02526" w:rsidRDefault="006B0798" w:rsidP="006B0798">
            <w:pPr>
              <w:pStyle w:val="AERtabletextleft"/>
            </w:pPr>
            <w:r>
              <w:t>EUCV</w:t>
            </w:r>
          </w:p>
        </w:tc>
        <w:tc>
          <w:tcPr>
            <w:tcW w:w="5726" w:type="dxa"/>
            <w:noWrap/>
          </w:tcPr>
          <w:p w:rsidR="006B0798" w:rsidRPr="00F02526" w:rsidRDefault="006B0798" w:rsidP="006B0798">
            <w:pPr>
              <w:pStyle w:val="AERtabletextleft"/>
            </w:pPr>
            <w:r>
              <w:t>Energy Users Coalition of Victoria</w:t>
            </w:r>
          </w:p>
        </w:tc>
      </w:tr>
      <w:tr w:rsidR="00523552" w:rsidRPr="00304632" w:rsidTr="00501137">
        <w:trPr>
          <w:cnfStyle w:val="000000010000" w:firstRow="0" w:lastRow="0" w:firstColumn="0" w:lastColumn="0" w:oddVBand="0" w:evenVBand="0" w:oddHBand="0" w:evenHBand="1" w:firstRowFirstColumn="0" w:firstRowLastColumn="0" w:lastRowFirstColumn="0" w:lastRowLastColumn="0"/>
        </w:trPr>
        <w:tc>
          <w:tcPr>
            <w:tcW w:w="2802" w:type="dxa"/>
            <w:noWrap/>
          </w:tcPr>
          <w:p w:rsidR="00523552" w:rsidRDefault="00523552" w:rsidP="00501137">
            <w:pPr>
              <w:pStyle w:val="AERtabletextleft"/>
            </w:pPr>
            <w:r>
              <w:t>FBTS</w:t>
            </w:r>
          </w:p>
        </w:tc>
        <w:tc>
          <w:tcPr>
            <w:tcW w:w="5726" w:type="dxa"/>
            <w:noWrap/>
          </w:tcPr>
          <w:p w:rsidR="00523552" w:rsidRDefault="00523552" w:rsidP="00501137">
            <w:pPr>
              <w:pStyle w:val="AERtabletextleft"/>
            </w:pPr>
            <w:r>
              <w:t>Fisherman’s Bend terminal station</w:t>
            </w:r>
          </w:p>
        </w:tc>
      </w:tr>
      <w:tr w:rsidR="00523552" w:rsidRPr="00304632" w:rsidTr="00501137">
        <w:tc>
          <w:tcPr>
            <w:tcW w:w="2802" w:type="dxa"/>
            <w:noWrap/>
          </w:tcPr>
          <w:p w:rsidR="00523552" w:rsidRDefault="00523552" w:rsidP="00501137">
            <w:pPr>
              <w:pStyle w:val="AERtabletextleft"/>
            </w:pPr>
            <w:r>
              <w:t>GIS</w:t>
            </w:r>
          </w:p>
        </w:tc>
        <w:tc>
          <w:tcPr>
            <w:tcW w:w="5726" w:type="dxa"/>
            <w:noWrap/>
          </w:tcPr>
          <w:p w:rsidR="00523552" w:rsidRDefault="00523552" w:rsidP="00501137">
            <w:pPr>
              <w:pStyle w:val="AERtabletextleft"/>
            </w:pPr>
            <w:r>
              <w:t>gas insulated switchgear</w:t>
            </w:r>
          </w:p>
        </w:tc>
      </w:tr>
      <w:tr w:rsidR="00523552" w:rsidRPr="00304632" w:rsidTr="00501137">
        <w:trPr>
          <w:cnfStyle w:val="000000010000" w:firstRow="0" w:lastRow="0" w:firstColumn="0" w:lastColumn="0" w:oddVBand="0" w:evenVBand="0" w:oddHBand="0" w:evenHBand="1" w:firstRowFirstColumn="0" w:firstRowLastColumn="0" w:lastRowFirstColumn="0" w:lastRowLastColumn="0"/>
        </w:trPr>
        <w:tc>
          <w:tcPr>
            <w:tcW w:w="2802" w:type="dxa"/>
            <w:noWrap/>
          </w:tcPr>
          <w:p w:rsidR="00523552" w:rsidRPr="00304632" w:rsidRDefault="00523552" w:rsidP="00501137">
            <w:pPr>
              <w:pStyle w:val="AERtabletextleft"/>
            </w:pPr>
            <w:r>
              <w:t>IT</w:t>
            </w:r>
          </w:p>
        </w:tc>
        <w:tc>
          <w:tcPr>
            <w:tcW w:w="5726" w:type="dxa"/>
            <w:noWrap/>
          </w:tcPr>
          <w:p w:rsidR="00523552" w:rsidRPr="00304632" w:rsidRDefault="00523552" w:rsidP="00501137">
            <w:pPr>
              <w:pStyle w:val="AERtabletextleft"/>
            </w:pPr>
            <w:r>
              <w:t>information technology</w:t>
            </w:r>
          </w:p>
        </w:tc>
      </w:tr>
      <w:tr w:rsidR="00523552" w:rsidRPr="00304632" w:rsidTr="00501137">
        <w:tc>
          <w:tcPr>
            <w:tcW w:w="2802" w:type="dxa"/>
            <w:noWrap/>
          </w:tcPr>
          <w:p w:rsidR="00523552" w:rsidRPr="00304632" w:rsidRDefault="00523552" w:rsidP="00501137">
            <w:pPr>
              <w:pStyle w:val="AERtabletextleft"/>
            </w:pPr>
            <w:r>
              <w:t>kV</w:t>
            </w:r>
          </w:p>
        </w:tc>
        <w:tc>
          <w:tcPr>
            <w:tcW w:w="5726" w:type="dxa"/>
            <w:noWrap/>
          </w:tcPr>
          <w:p w:rsidR="00523552" w:rsidRPr="00304632" w:rsidRDefault="00523552" w:rsidP="00501137">
            <w:pPr>
              <w:pStyle w:val="AERtabletextleft"/>
            </w:pPr>
            <w:r>
              <w:t>kilovolt</w:t>
            </w:r>
          </w:p>
        </w:tc>
      </w:tr>
      <w:tr w:rsidR="006B0798" w:rsidRPr="00304632" w:rsidTr="00501137">
        <w:trPr>
          <w:cnfStyle w:val="000000010000" w:firstRow="0" w:lastRow="0" w:firstColumn="0" w:lastColumn="0" w:oddVBand="0" w:evenVBand="0" w:oddHBand="0" w:evenHBand="1" w:firstRowFirstColumn="0" w:firstRowLastColumn="0" w:lastRowFirstColumn="0" w:lastRowLastColumn="0"/>
        </w:trPr>
        <w:tc>
          <w:tcPr>
            <w:tcW w:w="2802" w:type="dxa"/>
            <w:noWrap/>
          </w:tcPr>
          <w:p w:rsidR="006B0798" w:rsidRPr="00304632" w:rsidRDefault="006B0798" w:rsidP="00501137">
            <w:pPr>
              <w:pStyle w:val="AERtabletextleft"/>
            </w:pPr>
            <w:r w:rsidRPr="00304632">
              <w:t>kW</w:t>
            </w:r>
          </w:p>
        </w:tc>
        <w:tc>
          <w:tcPr>
            <w:tcW w:w="5726" w:type="dxa"/>
            <w:noWrap/>
          </w:tcPr>
          <w:p w:rsidR="006B0798" w:rsidRPr="00304632" w:rsidRDefault="006B0798" w:rsidP="00501137">
            <w:pPr>
              <w:pStyle w:val="AERtabletextleft"/>
            </w:pPr>
            <w:r w:rsidRPr="00304632">
              <w:t xml:space="preserve">kilowatt </w:t>
            </w:r>
          </w:p>
        </w:tc>
      </w:tr>
      <w:tr w:rsidR="006B0798" w:rsidRPr="00304632" w:rsidTr="00501137">
        <w:tc>
          <w:tcPr>
            <w:tcW w:w="2802" w:type="dxa"/>
            <w:noWrap/>
          </w:tcPr>
          <w:p w:rsidR="006B0798" w:rsidRPr="00304632" w:rsidRDefault="006B0798" w:rsidP="006B0798">
            <w:pPr>
              <w:pStyle w:val="AERtabletextleft"/>
            </w:pPr>
            <w:r w:rsidRPr="00304632">
              <w:t>LME</w:t>
            </w:r>
          </w:p>
        </w:tc>
        <w:tc>
          <w:tcPr>
            <w:tcW w:w="5726" w:type="dxa"/>
            <w:noWrap/>
          </w:tcPr>
          <w:p w:rsidR="006B0798" w:rsidRPr="00304632" w:rsidRDefault="006B0798" w:rsidP="006B0798">
            <w:pPr>
              <w:pStyle w:val="AERtabletextleft"/>
            </w:pPr>
            <w:r w:rsidRPr="00304632">
              <w:t>London Metals Exchange</w:t>
            </w:r>
          </w:p>
        </w:tc>
      </w:tr>
      <w:tr w:rsidR="006B0798" w:rsidRPr="00304632" w:rsidTr="00501137">
        <w:trPr>
          <w:cnfStyle w:val="000000010000" w:firstRow="0" w:lastRow="0" w:firstColumn="0" w:lastColumn="0" w:oddVBand="0" w:evenVBand="0" w:oddHBand="0" w:evenHBand="1" w:firstRowFirstColumn="0" w:firstRowLastColumn="0" w:lastRowFirstColumn="0" w:lastRowLastColumn="0"/>
        </w:trPr>
        <w:tc>
          <w:tcPr>
            <w:tcW w:w="2802" w:type="dxa"/>
            <w:noWrap/>
          </w:tcPr>
          <w:p w:rsidR="006B0798" w:rsidRPr="00304632" w:rsidRDefault="006B0798" w:rsidP="00501137">
            <w:pPr>
              <w:pStyle w:val="AERtabletextleft"/>
            </w:pPr>
            <w:r w:rsidRPr="00304632">
              <w:t>LPI</w:t>
            </w:r>
          </w:p>
        </w:tc>
        <w:tc>
          <w:tcPr>
            <w:tcW w:w="5726" w:type="dxa"/>
            <w:noWrap/>
          </w:tcPr>
          <w:p w:rsidR="006B0798" w:rsidRPr="00304632" w:rsidRDefault="006B0798" w:rsidP="00501137">
            <w:pPr>
              <w:pStyle w:val="AERtabletextleft"/>
            </w:pPr>
            <w:r w:rsidRPr="00304632">
              <w:t>labour price index</w:t>
            </w:r>
          </w:p>
        </w:tc>
      </w:tr>
      <w:tr w:rsidR="006B0798" w:rsidRPr="00304632" w:rsidTr="00501137">
        <w:tc>
          <w:tcPr>
            <w:tcW w:w="2802" w:type="dxa"/>
            <w:noWrap/>
          </w:tcPr>
          <w:p w:rsidR="006B0798" w:rsidRPr="00304632" w:rsidRDefault="006B0798" w:rsidP="00501137">
            <w:pPr>
              <w:pStyle w:val="AERtabletextleft"/>
            </w:pPr>
            <w:r w:rsidRPr="00304632">
              <w:t>MAR</w:t>
            </w:r>
          </w:p>
        </w:tc>
        <w:tc>
          <w:tcPr>
            <w:tcW w:w="5726" w:type="dxa"/>
            <w:noWrap/>
          </w:tcPr>
          <w:p w:rsidR="006B0798" w:rsidRPr="00304632" w:rsidRDefault="006B0798" w:rsidP="00501137">
            <w:pPr>
              <w:pStyle w:val="AERtabletextleft"/>
            </w:pPr>
            <w:r w:rsidRPr="00304632">
              <w:t>maximum allowed revenue</w:t>
            </w:r>
          </w:p>
        </w:tc>
      </w:tr>
      <w:tr w:rsidR="006B0798" w:rsidRPr="00304632" w:rsidTr="00501137">
        <w:trPr>
          <w:cnfStyle w:val="000000010000" w:firstRow="0" w:lastRow="0" w:firstColumn="0" w:lastColumn="0" w:oddVBand="0" w:evenVBand="0" w:oddHBand="0" w:evenHBand="1" w:firstRowFirstColumn="0" w:firstRowLastColumn="0" w:lastRowFirstColumn="0" w:lastRowLastColumn="0"/>
        </w:trPr>
        <w:tc>
          <w:tcPr>
            <w:tcW w:w="2802" w:type="dxa"/>
            <w:noWrap/>
          </w:tcPr>
          <w:p w:rsidR="006B0798" w:rsidRPr="00304632" w:rsidRDefault="006B0798" w:rsidP="00501137">
            <w:pPr>
              <w:pStyle w:val="AERtabletextleft"/>
            </w:pPr>
            <w:r w:rsidRPr="00304632">
              <w:t>MRP</w:t>
            </w:r>
          </w:p>
        </w:tc>
        <w:tc>
          <w:tcPr>
            <w:tcW w:w="5726" w:type="dxa"/>
            <w:noWrap/>
          </w:tcPr>
          <w:p w:rsidR="006B0798" w:rsidRPr="00304632" w:rsidRDefault="006B0798" w:rsidP="00501137">
            <w:pPr>
              <w:pStyle w:val="AERtabletextleft"/>
            </w:pPr>
            <w:r w:rsidRPr="00304632">
              <w:t>market risk premium</w:t>
            </w:r>
          </w:p>
        </w:tc>
      </w:tr>
      <w:tr w:rsidR="006B0798" w:rsidRPr="00304632" w:rsidTr="00501137">
        <w:tc>
          <w:tcPr>
            <w:tcW w:w="2802" w:type="dxa"/>
            <w:noWrap/>
          </w:tcPr>
          <w:p w:rsidR="006B0798" w:rsidRPr="00304632" w:rsidRDefault="006B0798" w:rsidP="00501137">
            <w:pPr>
              <w:pStyle w:val="AERtabletextleft"/>
            </w:pPr>
            <w:r w:rsidRPr="00304632">
              <w:lastRenderedPageBreak/>
              <w:t>MW</w:t>
            </w:r>
          </w:p>
        </w:tc>
        <w:tc>
          <w:tcPr>
            <w:tcW w:w="5726" w:type="dxa"/>
            <w:noWrap/>
          </w:tcPr>
          <w:p w:rsidR="006B0798" w:rsidRPr="00304632" w:rsidRDefault="006B0798" w:rsidP="00501137">
            <w:pPr>
              <w:pStyle w:val="AERtabletextleft"/>
            </w:pPr>
            <w:r w:rsidRPr="00304632">
              <w:t xml:space="preserve">megawatt </w:t>
            </w:r>
          </w:p>
        </w:tc>
      </w:tr>
      <w:tr w:rsidR="006B0798" w:rsidRPr="00304632" w:rsidTr="00501137">
        <w:trPr>
          <w:cnfStyle w:val="000000010000" w:firstRow="0" w:lastRow="0" w:firstColumn="0" w:lastColumn="0" w:oddVBand="0" w:evenVBand="0" w:oddHBand="0" w:evenHBand="1" w:firstRowFirstColumn="0" w:firstRowLastColumn="0" w:lastRowFirstColumn="0" w:lastRowLastColumn="0"/>
        </w:trPr>
        <w:tc>
          <w:tcPr>
            <w:tcW w:w="2802" w:type="dxa"/>
            <w:noWrap/>
          </w:tcPr>
          <w:p w:rsidR="006B0798" w:rsidRPr="00304632" w:rsidRDefault="006B0798" w:rsidP="00501137">
            <w:pPr>
              <w:pStyle w:val="AERtabletextleft"/>
            </w:pPr>
            <w:r w:rsidRPr="00304632">
              <w:t>MWh</w:t>
            </w:r>
          </w:p>
        </w:tc>
        <w:tc>
          <w:tcPr>
            <w:tcW w:w="5726" w:type="dxa"/>
            <w:noWrap/>
          </w:tcPr>
          <w:p w:rsidR="006B0798" w:rsidRPr="00304632" w:rsidRDefault="006B0798" w:rsidP="00501137">
            <w:pPr>
              <w:pStyle w:val="AERtabletextleft"/>
            </w:pPr>
            <w:r w:rsidRPr="00304632">
              <w:t>megawatt hour</w:t>
            </w:r>
          </w:p>
        </w:tc>
      </w:tr>
      <w:tr w:rsidR="006B0798" w:rsidRPr="00304632" w:rsidTr="00501137">
        <w:tc>
          <w:tcPr>
            <w:tcW w:w="2802" w:type="dxa"/>
            <w:noWrap/>
          </w:tcPr>
          <w:p w:rsidR="006B0798" w:rsidRPr="00F02526" w:rsidRDefault="006B0798" w:rsidP="00501137">
            <w:pPr>
              <w:pStyle w:val="AERtabletextleft"/>
            </w:pPr>
            <w:r>
              <w:t>NCIPAP</w:t>
            </w:r>
          </w:p>
        </w:tc>
        <w:tc>
          <w:tcPr>
            <w:tcW w:w="5726" w:type="dxa"/>
            <w:noWrap/>
          </w:tcPr>
          <w:p w:rsidR="006B0798" w:rsidRPr="00F02526" w:rsidRDefault="006B0798" w:rsidP="00501137">
            <w:pPr>
              <w:pStyle w:val="AERtabletextleft"/>
            </w:pPr>
            <w:r>
              <w:t>network capability incentive parameter action plan</w:t>
            </w:r>
          </w:p>
        </w:tc>
      </w:tr>
      <w:tr w:rsidR="006B0798" w:rsidRPr="00304632" w:rsidTr="00501137">
        <w:trPr>
          <w:cnfStyle w:val="000000010000" w:firstRow="0" w:lastRow="0" w:firstColumn="0" w:lastColumn="0" w:oddVBand="0" w:evenVBand="0" w:oddHBand="0" w:evenHBand="1" w:firstRowFirstColumn="0" w:firstRowLastColumn="0" w:lastRowFirstColumn="0" w:lastRowLastColumn="0"/>
        </w:trPr>
        <w:tc>
          <w:tcPr>
            <w:tcW w:w="2802" w:type="dxa"/>
            <w:noWrap/>
          </w:tcPr>
          <w:p w:rsidR="006B0798" w:rsidRPr="00304632" w:rsidRDefault="006B0798" w:rsidP="00501137">
            <w:pPr>
              <w:pStyle w:val="AERtabletextleft"/>
            </w:pPr>
            <w:r w:rsidRPr="00304632">
              <w:t>NEL</w:t>
            </w:r>
          </w:p>
        </w:tc>
        <w:tc>
          <w:tcPr>
            <w:tcW w:w="5726" w:type="dxa"/>
            <w:noWrap/>
          </w:tcPr>
          <w:p w:rsidR="006B0798" w:rsidRPr="00304632" w:rsidRDefault="006B0798" w:rsidP="00501137">
            <w:pPr>
              <w:pStyle w:val="AERtabletextleft"/>
            </w:pPr>
            <w:r w:rsidRPr="00304632">
              <w:t>National Electricity Law</w:t>
            </w:r>
          </w:p>
        </w:tc>
      </w:tr>
      <w:tr w:rsidR="006B0798" w:rsidRPr="00304632" w:rsidTr="00501137">
        <w:tc>
          <w:tcPr>
            <w:tcW w:w="2802" w:type="dxa"/>
            <w:noWrap/>
          </w:tcPr>
          <w:p w:rsidR="006B0798" w:rsidRPr="00304632" w:rsidRDefault="006B0798" w:rsidP="00501137">
            <w:pPr>
              <w:pStyle w:val="AERtabletextleft"/>
            </w:pPr>
            <w:r w:rsidRPr="00304632">
              <w:t>NEM</w:t>
            </w:r>
          </w:p>
        </w:tc>
        <w:tc>
          <w:tcPr>
            <w:tcW w:w="5726" w:type="dxa"/>
            <w:noWrap/>
          </w:tcPr>
          <w:p w:rsidR="006B0798" w:rsidRPr="00304632" w:rsidRDefault="006B0798" w:rsidP="00501137">
            <w:pPr>
              <w:pStyle w:val="AERtabletextleft"/>
            </w:pPr>
            <w:r w:rsidRPr="00304632">
              <w:t>National Electricity Market</w:t>
            </w:r>
          </w:p>
        </w:tc>
      </w:tr>
      <w:tr w:rsidR="006B0798" w:rsidRPr="00304632" w:rsidTr="00501137">
        <w:trPr>
          <w:cnfStyle w:val="000000010000" w:firstRow="0" w:lastRow="0" w:firstColumn="0" w:lastColumn="0" w:oddVBand="0" w:evenVBand="0" w:oddHBand="0" w:evenHBand="1" w:firstRowFirstColumn="0" w:firstRowLastColumn="0" w:lastRowFirstColumn="0" w:lastRowLastColumn="0"/>
        </w:trPr>
        <w:tc>
          <w:tcPr>
            <w:tcW w:w="2802" w:type="dxa"/>
            <w:noWrap/>
          </w:tcPr>
          <w:p w:rsidR="006B0798" w:rsidRPr="00304632" w:rsidRDefault="006B0798" w:rsidP="00501137">
            <w:pPr>
              <w:pStyle w:val="AERtabletextleft"/>
            </w:pPr>
            <w:r w:rsidRPr="00304632">
              <w:t>NEO</w:t>
            </w:r>
          </w:p>
        </w:tc>
        <w:tc>
          <w:tcPr>
            <w:tcW w:w="5726" w:type="dxa"/>
            <w:noWrap/>
          </w:tcPr>
          <w:p w:rsidR="006B0798" w:rsidRPr="00304632" w:rsidRDefault="006B0798" w:rsidP="00501137">
            <w:pPr>
              <w:pStyle w:val="AERtabletextleft"/>
            </w:pPr>
            <w:r w:rsidRPr="00304632">
              <w:t>national electricity objective</w:t>
            </w:r>
          </w:p>
        </w:tc>
      </w:tr>
      <w:tr w:rsidR="006B0798" w:rsidRPr="00304632" w:rsidTr="00501137">
        <w:tc>
          <w:tcPr>
            <w:tcW w:w="2802" w:type="dxa"/>
            <w:noWrap/>
          </w:tcPr>
          <w:p w:rsidR="006B0798" w:rsidRPr="00304632" w:rsidRDefault="006B0798" w:rsidP="00501137">
            <w:pPr>
              <w:pStyle w:val="AERtabletextleft"/>
            </w:pPr>
            <w:r w:rsidRPr="00304632">
              <w:t>NER</w:t>
            </w:r>
          </w:p>
        </w:tc>
        <w:tc>
          <w:tcPr>
            <w:tcW w:w="5726" w:type="dxa"/>
            <w:noWrap/>
          </w:tcPr>
          <w:p w:rsidR="006B0798" w:rsidRPr="00304632" w:rsidRDefault="006B0798" w:rsidP="00501137">
            <w:pPr>
              <w:pStyle w:val="AERtabletextleft"/>
            </w:pPr>
            <w:r w:rsidRPr="00304632">
              <w:t>National Electricity Rules</w:t>
            </w:r>
          </w:p>
        </w:tc>
      </w:tr>
      <w:tr w:rsidR="006B0798" w:rsidRPr="00304632" w:rsidTr="00501137">
        <w:trPr>
          <w:cnfStyle w:val="000000010000" w:firstRow="0" w:lastRow="0" w:firstColumn="0" w:lastColumn="0" w:oddVBand="0" w:evenVBand="0" w:oddHBand="0" w:evenHBand="1" w:firstRowFirstColumn="0" w:firstRowLastColumn="0" w:lastRowFirstColumn="0" w:lastRowLastColumn="0"/>
        </w:trPr>
        <w:tc>
          <w:tcPr>
            <w:tcW w:w="2802" w:type="dxa"/>
            <w:noWrap/>
          </w:tcPr>
          <w:p w:rsidR="006B0798" w:rsidRPr="00304632" w:rsidRDefault="006B0798" w:rsidP="00501137">
            <w:pPr>
              <w:pStyle w:val="AERtabletextleft"/>
            </w:pPr>
            <w:r w:rsidRPr="00304632">
              <w:t>NTSC</w:t>
            </w:r>
          </w:p>
        </w:tc>
        <w:tc>
          <w:tcPr>
            <w:tcW w:w="5726" w:type="dxa"/>
            <w:noWrap/>
          </w:tcPr>
          <w:p w:rsidR="006B0798" w:rsidRPr="00304632" w:rsidRDefault="006B0798" w:rsidP="00501137">
            <w:pPr>
              <w:pStyle w:val="AERtabletextleft"/>
            </w:pPr>
            <w:r w:rsidRPr="00304632">
              <w:t>negotiated transmission service criteria</w:t>
            </w:r>
          </w:p>
        </w:tc>
      </w:tr>
      <w:tr w:rsidR="006B0798" w:rsidRPr="00304632" w:rsidTr="00501137">
        <w:tc>
          <w:tcPr>
            <w:tcW w:w="2802" w:type="dxa"/>
            <w:noWrap/>
          </w:tcPr>
          <w:p w:rsidR="006B0798" w:rsidRPr="00304632" w:rsidRDefault="006B0798" w:rsidP="00501137">
            <w:pPr>
              <w:pStyle w:val="AERtabletextleft"/>
            </w:pPr>
            <w:r w:rsidRPr="00304632">
              <w:t>opex</w:t>
            </w:r>
          </w:p>
        </w:tc>
        <w:tc>
          <w:tcPr>
            <w:tcW w:w="5726" w:type="dxa"/>
            <w:noWrap/>
          </w:tcPr>
          <w:p w:rsidR="006B0798" w:rsidRPr="00304632" w:rsidRDefault="006B0798" w:rsidP="00501137">
            <w:pPr>
              <w:pStyle w:val="AERtabletextleft"/>
            </w:pPr>
            <w:r w:rsidRPr="00304632">
              <w:t>operating expenditure</w:t>
            </w:r>
          </w:p>
        </w:tc>
      </w:tr>
      <w:tr w:rsidR="006B0798" w:rsidRPr="00304632" w:rsidTr="00501137">
        <w:trPr>
          <w:cnfStyle w:val="000000010000" w:firstRow="0" w:lastRow="0" w:firstColumn="0" w:lastColumn="0" w:oddVBand="0" w:evenVBand="0" w:oddHBand="0" w:evenHBand="1" w:firstRowFirstColumn="0" w:firstRowLastColumn="0" w:lastRowFirstColumn="0" w:lastRowLastColumn="0"/>
        </w:trPr>
        <w:tc>
          <w:tcPr>
            <w:tcW w:w="2802" w:type="dxa"/>
            <w:noWrap/>
          </w:tcPr>
          <w:p w:rsidR="006B0798" w:rsidRPr="00304632" w:rsidRDefault="006B0798" w:rsidP="00501137">
            <w:pPr>
              <w:pStyle w:val="AERtabletextleft"/>
            </w:pPr>
            <w:r w:rsidRPr="00304632">
              <w:t>PTRM</w:t>
            </w:r>
          </w:p>
        </w:tc>
        <w:tc>
          <w:tcPr>
            <w:tcW w:w="5726" w:type="dxa"/>
            <w:noWrap/>
          </w:tcPr>
          <w:p w:rsidR="006B0798" w:rsidRPr="00304632" w:rsidRDefault="006B0798" w:rsidP="00501137">
            <w:pPr>
              <w:pStyle w:val="AERtabletextleft"/>
            </w:pPr>
            <w:r w:rsidRPr="00304632">
              <w:t>post tax revenue model</w:t>
            </w:r>
          </w:p>
        </w:tc>
      </w:tr>
      <w:tr w:rsidR="006B0798" w:rsidRPr="00304632" w:rsidTr="00501137">
        <w:tc>
          <w:tcPr>
            <w:tcW w:w="2802" w:type="dxa"/>
            <w:noWrap/>
          </w:tcPr>
          <w:p w:rsidR="006B0798" w:rsidRPr="00304632" w:rsidRDefault="006B0798" w:rsidP="00501137">
            <w:pPr>
              <w:pStyle w:val="AERtabletextleft"/>
            </w:pPr>
            <w:r w:rsidRPr="00304632">
              <w:t>RAB</w:t>
            </w:r>
          </w:p>
        </w:tc>
        <w:tc>
          <w:tcPr>
            <w:tcW w:w="5726" w:type="dxa"/>
            <w:noWrap/>
          </w:tcPr>
          <w:p w:rsidR="006B0798" w:rsidRPr="00304632" w:rsidRDefault="006B0798" w:rsidP="00501137">
            <w:pPr>
              <w:pStyle w:val="AERtabletextleft"/>
            </w:pPr>
            <w:r w:rsidRPr="00304632">
              <w:t>regulatory asset base</w:t>
            </w:r>
          </w:p>
        </w:tc>
      </w:tr>
      <w:tr w:rsidR="006B0798" w:rsidRPr="00304632" w:rsidTr="00501137">
        <w:trPr>
          <w:cnfStyle w:val="000000010000" w:firstRow="0" w:lastRow="0" w:firstColumn="0" w:lastColumn="0" w:oddVBand="0" w:evenVBand="0" w:oddHBand="0" w:evenHBand="1" w:firstRowFirstColumn="0" w:firstRowLastColumn="0" w:lastRowFirstColumn="0" w:lastRowLastColumn="0"/>
        </w:trPr>
        <w:tc>
          <w:tcPr>
            <w:tcW w:w="2802" w:type="dxa"/>
            <w:noWrap/>
          </w:tcPr>
          <w:p w:rsidR="006B0798" w:rsidRPr="00304632" w:rsidRDefault="006B0798" w:rsidP="00501137">
            <w:pPr>
              <w:pStyle w:val="AERtabletextleft"/>
            </w:pPr>
            <w:r w:rsidRPr="00304632">
              <w:t>RBA</w:t>
            </w:r>
          </w:p>
        </w:tc>
        <w:tc>
          <w:tcPr>
            <w:tcW w:w="5726" w:type="dxa"/>
            <w:noWrap/>
          </w:tcPr>
          <w:p w:rsidR="006B0798" w:rsidRPr="00304632" w:rsidRDefault="006B0798" w:rsidP="00501137">
            <w:pPr>
              <w:pStyle w:val="AERtabletextleft"/>
            </w:pPr>
            <w:r w:rsidRPr="00304632">
              <w:t>Reserve Bank of Australia</w:t>
            </w:r>
          </w:p>
        </w:tc>
      </w:tr>
      <w:tr w:rsidR="00523552" w:rsidRPr="00304632" w:rsidTr="00501137">
        <w:tc>
          <w:tcPr>
            <w:tcW w:w="2802" w:type="dxa"/>
            <w:noWrap/>
          </w:tcPr>
          <w:p w:rsidR="00523552" w:rsidRPr="00304632" w:rsidRDefault="00523552" w:rsidP="00501137">
            <w:pPr>
              <w:pStyle w:val="AERtabletextleft"/>
            </w:pPr>
            <w:r>
              <w:t>RCP</w:t>
            </w:r>
          </w:p>
        </w:tc>
        <w:tc>
          <w:tcPr>
            <w:tcW w:w="5726" w:type="dxa"/>
            <w:noWrap/>
          </w:tcPr>
          <w:p w:rsidR="00523552" w:rsidRPr="00304632" w:rsidRDefault="00523552" w:rsidP="00501137">
            <w:pPr>
              <w:pStyle w:val="AERtabletextleft"/>
            </w:pPr>
            <w:r>
              <w:t>Regulatory control period</w:t>
            </w:r>
          </w:p>
        </w:tc>
      </w:tr>
      <w:tr w:rsidR="006B0798" w:rsidRPr="00304632" w:rsidTr="00501137">
        <w:trPr>
          <w:cnfStyle w:val="000000010000" w:firstRow="0" w:lastRow="0" w:firstColumn="0" w:lastColumn="0" w:oddVBand="0" w:evenVBand="0" w:oddHBand="0" w:evenHBand="1" w:firstRowFirstColumn="0" w:firstRowLastColumn="0" w:lastRowFirstColumn="0" w:lastRowLastColumn="0"/>
        </w:trPr>
        <w:tc>
          <w:tcPr>
            <w:tcW w:w="2802" w:type="dxa"/>
            <w:noWrap/>
          </w:tcPr>
          <w:p w:rsidR="006B0798" w:rsidRPr="00304632" w:rsidRDefault="006B0798" w:rsidP="00501137">
            <w:pPr>
              <w:pStyle w:val="AERtabletextleft"/>
            </w:pPr>
            <w:r w:rsidRPr="00304632">
              <w:t>RFM</w:t>
            </w:r>
          </w:p>
        </w:tc>
        <w:tc>
          <w:tcPr>
            <w:tcW w:w="5726" w:type="dxa"/>
            <w:noWrap/>
          </w:tcPr>
          <w:p w:rsidR="006B0798" w:rsidRPr="00304632" w:rsidRDefault="006B0798" w:rsidP="00501137">
            <w:pPr>
              <w:pStyle w:val="AERtabletextleft"/>
            </w:pPr>
            <w:r w:rsidRPr="00304632">
              <w:t>roll forward model</w:t>
            </w:r>
          </w:p>
        </w:tc>
      </w:tr>
      <w:tr w:rsidR="00523552" w:rsidRPr="00304632" w:rsidTr="00501137">
        <w:tc>
          <w:tcPr>
            <w:tcW w:w="2802" w:type="dxa"/>
            <w:noWrap/>
          </w:tcPr>
          <w:p w:rsidR="00523552" w:rsidRPr="00304632" w:rsidRDefault="00523552" w:rsidP="00501137">
            <w:pPr>
              <w:pStyle w:val="AERtabletextleft"/>
            </w:pPr>
            <w:r>
              <w:t>RTS</w:t>
            </w:r>
          </w:p>
        </w:tc>
        <w:tc>
          <w:tcPr>
            <w:tcW w:w="5726" w:type="dxa"/>
            <w:noWrap/>
          </w:tcPr>
          <w:p w:rsidR="00523552" w:rsidRPr="00304632" w:rsidRDefault="00523552" w:rsidP="00501137">
            <w:pPr>
              <w:pStyle w:val="AERtabletextleft"/>
            </w:pPr>
            <w:r>
              <w:t>Richmond terminal station</w:t>
            </w:r>
          </w:p>
        </w:tc>
      </w:tr>
      <w:tr w:rsidR="006B0798" w:rsidRPr="00304632" w:rsidTr="00501137">
        <w:trPr>
          <w:cnfStyle w:val="000000010000" w:firstRow="0" w:lastRow="0" w:firstColumn="0" w:lastColumn="0" w:oddVBand="0" w:evenVBand="0" w:oddHBand="0" w:evenHBand="1" w:firstRowFirstColumn="0" w:firstRowLastColumn="0" w:lastRowFirstColumn="0" w:lastRowLastColumn="0"/>
        </w:trPr>
        <w:tc>
          <w:tcPr>
            <w:tcW w:w="2802" w:type="dxa"/>
            <w:noWrap/>
          </w:tcPr>
          <w:p w:rsidR="006B0798" w:rsidRPr="00304632" w:rsidRDefault="006B0798" w:rsidP="00501137">
            <w:pPr>
              <w:pStyle w:val="AERtabletextleft"/>
            </w:pPr>
            <w:r w:rsidRPr="00304632">
              <w:t>STPIS</w:t>
            </w:r>
          </w:p>
        </w:tc>
        <w:tc>
          <w:tcPr>
            <w:tcW w:w="5726" w:type="dxa"/>
            <w:noWrap/>
          </w:tcPr>
          <w:p w:rsidR="006B0798" w:rsidRPr="00304632" w:rsidRDefault="006B0798" w:rsidP="00501137">
            <w:pPr>
              <w:pStyle w:val="AERtabletextleft"/>
            </w:pPr>
            <w:r w:rsidRPr="00304632">
              <w:t>service target performance incentive scheme</w:t>
            </w:r>
          </w:p>
        </w:tc>
      </w:tr>
      <w:tr w:rsidR="006B0798" w:rsidRPr="00304632" w:rsidTr="00501137">
        <w:tc>
          <w:tcPr>
            <w:tcW w:w="2802" w:type="dxa"/>
            <w:noWrap/>
          </w:tcPr>
          <w:p w:rsidR="006B0798" w:rsidRPr="00304632" w:rsidRDefault="006B0798" w:rsidP="00501137">
            <w:pPr>
              <w:pStyle w:val="AERtabletextleft"/>
            </w:pPr>
            <w:r w:rsidRPr="00304632">
              <w:t>TAB</w:t>
            </w:r>
          </w:p>
        </w:tc>
        <w:tc>
          <w:tcPr>
            <w:tcW w:w="5726" w:type="dxa"/>
            <w:noWrap/>
          </w:tcPr>
          <w:p w:rsidR="006B0798" w:rsidRPr="00304632" w:rsidRDefault="006B0798" w:rsidP="00501137">
            <w:pPr>
              <w:pStyle w:val="AERtabletextleft"/>
            </w:pPr>
            <w:r w:rsidRPr="00304632">
              <w:t>tax asset base</w:t>
            </w:r>
          </w:p>
        </w:tc>
      </w:tr>
      <w:tr w:rsidR="006B0798" w:rsidRPr="00304632" w:rsidTr="00501137">
        <w:trPr>
          <w:cnfStyle w:val="000000010000" w:firstRow="0" w:lastRow="0" w:firstColumn="0" w:lastColumn="0" w:oddVBand="0" w:evenVBand="0" w:oddHBand="0" w:evenHBand="1" w:firstRowFirstColumn="0" w:firstRowLastColumn="0" w:lastRowFirstColumn="0" w:lastRowLastColumn="0"/>
        </w:trPr>
        <w:tc>
          <w:tcPr>
            <w:tcW w:w="2802" w:type="dxa"/>
            <w:noWrap/>
          </w:tcPr>
          <w:p w:rsidR="006B0798" w:rsidRPr="00304632" w:rsidRDefault="006B0798" w:rsidP="00501137">
            <w:pPr>
              <w:pStyle w:val="AERtabletextleft"/>
            </w:pPr>
            <w:r w:rsidRPr="00304632">
              <w:t>TNSP</w:t>
            </w:r>
          </w:p>
        </w:tc>
        <w:tc>
          <w:tcPr>
            <w:tcW w:w="5726" w:type="dxa"/>
            <w:noWrap/>
          </w:tcPr>
          <w:p w:rsidR="006B0798" w:rsidRPr="00304632" w:rsidRDefault="006B0798" w:rsidP="00501137">
            <w:pPr>
              <w:pStyle w:val="AERtabletextleft"/>
            </w:pPr>
            <w:r w:rsidRPr="00304632">
              <w:t>transmission network service provider</w:t>
            </w:r>
          </w:p>
        </w:tc>
      </w:tr>
      <w:tr w:rsidR="006B0798" w:rsidRPr="00304632" w:rsidTr="00501137">
        <w:tc>
          <w:tcPr>
            <w:tcW w:w="2802" w:type="dxa"/>
            <w:noWrap/>
          </w:tcPr>
          <w:p w:rsidR="006B0798" w:rsidRPr="00304632" w:rsidRDefault="006B0798" w:rsidP="00501137">
            <w:pPr>
              <w:pStyle w:val="AERtabletextleft"/>
            </w:pPr>
            <w:r w:rsidRPr="00304632">
              <w:t>TUOS</w:t>
            </w:r>
          </w:p>
        </w:tc>
        <w:tc>
          <w:tcPr>
            <w:tcW w:w="5726" w:type="dxa"/>
            <w:noWrap/>
          </w:tcPr>
          <w:p w:rsidR="006B0798" w:rsidRPr="00304632" w:rsidRDefault="006B0798" w:rsidP="00501137">
            <w:pPr>
              <w:pStyle w:val="AERtabletextleft"/>
            </w:pPr>
            <w:r w:rsidRPr="00304632">
              <w:t xml:space="preserve">transmission use of system </w:t>
            </w:r>
          </w:p>
        </w:tc>
      </w:tr>
      <w:tr w:rsidR="006B0798" w:rsidRPr="00304632" w:rsidTr="00501137">
        <w:trPr>
          <w:cnfStyle w:val="000000010000" w:firstRow="0" w:lastRow="0" w:firstColumn="0" w:lastColumn="0" w:oddVBand="0" w:evenVBand="0" w:oddHBand="0" w:evenHBand="1" w:firstRowFirstColumn="0" w:firstRowLastColumn="0" w:lastRowFirstColumn="0" w:lastRowLastColumn="0"/>
        </w:trPr>
        <w:tc>
          <w:tcPr>
            <w:tcW w:w="2802" w:type="dxa"/>
            <w:noWrap/>
          </w:tcPr>
          <w:p w:rsidR="006B0798" w:rsidRPr="00304632" w:rsidRDefault="006B0798" w:rsidP="00501137">
            <w:pPr>
              <w:pStyle w:val="AERtabletextleft"/>
            </w:pPr>
            <w:r w:rsidRPr="00304632">
              <w:t>WACC</w:t>
            </w:r>
          </w:p>
        </w:tc>
        <w:tc>
          <w:tcPr>
            <w:tcW w:w="5726" w:type="dxa"/>
            <w:noWrap/>
          </w:tcPr>
          <w:p w:rsidR="006B0798" w:rsidRPr="00304632" w:rsidRDefault="006B0798" w:rsidP="00501137">
            <w:pPr>
              <w:pStyle w:val="AERtabletextleft"/>
            </w:pPr>
            <w:r w:rsidRPr="00304632">
              <w:t>weighted average cost of capital</w:t>
            </w:r>
          </w:p>
        </w:tc>
      </w:tr>
      <w:tr w:rsidR="00523552" w:rsidRPr="00304632" w:rsidTr="00501137">
        <w:tc>
          <w:tcPr>
            <w:tcW w:w="2802" w:type="dxa"/>
            <w:noWrap/>
          </w:tcPr>
          <w:p w:rsidR="00523552" w:rsidRPr="00304632" w:rsidRDefault="00523552" w:rsidP="00501137">
            <w:pPr>
              <w:pStyle w:val="AERtabletextleft"/>
            </w:pPr>
            <w:r>
              <w:t>WMTS</w:t>
            </w:r>
          </w:p>
        </w:tc>
        <w:tc>
          <w:tcPr>
            <w:tcW w:w="5726" w:type="dxa"/>
            <w:noWrap/>
          </w:tcPr>
          <w:p w:rsidR="00523552" w:rsidRPr="00304632" w:rsidRDefault="00523552" w:rsidP="00501137">
            <w:pPr>
              <w:pStyle w:val="AERtabletextleft"/>
            </w:pPr>
            <w:r>
              <w:t>West Melbourne terminal station</w:t>
            </w:r>
          </w:p>
        </w:tc>
      </w:tr>
    </w:tbl>
    <w:p w:rsidR="0088341A" w:rsidRDefault="0088341A" w:rsidP="0088341A">
      <w:pPr>
        <w:pStyle w:val="AERbodytext"/>
        <w:numPr>
          <w:ilvl w:val="0"/>
          <w:numId w:val="0"/>
        </w:numPr>
      </w:pPr>
    </w:p>
    <w:p w:rsidR="0088341A" w:rsidRDefault="0088341A" w:rsidP="0088341A">
      <w:pPr>
        <w:pStyle w:val="AERbodytext"/>
        <w:numPr>
          <w:ilvl w:val="0"/>
          <w:numId w:val="3"/>
        </w:numPr>
      </w:pPr>
    </w:p>
    <w:p w:rsidR="0088341A" w:rsidRDefault="0088341A" w:rsidP="0088341A">
      <w:pPr>
        <w:sectPr w:rsidR="0088341A">
          <w:footerReference w:type="default" r:id="rId18"/>
          <w:pgSz w:w="11906" w:h="16838"/>
          <w:pgMar w:top="1440" w:right="1440" w:bottom="1440" w:left="1440" w:header="708" w:footer="708" w:gutter="0"/>
          <w:cols w:space="708"/>
          <w:docGrid w:linePitch="360"/>
        </w:sectPr>
      </w:pPr>
    </w:p>
    <w:p w:rsidR="0088341A" w:rsidRDefault="0088341A" w:rsidP="0088341A">
      <w:pPr>
        <w:pStyle w:val="UnnumberedHeading"/>
        <w:numPr>
          <w:ilvl w:val="0"/>
          <w:numId w:val="20"/>
        </w:numPr>
      </w:pPr>
      <w:bookmarkStart w:id="9" w:name="_Toc365283228"/>
      <w:bookmarkStart w:id="10" w:name="_Toc365461980"/>
      <w:bookmarkStart w:id="11" w:name="_Toc360024848"/>
      <w:r>
        <w:lastRenderedPageBreak/>
        <w:t>Part 1 – Overview</w:t>
      </w:r>
      <w:bookmarkEnd w:id="9"/>
      <w:bookmarkEnd w:id="10"/>
    </w:p>
    <w:p w:rsidR="0088341A" w:rsidRDefault="0088341A" w:rsidP="0088341A">
      <w:pPr>
        <w:pStyle w:val="Heading1"/>
        <w:numPr>
          <w:ilvl w:val="1"/>
          <w:numId w:val="4"/>
        </w:numPr>
        <w:sectPr w:rsidR="0088341A">
          <w:footerReference w:type="default" r:id="rId19"/>
          <w:pgSz w:w="11906" w:h="16838"/>
          <w:pgMar w:top="1440" w:right="1440" w:bottom="1440" w:left="1440" w:header="708" w:footer="708" w:gutter="0"/>
          <w:cols w:space="708"/>
          <w:docGrid w:linePitch="360"/>
        </w:sectPr>
      </w:pPr>
    </w:p>
    <w:p w:rsidR="0088341A" w:rsidRPr="00B90642" w:rsidRDefault="0088341A" w:rsidP="0088341A">
      <w:pPr>
        <w:pStyle w:val="Heading1"/>
        <w:numPr>
          <w:ilvl w:val="1"/>
          <w:numId w:val="4"/>
        </w:numPr>
      </w:pPr>
      <w:bookmarkStart w:id="12" w:name="_Toc365283229"/>
      <w:bookmarkStart w:id="13" w:name="_Toc365461981"/>
      <w:r>
        <w:lastRenderedPageBreak/>
        <w:t>About the review</w:t>
      </w:r>
      <w:bookmarkEnd w:id="12"/>
      <w:bookmarkEnd w:id="13"/>
    </w:p>
    <w:p w:rsidR="0088341A" w:rsidRDefault="0088341A" w:rsidP="0088341A">
      <w:pPr>
        <w:pStyle w:val="AERbodytext"/>
        <w:numPr>
          <w:ilvl w:val="0"/>
          <w:numId w:val="1"/>
        </w:numPr>
      </w:pPr>
      <w:r w:rsidRPr="001F1149">
        <w:t xml:space="preserve">The Australian Energy Regulator (AER) is responsible for regulating the revenues of transmission network service providers (TNSPs) operating in the National Electricity Market (NEM). The National Electricity Law (NEL) and the National Electricity Rules (NER) provide the overarching framework under which we operate. In particular, chapter 6A of the NER provides for </w:t>
      </w:r>
      <w:r>
        <w:t>our</w:t>
      </w:r>
      <w:r w:rsidRPr="001F1149">
        <w:t xml:space="preserve"> economic regulation of TNSPs. </w:t>
      </w:r>
      <w:r>
        <w:t>A</w:t>
      </w:r>
      <w:r w:rsidRPr="001F1149">
        <w:t xml:space="preserve">s a TNSP operating in the NEM, </w:t>
      </w:r>
      <w:r>
        <w:t xml:space="preserve">SP AusNet </w:t>
      </w:r>
      <w:r w:rsidRPr="001F1149">
        <w:t xml:space="preserve">is subject to full regulation by </w:t>
      </w:r>
      <w:r>
        <w:t>us</w:t>
      </w:r>
      <w:r w:rsidRPr="001F1149">
        <w:t xml:space="preserve">. We must make a transmission determination </w:t>
      </w:r>
      <w:r>
        <w:t>that</w:t>
      </w:r>
      <w:r w:rsidRPr="001F1149">
        <w:t xml:space="preserve"> determine</w:t>
      </w:r>
      <w:r>
        <w:t>s</w:t>
      </w:r>
      <w:r w:rsidRPr="001F1149">
        <w:t xml:space="preserve"> how much revenue </w:t>
      </w:r>
      <w:r>
        <w:t>SP AusNet</w:t>
      </w:r>
      <w:r w:rsidRPr="001F1149">
        <w:t xml:space="preserve"> can recover from its customers. This </w:t>
      </w:r>
      <w:r>
        <w:t>draft</w:t>
      </w:r>
      <w:r w:rsidRPr="001F1149">
        <w:t xml:space="preserve"> decision contains the reasons for our transmission determination that will apply to </w:t>
      </w:r>
      <w:r>
        <w:t>SP AusNet during the 2014–17</w:t>
      </w:r>
      <w:r w:rsidRPr="001F1149">
        <w:t xml:space="preserve"> regulatory control period. </w:t>
      </w:r>
    </w:p>
    <w:p w:rsidR="0088341A" w:rsidRDefault="0088341A" w:rsidP="0088341A">
      <w:pPr>
        <w:pStyle w:val="AERbodytext"/>
        <w:numPr>
          <w:ilvl w:val="0"/>
          <w:numId w:val="1"/>
        </w:numPr>
      </w:pPr>
      <w:r w:rsidRPr="00062E70">
        <w:t>SP AusNet may submit a revised revenue proposal in response to our draft decision</w:t>
      </w:r>
      <w:r>
        <w:t xml:space="preserve"> by 11 October 2013</w:t>
      </w:r>
      <w:r w:rsidRPr="00062E70">
        <w:t>.</w:t>
      </w:r>
      <w:r w:rsidRPr="00062E70">
        <w:rPr>
          <w:rStyle w:val="FootnoteReference"/>
        </w:rPr>
        <w:footnoteReference w:id="1"/>
      </w:r>
      <w:r w:rsidRPr="00062E70">
        <w:t xml:space="preserve"> </w:t>
      </w:r>
      <w:r>
        <w:t xml:space="preserve">We also invite interested stakeholders to make written submissions on our draft decision and the revised revenue proposal on or before 1 November 2013 and </w:t>
      </w:r>
      <w:r w:rsidR="006B0798">
        <w:t xml:space="preserve">to </w:t>
      </w:r>
      <w:r>
        <w:t>attend a predetermination conference on 18 September 2013. Details for submitting written submissions</w:t>
      </w:r>
      <w:r w:rsidR="006B0798">
        <w:t>,</w:t>
      </w:r>
      <w:r>
        <w:t xml:space="preserve"> along with the time and location of the predetermination conference</w:t>
      </w:r>
      <w:r w:rsidR="006B0798">
        <w:t>,</w:t>
      </w:r>
      <w:r>
        <w:t xml:space="preserve"> are on our website: </w:t>
      </w:r>
      <w:hyperlink r:id="rId20" w:history="1">
        <w:r w:rsidRPr="00436481">
          <w:rPr>
            <w:rStyle w:val="Hyperlink"/>
          </w:rPr>
          <w:t>www.aer.gov.au/node/19819</w:t>
        </w:r>
      </w:hyperlink>
      <w:r>
        <w:t xml:space="preserve"> .</w:t>
      </w:r>
    </w:p>
    <w:p w:rsidR="0088341A" w:rsidRDefault="0088341A" w:rsidP="0088341A">
      <w:pPr>
        <w:pStyle w:val="AERbodytext"/>
        <w:numPr>
          <w:ilvl w:val="0"/>
          <w:numId w:val="1"/>
        </w:numPr>
      </w:pPr>
      <w:r>
        <w:t xml:space="preserve">Once we </w:t>
      </w:r>
      <w:r w:rsidR="006B0798">
        <w:t>consider</w:t>
      </w:r>
      <w:r>
        <w:t xml:space="preserve"> submissions and SP AusNet’s revised revenue proposal, we will publish our final decision by 31 January 2014.   </w:t>
      </w:r>
    </w:p>
    <w:p w:rsidR="0088341A" w:rsidRDefault="0088341A" w:rsidP="0088341A">
      <w:pPr>
        <w:pStyle w:val="Heading2"/>
        <w:numPr>
          <w:ilvl w:val="2"/>
          <w:numId w:val="20"/>
        </w:numPr>
      </w:pPr>
      <w:bookmarkStart w:id="14" w:name="_Toc365283230"/>
      <w:r>
        <w:t>Overview of SP AusNet</w:t>
      </w:r>
      <w:bookmarkEnd w:id="14"/>
    </w:p>
    <w:p w:rsidR="0088341A" w:rsidRDefault="0088341A" w:rsidP="0088341A">
      <w:pPr>
        <w:pStyle w:val="AERbodytext"/>
        <w:numPr>
          <w:ilvl w:val="0"/>
          <w:numId w:val="1"/>
        </w:numPr>
      </w:pPr>
      <w:r w:rsidRPr="00770D9C">
        <w:t xml:space="preserve">SP AusNet owns and operates the electricity transmission network in Victoria. </w:t>
      </w:r>
      <w:r>
        <w:t>This network consists of more than 6500 kilometres of transmission lines connecting power stations to electricity distributors and large customers (</w:t>
      </w:r>
      <w:r w:rsidR="00853520">
        <w:fldChar w:fldCharType="begin"/>
      </w:r>
      <w:r w:rsidR="00853520">
        <w:instrText xml:space="preserve"> REF _Ref365465981 \h </w:instrText>
      </w:r>
      <w:r w:rsidR="00853520">
        <w:fldChar w:fldCharType="separate"/>
      </w:r>
      <w:r w:rsidR="00853520">
        <w:t xml:space="preserve">Figure </w:t>
      </w:r>
      <w:r w:rsidR="00853520">
        <w:rPr>
          <w:noProof/>
        </w:rPr>
        <w:t>1</w:t>
      </w:r>
      <w:r w:rsidR="00853520">
        <w:t>.</w:t>
      </w:r>
      <w:r w:rsidR="00853520">
        <w:rPr>
          <w:noProof/>
        </w:rPr>
        <w:t>1</w:t>
      </w:r>
      <w:r w:rsidR="00853520">
        <w:fldChar w:fldCharType="end"/>
      </w:r>
      <w:r>
        <w:t>). It is centrally located among the five eastern states that form the NEM, so it provides key connections between South Australia, New South Wales and Tasmania's transmission networks.</w:t>
      </w:r>
    </w:p>
    <w:p w:rsidR="0088341A" w:rsidRDefault="00C56A87" w:rsidP="00C56A87">
      <w:pPr>
        <w:pStyle w:val="Caption"/>
      </w:pPr>
      <w:bookmarkStart w:id="15" w:name="_Ref365465981"/>
      <w:r>
        <w:t xml:space="preserve">Figure </w:t>
      </w:r>
      <w:fldSimple w:instr=" STYLEREF 1 \s ">
        <w:r w:rsidR="004F35AA">
          <w:rPr>
            <w:noProof/>
          </w:rPr>
          <w:t>1</w:t>
        </w:r>
      </w:fldSimple>
      <w:r>
        <w:t>.</w:t>
      </w:r>
      <w:fldSimple w:instr=" SEQ Figure \* ARABIC \s 1 ">
        <w:r w:rsidR="004F35AA">
          <w:rPr>
            <w:noProof/>
          </w:rPr>
          <w:t>1</w:t>
        </w:r>
      </w:fldSimple>
      <w:bookmarkEnd w:id="15"/>
      <w:r>
        <w:tab/>
      </w:r>
      <w:r w:rsidR="0088341A">
        <w:t>Victorian electricity transmission network</w:t>
      </w:r>
    </w:p>
    <w:p w:rsidR="0088341A" w:rsidRDefault="0088341A" w:rsidP="0088341A">
      <w:pPr>
        <w:pStyle w:val="AERbodytext"/>
        <w:numPr>
          <w:ilvl w:val="0"/>
          <w:numId w:val="0"/>
        </w:numPr>
      </w:pPr>
      <w:r>
        <w:rPr>
          <w:noProof/>
          <w:lang w:eastAsia="en-AU"/>
        </w:rPr>
        <w:drawing>
          <wp:inline distT="0" distB="0" distL="0" distR="0" wp14:anchorId="7311A63A" wp14:editId="0722FBFB">
            <wp:extent cx="5198686" cy="3140016"/>
            <wp:effectExtent l="0" t="0" r="254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0015" cy="3140819"/>
                    </a:xfrm>
                    <a:prstGeom prst="rect">
                      <a:avLst/>
                    </a:prstGeom>
                    <a:noFill/>
                    <a:ln>
                      <a:noFill/>
                    </a:ln>
                  </pic:spPr>
                </pic:pic>
              </a:graphicData>
            </a:graphic>
          </wp:inline>
        </w:drawing>
      </w:r>
    </w:p>
    <w:p w:rsidR="0088341A" w:rsidRDefault="0088341A" w:rsidP="006B0798">
      <w:pPr>
        <w:pStyle w:val="AERtablesource"/>
        <w:ind w:left="0" w:firstLine="0"/>
      </w:pPr>
      <w:r>
        <w:t xml:space="preserve">Source: </w:t>
      </w:r>
      <w:r>
        <w:tab/>
        <w:t xml:space="preserve">SP AusNet, </w:t>
      </w:r>
      <w:r w:rsidRPr="00E46A59">
        <w:rPr>
          <w:rStyle w:val="AERtextitalic"/>
        </w:rPr>
        <w:t>Revenue proposal</w:t>
      </w:r>
      <w:r>
        <w:t>, p. 37</w:t>
      </w:r>
    </w:p>
    <w:p w:rsidR="0088341A" w:rsidRDefault="0088341A" w:rsidP="0088341A">
      <w:pPr>
        <w:pStyle w:val="Heading2"/>
        <w:numPr>
          <w:ilvl w:val="2"/>
          <w:numId w:val="20"/>
        </w:numPr>
      </w:pPr>
      <w:bookmarkStart w:id="16" w:name="_Toc365283231"/>
      <w:r>
        <w:lastRenderedPageBreak/>
        <w:t>AER's draft decision</w:t>
      </w:r>
      <w:bookmarkEnd w:id="16"/>
    </w:p>
    <w:p w:rsidR="0088341A" w:rsidRPr="007F769B" w:rsidRDefault="0088341A" w:rsidP="007F769B">
      <w:pPr>
        <w:pStyle w:val="AERbodytext"/>
      </w:pPr>
      <w:r w:rsidRPr="007F769B">
        <w:t>We do not approve SP AusNet's revenue proposal for the 2014–17 regulatory control period. Our draft decision is that SP AusNet will recover revenue of $1528 million ($ nominal) over the 2014–17 regulatory control period. This allowance is a reduction of 4.4 per cent from SP AusNet</w:t>
      </w:r>
      <w:r w:rsidR="006B0798">
        <w:t>’s</w:t>
      </w:r>
      <w:r w:rsidRPr="007F769B">
        <w:t xml:space="preserve"> proposed total revenue forecast.</w:t>
      </w:r>
    </w:p>
    <w:p w:rsidR="0088341A" w:rsidRDefault="0088341A" w:rsidP="0088341A">
      <w:pPr>
        <w:pStyle w:val="AERbodytext"/>
        <w:numPr>
          <w:ilvl w:val="0"/>
          <w:numId w:val="1"/>
        </w:numPr>
      </w:pPr>
      <w:r w:rsidRPr="00F018EC">
        <w:t xml:space="preserve">We made our </w:t>
      </w:r>
      <w:r>
        <w:t>draft</w:t>
      </w:r>
      <w:r w:rsidRPr="00F018EC">
        <w:t xml:space="preserve"> decision in accordance with the relevant sections of the NEL and NER. </w:t>
      </w:r>
      <w:r w:rsidRPr="0095467B">
        <w:t>The key elements that reduced SP AusNet’s proposed total revenue forecast were a 30 per cent reduction to SP AusNet’s proposed capital expenditure (capex) and a</w:t>
      </w:r>
      <w:r w:rsidR="009E166E">
        <w:t>n</w:t>
      </w:r>
      <w:r w:rsidRPr="0095467B">
        <w:t xml:space="preserve"> 1</w:t>
      </w:r>
      <w:r w:rsidR="00731C5D">
        <w:t>1</w:t>
      </w:r>
      <w:r w:rsidRPr="0095467B">
        <w:t xml:space="preserve"> per cent reduction to SP AusNet’s proposed operating expenditure (opex). These reductions reflect our assessment of SP AusNet’s efficient </w:t>
      </w:r>
      <w:r>
        <w:t xml:space="preserve">costs. For our draft decision, we determined the cost of capital to be </w:t>
      </w:r>
      <w:r w:rsidRPr="00C5550F">
        <w:t>7.43</w:t>
      </w:r>
      <w:r>
        <w:t xml:space="preserve"> per cent compared with SP AusNet’s proposed 7.1</w:t>
      </w:r>
      <w:r w:rsidR="00731C5D">
        <w:t>9</w:t>
      </w:r>
      <w:r>
        <w:t xml:space="preserve"> per cent. The higher than proposed cost of capital reflected current market based parameters.</w:t>
      </w:r>
    </w:p>
    <w:p w:rsidR="0088341A" w:rsidRPr="00F018EC" w:rsidRDefault="0088341A" w:rsidP="0088341A">
      <w:pPr>
        <w:pStyle w:val="AERbodytext"/>
        <w:numPr>
          <w:ilvl w:val="0"/>
          <w:numId w:val="1"/>
        </w:numPr>
      </w:pPr>
      <w:r w:rsidRPr="00F018EC">
        <w:t xml:space="preserve">In reaching our </w:t>
      </w:r>
      <w:r>
        <w:t>draft</w:t>
      </w:r>
      <w:r w:rsidRPr="00F018EC">
        <w:t xml:space="preserve"> decision, we:</w:t>
      </w:r>
    </w:p>
    <w:p w:rsidR="0088341A" w:rsidRPr="00F018EC" w:rsidRDefault="0088341A" w:rsidP="0088341A">
      <w:pPr>
        <w:pStyle w:val="AERbulletlistfirststyle"/>
      </w:pPr>
      <w:r w:rsidRPr="00F018EC">
        <w:t xml:space="preserve">analysed </w:t>
      </w:r>
      <w:r>
        <w:t xml:space="preserve">SP AusNet's revenue proposal </w:t>
      </w:r>
      <w:r w:rsidRPr="00F018EC">
        <w:t xml:space="preserve">and supporting information </w:t>
      </w:r>
    </w:p>
    <w:p w:rsidR="0088341A" w:rsidRPr="00F018EC" w:rsidRDefault="0088341A" w:rsidP="0088341A">
      <w:pPr>
        <w:pStyle w:val="AERbulletlistfirststyle"/>
      </w:pPr>
      <w:r w:rsidRPr="00F018EC">
        <w:t>considered submissions from interested parties</w:t>
      </w:r>
    </w:p>
    <w:p w:rsidR="0088341A" w:rsidRPr="00F018EC" w:rsidRDefault="0088341A" w:rsidP="0088341A">
      <w:pPr>
        <w:pStyle w:val="AERbulletlistfirststyle"/>
      </w:pPr>
      <w:r w:rsidRPr="00F018EC">
        <w:t>considered views expressed at public forums and other stakeholder engagement meetings</w:t>
      </w:r>
    </w:p>
    <w:p w:rsidR="0088341A" w:rsidRDefault="0088341A" w:rsidP="0088341A">
      <w:pPr>
        <w:pStyle w:val="AERbulletlistfirststyle"/>
      </w:pPr>
      <w:r w:rsidRPr="00F018EC">
        <w:t xml:space="preserve">considered advice and analysis provided by </w:t>
      </w:r>
      <w:r>
        <w:t>AER</w:t>
      </w:r>
      <w:r w:rsidRPr="00F018EC">
        <w:t xml:space="preserve"> commissioned experts.</w:t>
      </w:r>
    </w:p>
    <w:p w:rsidR="0088341A" w:rsidRDefault="0088341A" w:rsidP="0088341A">
      <w:pPr>
        <w:pStyle w:val="Heading2"/>
        <w:numPr>
          <w:ilvl w:val="2"/>
          <w:numId w:val="20"/>
        </w:numPr>
      </w:pPr>
      <w:bookmarkStart w:id="17" w:name="_Ref361912479"/>
      <w:bookmarkStart w:id="18" w:name="_Toc365283232"/>
      <w:r>
        <w:t>Transitional arrangements</w:t>
      </w:r>
      <w:bookmarkEnd w:id="17"/>
      <w:bookmarkEnd w:id="18"/>
      <w:r>
        <w:t xml:space="preserve"> </w:t>
      </w:r>
    </w:p>
    <w:p w:rsidR="0088341A" w:rsidRDefault="0088341A" w:rsidP="0088341A">
      <w:pPr>
        <w:pStyle w:val="AERbodytext"/>
        <w:numPr>
          <w:ilvl w:val="0"/>
          <w:numId w:val="1"/>
        </w:numPr>
      </w:pPr>
      <w:r>
        <w:t>A new version of the NER came into effect just before SP AusNet submitted its revenue proposal. So, under transitional arrangements (</w:t>
      </w:r>
      <w:r>
        <w:fldChar w:fldCharType="begin"/>
      </w:r>
      <w:r>
        <w:instrText xml:space="preserve"> REF _Ref360705388 \h </w:instrText>
      </w:r>
      <w:r>
        <w:fldChar w:fldCharType="separate"/>
      </w:r>
      <w:r w:rsidR="004F35AA" w:rsidRPr="006E694D">
        <w:t xml:space="preserve">Figure </w:t>
      </w:r>
      <w:r w:rsidR="004F35AA">
        <w:rPr>
          <w:noProof/>
        </w:rPr>
        <w:t>1</w:t>
      </w:r>
      <w:r w:rsidR="004F35AA">
        <w:t>.</w:t>
      </w:r>
      <w:r w:rsidR="004F35AA">
        <w:rPr>
          <w:noProof/>
        </w:rPr>
        <w:t>2</w:t>
      </w:r>
      <w:r>
        <w:fldChar w:fldCharType="end"/>
      </w:r>
      <w:r>
        <w:t>) an older version of the NER (version 52) continues to apply to SP AusNet on an interim basis.</w:t>
      </w:r>
      <w:r>
        <w:rPr>
          <w:rStyle w:val="FootnoteReference"/>
        </w:rPr>
        <w:footnoteReference w:id="2"/>
      </w:r>
      <w:r>
        <w:t xml:space="preserve"> The transitional arrangements provide the older version of the NER must apply to SP AusNet over a regulatory control period from 1 April 2014 to 3</w:t>
      </w:r>
      <w:r w:rsidR="00731C5D">
        <w:t>1</w:t>
      </w:r>
      <w:r>
        <w:t xml:space="preserve"> March 2017.</w:t>
      </w:r>
      <w:r>
        <w:rPr>
          <w:rStyle w:val="FootnoteReference"/>
        </w:rPr>
        <w:footnoteReference w:id="3"/>
      </w:r>
    </w:p>
    <w:p w:rsidR="0088341A" w:rsidRPr="006E694D" w:rsidRDefault="0088341A" w:rsidP="0088341A">
      <w:pPr>
        <w:pStyle w:val="Caption"/>
      </w:pPr>
      <w:bookmarkStart w:id="19" w:name="_Ref360705388"/>
      <w:r w:rsidRPr="006E694D">
        <w:t xml:space="preserve">Figure </w:t>
      </w:r>
      <w:fldSimple w:instr=" STYLEREF 1 \s ">
        <w:r w:rsidR="004F35AA">
          <w:rPr>
            <w:noProof/>
          </w:rPr>
          <w:t>1</w:t>
        </w:r>
      </w:fldSimple>
      <w:r w:rsidR="00C56A87">
        <w:t>.</w:t>
      </w:r>
      <w:fldSimple w:instr=" SEQ Figure \* ARABIC \s 1 ">
        <w:r w:rsidR="004F35AA">
          <w:rPr>
            <w:noProof/>
          </w:rPr>
          <w:t>2</w:t>
        </w:r>
      </w:fldSimple>
      <w:bookmarkEnd w:id="19"/>
      <w:r w:rsidRPr="006E694D">
        <w:tab/>
        <w:t>Tran</w:t>
      </w:r>
      <w:r>
        <w:t xml:space="preserve">sitional arrangements </w:t>
      </w:r>
    </w:p>
    <w:p w:rsidR="0088341A" w:rsidRDefault="0088341A" w:rsidP="0088341A">
      <w:pPr>
        <w:pStyle w:val="AERbodytext"/>
        <w:numPr>
          <w:ilvl w:val="0"/>
          <w:numId w:val="1"/>
        </w:numPr>
      </w:pPr>
      <w:r>
        <w:rPr>
          <w:noProof/>
          <w:lang w:eastAsia="en-AU"/>
        </w:rPr>
        <w:drawing>
          <wp:inline distT="0" distB="0" distL="0" distR="0" wp14:anchorId="642977DD" wp14:editId="25E85585">
            <wp:extent cx="5730875" cy="1749425"/>
            <wp:effectExtent l="0" t="0" r="3175" b="31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875" cy="1749425"/>
                    </a:xfrm>
                    <a:prstGeom prst="rect">
                      <a:avLst/>
                    </a:prstGeom>
                    <a:noFill/>
                  </pic:spPr>
                </pic:pic>
              </a:graphicData>
            </a:graphic>
          </wp:inline>
        </w:drawing>
      </w:r>
    </w:p>
    <w:p w:rsidR="0088341A" w:rsidRPr="006E694D" w:rsidRDefault="0088341A" w:rsidP="0088341A">
      <w:pPr>
        <w:pStyle w:val="AERtabletextleft"/>
      </w:pPr>
      <w:r w:rsidRPr="006E694D">
        <w:t>Source:</w:t>
      </w:r>
      <w:r w:rsidRPr="006E694D">
        <w:tab/>
        <w:t>AER analysis</w:t>
      </w:r>
      <w:r w:rsidR="00731C5D">
        <w:t>.</w:t>
      </w:r>
    </w:p>
    <w:p w:rsidR="0088341A" w:rsidRDefault="0088341A" w:rsidP="0088341A">
      <w:pPr>
        <w:pStyle w:val="AERbodytext"/>
        <w:numPr>
          <w:ilvl w:val="0"/>
          <w:numId w:val="1"/>
        </w:numPr>
      </w:pPr>
      <w:r>
        <w:t xml:space="preserve">The applicable older version of the NER differs from the new version. It does not, for example, permit </w:t>
      </w:r>
      <w:r w:rsidRPr="000E746B">
        <w:t>us to conduct an ex</w:t>
      </w:r>
      <w:r w:rsidR="0032109E">
        <w:t xml:space="preserve"> </w:t>
      </w:r>
      <w:r w:rsidRPr="000E746B">
        <w:t>post review of SP AusNet’s capex.</w:t>
      </w:r>
      <w:r w:rsidRPr="000E746B">
        <w:rPr>
          <w:rStyle w:val="FootnoteReference"/>
        </w:rPr>
        <w:footnoteReference w:id="4"/>
      </w:r>
      <w:r w:rsidRPr="000E746B">
        <w:t xml:space="preserve"> This means we are not allowed to adjust SP </w:t>
      </w:r>
      <w:r w:rsidRPr="000E746B">
        <w:lastRenderedPageBreak/>
        <w:t>AusNet's opening regulatory asset base</w:t>
      </w:r>
      <w:r>
        <w:t xml:space="preserve"> (RAB)</w:t>
      </w:r>
      <w:r w:rsidRPr="000E746B">
        <w:t xml:space="preserve"> for any inefficient capex during the 2008–14 regulatory control period. However, SP AusNet’s historical capex and opex will inform our assessment of </w:t>
      </w:r>
      <w:r w:rsidR="0032109E">
        <w:t>its</w:t>
      </w:r>
      <w:r w:rsidRPr="000E746B">
        <w:t xml:space="preserve"> expenditure forecasts. </w:t>
      </w:r>
    </w:p>
    <w:p w:rsidR="0088341A" w:rsidRDefault="0088341A" w:rsidP="0088341A">
      <w:pPr>
        <w:pStyle w:val="AERbodytext"/>
        <w:numPr>
          <w:ilvl w:val="0"/>
          <w:numId w:val="1"/>
        </w:numPr>
      </w:pPr>
      <w:r>
        <w:t>Further, we will assess SP AusNet's rate of return under the old rules. We are developing new rate of return guidelines,</w:t>
      </w:r>
      <w:r>
        <w:rPr>
          <w:rStyle w:val="FootnoteReference"/>
        </w:rPr>
        <w:footnoteReference w:id="5"/>
      </w:r>
      <w:r>
        <w:t xml:space="preserve"> but the transitional arrangements mean the new guidelines will not apply to SP AusNet's 2014–17 regulatory control period. Accordingly, we applied our 2009 review of the weighted average cost of capital (WACC) when setting the key parameters of SP AusNet's rate of return.</w:t>
      </w:r>
      <w:r>
        <w:rPr>
          <w:rStyle w:val="FootnoteReference"/>
        </w:rPr>
        <w:footnoteReference w:id="6"/>
      </w:r>
      <w:r w:rsidRPr="00906915">
        <w:t xml:space="preserve"> </w:t>
      </w:r>
    </w:p>
    <w:p w:rsidR="0088341A" w:rsidRDefault="0088341A" w:rsidP="0088341A">
      <w:pPr>
        <w:pStyle w:val="Heading2"/>
        <w:numPr>
          <w:ilvl w:val="2"/>
          <w:numId w:val="20"/>
        </w:numPr>
      </w:pPr>
      <w:bookmarkStart w:id="20" w:name="_Toc365283233"/>
      <w:r>
        <w:t>Victorian transmission arrangements</w:t>
      </w:r>
      <w:bookmarkEnd w:id="20"/>
    </w:p>
    <w:p w:rsidR="0088341A" w:rsidRDefault="0088341A" w:rsidP="0088341A">
      <w:r w:rsidRPr="00FF0D82">
        <w:t xml:space="preserve">SP AusNet’s revenue proposal does not include an allowance for augmentation </w:t>
      </w:r>
      <w:r>
        <w:t xml:space="preserve">capex or </w:t>
      </w:r>
      <w:r w:rsidRPr="00FF0D82">
        <w:t>forecast demand for prescribed transmission services. This</w:t>
      </w:r>
      <w:r>
        <w:t xml:space="preserve"> approach is</w:t>
      </w:r>
      <w:r w:rsidRPr="00FF0D82">
        <w:t xml:space="preserve"> consistent with the Victorian transmission arrangements</w:t>
      </w:r>
      <w:r>
        <w:t xml:space="preserve"> (</w:t>
      </w:r>
      <w:r>
        <w:fldChar w:fldCharType="begin"/>
      </w:r>
      <w:r>
        <w:instrText xml:space="preserve"> REF _Ref363483002 \h </w:instrText>
      </w:r>
      <w:r>
        <w:fldChar w:fldCharType="separate"/>
      </w:r>
      <w:r w:rsidR="004F35AA">
        <w:t xml:space="preserve">Figure </w:t>
      </w:r>
      <w:r w:rsidR="004F35AA">
        <w:rPr>
          <w:noProof/>
        </w:rPr>
        <w:t>1</w:t>
      </w:r>
      <w:r w:rsidR="004F35AA">
        <w:t>.</w:t>
      </w:r>
      <w:r w:rsidR="004F35AA">
        <w:rPr>
          <w:noProof/>
        </w:rPr>
        <w:t>3</w:t>
      </w:r>
      <w:r>
        <w:fldChar w:fldCharType="end"/>
      </w:r>
      <w:r>
        <w:t>)</w:t>
      </w:r>
      <w:r w:rsidRPr="00FF0D82">
        <w:t>, which differ</w:t>
      </w:r>
      <w:r>
        <w:t xml:space="preserve"> from those in other NEM regions. In other regions of the NEM, the owner of the transmission network is responsible for network planning. This is not the case in Victoria. Network o</w:t>
      </w:r>
      <w:r w:rsidRPr="00A646F8">
        <w:t>wnership</w:t>
      </w:r>
      <w:r>
        <w:t xml:space="preserve"> and operation rest</w:t>
      </w:r>
      <w:r w:rsidRPr="00A646F8">
        <w:t xml:space="preserve"> </w:t>
      </w:r>
      <w:r>
        <w:t xml:space="preserve">with SP AusNet and other </w:t>
      </w:r>
      <w:r w:rsidRPr="00A646F8">
        <w:t>declared tran</w:t>
      </w:r>
      <w:r>
        <w:t>smission system operators (DTSO</w:t>
      </w:r>
      <w:r w:rsidR="006B0798">
        <w:t>s</w:t>
      </w:r>
      <w:r>
        <w:t xml:space="preserve">). However, the </w:t>
      </w:r>
      <w:r w:rsidRPr="00A646F8">
        <w:t>Australian Energy Market Operat</w:t>
      </w:r>
      <w:r>
        <w:t>or (AEMO) has planning and augmentation responsibilities.</w:t>
      </w:r>
    </w:p>
    <w:p w:rsidR="0088341A" w:rsidRDefault="0088341A" w:rsidP="0088341A">
      <w:pPr>
        <w:pStyle w:val="Caption"/>
      </w:pPr>
      <w:bookmarkStart w:id="21" w:name="_Ref363483002"/>
      <w:r>
        <w:t xml:space="preserve">Figure </w:t>
      </w:r>
      <w:fldSimple w:instr=" STYLEREF 1 \s ">
        <w:r w:rsidR="004F35AA">
          <w:rPr>
            <w:noProof/>
          </w:rPr>
          <w:t>1</w:t>
        </w:r>
      </w:fldSimple>
      <w:r w:rsidR="00C56A87">
        <w:t>.</w:t>
      </w:r>
      <w:fldSimple w:instr=" SEQ Figure \* ARABIC \s 1 ">
        <w:r w:rsidR="004F35AA">
          <w:rPr>
            <w:noProof/>
          </w:rPr>
          <w:t>3</w:t>
        </w:r>
      </w:fldSimple>
      <w:bookmarkEnd w:id="21"/>
      <w:r>
        <w:tab/>
        <w:t>Institutional arrangements for Victorian transmission</w:t>
      </w:r>
    </w:p>
    <w:p w:rsidR="0088341A" w:rsidRDefault="0088341A" w:rsidP="0088341A">
      <w:r>
        <w:rPr>
          <w:noProof/>
          <w:lang w:eastAsia="en-AU"/>
        </w:rPr>
        <w:drawing>
          <wp:inline distT="0" distB="0" distL="0" distR="0" wp14:anchorId="5D2588EF" wp14:editId="04032CD1">
            <wp:extent cx="5727700" cy="3357880"/>
            <wp:effectExtent l="0" t="0" r="635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700" cy="3357880"/>
                    </a:xfrm>
                    <a:prstGeom prst="rect">
                      <a:avLst/>
                    </a:prstGeom>
                    <a:noFill/>
                    <a:ln>
                      <a:noFill/>
                    </a:ln>
                  </pic:spPr>
                </pic:pic>
              </a:graphicData>
            </a:graphic>
          </wp:inline>
        </w:drawing>
      </w:r>
    </w:p>
    <w:p w:rsidR="0088341A" w:rsidRPr="004B2602" w:rsidRDefault="0088341A" w:rsidP="0088341A">
      <w:pPr>
        <w:pStyle w:val="AERtablesource"/>
      </w:pPr>
      <w:r>
        <w:t xml:space="preserve">Source: SP AusNet, </w:t>
      </w:r>
      <w:r w:rsidRPr="00FE2FAC">
        <w:rPr>
          <w:rStyle w:val="AERtextitalic"/>
        </w:rPr>
        <w:t>Revenue proposal</w:t>
      </w:r>
      <w:r>
        <w:t>, 28 February 2013, p. 29</w:t>
      </w:r>
      <w:r w:rsidR="00C21B34">
        <w:t>.</w:t>
      </w:r>
    </w:p>
    <w:p w:rsidR="0088341A" w:rsidRDefault="0088341A" w:rsidP="0088341A">
      <w:r>
        <w:t>Network services can be contestable and non-contestable.</w:t>
      </w:r>
      <w:r w:rsidRPr="00FF0D82">
        <w:t xml:space="preserve"> </w:t>
      </w:r>
      <w:r w:rsidRPr="00F70EF5">
        <w:t xml:space="preserve">When AEMO identifies a network constraint that is contestable, it calls for tenders for the construction, ownership and maintenance of the </w:t>
      </w:r>
      <w:r>
        <w:t>network solution</w:t>
      </w:r>
      <w:r w:rsidRPr="00F70EF5">
        <w:t xml:space="preserve">. In total, </w:t>
      </w:r>
      <w:r>
        <w:t>15 projects have gone to tender, of which SP AusNet won</w:t>
      </w:r>
      <w:r w:rsidRPr="00F70EF5">
        <w:t xml:space="preserve"> 13.</w:t>
      </w:r>
      <w:r>
        <w:rPr>
          <w:rStyle w:val="FootnoteReference"/>
        </w:rPr>
        <w:footnoteReference w:id="7"/>
      </w:r>
      <w:r>
        <w:t xml:space="preserve"> If </w:t>
      </w:r>
      <w:r w:rsidRPr="00F70EF5">
        <w:t xml:space="preserve">the </w:t>
      </w:r>
      <w:r>
        <w:t>network constraint</w:t>
      </w:r>
      <w:r w:rsidRPr="00F70EF5">
        <w:t xml:space="preserve"> is </w:t>
      </w:r>
      <w:r>
        <w:t xml:space="preserve">non-contestable, then the </w:t>
      </w:r>
      <w:r w:rsidRPr="00F70EF5">
        <w:t>incumbent DTSO</w:t>
      </w:r>
      <w:r>
        <w:t xml:space="preserve"> (which is usually SP AusNet) </w:t>
      </w:r>
      <w:r>
        <w:lastRenderedPageBreak/>
        <w:t>undertakes the work</w:t>
      </w:r>
      <w:r w:rsidRPr="00F70EF5">
        <w:t xml:space="preserve">. </w:t>
      </w:r>
      <w:r>
        <w:t>The test for contestability is whether the network solution is 'separable' from the existing network.</w:t>
      </w:r>
    </w:p>
    <w:p w:rsidR="0088341A" w:rsidRDefault="0088341A" w:rsidP="0088341A">
      <w:pPr>
        <w:pStyle w:val="AERbodytext"/>
        <w:numPr>
          <w:ilvl w:val="0"/>
          <w:numId w:val="1"/>
        </w:numPr>
      </w:pPr>
      <w:r>
        <w:t>The Victorian transmission arrangements have implications for the roll forward of SP AusNet's RAB. When an</w:t>
      </w:r>
      <w:r w:rsidRPr="000D1C5A">
        <w:t xml:space="preserve"> augmentation is deemed contestable and</w:t>
      </w:r>
      <w:r w:rsidRPr="00F70EF5">
        <w:t xml:space="preserve"> procured through a competitive tender process, the assets remain outside SP AusNet’s </w:t>
      </w:r>
      <w:r>
        <w:t>RAB.</w:t>
      </w:r>
      <w:r w:rsidRPr="00F70EF5">
        <w:t xml:space="preserve"> However, assets relating to </w:t>
      </w:r>
      <w:r>
        <w:t xml:space="preserve">non-contestable </w:t>
      </w:r>
      <w:r w:rsidRPr="00F70EF5">
        <w:t xml:space="preserve">network augmentations that </w:t>
      </w:r>
      <w:r>
        <w:t>AEMO initiated,</w:t>
      </w:r>
      <w:r w:rsidRPr="00F70EF5">
        <w:rPr>
          <w:rStyle w:val="FootnoteReference"/>
        </w:rPr>
        <w:footnoteReference w:id="8"/>
      </w:r>
      <w:r w:rsidRPr="00F70EF5">
        <w:t xml:space="preserve"> or</w:t>
      </w:r>
      <w:r>
        <w:t xml:space="preserve"> that </w:t>
      </w:r>
      <w:r w:rsidRPr="00F70EF5">
        <w:t>the Victorian distribution network service providers</w:t>
      </w:r>
      <w:r>
        <w:t xml:space="preserve"> (DNSPs) requested</w:t>
      </w:r>
      <w:r w:rsidRPr="00F70EF5">
        <w:t>,</w:t>
      </w:r>
      <w:r w:rsidRPr="00F70EF5">
        <w:rPr>
          <w:rStyle w:val="FootnoteReference"/>
        </w:rPr>
        <w:footnoteReference w:id="9"/>
      </w:r>
      <w:r w:rsidRPr="00F70EF5">
        <w:t xml:space="preserve"> are rolled into the RAB at the end of the period. </w:t>
      </w:r>
    </w:p>
    <w:p w:rsidR="0088341A" w:rsidRDefault="0088341A" w:rsidP="0088341A">
      <w:pPr>
        <w:pStyle w:val="Heading2"/>
        <w:numPr>
          <w:ilvl w:val="2"/>
          <w:numId w:val="20"/>
        </w:numPr>
      </w:pPr>
      <w:bookmarkStart w:id="22" w:name="_Toc365283234"/>
      <w:r>
        <w:t>National Electricity Law and National Electricity Rules requirements</w:t>
      </w:r>
      <w:bookmarkEnd w:id="22"/>
    </w:p>
    <w:p w:rsidR="0088341A" w:rsidRPr="007B00C4" w:rsidRDefault="0088341A" w:rsidP="0088341A">
      <w:pPr>
        <w:pStyle w:val="AERbodytext"/>
        <w:numPr>
          <w:ilvl w:val="0"/>
          <w:numId w:val="1"/>
        </w:numPr>
      </w:pPr>
      <w:r w:rsidRPr="007B00C4">
        <w:t>The NEL contains two overarching principles that we must apply when performing our economic regulatory functions or powers. Under section 16(1)(a) of the NEL</w:t>
      </w:r>
      <w:r>
        <w:t>,</w:t>
      </w:r>
      <w:r w:rsidRPr="007B00C4">
        <w:t xml:space="preserve"> </w:t>
      </w:r>
      <w:r>
        <w:t>we</w:t>
      </w:r>
      <w:r w:rsidRPr="007B00C4">
        <w:t xml:space="preserve"> must act in a manner that will or is likely to contribute to the achievement of the natio</w:t>
      </w:r>
      <w:r>
        <w:t>nal electricity objective (NEO):</w:t>
      </w:r>
      <w:r>
        <w:rPr>
          <w:rStyle w:val="FootnoteReference"/>
        </w:rPr>
        <w:footnoteReference w:id="10"/>
      </w:r>
    </w:p>
    <w:p w:rsidR="0088341A" w:rsidRPr="007B00C4" w:rsidRDefault="0088341A" w:rsidP="0088341A">
      <w:pPr>
        <w:pStyle w:val="AERquote"/>
      </w:pPr>
      <w:r w:rsidRPr="007B00C4">
        <w:t xml:space="preserve">The objective of this law is to promote efficient investment in, and efficient operation and use of, electricity services for the long term interest of consumers of electricity with respect to – </w:t>
      </w:r>
    </w:p>
    <w:p w:rsidR="0088341A" w:rsidRPr="007B00C4" w:rsidRDefault="0088341A" w:rsidP="0088341A">
      <w:pPr>
        <w:pStyle w:val="AERquoteindent1"/>
      </w:pPr>
      <w:r w:rsidRPr="007B00C4">
        <w:t>a) price, quality, safety, reliability and security of supply of electricity; and</w:t>
      </w:r>
    </w:p>
    <w:p w:rsidR="0088341A" w:rsidRPr="007B00C4" w:rsidRDefault="0088341A" w:rsidP="0088341A">
      <w:pPr>
        <w:pStyle w:val="AERquoteindent1"/>
      </w:pPr>
      <w:r w:rsidRPr="007B00C4">
        <w:t xml:space="preserve">b) the reliability, safety and security of the national electricity system. </w:t>
      </w:r>
    </w:p>
    <w:p w:rsidR="0088341A" w:rsidRPr="007B00C4" w:rsidRDefault="0088341A" w:rsidP="0088341A">
      <w:pPr>
        <w:pStyle w:val="AERbodytext"/>
        <w:numPr>
          <w:ilvl w:val="0"/>
          <w:numId w:val="1"/>
        </w:numPr>
      </w:pPr>
      <w:r>
        <w:t>We</w:t>
      </w:r>
      <w:r w:rsidRPr="007B00C4">
        <w:t xml:space="preserve"> must also account </w:t>
      </w:r>
      <w:r>
        <w:t xml:space="preserve">for </w:t>
      </w:r>
      <w:r w:rsidRPr="007B00C4">
        <w:t>the revenue and pricing principles</w:t>
      </w:r>
      <w:r>
        <w:t xml:space="preserve"> in the NEL</w:t>
      </w:r>
      <w:r w:rsidRPr="007B00C4">
        <w:t xml:space="preserve"> when making a transmission determination.</w:t>
      </w:r>
      <w:r w:rsidRPr="007B00C4">
        <w:rPr>
          <w:rStyle w:val="FootnoteReference"/>
        </w:rPr>
        <w:footnoteReference w:id="11"/>
      </w:r>
      <w:r w:rsidRPr="007B00C4">
        <w:t xml:space="preserve"> These principles require a TNSP to </w:t>
      </w:r>
      <w:r>
        <w:t>have</w:t>
      </w:r>
      <w:r w:rsidRPr="007B00C4">
        <w:t xml:space="preserve"> an opportunity to recover at least its efficient costs, and to </w:t>
      </w:r>
      <w:r>
        <w:t>have incentives to promote economic efficiency.</w:t>
      </w:r>
      <w:r w:rsidRPr="007B00C4">
        <w:t xml:space="preserve"> </w:t>
      </w:r>
      <w:r w:rsidRPr="007B00C4" w:rsidDel="00A01AA8">
        <w:t xml:space="preserve"> </w:t>
      </w:r>
    </w:p>
    <w:p w:rsidR="0088341A" w:rsidRDefault="0088341A" w:rsidP="0088341A">
      <w:pPr>
        <w:pStyle w:val="AERbodytext"/>
        <w:numPr>
          <w:ilvl w:val="0"/>
          <w:numId w:val="1"/>
        </w:numPr>
      </w:pPr>
      <w:r>
        <w:t>Also in</w:t>
      </w:r>
      <w:r w:rsidRPr="007B00C4">
        <w:t xml:space="preserve"> assessing </w:t>
      </w:r>
      <w:r>
        <w:t>SP AusNet's</w:t>
      </w:r>
      <w:r w:rsidRPr="007B00C4">
        <w:t xml:space="preserve"> revenue proposal, we reviewed </w:t>
      </w:r>
      <w:r w:rsidR="0032109E">
        <w:t>its</w:t>
      </w:r>
      <w:r w:rsidRPr="007B00C4">
        <w:t xml:space="preserve"> business and governance practices, including its asset management and maintenance strategies. In doing so, we sought to understand how </w:t>
      </w:r>
      <w:r>
        <w:t>SP AusNet</w:t>
      </w:r>
      <w:r w:rsidRPr="007B00C4">
        <w:t xml:space="preserve"> operates and m</w:t>
      </w:r>
      <w:r>
        <w:t>anages its transmission network.</w:t>
      </w:r>
    </w:p>
    <w:p w:rsidR="0088341A" w:rsidRDefault="0088341A" w:rsidP="0088341A">
      <w:pPr>
        <w:pStyle w:val="Heading2"/>
        <w:numPr>
          <w:ilvl w:val="2"/>
          <w:numId w:val="20"/>
        </w:numPr>
      </w:pPr>
      <w:bookmarkStart w:id="23" w:name="_Toc365283235"/>
      <w:r>
        <w:t>Revenue proposal and AER draft decision</w:t>
      </w:r>
      <w:bookmarkEnd w:id="23"/>
    </w:p>
    <w:p w:rsidR="0088341A" w:rsidRDefault="0088341A" w:rsidP="0088341A">
      <w:pPr>
        <w:pStyle w:val="AERbodytext"/>
        <w:numPr>
          <w:ilvl w:val="0"/>
          <w:numId w:val="1"/>
        </w:numPr>
      </w:pPr>
      <w:r>
        <w:t>If our draft decision requires SP AusNet to make changes or address matters, then SP AusNet may submit a revised revenue proposal in response to our draft decision.</w:t>
      </w:r>
      <w:r>
        <w:rPr>
          <w:rStyle w:val="FootnoteReference"/>
        </w:rPr>
        <w:footnoteReference w:id="12"/>
      </w:r>
      <w:r>
        <w:t xml:space="preserve"> It must submit the revised revenue proposal to us within 30 </w:t>
      </w:r>
      <w:r w:rsidR="0032109E">
        <w:t xml:space="preserve">business </w:t>
      </w:r>
      <w:r>
        <w:t>days of publication of our draft decision.</w:t>
      </w:r>
      <w:r>
        <w:rPr>
          <w:rStyle w:val="FootnoteReference"/>
        </w:rPr>
        <w:footnoteReference w:id="13"/>
      </w:r>
      <w:r>
        <w:t xml:space="preserve"> We must invite written submissions on the draft decision once we publish that decision, a notice of the making of that draft decision, and a notice of a predetermination conference. Any person may attend the predetermination conference and make a written submission on the draft decision. The due date for written submissions must not be earlier than 45 business days after the predetermination conference.</w:t>
      </w:r>
      <w:r>
        <w:rPr>
          <w:rStyle w:val="FootnoteReference"/>
        </w:rPr>
        <w:footnoteReference w:id="14"/>
      </w:r>
      <w:r>
        <w:t xml:space="preserve">  </w:t>
      </w:r>
    </w:p>
    <w:p w:rsidR="0088341A" w:rsidRDefault="0088341A" w:rsidP="0088341A">
      <w:pPr>
        <w:pStyle w:val="AERbodytext"/>
        <w:numPr>
          <w:ilvl w:val="0"/>
          <w:numId w:val="1"/>
        </w:numPr>
      </w:pPr>
      <w:r>
        <w:t>After considering submissions made on the draft decision and any revised revenue proposal, we must make a final decision and transmission determination.</w:t>
      </w:r>
      <w:r>
        <w:rPr>
          <w:rStyle w:val="FootnoteReference"/>
        </w:rPr>
        <w:footnoteReference w:id="15"/>
      </w:r>
      <w:r>
        <w:t xml:space="preserve"> The final decision must set out the reasons </w:t>
      </w:r>
      <w:r>
        <w:lastRenderedPageBreak/>
        <w:t>for our decision. And we must publish the final decision and transmission determination,</w:t>
      </w:r>
      <w:r>
        <w:rPr>
          <w:rStyle w:val="FootnoteReference"/>
        </w:rPr>
        <w:footnoteReference w:id="16"/>
      </w:r>
      <w:r>
        <w:t xml:space="preserve"> at least two months before the start of the relevant regulatory control period.</w:t>
      </w:r>
      <w:r>
        <w:rPr>
          <w:rStyle w:val="FootnoteReference"/>
        </w:rPr>
        <w:footnoteReference w:id="17"/>
      </w:r>
    </w:p>
    <w:p w:rsidR="0088341A" w:rsidRPr="00A907E9" w:rsidRDefault="0088341A" w:rsidP="0088341A">
      <w:pPr>
        <w:pStyle w:val="Heading3"/>
        <w:numPr>
          <w:ilvl w:val="3"/>
          <w:numId w:val="20"/>
        </w:numPr>
      </w:pPr>
      <w:r w:rsidRPr="00A907E9">
        <w:t>Consultants, consultation and engagement</w:t>
      </w:r>
    </w:p>
    <w:p w:rsidR="0088341A" w:rsidRPr="00517908" w:rsidRDefault="0088341A" w:rsidP="0088341A">
      <w:pPr>
        <w:numPr>
          <w:ilvl w:val="0"/>
          <w:numId w:val="3"/>
        </w:numPr>
      </w:pPr>
      <w:r w:rsidRPr="00517908">
        <w:t xml:space="preserve">We commissioned the following independent consultants for our </w:t>
      </w:r>
      <w:r>
        <w:t>draft</w:t>
      </w:r>
      <w:r w:rsidRPr="00517908">
        <w:t xml:space="preserve"> decision: </w:t>
      </w:r>
    </w:p>
    <w:p w:rsidR="0088341A" w:rsidRPr="00517908" w:rsidRDefault="0088341A" w:rsidP="0088341A">
      <w:pPr>
        <w:pStyle w:val="AERbulletlistfirststyle"/>
      </w:pPr>
      <w:r w:rsidRPr="00517908">
        <w:t>Energy Market Consulting associates (EMCa) and Strata Energy Consulting Ltd</w:t>
      </w:r>
      <w:r>
        <w:t>,</w:t>
      </w:r>
      <w:r>
        <w:rPr>
          <w:rStyle w:val="FootnoteReference"/>
        </w:rPr>
        <w:footnoteReference w:id="18"/>
      </w:r>
      <w:r w:rsidRPr="00517908">
        <w:t xml:space="preserve"> for advice on technical aspects of </w:t>
      </w:r>
      <w:r>
        <w:t>SP AusNet's</w:t>
      </w:r>
      <w:r w:rsidRPr="00517908">
        <w:t xml:space="preserve"> past and forecast expenditure (capex/opex), associated policies and procedures, contingent</w:t>
      </w:r>
      <w:r>
        <w:t xml:space="preserve"> projects and service standards</w:t>
      </w:r>
    </w:p>
    <w:p w:rsidR="0088341A" w:rsidRPr="00517908" w:rsidRDefault="0088341A" w:rsidP="0088341A">
      <w:pPr>
        <w:pStyle w:val="AERbulletlistfirststyle"/>
      </w:pPr>
      <w:r w:rsidRPr="00517908">
        <w:t>Deloitte Access Economics</w:t>
      </w:r>
      <w:r>
        <w:t>,</w:t>
      </w:r>
      <w:r w:rsidRPr="00517908">
        <w:t xml:space="preserve"> for advice on </w:t>
      </w:r>
      <w:r>
        <w:t>forecast growth in labour costs</w:t>
      </w:r>
    </w:p>
    <w:p w:rsidR="0088341A" w:rsidRDefault="0088341A" w:rsidP="0088341A">
      <w:pPr>
        <w:pStyle w:val="AERbulletlistfirststyle"/>
      </w:pPr>
      <w:r w:rsidRPr="00517908">
        <w:t>AM Actuaries</w:t>
      </w:r>
      <w:r>
        <w:t>,</w:t>
      </w:r>
      <w:r w:rsidRPr="00517908">
        <w:t xml:space="preserve"> </w:t>
      </w:r>
      <w:r>
        <w:t>for advice on SP AusNet's proposed insurance premiums and self-insurance allowance</w:t>
      </w:r>
    </w:p>
    <w:p w:rsidR="0093706E" w:rsidRDefault="0093706E" w:rsidP="0093706E">
      <w:pPr>
        <w:pStyle w:val="AERbulletlistfirststyle"/>
      </w:pPr>
      <w:r w:rsidRPr="0093706E">
        <w:t xml:space="preserve">McGrathNicol to assist us in assessing whether some </w:t>
      </w:r>
      <w:r>
        <w:t>of SP AusNet’s cost allocations</w:t>
      </w:r>
      <w:r w:rsidRPr="0093706E">
        <w:t xml:space="preserve"> were </w:t>
      </w:r>
      <w:r>
        <w:t>in</w:t>
      </w:r>
      <w:r w:rsidRPr="0093706E">
        <w:t>consistent with the approved cost allocation methodology.</w:t>
      </w:r>
    </w:p>
    <w:p w:rsidR="0088341A" w:rsidRDefault="0032109E" w:rsidP="0088341A">
      <w:r>
        <w:t>We engaged</w:t>
      </w:r>
      <w:r w:rsidR="0088341A">
        <w:t xml:space="preserve"> consultants </w:t>
      </w:r>
      <w:r w:rsidR="0088341A" w:rsidRPr="002E600F">
        <w:t xml:space="preserve">to help us determine whether </w:t>
      </w:r>
      <w:r w:rsidR="0088341A">
        <w:t xml:space="preserve">technical aspects of the proposal are reasonable. </w:t>
      </w:r>
      <w:r w:rsidR="0088341A" w:rsidRPr="002E600F">
        <w:t xml:space="preserve">The consultants’ advice </w:t>
      </w:r>
      <w:r w:rsidR="0088341A">
        <w:t xml:space="preserve">also </w:t>
      </w:r>
      <w:r w:rsidR="006B0798">
        <w:t>helps us develop</w:t>
      </w:r>
      <w:r w:rsidR="0088341A" w:rsidRPr="002E600F">
        <w:t xml:space="preserve"> our substitute </w:t>
      </w:r>
      <w:r w:rsidR="0088341A">
        <w:t xml:space="preserve">expenditure </w:t>
      </w:r>
      <w:r w:rsidR="0088341A" w:rsidRPr="002E600F">
        <w:t xml:space="preserve">forecast (if required). While we seek the consultants’ advice and expertise </w:t>
      </w:r>
      <w:r w:rsidR="006B0798">
        <w:t>to help</w:t>
      </w:r>
      <w:r w:rsidR="0088341A" w:rsidRPr="002E600F">
        <w:t xml:space="preserve"> understand the proposal from a technical perspective, we are not bound to use the consultants' forecast or adjustments as a replacement. </w:t>
      </w:r>
      <w:r w:rsidR="0088341A">
        <w:t>W</w:t>
      </w:r>
      <w:r w:rsidR="006B0798">
        <w:t>e use judg</w:t>
      </w:r>
      <w:r w:rsidR="0088341A" w:rsidRPr="002E600F">
        <w:t xml:space="preserve">ment </w:t>
      </w:r>
      <w:r w:rsidR="0088341A">
        <w:t xml:space="preserve">in adopting their advice and consider a </w:t>
      </w:r>
      <w:r w:rsidR="0088341A" w:rsidRPr="002E600F">
        <w:t>broader array of interconnecting information</w:t>
      </w:r>
      <w:r w:rsidR="0088341A">
        <w:t xml:space="preserve"> including engineering, economic and legal matters.  </w:t>
      </w:r>
    </w:p>
    <w:p w:rsidR="0088341A" w:rsidRPr="00194E98" w:rsidRDefault="0088341A" w:rsidP="0088341A">
      <w:r w:rsidRPr="00194E98">
        <w:t xml:space="preserve">Effective consultation with stakeholders is essential to </w:t>
      </w:r>
      <w:r>
        <w:t>our</w:t>
      </w:r>
      <w:r w:rsidRPr="00194E98">
        <w:t xml:space="preserve"> performanc</w:t>
      </w:r>
      <w:r>
        <w:t xml:space="preserve">e of our regulatory functions. </w:t>
      </w:r>
      <w:r w:rsidR="00FE75B1">
        <w:t xml:space="preserve">Appenidx G sets out our consultation and stakeholder engagement in detail. In summary, </w:t>
      </w:r>
      <w:r>
        <w:t xml:space="preserve"> t</w:t>
      </w:r>
      <w:r w:rsidRPr="00194E98">
        <w:t>hroughout the review process, we engaged with stakeholders by:</w:t>
      </w:r>
    </w:p>
    <w:p w:rsidR="0088341A" w:rsidRDefault="0088341A" w:rsidP="0088341A">
      <w:pPr>
        <w:pStyle w:val="AERbulletlistfirststyle"/>
      </w:pPr>
      <w:r w:rsidRPr="00194E98">
        <w:t xml:space="preserve">considering submissions on </w:t>
      </w:r>
      <w:r>
        <w:t>SP AusNet</w:t>
      </w:r>
      <w:r w:rsidR="006B0798">
        <w:t>’s</w:t>
      </w:r>
      <w:r w:rsidRPr="00194E98">
        <w:t xml:space="preserve"> revenue proposal</w:t>
      </w:r>
    </w:p>
    <w:p w:rsidR="0088341A" w:rsidRPr="00C80AD6" w:rsidRDefault="0088341A" w:rsidP="0088341A">
      <w:pPr>
        <w:pStyle w:val="AERbulletlistfirststyle"/>
        <w:rPr>
          <w:rFonts w:eastAsia="Calibri"/>
        </w:rPr>
      </w:pPr>
      <w:r w:rsidRPr="00C80AD6">
        <w:rPr>
          <w:rFonts w:eastAsia="Calibri"/>
        </w:rPr>
        <w:t>publishing an issues paper to help stakeholders engage with, and meaningfully respond to, SP AusNet's</w:t>
      </w:r>
      <w:r>
        <w:rPr>
          <w:rFonts w:eastAsia="Calibri"/>
        </w:rPr>
        <w:t xml:space="preserve"> revenue</w:t>
      </w:r>
      <w:r w:rsidRPr="00C80AD6">
        <w:rPr>
          <w:rFonts w:eastAsia="Calibri"/>
        </w:rPr>
        <w:t xml:space="preserve"> proposal</w:t>
      </w:r>
    </w:p>
    <w:p w:rsidR="0088341A" w:rsidRDefault="0088341A" w:rsidP="0088341A">
      <w:pPr>
        <w:pStyle w:val="AERbulletlistfirststyle"/>
      </w:pPr>
      <w:r>
        <w:t xml:space="preserve">considering two written submissions by </w:t>
      </w:r>
      <w:r w:rsidR="006B0798">
        <w:t xml:space="preserve">the </w:t>
      </w:r>
      <w:r>
        <w:t>Energy Users Coalition of Victoria (EUCV) and the Energy Users Association of Australia (EUAA) on SP AusNet's revenue proposal</w:t>
      </w:r>
    </w:p>
    <w:p w:rsidR="0088341A" w:rsidRPr="00194E98" w:rsidRDefault="0088341A" w:rsidP="0088341A">
      <w:pPr>
        <w:pStyle w:val="AERbulletlistfirststyle"/>
      </w:pPr>
      <w:r w:rsidRPr="00194E98">
        <w:t xml:space="preserve">hosting a public forum in </w:t>
      </w:r>
      <w:r>
        <w:t>Melbourne</w:t>
      </w:r>
      <w:r w:rsidRPr="00194E98">
        <w:t xml:space="preserve"> on </w:t>
      </w:r>
      <w:r>
        <w:t>April 2013</w:t>
      </w:r>
      <w:r w:rsidRPr="00194E98">
        <w:t xml:space="preserve"> </w:t>
      </w:r>
      <w:r>
        <w:t>so stakeholders could</w:t>
      </w:r>
      <w:r w:rsidR="006B0798">
        <w:t xml:space="preserve"> </w:t>
      </w:r>
      <w:r w:rsidRPr="00194E98">
        <w:t>question</w:t>
      </w:r>
      <w:r>
        <w:t xml:space="preserve"> both the AER and SP AusNet on the revenue proposal</w:t>
      </w:r>
    </w:p>
    <w:p w:rsidR="0088341A" w:rsidRPr="00194E98" w:rsidRDefault="0088341A" w:rsidP="0088341A">
      <w:pPr>
        <w:pStyle w:val="AERbulletlistfirststyle"/>
      </w:pPr>
      <w:r w:rsidRPr="00194E98">
        <w:t xml:space="preserve">having </w:t>
      </w:r>
      <w:r>
        <w:t>SP AusNet</w:t>
      </w:r>
      <w:r w:rsidRPr="00194E98">
        <w:t xml:space="preserve"> present its revenue proposals to the AER </w:t>
      </w:r>
      <w:r>
        <w:t>Board</w:t>
      </w:r>
      <w:r w:rsidRPr="00194E98">
        <w:t xml:space="preserve"> in</w:t>
      </w:r>
      <w:r>
        <w:t xml:space="preserve"> </w:t>
      </w:r>
      <w:r>
        <w:rPr>
          <w:rStyle w:val="AERbody"/>
        </w:rPr>
        <w:t>April</w:t>
      </w:r>
      <w:r w:rsidRPr="006313BD">
        <w:rPr>
          <w:rStyle w:val="AERbody"/>
        </w:rPr>
        <w:t xml:space="preserve"> 2013</w:t>
      </w:r>
      <w:r>
        <w:t>, so questions could be raised and key issues explained</w:t>
      </w:r>
    </w:p>
    <w:p w:rsidR="0088341A" w:rsidRPr="00194E98" w:rsidRDefault="0088341A" w:rsidP="0088341A">
      <w:pPr>
        <w:pStyle w:val="AERbulletlistfirststyle"/>
      </w:pPr>
      <w:r w:rsidRPr="00194E98">
        <w:t xml:space="preserve">engaging with EMCa and </w:t>
      </w:r>
      <w:r>
        <w:t>SP AusNet during a one</w:t>
      </w:r>
      <w:r w:rsidRPr="00194E98">
        <w:t xml:space="preserve"> </w:t>
      </w:r>
      <w:r>
        <w:rPr>
          <w:rStyle w:val="AERbody"/>
        </w:rPr>
        <w:t xml:space="preserve">week </w:t>
      </w:r>
      <w:r>
        <w:t>on</w:t>
      </w:r>
      <w:r w:rsidRPr="00194E98">
        <w:t xml:space="preserve">site review of </w:t>
      </w:r>
      <w:r>
        <w:t>SP AusNet's</w:t>
      </w:r>
      <w:r w:rsidRPr="00194E98">
        <w:t xml:space="preserve"> revenue proposal in </w:t>
      </w:r>
      <w:r w:rsidRPr="006313BD">
        <w:rPr>
          <w:rStyle w:val="AERbody"/>
        </w:rPr>
        <w:t>March 2013</w:t>
      </w:r>
      <w:r w:rsidRPr="00194E98">
        <w:t>. AER</w:t>
      </w:r>
      <w:r>
        <w:t xml:space="preserve"> staff</w:t>
      </w:r>
      <w:r w:rsidRPr="00194E98">
        <w:t xml:space="preserve"> and EMCa directly engaged with </w:t>
      </w:r>
      <w:r>
        <w:t>SP AusNet</w:t>
      </w:r>
      <w:r w:rsidRPr="00194E98">
        <w:t xml:space="preserve"> staff involved in developing and managing the network</w:t>
      </w:r>
      <w:r>
        <w:t>,</w:t>
      </w:r>
      <w:r w:rsidRPr="00194E98">
        <w:t xml:space="preserve"> and tested material and information that</w:t>
      </w:r>
      <w:r>
        <w:t xml:space="preserve"> underpins the revenue proposal</w:t>
      </w:r>
      <w:r w:rsidR="00315A2D">
        <w:t xml:space="preserve">. </w:t>
      </w:r>
      <w:r w:rsidRPr="00194E98">
        <w:t xml:space="preserve">  </w:t>
      </w:r>
    </w:p>
    <w:p w:rsidR="0088341A" w:rsidRPr="00194E98" w:rsidRDefault="0088341A" w:rsidP="0088341A">
      <w:pPr>
        <w:pStyle w:val="AERbulletlistfirststyle"/>
      </w:pPr>
      <w:r>
        <w:t>having</w:t>
      </w:r>
      <w:r w:rsidRPr="00194E98">
        <w:t xml:space="preserve"> ongoing discussions with </w:t>
      </w:r>
      <w:r>
        <w:t>SP AusNet</w:t>
      </w:r>
      <w:r w:rsidRPr="00194E98">
        <w:t xml:space="preserve"> about </w:t>
      </w:r>
      <w:r>
        <w:t>its revenue proposal</w:t>
      </w:r>
      <w:r w:rsidRPr="00194E98">
        <w:t xml:space="preserve">. During this process, </w:t>
      </w:r>
      <w:r>
        <w:t>we</w:t>
      </w:r>
      <w:r w:rsidRPr="00194E98">
        <w:t xml:space="preserve"> and EMCa considered over </w:t>
      </w:r>
      <w:r w:rsidRPr="006313BD">
        <w:rPr>
          <w:rStyle w:val="AERbody"/>
        </w:rPr>
        <w:t xml:space="preserve">90 </w:t>
      </w:r>
      <w:r w:rsidRPr="00194E98">
        <w:t xml:space="preserve">responses to information requested from </w:t>
      </w:r>
      <w:r>
        <w:t>SP AusNet.</w:t>
      </w:r>
      <w:r>
        <w:rPr>
          <w:rStyle w:val="FootnoteReference"/>
        </w:rPr>
        <w:footnoteReference w:id="19"/>
      </w:r>
      <w:r w:rsidRPr="00194E98">
        <w:t xml:space="preserve"> </w:t>
      </w:r>
    </w:p>
    <w:p w:rsidR="0088341A" w:rsidRDefault="0088341A" w:rsidP="0088341A">
      <w:pPr>
        <w:pStyle w:val="AERbulletlistfirststyle"/>
      </w:pPr>
      <w:r w:rsidRPr="00194E98">
        <w:lastRenderedPageBreak/>
        <w:t xml:space="preserve">holding a workshop with </w:t>
      </w:r>
      <w:r>
        <w:t>SP AusNet</w:t>
      </w:r>
      <w:r w:rsidRPr="00194E98">
        <w:t xml:space="preserve"> in </w:t>
      </w:r>
      <w:r>
        <w:rPr>
          <w:rStyle w:val="AERbody"/>
        </w:rPr>
        <w:t>May</w:t>
      </w:r>
      <w:r w:rsidRPr="006313BD">
        <w:rPr>
          <w:rStyle w:val="AERbody"/>
        </w:rPr>
        <w:t xml:space="preserve"> 2013</w:t>
      </w:r>
      <w:r>
        <w:rPr>
          <w:rStyle w:val="AERbody"/>
        </w:rPr>
        <w:t>, at which</w:t>
      </w:r>
      <w:r w:rsidRPr="00194E98">
        <w:t xml:space="preserve"> </w:t>
      </w:r>
      <w:r>
        <w:t>EMCa outlined its initial findings and concerns about SP AusNet's revenue proposal</w:t>
      </w:r>
    </w:p>
    <w:p w:rsidR="0088341A" w:rsidRDefault="0088341A" w:rsidP="0088341A">
      <w:pPr>
        <w:pStyle w:val="AERbulletlistfirststyle"/>
      </w:pPr>
      <w:r>
        <w:t>holding a workshop on 31 May 2013, at which EMCa met with an EUAA representative and discussed their findings and concerns about SP AusNet's revenue proposal</w:t>
      </w:r>
    </w:p>
    <w:p w:rsidR="0088341A" w:rsidRDefault="0088341A" w:rsidP="0088341A">
      <w:pPr>
        <w:pStyle w:val="AERbulletlistfirststyle"/>
      </w:pPr>
      <w:r>
        <w:t xml:space="preserve">holding a workshop on 14 June 2013, at which AM Actuaries met with SP AusNet  </w:t>
      </w:r>
    </w:p>
    <w:p w:rsidR="0088341A" w:rsidRPr="00194E98" w:rsidRDefault="0088341A" w:rsidP="0088341A">
      <w:pPr>
        <w:pStyle w:val="AERbulletlistfirststyle"/>
      </w:pPr>
      <w:r>
        <w:t xml:space="preserve">visiting the Richmond and West Melbourne terminal stations on 29 July 2013, at which SP AusNet explained their proposal for those sites to </w:t>
      </w:r>
      <w:r w:rsidR="00E25F21">
        <w:t xml:space="preserve">the </w:t>
      </w:r>
      <w:r>
        <w:t>AER board members and staff</w:t>
      </w:r>
    </w:p>
    <w:p w:rsidR="0088341A" w:rsidRPr="00194E98" w:rsidRDefault="0088341A" w:rsidP="0088341A">
      <w:pPr>
        <w:pStyle w:val="AERbulletlistfirststyle"/>
      </w:pPr>
      <w:r w:rsidRPr="00194E98">
        <w:t>liaising with</w:t>
      </w:r>
      <w:r>
        <w:t xml:space="preserve"> other stakeholders, including </w:t>
      </w:r>
      <w:r w:rsidRPr="00194E98">
        <w:t xml:space="preserve">the </w:t>
      </w:r>
      <w:r w:rsidR="00315A2D">
        <w:t>Australian Energy Market Operator (</w:t>
      </w:r>
      <w:r>
        <w:t>AEMO</w:t>
      </w:r>
      <w:r w:rsidR="00315A2D">
        <w:t>)</w:t>
      </w:r>
      <w:r>
        <w:t xml:space="preserve"> (about SP AusNet's network capability incentive parameter action plan, NCIPAP)</w:t>
      </w:r>
      <w:r w:rsidR="00FE75B1">
        <w:t>.</w:t>
      </w:r>
    </w:p>
    <w:p w:rsidR="0088341A" w:rsidRPr="00194E98" w:rsidRDefault="0088341A" w:rsidP="0088341A">
      <w:pPr>
        <w:pStyle w:val="AERbulletlistfirststyle"/>
        <w:numPr>
          <w:ilvl w:val="0"/>
          <w:numId w:val="0"/>
        </w:numPr>
      </w:pPr>
      <w:r>
        <w:t>Further, our</w:t>
      </w:r>
      <w:r w:rsidRPr="00194E98">
        <w:t xml:space="preserve"> review team had extensive direct engagement with </w:t>
      </w:r>
      <w:r>
        <w:t>SP AusNet</w:t>
      </w:r>
      <w:r w:rsidRPr="00194E98">
        <w:t xml:space="preserve"> throughout the review process. Appen</w:t>
      </w:r>
      <w:r>
        <w:t>dix</w:t>
      </w:r>
      <w:r w:rsidRPr="006313BD">
        <w:rPr>
          <w:rStyle w:val="AERbody"/>
        </w:rPr>
        <w:t xml:space="preserve"> </w:t>
      </w:r>
      <w:r>
        <w:rPr>
          <w:rStyle w:val="AERbody"/>
        </w:rPr>
        <w:t>G</w:t>
      </w:r>
      <w:r w:rsidRPr="00194E98">
        <w:t xml:space="preserve"> sets out the key meetings </w:t>
      </w:r>
      <w:r w:rsidR="00315A2D">
        <w:t>between AER staff a</w:t>
      </w:r>
      <w:r>
        <w:t xml:space="preserve">nd </w:t>
      </w:r>
      <w:r w:rsidR="00315A2D">
        <w:t xml:space="preserve">key stakeholders (including SP AusNet) and </w:t>
      </w:r>
      <w:r>
        <w:t xml:space="preserve">additional information </w:t>
      </w:r>
      <w:r w:rsidR="00315A2D">
        <w:t xml:space="preserve">we </w:t>
      </w:r>
      <w:r>
        <w:t xml:space="preserve">received </w:t>
      </w:r>
      <w:r w:rsidR="00315A2D">
        <w:t>during our</w:t>
      </w:r>
      <w:r w:rsidRPr="00194E98">
        <w:t xml:space="preserve"> assessment</w:t>
      </w:r>
      <w:r w:rsidR="00315A2D">
        <w:t>.</w:t>
      </w:r>
      <w:r w:rsidRPr="00194E98">
        <w:t xml:space="preserve"> </w:t>
      </w:r>
    </w:p>
    <w:p w:rsidR="0088341A" w:rsidRPr="00A907E9" w:rsidRDefault="0088341A" w:rsidP="0088341A">
      <w:pPr>
        <w:pStyle w:val="Heading3"/>
        <w:numPr>
          <w:ilvl w:val="3"/>
          <w:numId w:val="20"/>
        </w:numPr>
      </w:pPr>
      <w:r w:rsidRPr="00A907E9">
        <w:t>Protected information submitted to the AER</w:t>
      </w:r>
    </w:p>
    <w:p w:rsidR="0088341A" w:rsidRDefault="0088341A" w:rsidP="0088341A">
      <w:pPr>
        <w:pStyle w:val="AERbodytext"/>
        <w:numPr>
          <w:ilvl w:val="0"/>
          <w:numId w:val="1"/>
        </w:numPr>
      </w:pPr>
      <w:r>
        <w:t>We are committed to treating protected information received from TNSPs and other stakeholders in accordance with the NEL. The NEL allows us to disclose protected information in certain circumstances.</w:t>
      </w:r>
      <w:r>
        <w:rPr>
          <w:rStyle w:val="FootnoteReference"/>
        </w:rPr>
        <w:footnoteReference w:id="20"/>
      </w:r>
      <w:r>
        <w:t xml:space="preserve"> </w:t>
      </w:r>
    </w:p>
    <w:p w:rsidR="0088341A" w:rsidRPr="00A907E9" w:rsidRDefault="0088341A" w:rsidP="0088341A">
      <w:pPr>
        <w:pStyle w:val="Heading3"/>
        <w:numPr>
          <w:ilvl w:val="3"/>
          <w:numId w:val="20"/>
        </w:numPr>
      </w:pPr>
      <w:r w:rsidRPr="00A907E9">
        <w:t>Structure of this document</w:t>
      </w:r>
    </w:p>
    <w:p w:rsidR="0088341A" w:rsidRDefault="0088341A" w:rsidP="0088341A">
      <w:pPr>
        <w:pStyle w:val="AERbodytext"/>
        <w:numPr>
          <w:ilvl w:val="0"/>
          <w:numId w:val="1"/>
        </w:numPr>
      </w:pPr>
      <w:r>
        <w:t>This draft decision is set out as follows:</w:t>
      </w:r>
    </w:p>
    <w:p w:rsidR="0088341A" w:rsidRDefault="0088341A" w:rsidP="0088341A">
      <w:pPr>
        <w:pStyle w:val="AERbulletlistfirststyle"/>
      </w:pPr>
      <w:r>
        <w:t>Part 1: AER’s draft decision overview—our</w:t>
      </w:r>
      <w:r w:rsidRPr="003B0FD2">
        <w:t xml:space="preserve"> </w:t>
      </w:r>
      <w:r>
        <w:t>draft decision on</w:t>
      </w:r>
      <w:r w:rsidRPr="003B0FD2">
        <w:t xml:space="preserve"> </w:t>
      </w:r>
      <w:r>
        <w:t>SP AusNet's</w:t>
      </w:r>
      <w:r w:rsidRPr="003B0FD2">
        <w:t xml:space="preserve"> revenue proposal</w:t>
      </w:r>
      <w:r>
        <w:t>, along with</w:t>
      </w:r>
      <w:r w:rsidRPr="003B0FD2">
        <w:t xml:space="preserve"> a summary of our reasons</w:t>
      </w:r>
    </w:p>
    <w:p w:rsidR="0088341A" w:rsidRDefault="0088341A" w:rsidP="0088341A">
      <w:pPr>
        <w:pStyle w:val="AERbulletlistfirststyle"/>
      </w:pPr>
      <w:r>
        <w:t>Part 2: attachments—a detailed analysis of the components of the draft decision</w:t>
      </w:r>
    </w:p>
    <w:p w:rsidR="0088341A" w:rsidRDefault="0088341A" w:rsidP="0088341A">
      <w:pPr>
        <w:pStyle w:val="AERbulletlistfirststyle"/>
      </w:pPr>
      <w:r>
        <w:t>Pa</w:t>
      </w:r>
      <w:r w:rsidR="00315A2D">
        <w:t>rt 3: appendixes—a discussion of</w:t>
      </w:r>
      <w:r>
        <w:t xml:space="preserve"> technical matters, sensitive information that is redacted from this draft decision, and information about stakeholder engagement. </w:t>
      </w:r>
    </w:p>
    <w:p w:rsidR="0088341A" w:rsidRDefault="0088341A" w:rsidP="0088341A">
      <w:pPr>
        <w:pStyle w:val="AERbodytext"/>
        <w:numPr>
          <w:ilvl w:val="0"/>
          <w:numId w:val="0"/>
        </w:numPr>
      </w:pPr>
    </w:p>
    <w:p w:rsidR="0088341A" w:rsidRPr="00B90642" w:rsidRDefault="0088341A" w:rsidP="0088341A">
      <w:pPr>
        <w:pStyle w:val="AERbodytext"/>
        <w:numPr>
          <w:ilvl w:val="0"/>
          <w:numId w:val="0"/>
        </w:numPr>
      </w:pPr>
    </w:p>
    <w:p w:rsidR="0088341A" w:rsidRDefault="0088341A" w:rsidP="0088341A">
      <w:pPr>
        <w:pStyle w:val="Heading1"/>
        <w:numPr>
          <w:ilvl w:val="1"/>
          <w:numId w:val="20"/>
        </w:numPr>
      </w:pPr>
      <w:bookmarkStart w:id="24" w:name="_Toc365283236"/>
      <w:bookmarkStart w:id="25" w:name="_Toc365461982"/>
      <w:r w:rsidRPr="00DA1409">
        <w:lastRenderedPageBreak/>
        <w:t>AER's</w:t>
      </w:r>
      <w:r w:rsidRPr="00B90642">
        <w:t xml:space="preserve"> approach</w:t>
      </w:r>
      <w:bookmarkEnd w:id="24"/>
      <w:bookmarkEnd w:id="25"/>
    </w:p>
    <w:p w:rsidR="0088341A" w:rsidRPr="00255975" w:rsidRDefault="0088341A" w:rsidP="0088341A">
      <w:bookmarkStart w:id="26" w:name="_Toc341686704"/>
      <w:r>
        <w:t xml:space="preserve">The </w:t>
      </w:r>
      <w:r w:rsidR="00315A2D">
        <w:t>National Electrcity Law (</w:t>
      </w:r>
      <w:r>
        <w:t>NEL</w:t>
      </w:r>
      <w:r w:rsidR="00315A2D">
        <w:t>)</w:t>
      </w:r>
      <w:r>
        <w:t xml:space="preserve"> and</w:t>
      </w:r>
      <w:r w:rsidRPr="00255975">
        <w:t xml:space="preserve"> </w:t>
      </w:r>
      <w:r w:rsidR="00315A2D">
        <w:t>National Electricity Rules (</w:t>
      </w:r>
      <w:r w:rsidRPr="00255975">
        <w:t>NER</w:t>
      </w:r>
      <w:r w:rsidR="00315A2D">
        <w:t>)</w:t>
      </w:r>
      <w:r w:rsidRPr="00255975">
        <w:t xml:space="preserve"> </w:t>
      </w:r>
      <w:r>
        <w:t>establish</w:t>
      </w:r>
      <w:r w:rsidRPr="00255975">
        <w:t xml:space="preserve"> </w:t>
      </w:r>
      <w:r>
        <w:t xml:space="preserve">the </w:t>
      </w:r>
      <w:r w:rsidRPr="00255975">
        <w:t xml:space="preserve">regulatory </w:t>
      </w:r>
      <w:r>
        <w:t xml:space="preserve">framework under which we regulate </w:t>
      </w:r>
      <w:r w:rsidR="00315A2D">
        <w:t>transmission network service providers (</w:t>
      </w:r>
      <w:r>
        <w:t>TNSPs</w:t>
      </w:r>
      <w:r w:rsidR="00315A2D">
        <w:t>)</w:t>
      </w:r>
      <w:r w:rsidRPr="00255975">
        <w:t xml:space="preserve">. </w:t>
      </w:r>
      <w:r>
        <w:t xml:space="preserve">They require </w:t>
      </w:r>
      <w:r w:rsidRPr="00255975">
        <w:t xml:space="preserve">TNSPs </w:t>
      </w:r>
      <w:r>
        <w:t>to</w:t>
      </w:r>
      <w:r w:rsidRPr="00255975">
        <w:t xml:space="preserve"> submit revenue proposal</w:t>
      </w:r>
      <w:r w:rsidR="0032109E">
        <w:t>s</w:t>
      </w:r>
      <w:r w:rsidRPr="00255975">
        <w:t xml:space="preserve"> to us</w:t>
      </w:r>
      <w:r>
        <w:t xml:space="preserve">. Our determination in response </w:t>
      </w:r>
      <w:r w:rsidR="00315A2D">
        <w:t xml:space="preserve">applies </w:t>
      </w:r>
      <w:r>
        <w:t>to a specific regulatory control period, and sets the maximum allowed revenue (MAR) that a TNSP can recover.</w:t>
      </w:r>
      <w:r w:rsidRPr="00255975">
        <w:t xml:space="preserve"> </w:t>
      </w:r>
    </w:p>
    <w:p w:rsidR="0088341A" w:rsidRPr="00DA1409" w:rsidRDefault="0088341A" w:rsidP="0088341A">
      <w:pPr>
        <w:pStyle w:val="Heading2"/>
        <w:numPr>
          <w:ilvl w:val="2"/>
          <w:numId w:val="20"/>
        </w:numPr>
      </w:pPr>
      <w:bookmarkStart w:id="27" w:name="_Toc365283237"/>
      <w:r w:rsidRPr="00DA1409">
        <w:t>SP AusNet's electricity transmission services</w:t>
      </w:r>
      <w:bookmarkEnd w:id="26"/>
      <w:bookmarkEnd w:id="27"/>
    </w:p>
    <w:p w:rsidR="0088341A" w:rsidRPr="002E4D98" w:rsidRDefault="0088341A" w:rsidP="0088341A">
      <w:pPr>
        <w:pStyle w:val="AERbodytext"/>
        <w:numPr>
          <w:ilvl w:val="0"/>
          <w:numId w:val="1"/>
        </w:numPr>
      </w:pPr>
      <w:bookmarkStart w:id="28" w:name="_Toc341686705"/>
      <w:r>
        <w:t xml:space="preserve">SP AusNet provides three types of services: </w:t>
      </w:r>
      <w:r w:rsidRPr="002E4D98">
        <w:t xml:space="preserve">prescribed transmission services, negotiated transmission services, and unregulated services. </w:t>
      </w:r>
      <w:r>
        <w:t>We treat each service differently.</w:t>
      </w:r>
    </w:p>
    <w:p w:rsidR="0088341A" w:rsidRDefault="0088341A" w:rsidP="0088341A">
      <w:r w:rsidRPr="00D902E9">
        <w:t>We regulate prescribe</w:t>
      </w:r>
      <w:r>
        <w:t>d</w:t>
      </w:r>
      <w:r w:rsidRPr="00D902E9">
        <w:t xml:space="preserve"> transmission services in accordance with a revenue cap </w:t>
      </w:r>
      <w:r>
        <w:t>that</w:t>
      </w:r>
      <w:r w:rsidRPr="00D902E9">
        <w:t xml:space="preserve"> sets the </w:t>
      </w:r>
      <w:r w:rsidR="00315A2D">
        <w:t>MAR</w:t>
      </w:r>
      <w:r w:rsidRPr="00D902E9">
        <w:t xml:space="preserve"> that a TNSP can recover each year through its network tariffs. This revenue recovers the economic cost of providing prescribed transmission services to customers. </w:t>
      </w:r>
      <w:r>
        <w:t>Broadly, prescribed transmission services are services that a TNSP must provide, that are necessary to ensure the integrity of the transmission network, and that usually do not exceed standard network performance requirements.</w:t>
      </w:r>
      <w:r>
        <w:rPr>
          <w:rStyle w:val="FootnoteReference"/>
        </w:rPr>
        <w:footnoteReference w:id="21"/>
      </w:r>
      <w:r>
        <w:t xml:space="preserve"> </w:t>
      </w:r>
    </w:p>
    <w:p w:rsidR="0088341A" w:rsidRPr="002E4D98" w:rsidRDefault="0088341A" w:rsidP="0088341A">
      <w:pPr>
        <w:pStyle w:val="AERbodytext"/>
        <w:numPr>
          <w:ilvl w:val="0"/>
          <w:numId w:val="1"/>
        </w:numPr>
      </w:pPr>
      <w:r>
        <w:t xml:space="preserve">For negotiated services, </w:t>
      </w:r>
      <w:r w:rsidRPr="002E4D98">
        <w:t>we do not set the revenue that</w:t>
      </w:r>
      <w:r>
        <w:t xml:space="preserve"> the TNSP </w:t>
      </w:r>
      <w:r w:rsidRPr="002E4D98">
        <w:t xml:space="preserve">can </w:t>
      </w:r>
      <w:r>
        <w:t>recover. Instead, we</w:t>
      </w:r>
      <w:r w:rsidRPr="002E4D98">
        <w:t xml:space="preserve"> approve a negotiating framework and negotiated transm</w:t>
      </w:r>
      <w:r>
        <w:t xml:space="preserve">ission service criteria (NTSC) to </w:t>
      </w:r>
      <w:r w:rsidRPr="002E4D98">
        <w:t>facilitate SP AusNet</w:t>
      </w:r>
      <w:r>
        <w:t>'s negotiations with</w:t>
      </w:r>
      <w:r w:rsidRPr="002E4D98">
        <w:t xml:space="preserve"> service applicants. The NE</w:t>
      </w:r>
      <w:r>
        <w:t>R sets out the types of service</w:t>
      </w:r>
      <w:r w:rsidRPr="002E4D98">
        <w:t xml:space="preserve"> that are classified as negotiated services.</w:t>
      </w:r>
      <w:r w:rsidRPr="002E4D98">
        <w:rPr>
          <w:rStyle w:val="FootnoteReference"/>
        </w:rPr>
        <w:footnoteReference w:id="22"/>
      </w:r>
      <w:r>
        <w:t xml:space="preserve"> These types</w:t>
      </w:r>
      <w:r w:rsidRPr="002E4D98">
        <w:t xml:space="preserve"> include shared transmission services </w:t>
      </w:r>
      <w:r>
        <w:t>that</w:t>
      </w:r>
      <w:r w:rsidRPr="002E4D98">
        <w:t xml:space="preserve"> exceed the</w:t>
      </w:r>
      <w:r>
        <w:t xml:space="preserve"> </w:t>
      </w:r>
      <w:r w:rsidRPr="002E4D98">
        <w:t xml:space="preserve">network performance requirements </w:t>
      </w:r>
      <w:r>
        <w:t>of</w:t>
      </w:r>
      <w:r w:rsidRPr="002E4D98">
        <w:t xml:space="preserve"> a TNSP and connection services that are provided to service one</w:t>
      </w:r>
      <w:r>
        <w:t xml:space="preserve"> user,</w:t>
      </w:r>
      <w:r w:rsidRPr="002E4D98">
        <w:t xml:space="preserve"> or</w:t>
      </w:r>
      <w:r>
        <w:t xml:space="preserve"> a</w:t>
      </w:r>
      <w:r w:rsidRPr="002E4D98">
        <w:t xml:space="preserve"> small group</w:t>
      </w:r>
      <w:r>
        <w:t xml:space="preserve"> of users,</w:t>
      </w:r>
      <w:r w:rsidRPr="002E4D98">
        <w:t xml:space="preserve"> at a single connection point.</w:t>
      </w:r>
      <w:r>
        <w:rPr>
          <w:rStyle w:val="FootnoteReference"/>
        </w:rPr>
        <w:footnoteReference w:id="23"/>
      </w:r>
      <w:r w:rsidRPr="002E4D98">
        <w:t xml:space="preserve"> </w:t>
      </w:r>
    </w:p>
    <w:p w:rsidR="0088341A" w:rsidRDefault="0088341A" w:rsidP="0088341A">
      <w:pPr>
        <w:pStyle w:val="AERbodytext"/>
        <w:numPr>
          <w:ilvl w:val="0"/>
          <w:numId w:val="1"/>
        </w:numPr>
      </w:pPr>
      <w:r>
        <w:t xml:space="preserve">Unregulated services are </w:t>
      </w:r>
      <w:r w:rsidR="00315A2D">
        <w:t xml:space="preserve">outside </w:t>
      </w:r>
      <w:r w:rsidRPr="002E4D98">
        <w:t xml:space="preserve">our jurisdiction. They </w:t>
      </w:r>
      <w:r w:rsidR="0032109E">
        <w:t>are</w:t>
      </w:r>
      <w:r w:rsidRPr="002E4D98">
        <w:t xml:space="preserve"> services that a TNSP p</w:t>
      </w:r>
      <w:r>
        <w:t xml:space="preserve">rovides in a competitive market, so </w:t>
      </w:r>
      <w:r w:rsidRPr="002E4D98">
        <w:t>the revenue derived from them is unregulated.</w:t>
      </w:r>
    </w:p>
    <w:p w:rsidR="0088341A" w:rsidRDefault="0088341A" w:rsidP="0088341A">
      <w:pPr>
        <w:pStyle w:val="Heading2"/>
        <w:numPr>
          <w:ilvl w:val="2"/>
          <w:numId w:val="20"/>
        </w:numPr>
      </w:pPr>
      <w:bookmarkStart w:id="29" w:name="_Toc365283238"/>
      <w:r>
        <w:t>Maximum allowed revenue</w:t>
      </w:r>
      <w:bookmarkEnd w:id="28"/>
      <w:bookmarkEnd w:id="29"/>
    </w:p>
    <w:p w:rsidR="0088341A" w:rsidRDefault="0088341A" w:rsidP="0088341A">
      <w:pPr>
        <w:pStyle w:val="AERbodytext"/>
        <w:numPr>
          <w:ilvl w:val="0"/>
          <w:numId w:val="1"/>
        </w:numPr>
      </w:pPr>
      <w:r>
        <w:t>SP AusNet recovers revenue from its customers via its network tariffs. Its pricing methodology (attachment 12), prescribes the way in which it recovers this revenue from users. To determine SP AusNet's revenue for the 2014–17 regulatory control period, we assessed the total revenue that SP AusNet requires to provide prescribed transmission services for each year of the period. This annual revenue requirement reflects the efficient costs of providing prescribed transmission services across the Victorian electricity transmission network. In accordance with the NER, we used the building block approach to determine the annual revenue requirement—that is, we based the revenue requirement on the estimated efficient costs that SP AusNet is likely to incur in providing prescribed transmission services. The underlying cost elements include:</w:t>
      </w:r>
      <w:r>
        <w:rPr>
          <w:rStyle w:val="FootnoteReference"/>
        </w:rPr>
        <w:footnoteReference w:id="24"/>
      </w:r>
    </w:p>
    <w:p w:rsidR="0088341A" w:rsidRPr="00CA4995" w:rsidRDefault="0088341A" w:rsidP="0088341A">
      <w:pPr>
        <w:pStyle w:val="AERbulletlistfirststyle"/>
      </w:pPr>
      <w:r w:rsidRPr="00CA4995">
        <w:t xml:space="preserve">a return on the </w:t>
      </w:r>
      <w:r w:rsidR="00315A2D">
        <w:t>regulatory asset base (</w:t>
      </w:r>
      <w:r>
        <w:t>RAB</w:t>
      </w:r>
      <w:r w:rsidR="00315A2D">
        <w:t>)</w:t>
      </w:r>
      <w:r w:rsidRPr="00CA4995">
        <w:t xml:space="preserve"> (return on capital)</w:t>
      </w:r>
    </w:p>
    <w:p w:rsidR="0088341A" w:rsidRPr="00CA4995" w:rsidRDefault="0088341A" w:rsidP="0088341A">
      <w:pPr>
        <w:pStyle w:val="AERbulletlistfirststyle"/>
      </w:pPr>
      <w:r w:rsidRPr="00CA4995">
        <w:t xml:space="preserve">depreciation of the </w:t>
      </w:r>
      <w:r>
        <w:t>RAB</w:t>
      </w:r>
      <w:r w:rsidRPr="00CA4995">
        <w:t xml:space="preserve"> (return of capital)</w:t>
      </w:r>
    </w:p>
    <w:p w:rsidR="0088341A" w:rsidRPr="00CA4995" w:rsidRDefault="0088341A" w:rsidP="0088341A">
      <w:pPr>
        <w:pStyle w:val="AERbulletlistfirststyle"/>
      </w:pPr>
      <w:r w:rsidRPr="00CA4995">
        <w:t xml:space="preserve">forecast </w:t>
      </w:r>
      <w:r>
        <w:t>opex</w:t>
      </w:r>
    </w:p>
    <w:p w:rsidR="0088341A" w:rsidRPr="00CA4995" w:rsidRDefault="0088341A" w:rsidP="0088341A">
      <w:pPr>
        <w:pStyle w:val="AERbulletlistfirststyle"/>
      </w:pPr>
      <w:r w:rsidRPr="00CA4995">
        <w:t>increments or decrements resulting from the efficiency benefit sharing scheme (EBSS)</w:t>
      </w:r>
    </w:p>
    <w:p w:rsidR="0088341A" w:rsidRPr="00CA4995" w:rsidRDefault="0088341A" w:rsidP="0088341A">
      <w:pPr>
        <w:pStyle w:val="AERbulletlistfirststyle"/>
      </w:pPr>
      <w:r w:rsidRPr="00CA4995">
        <w:t>the estimated cost of corporate income tax.</w:t>
      </w:r>
    </w:p>
    <w:p w:rsidR="0088341A" w:rsidRDefault="0088341A" w:rsidP="0088341A">
      <w:pPr>
        <w:pStyle w:val="AERbodytext"/>
        <w:numPr>
          <w:ilvl w:val="0"/>
          <w:numId w:val="1"/>
        </w:numPr>
      </w:pPr>
      <w:r>
        <w:lastRenderedPageBreak/>
        <w:t xml:space="preserve">Our assessment of capex directly affects the size of the RAB and, therefore, the return on capital and return of capital building blocks. </w:t>
      </w:r>
    </w:p>
    <w:p w:rsidR="0088341A" w:rsidRPr="004D10B1" w:rsidRDefault="0088341A" w:rsidP="0088341A">
      <w:pPr>
        <w:pStyle w:val="Caption"/>
      </w:pPr>
      <w:bookmarkStart w:id="30" w:name="_Ref337646231"/>
      <w:bookmarkStart w:id="31" w:name="_Ref337646227"/>
      <w:r>
        <w:t xml:space="preserve">Figure </w:t>
      </w:r>
      <w:fldSimple w:instr=" STYLEREF 1 \s ">
        <w:r w:rsidR="004F35AA">
          <w:rPr>
            <w:noProof/>
          </w:rPr>
          <w:t>2</w:t>
        </w:r>
      </w:fldSimple>
      <w:r w:rsidR="00C56A87">
        <w:t>.</w:t>
      </w:r>
      <w:fldSimple w:instr=" SEQ Figure \* ARABIC \s 1 ">
        <w:r w:rsidR="004F35AA">
          <w:rPr>
            <w:noProof/>
          </w:rPr>
          <w:t>1</w:t>
        </w:r>
      </w:fldSimple>
      <w:bookmarkEnd w:id="30"/>
      <w:r>
        <w:tab/>
        <w:t>The b</w:t>
      </w:r>
      <w:r w:rsidRPr="00185CC6">
        <w:t xml:space="preserve">uilding </w:t>
      </w:r>
      <w:r w:rsidRPr="004D10B1">
        <w:t>block approach</w:t>
      </w:r>
      <w:bookmarkEnd w:id="31"/>
      <w:r>
        <w:t xml:space="preserve"> for determining total revenue</w:t>
      </w:r>
    </w:p>
    <w:p w:rsidR="0088341A" w:rsidRPr="00320717" w:rsidRDefault="0088341A" w:rsidP="0088341A">
      <w:pPr>
        <w:pStyle w:val="AERbodytext"/>
        <w:numPr>
          <w:ilvl w:val="0"/>
          <w:numId w:val="1"/>
        </w:numPr>
      </w:pPr>
      <w:r>
        <w:rPr>
          <w:noProof/>
          <w:lang w:eastAsia="en-AU"/>
        </w:rPr>
        <mc:AlternateContent>
          <mc:Choice Requires="wps">
            <w:drawing>
              <wp:anchor distT="0" distB="0" distL="114300" distR="114300" simplePos="0" relativeHeight="251672576" behindDoc="0" locked="0" layoutInCell="1" allowOverlap="1" wp14:anchorId="08DB084C" wp14:editId="55DA1231">
                <wp:simplePos x="0" y="0"/>
                <wp:positionH relativeFrom="column">
                  <wp:posOffset>4520565</wp:posOffset>
                </wp:positionH>
                <wp:positionV relativeFrom="paragraph">
                  <wp:posOffset>1494155</wp:posOffset>
                </wp:positionV>
                <wp:extent cx="1104900" cy="281940"/>
                <wp:effectExtent l="5715" t="8255" r="13335" b="508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81940"/>
                        </a:xfrm>
                        <a:prstGeom prst="rect">
                          <a:avLst/>
                        </a:prstGeom>
                        <a:solidFill>
                          <a:srgbClr val="FFFFFF"/>
                        </a:solidFill>
                        <a:ln w="9525">
                          <a:solidFill>
                            <a:srgbClr val="FFFFFF"/>
                          </a:solidFill>
                          <a:miter lim="800000"/>
                          <a:headEnd/>
                          <a:tailEnd/>
                        </a:ln>
                      </wps:spPr>
                      <wps:txbx>
                        <w:txbxContent>
                          <w:p w:rsidR="009E166E" w:rsidRPr="002569F7" w:rsidRDefault="009E166E" w:rsidP="0088341A">
                            <w:pPr>
                              <w:rPr>
                                <w:rFonts w:ascii="Calibri" w:hAnsi="Calibri"/>
                              </w:rPr>
                            </w:pPr>
                            <w:r w:rsidRPr="002569F7">
                              <w:rPr>
                                <w:rFonts w:ascii="Calibri" w:hAnsi="Calibri"/>
                              </w:rPr>
                              <w:t>Total revenue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26" type="#_x0000_t202" style="position:absolute;left:0;text-align:left;margin-left:355.95pt;margin-top:117.65pt;width:87pt;height:2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" strokecolor="white">
                <v:textbox>
                  <w:txbxContent>
                    <w:p w:rsidR="009E166E" w:rsidRPr="002569F7" w:rsidRDefault="009E166E" w:rsidP="0088341A">
                      <w:pPr>
                        <w:rPr>
                          <w:rFonts w:ascii="Calibri" w:hAnsi="Calibri"/>
                        </w:rPr>
                      </w:pPr>
                      <w:r w:rsidRPr="002569F7">
                        <w:rPr>
                          <w:rFonts w:ascii="Calibri" w:hAnsi="Calibri"/>
                        </w:rPr>
                        <w:t>Total revenue</w:t>
                      </w:r>
                    </w:p>
                  </w:txbxContent>
                </v:textbox>
              </v:shape>
            </w:pict>
          </mc:Fallback>
        </mc:AlternateContent>
      </w:r>
      <w:r>
        <w:rPr>
          <w:noProof/>
          <w:lang w:eastAsia="en-AU"/>
        </w:rPr>
        <mc:AlternateContent>
          <mc:Choice Requires="wpc">
            <w:drawing>
              <wp:inline distT="0" distB="0" distL="0" distR="0" wp14:anchorId="29F8BFB0" wp14:editId="46DE8D44">
                <wp:extent cx="5459095" cy="3396615"/>
                <wp:effectExtent l="9525" t="0" r="0" b="22860"/>
                <wp:docPr id="88" name="Canvas 88" descr="Image outlining the bulding block model. The table's contents were described in the previous paragraph."/>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6" name="Text Box 5"/>
                        <wps:cNvSpPr txBox="1">
                          <a:spLocks noChangeArrowheads="1"/>
                        </wps:cNvSpPr>
                        <wps:spPr bwMode="auto">
                          <a:xfrm>
                            <a:off x="1491615" y="5080"/>
                            <a:ext cx="2470150" cy="633730"/>
                          </a:xfrm>
                          <a:prstGeom prst="rect">
                            <a:avLst/>
                          </a:prstGeom>
                          <a:gradFill rotWithShape="0">
                            <a:gsLst>
                              <a:gs pos="0">
                                <a:srgbClr val="C00000">
                                  <a:alpha val="50000"/>
                                </a:srgbClr>
                              </a:gs>
                              <a:gs pos="100000">
                                <a:srgbClr val="C00000">
                                  <a:gamma/>
                                  <a:tint val="88235"/>
                                  <a:invGamma/>
                                </a:srgbClr>
                              </a:gs>
                            </a:gsLst>
                            <a:path path="shape">
                              <a:fillToRect l="50000" t="50000" r="50000" b="50000"/>
                            </a:path>
                          </a:gradFill>
                          <a:ln w="0">
                            <a:solidFill>
                              <a:srgbClr val="C00000"/>
                            </a:solidFill>
                            <a:miter lim="800000"/>
                            <a:headEnd/>
                            <a:tailEnd/>
                          </a:ln>
                          <a:effectLst>
                            <a:outerShdw dist="28398" dir="3806097" algn="ctr" rotWithShape="0">
                              <a:srgbClr val="622423"/>
                            </a:outerShdw>
                          </a:effectLst>
                        </wps:spPr>
                        <wps:txbx>
                          <w:txbxContent>
                            <w:p w:rsidR="009E166E" w:rsidRPr="001C2CD9" w:rsidRDefault="009E166E" w:rsidP="0088341A">
                              <w:pPr>
                                <w:rPr>
                                  <w:rFonts w:ascii="Calibri" w:hAnsi="Calibri"/>
                                  <w:b/>
                                  <w:color w:val="FFFFFF"/>
                                  <w:sz w:val="22"/>
                                  <w:szCs w:val="22"/>
                                </w:rPr>
                              </w:pPr>
                              <w:r w:rsidRPr="00E4098A">
                                <w:rPr>
                                  <w:rFonts w:ascii="Calibri" w:hAnsi="Calibri"/>
                                  <w:color w:val="FFFFFF"/>
                                  <w:sz w:val="22"/>
                                  <w:szCs w:val="22"/>
                                </w:rPr>
                                <w:t xml:space="preserve">Return on capital </w:t>
                              </w:r>
                              <w:r>
                                <w:rPr>
                                  <w:rFonts w:ascii="Calibri" w:hAnsi="Calibri"/>
                                  <w:color w:val="FFFFFF"/>
                                  <w:sz w:val="22"/>
                                  <w:szCs w:val="22"/>
                                </w:rPr>
                                <w:t xml:space="preserve">(forecast RAB </w:t>
                              </w:r>
                              <w:r w:rsidRPr="00E4098A">
                                <w:rPr>
                                  <w:rFonts w:ascii="Calibri" w:hAnsi="Calibri"/>
                                  <w:color w:val="FFFFFF"/>
                                  <w:sz w:val="22"/>
                                  <w:szCs w:val="22"/>
                                </w:rPr>
                                <w:t>× cost of capital)</w:t>
                              </w:r>
                            </w:p>
                          </w:txbxContent>
                        </wps:txbx>
                        <wps:bodyPr rot="0" vert="horz" wrap="square" lIns="91440" tIns="45720" rIns="91440" bIns="45720" anchor="t" anchorCtr="0" upright="1">
                          <a:noAutofit/>
                        </wps:bodyPr>
                      </wps:wsp>
                      <wps:wsp>
                        <wps:cNvPr id="77" name="Text Box 6"/>
                        <wps:cNvSpPr txBox="1">
                          <a:spLocks noChangeArrowheads="1"/>
                        </wps:cNvSpPr>
                        <wps:spPr bwMode="auto">
                          <a:xfrm>
                            <a:off x="1491615" y="694055"/>
                            <a:ext cx="2470150" cy="633730"/>
                          </a:xfrm>
                          <a:prstGeom prst="rect">
                            <a:avLst/>
                          </a:prstGeom>
                          <a:gradFill rotWithShape="0">
                            <a:gsLst>
                              <a:gs pos="0">
                                <a:srgbClr val="C0504D"/>
                              </a:gs>
                              <a:gs pos="50000">
                                <a:srgbClr val="C0504D">
                                  <a:gamma/>
                                  <a:tint val="97647"/>
                                  <a:invGamma/>
                                </a:srgbClr>
                              </a:gs>
                              <a:gs pos="100000">
                                <a:srgbClr val="C0504D"/>
                              </a:gs>
                            </a:gsLst>
                            <a:lin ang="5400000" scaled="1"/>
                          </a:gradFill>
                          <a:ln w="12700">
                            <a:solidFill>
                              <a:srgbClr val="D99594"/>
                            </a:solidFill>
                            <a:miter lim="800000"/>
                            <a:headEnd/>
                            <a:tailEnd/>
                          </a:ln>
                          <a:effectLst>
                            <a:outerShdw dist="28398" dir="3806097" algn="ctr" rotWithShape="0">
                              <a:srgbClr val="622423"/>
                            </a:outerShdw>
                          </a:effectLst>
                        </wps:spPr>
                        <wps:txbx>
                          <w:txbxContent>
                            <w:p w:rsidR="009E166E" w:rsidRPr="00E4098A" w:rsidRDefault="009E166E" w:rsidP="0088341A">
                              <w:pPr>
                                <w:rPr>
                                  <w:rFonts w:ascii="Calibri" w:hAnsi="Calibri"/>
                                  <w:color w:val="FFFFFF"/>
                                  <w:sz w:val="22"/>
                                  <w:szCs w:val="22"/>
                                </w:rPr>
                              </w:pPr>
                              <w:r w:rsidRPr="00E4098A">
                                <w:rPr>
                                  <w:rFonts w:ascii="Calibri" w:hAnsi="Calibri"/>
                                  <w:color w:val="FFFFFF"/>
                                  <w:sz w:val="22"/>
                                  <w:szCs w:val="22"/>
                                </w:rPr>
                                <w:t xml:space="preserve">Regulatory depreciation (depreciation </w:t>
                              </w:r>
                              <w:r>
                                <w:rPr>
                                  <w:rFonts w:ascii="Calibri" w:hAnsi="Calibri"/>
                                  <w:color w:val="FFFFFF"/>
                                  <w:sz w:val="22"/>
                                  <w:szCs w:val="22"/>
                                </w:rPr>
                                <w:t>[</w:t>
                              </w:r>
                              <w:r w:rsidRPr="00E4098A">
                                <w:rPr>
                                  <w:rFonts w:ascii="Calibri" w:hAnsi="Calibri"/>
                                  <w:color w:val="FFFFFF"/>
                                  <w:sz w:val="22"/>
                                  <w:szCs w:val="22"/>
                                </w:rPr>
                                <w:t>net of indexation</w:t>
                              </w:r>
                              <w:r>
                                <w:rPr>
                                  <w:rFonts w:ascii="Calibri" w:hAnsi="Calibri"/>
                                  <w:color w:val="FFFFFF"/>
                                  <w:sz w:val="22"/>
                                  <w:szCs w:val="22"/>
                                </w:rPr>
                                <w:t>]</w:t>
                              </w:r>
                              <w:r w:rsidRPr="00E4098A">
                                <w:rPr>
                                  <w:rFonts w:ascii="Calibri" w:hAnsi="Calibri"/>
                                  <w:color w:val="FFFFFF"/>
                                  <w:sz w:val="22"/>
                                  <w:szCs w:val="22"/>
                                </w:rPr>
                                <w:t xml:space="preserve"> applied </w:t>
                              </w:r>
                              <w:r>
                                <w:rPr>
                                  <w:rFonts w:ascii="Calibri" w:hAnsi="Calibri"/>
                                  <w:color w:val="FFFFFF"/>
                                  <w:sz w:val="22"/>
                                  <w:szCs w:val="22"/>
                                </w:rPr>
                                <w:t>to the RAB</w:t>
                              </w:r>
                              <w:r w:rsidRPr="00E4098A">
                                <w:rPr>
                                  <w:rFonts w:ascii="Calibri" w:hAnsi="Calibri"/>
                                  <w:color w:val="FFFFFF"/>
                                  <w:sz w:val="22"/>
                                  <w:szCs w:val="22"/>
                                </w:rPr>
                                <w:t>)</w:t>
                              </w:r>
                            </w:p>
                          </w:txbxContent>
                        </wps:txbx>
                        <wps:bodyPr rot="0" vert="horz" wrap="square" lIns="91440" tIns="45720" rIns="91440" bIns="45720" anchor="t" anchorCtr="0" upright="1">
                          <a:noAutofit/>
                        </wps:bodyPr>
                      </wps:wsp>
                      <wps:wsp>
                        <wps:cNvPr id="78" name="Text Box 7"/>
                        <wps:cNvSpPr txBox="1">
                          <a:spLocks noChangeArrowheads="1"/>
                        </wps:cNvSpPr>
                        <wps:spPr bwMode="auto">
                          <a:xfrm>
                            <a:off x="1491615" y="2762885"/>
                            <a:ext cx="2470150" cy="633730"/>
                          </a:xfrm>
                          <a:prstGeom prst="rect">
                            <a:avLst/>
                          </a:prstGeom>
                          <a:gradFill rotWithShape="0">
                            <a:gsLst>
                              <a:gs pos="0">
                                <a:srgbClr val="76923C"/>
                              </a:gs>
                              <a:gs pos="100000">
                                <a:srgbClr val="76923C">
                                  <a:gamma/>
                                  <a:shade val="97647"/>
                                  <a:invGamma/>
                                </a:srgbClr>
                              </a:gs>
                            </a:gsLst>
                            <a:lin ang="5400000" scaled="1"/>
                          </a:gradFill>
                          <a:ln w="12700">
                            <a:solidFill>
                              <a:srgbClr val="548DD4"/>
                            </a:solidFill>
                            <a:miter lim="800000"/>
                            <a:headEnd/>
                            <a:tailEnd/>
                          </a:ln>
                          <a:effectLst>
                            <a:outerShdw dist="28398" dir="3806097" algn="ctr" rotWithShape="0">
                              <a:srgbClr val="622423">
                                <a:alpha val="50000"/>
                              </a:srgbClr>
                            </a:outerShdw>
                          </a:effectLst>
                        </wps:spPr>
                        <wps:txbx>
                          <w:txbxContent>
                            <w:p w:rsidR="009E166E" w:rsidRPr="00315A2D" w:rsidRDefault="009E166E" w:rsidP="00315A2D">
                              <w:pPr>
                                <w:spacing w:after="200" w:line="276" w:lineRule="auto"/>
                                <w:jc w:val="left"/>
                                <w:rPr>
                                  <w:rStyle w:val="AERbody"/>
                                  <w:rFonts w:asciiTheme="minorHAnsi" w:hAnsiTheme="minorHAnsi" w:cstheme="minorHAnsi"/>
                                  <w:color w:val="FFFFFF"/>
                                  <w:sz w:val="22"/>
                                  <w:szCs w:val="22"/>
                                </w:rPr>
                              </w:pPr>
                              <w:r w:rsidRPr="00315A2D">
                                <w:rPr>
                                  <w:rStyle w:val="AERbody"/>
                                  <w:rFonts w:asciiTheme="minorHAnsi" w:hAnsiTheme="minorHAnsi" w:cstheme="minorHAnsi"/>
                                  <w:color w:val="FFFFFF"/>
                                  <w:sz w:val="22"/>
                                  <w:szCs w:val="22"/>
                                </w:rPr>
                                <w:t>Corporate income tax (net of value of imputation</w:t>
                              </w:r>
                              <w:r w:rsidRPr="00315A2D">
                                <w:rPr>
                                  <w:rStyle w:val="AERbody"/>
                                  <w:rFonts w:asciiTheme="minorHAnsi" w:hAnsiTheme="minorHAnsi" w:cstheme="minorHAnsi"/>
                                  <w:sz w:val="22"/>
                                  <w:szCs w:val="22"/>
                                </w:rPr>
                                <w:t xml:space="preserve"> </w:t>
                              </w:r>
                              <w:r w:rsidRPr="00315A2D">
                                <w:rPr>
                                  <w:rStyle w:val="AERbody"/>
                                  <w:rFonts w:asciiTheme="minorHAnsi" w:hAnsiTheme="minorHAnsi" w:cstheme="minorHAnsi"/>
                                  <w:color w:val="FFFFFF"/>
                                  <w:sz w:val="22"/>
                                  <w:szCs w:val="22"/>
                                </w:rPr>
                                <w:t>credits)</w:t>
                              </w:r>
                              <w:r w:rsidRPr="00315A2D">
                                <w:rPr>
                                  <w:rStyle w:val="AERbody"/>
                                  <w:rFonts w:asciiTheme="minorHAnsi" w:hAnsiTheme="minorHAnsi" w:cstheme="minorHAnsi"/>
                                  <w:color w:val="FFFFFF"/>
                                  <w:sz w:val="22"/>
                                  <w:szCs w:val="22"/>
                                </w:rPr>
                                <w:br/>
                              </w:r>
                            </w:p>
                          </w:txbxContent>
                        </wps:txbx>
                        <wps:bodyPr rot="0" vert="horz" wrap="square" lIns="91440" tIns="45720" rIns="91440" bIns="45720" anchor="t" anchorCtr="0" upright="1">
                          <a:noAutofit/>
                        </wps:bodyPr>
                      </wps:wsp>
                      <wps:wsp>
                        <wps:cNvPr id="79" name="Line 8"/>
                        <wps:cNvCnPr/>
                        <wps:spPr bwMode="auto">
                          <a:xfrm>
                            <a:off x="4051935" y="5080"/>
                            <a:ext cx="344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9"/>
                        <wps:cNvCnPr/>
                        <wps:spPr bwMode="auto">
                          <a:xfrm>
                            <a:off x="4051935" y="3337560"/>
                            <a:ext cx="3448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10"/>
                        <wps:cNvCnPr/>
                        <wps:spPr bwMode="auto">
                          <a:xfrm>
                            <a:off x="4396740" y="5080"/>
                            <a:ext cx="0" cy="3333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11"/>
                        <wps:cNvCnPr/>
                        <wps:spPr bwMode="auto">
                          <a:xfrm flipH="1">
                            <a:off x="1063625" y="5080"/>
                            <a:ext cx="344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12"/>
                        <wps:cNvCnPr/>
                        <wps:spPr bwMode="auto">
                          <a:xfrm flipH="1">
                            <a:off x="1063625" y="1384300"/>
                            <a:ext cx="3448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13"/>
                        <wps:cNvCnPr/>
                        <wps:spPr bwMode="auto">
                          <a:xfrm>
                            <a:off x="1063625" y="5080"/>
                            <a:ext cx="0" cy="1379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Text Box 14"/>
                        <wps:cNvSpPr txBox="1">
                          <a:spLocks noChangeArrowheads="1"/>
                        </wps:cNvSpPr>
                        <wps:spPr bwMode="auto">
                          <a:xfrm>
                            <a:off x="0" y="412115"/>
                            <a:ext cx="1026795" cy="281940"/>
                          </a:xfrm>
                          <a:prstGeom prst="rect">
                            <a:avLst/>
                          </a:prstGeom>
                          <a:solidFill>
                            <a:srgbClr val="FFFFFF"/>
                          </a:solidFill>
                          <a:ln w="9525">
                            <a:solidFill>
                              <a:srgbClr val="FFFFFF"/>
                            </a:solidFill>
                            <a:miter lim="800000"/>
                            <a:headEnd/>
                            <a:tailEnd/>
                          </a:ln>
                        </wps:spPr>
                        <wps:txbx>
                          <w:txbxContent>
                            <w:p w:rsidR="009E166E" w:rsidRPr="002569F7" w:rsidRDefault="009E166E" w:rsidP="0088341A">
                              <w:pPr>
                                <w:rPr>
                                  <w:rFonts w:ascii="Calibri" w:hAnsi="Calibri"/>
                                </w:rPr>
                              </w:pPr>
                              <w:r w:rsidRPr="002569F7">
                                <w:rPr>
                                  <w:rFonts w:ascii="Calibri" w:hAnsi="Calibri"/>
                                </w:rPr>
                                <w:t>Capital costs</w:t>
                              </w:r>
                            </w:p>
                          </w:txbxContent>
                        </wps:txbx>
                        <wps:bodyPr rot="0" vert="horz" wrap="square" lIns="91440" tIns="45720" rIns="91440" bIns="45720" anchor="t" anchorCtr="0" upright="1">
                          <a:noAutofit/>
                        </wps:bodyPr>
                      </wps:wsp>
                      <wps:wsp>
                        <wps:cNvPr id="86" name="Text Box 15"/>
                        <wps:cNvSpPr txBox="1">
                          <a:spLocks noChangeArrowheads="1"/>
                        </wps:cNvSpPr>
                        <wps:spPr bwMode="auto">
                          <a:xfrm>
                            <a:off x="1491615" y="1384935"/>
                            <a:ext cx="2470150" cy="633730"/>
                          </a:xfrm>
                          <a:prstGeom prst="rect">
                            <a:avLst/>
                          </a:prstGeom>
                          <a:gradFill rotWithShape="0">
                            <a:gsLst>
                              <a:gs pos="0">
                                <a:srgbClr val="365F91"/>
                              </a:gs>
                              <a:gs pos="100000">
                                <a:srgbClr val="365F91"/>
                              </a:gs>
                            </a:gsLst>
                            <a:lin ang="5400000" scaled="1"/>
                          </a:gradFill>
                          <a:ln w="12700">
                            <a:solidFill>
                              <a:srgbClr val="365F91"/>
                            </a:solidFill>
                            <a:miter lim="800000"/>
                            <a:headEnd/>
                            <a:tailEnd/>
                          </a:ln>
                          <a:effectLst>
                            <a:outerShdw dist="28398" dir="3806097" algn="ctr" rotWithShape="0">
                              <a:srgbClr val="3F3151">
                                <a:alpha val="50000"/>
                              </a:srgbClr>
                            </a:outerShdw>
                          </a:effectLst>
                        </wps:spPr>
                        <wps:txbx>
                          <w:txbxContent>
                            <w:p w:rsidR="009E166E" w:rsidRPr="008D2606" w:rsidRDefault="009E166E" w:rsidP="0088341A">
                              <w:pPr>
                                <w:spacing w:after="200" w:line="276" w:lineRule="auto"/>
                                <w:rPr>
                                  <w:rFonts w:ascii="Calibri" w:hAnsi="Calibri"/>
                                  <w:color w:val="FFFFFF"/>
                                  <w:sz w:val="22"/>
                                  <w:szCs w:val="22"/>
                                </w:rPr>
                              </w:pPr>
                              <w:r w:rsidRPr="008D2606">
                                <w:rPr>
                                  <w:rFonts w:ascii="Calibri" w:hAnsi="Calibri"/>
                                  <w:color w:val="FFFFFF"/>
                                  <w:sz w:val="22"/>
                                  <w:szCs w:val="22"/>
                                </w:rPr>
                                <w:t xml:space="preserve">Operating </w:t>
                              </w:r>
                              <w:r w:rsidRPr="00664FB1">
                                <w:rPr>
                                  <w:rFonts w:ascii="Calibri" w:hAnsi="Calibri"/>
                                  <w:color w:val="FFFFFF"/>
                                  <w:sz w:val="22"/>
                                  <w:szCs w:val="22"/>
                                </w:rPr>
                                <w:t>expenditure (opex)</w:t>
                              </w:r>
                              <w:r>
                                <w:t xml:space="preserve"> </w:t>
                              </w:r>
                            </w:p>
                            <w:p w:rsidR="009E166E" w:rsidRPr="004414F4" w:rsidRDefault="009E166E" w:rsidP="0088341A">
                              <w:pPr>
                                <w:rPr>
                                  <w:color w:val="FFFFFF"/>
                                </w:rPr>
                              </w:pPr>
                            </w:p>
                          </w:txbxContent>
                        </wps:txbx>
                        <wps:bodyPr rot="0" vert="horz" wrap="square" lIns="91440" tIns="45720" rIns="91440" bIns="45720" anchor="t" anchorCtr="0" upright="1">
                          <a:noAutofit/>
                        </wps:bodyPr>
                      </wps:wsp>
                      <wps:wsp>
                        <wps:cNvPr id="87" name="Text Box 16"/>
                        <wps:cNvSpPr txBox="1">
                          <a:spLocks noChangeArrowheads="1"/>
                        </wps:cNvSpPr>
                        <wps:spPr bwMode="auto">
                          <a:xfrm>
                            <a:off x="1491615" y="2080895"/>
                            <a:ext cx="2470150" cy="633730"/>
                          </a:xfrm>
                          <a:prstGeom prst="rect">
                            <a:avLst/>
                          </a:prstGeom>
                          <a:gradFill rotWithShape="0">
                            <a:gsLst>
                              <a:gs pos="0">
                                <a:srgbClr val="548DD4"/>
                              </a:gs>
                              <a:gs pos="100000">
                                <a:srgbClr val="548DD4"/>
                              </a:gs>
                            </a:gsLst>
                            <a:lin ang="5400000" scaled="1"/>
                          </a:gradFill>
                          <a:ln w="12700">
                            <a:solidFill>
                              <a:srgbClr val="76923C"/>
                            </a:solidFill>
                            <a:miter lim="800000"/>
                            <a:headEnd/>
                            <a:tailEnd/>
                          </a:ln>
                          <a:effectLst>
                            <a:outerShdw dist="28398" dir="3806097" algn="ctr" rotWithShape="0">
                              <a:srgbClr val="205867">
                                <a:alpha val="50000"/>
                              </a:srgbClr>
                            </a:outerShdw>
                          </a:effectLst>
                        </wps:spPr>
                        <wps:txbx>
                          <w:txbxContent>
                            <w:p w:rsidR="009E166E" w:rsidRPr="008D2606" w:rsidRDefault="009E166E" w:rsidP="0088341A">
                              <w:pPr>
                                <w:spacing w:after="200" w:line="276" w:lineRule="auto"/>
                                <w:rPr>
                                  <w:rFonts w:ascii="Calibri" w:hAnsi="Calibri"/>
                                  <w:color w:val="FFFFFF"/>
                                  <w:sz w:val="22"/>
                                  <w:szCs w:val="22"/>
                                </w:rPr>
                              </w:pPr>
                              <w:r w:rsidRPr="008D2606">
                                <w:rPr>
                                  <w:rFonts w:ascii="Calibri" w:hAnsi="Calibri"/>
                                  <w:color w:val="FFFFFF"/>
                                  <w:sz w:val="22"/>
                                  <w:szCs w:val="22"/>
                                </w:rPr>
                                <w:t>Efficiency benefit sharing scheme</w:t>
                              </w:r>
                              <w:r>
                                <w:rPr>
                                  <w:rFonts w:ascii="Calibri" w:hAnsi="Calibri"/>
                                  <w:color w:val="FFFFFF"/>
                                  <w:sz w:val="22"/>
                                  <w:szCs w:val="22"/>
                                </w:rPr>
                                <w:t xml:space="preserve"> (EBSS)</w:t>
                              </w:r>
                              <w:r w:rsidRPr="008D2606">
                                <w:rPr>
                                  <w:rFonts w:ascii="Calibri" w:hAnsi="Calibri"/>
                                  <w:color w:val="FFFFFF"/>
                                  <w:sz w:val="22"/>
                                  <w:szCs w:val="22"/>
                                </w:rPr>
                                <w:br/>
                                <w:t>(increment or decrement)</w:t>
                              </w:r>
                            </w:p>
                            <w:p w:rsidR="009E166E" w:rsidRPr="00F51767" w:rsidRDefault="009E166E" w:rsidP="0088341A"/>
                          </w:txbxContent>
                        </wps:txbx>
                        <wps:bodyPr rot="0" vert="horz" wrap="square" lIns="91440" tIns="45720" rIns="91440" bIns="45720" anchor="t" anchorCtr="0" upright="1">
                          <a:noAutofit/>
                        </wps:bodyPr>
                      </wps:wsp>
                    </wpc:wpc>
                  </a:graphicData>
                </a:graphic>
              </wp:inline>
            </w:drawing>
          </mc:Choice>
          <mc:Fallback>
            <w:pict>
              <v:group id="Canvas 88" o:spid="_x0000_s1027" editas="canvas" alt="Description: Image outlining the bulding block model. The table's contents were described in the previous paragraph." style="width:429.85pt;height:267.45pt;mso-position-horizontal-relative:char;mso-position-vertical-relative:line" coordsize="54590,33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Image outlining the bulding block model. The table's contents were described in the previous paragraph." style="position:absolute;width:54590;height:33966;visibility:visible;mso-wrap-style:square">
                  <v:fill o:detectmouseclick="t"/>
                  <v:path o:connecttype="none"/>
                </v:shape>
                <v:shape id="Text Box 5" o:spid="_x0000_s1029" type="#_x0000_t202" style="position:absolute;left:14916;top:50;width:24701;height:6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alsYA&#10;AADbAAAADwAAAGRycy9kb3ducmV2LnhtbESPUWsCMRCE3wv+h7CFvkjNWdtruRpFBEEQS2tLoW/L&#10;ZXuJXjbHJZ7nvzcFoY/D7HyzM533rhYdtcF6VjAeZSCIS68tVwq+Plf3LyBCRNZYeyYFZwownw1u&#10;plhof+IP6naxEgnCoUAFJsamkDKUhhyGkW+Ik/frW4cxybaSusVTgrtaPmRZLh1aTg0GG1oaKg+7&#10;o0tvPL0vup+lCTjcfk8e3/aW4sYqdXfbL15BROrj//E1vdYKnnP425IA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SalsYAAADbAAAADwAAAAAAAAAAAAAAAACYAgAAZHJz&#10;L2Rvd25yZXYueG1sUEsFBgAAAAAEAAQA9QAAAIsDAAAAAA==&#10;" fillcolor="#c00000" strokecolor="#c00000" strokeweight="0">
                  <v:fill opacity=".5" color2="#c71e1e" focusposition=".5,.5" focussize="" focus="100%" type="gradientRadial"/>
                  <v:shadow on="t" color="#622423" offset="1pt"/>
                  <v:textbox>
                    <w:txbxContent>
                      <w:p w:rsidR="009E166E" w:rsidRPr="001C2CD9" w:rsidRDefault="009E166E" w:rsidP="0088341A">
                        <w:pPr>
                          <w:rPr>
                            <w:rFonts w:ascii="Calibri" w:hAnsi="Calibri"/>
                            <w:b/>
                            <w:color w:val="FFFFFF"/>
                            <w:sz w:val="22"/>
                            <w:szCs w:val="22"/>
                          </w:rPr>
                        </w:pPr>
                        <w:r w:rsidRPr="00E4098A">
                          <w:rPr>
                            <w:rFonts w:ascii="Calibri" w:hAnsi="Calibri"/>
                            <w:color w:val="FFFFFF"/>
                            <w:sz w:val="22"/>
                            <w:szCs w:val="22"/>
                          </w:rPr>
                          <w:t xml:space="preserve">Return on capital </w:t>
                        </w:r>
                        <w:r>
                          <w:rPr>
                            <w:rFonts w:ascii="Calibri" w:hAnsi="Calibri"/>
                            <w:color w:val="FFFFFF"/>
                            <w:sz w:val="22"/>
                            <w:szCs w:val="22"/>
                          </w:rPr>
                          <w:t xml:space="preserve">(forecast RAB </w:t>
                        </w:r>
                        <w:r w:rsidRPr="00E4098A">
                          <w:rPr>
                            <w:rFonts w:ascii="Calibri" w:hAnsi="Calibri"/>
                            <w:color w:val="FFFFFF"/>
                            <w:sz w:val="22"/>
                            <w:szCs w:val="22"/>
                          </w:rPr>
                          <w:t>× cost of capital)</w:t>
                        </w:r>
                      </w:p>
                    </w:txbxContent>
                  </v:textbox>
                </v:shape>
                <v:shape id="Text Box 6" o:spid="_x0000_s1030" type="#_x0000_t202" style="position:absolute;left:14916;top:6940;width:24701;height:6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dhcUA&#10;AADbAAAADwAAAGRycy9kb3ducmV2LnhtbESPQWvCQBSE74X+h+UJ3nRjKU2NrtJWpL1UaBS8PrLP&#10;bDT7NmRXE/313YLQ4zAz3zDzZW9rcaHWV44VTMYJCOLC6YpLBbvtevQKwgdkjbVjUnAlD8vF48Mc&#10;M+06/qFLHkoRIewzVGBCaDIpfWHIoh+7hjh6B9daDFG2pdQtdhFua/mUJC/SYsVxwWBDH4aKU362&#10;Cs7pLpkUx9W3me4/N88596tb967UcNC/zUAE6sN/+N7+0grSF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J2FxQAAANsAAAAPAAAAAAAAAAAAAAAAAJgCAABkcnMv&#10;ZG93bnJldi54bWxQSwUGAAAAAAQABAD1AAAAigMAAAAA&#10;" fillcolor="#c0504d" strokecolor="#d99594" strokeweight="1pt">
                  <v:fill color2="#c15451" focus="50%" type="gradient"/>
                  <v:shadow on="t" color="#622423" offset="1pt"/>
                  <v:textbox>
                    <w:txbxContent>
                      <w:p w:rsidR="009E166E" w:rsidRPr="00E4098A" w:rsidRDefault="009E166E" w:rsidP="0088341A">
                        <w:pPr>
                          <w:rPr>
                            <w:rFonts w:ascii="Calibri" w:hAnsi="Calibri"/>
                            <w:color w:val="FFFFFF"/>
                            <w:sz w:val="22"/>
                            <w:szCs w:val="22"/>
                          </w:rPr>
                        </w:pPr>
                        <w:r w:rsidRPr="00E4098A">
                          <w:rPr>
                            <w:rFonts w:ascii="Calibri" w:hAnsi="Calibri"/>
                            <w:color w:val="FFFFFF"/>
                            <w:sz w:val="22"/>
                            <w:szCs w:val="22"/>
                          </w:rPr>
                          <w:t xml:space="preserve">Regulatory depreciation (depreciation </w:t>
                        </w:r>
                        <w:r>
                          <w:rPr>
                            <w:rFonts w:ascii="Calibri" w:hAnsi="Calibri"/>
                            <w:color w:val="FFFFFF"/>
                            <w:sz w:val="22"/>
                            <w:szCs w:val="22"/>
                          </w:rPr>
                          <w:t>[</w:t>
                        </w:r>
                        <w:r w:rsidRPr="00E4098A">
                          <w:rPr>
                            <w:rFonts w:ascii="Calibri" w:hAnsi="Calibri"/>
                            <w:color w:val="FFFFFF"/>
                            <w:sz w:val="22"/>
                            <w:szCs w:val="22"/>
                          </w:rPr>
                          <w:t>net of indexation</w:t>
                        </w:r>
                        <w:r>
                          <w:rPr>
                            <w:rFonts w:ascii="Calibri" w:hAnsi="Calibri"/>
                            <w:color w:val="FFFFFF"/>
                            <w:sz w:val="22"/>
                            <w:szCs w:val="22"/>
                          </w:rPr>
                          <w:t>]</w:t>
                        </w:r>
                        <w:r w:rsidRPr="00E4098A">
                          <w:rPr>
                            <w:rFonts w:ascii="Calibri" w:hAnsi="Calibri"/>
                            <w:color w:val="FFFFFF"/>
                            <w:sz w:val="22"/>
                            <w:szCs w:val="22"/>
                          </w:rPr>
                          <w:t xml:space="preserve"> applied </w:t>
                        </w:r>
                        <w:r>
                          <w:rPr>
                            <w:rFonts w:ascii="Calibri" w:hAnsi="Calibri"/>
                            <w:color w:val="FFFFFF"/>
                            <w:sz w:val="22"/>
                            <w:szCs w:val="22"/>
                          </w:rPr>
                          <w:t>to the RAB</w:t>
                        </w:r>
                        <w:r w:rsidRPr="00E4098A">
                          <w:rPr>
                            <w:rFonts w:ascii="Calibri" w:hAnsi="Calibri"/>
                            <w:color w:val="FFFFFF"/>
                            <w:sz w:val="22"/>
                            <w:szCs w:val="22"/>
                          </w:rPr>
                          <w:t>)</w:t>
                        </w:r>
                      </w:p>
                    </w:txbxContent>
                  </v:textbox>
                </v:shape>
                <v:shape id="Text Box 7" o:spid="_x0000_s1031" type="#_x0000_t202" style="position:absolute;left:14916;top:27628;width:24701;height:6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qSMMA&#10;AADbAAAADwAAAGRycy9kb3ducmV2LnhtbERPz2vCMBS+D/Y/hDfYZczUOXRUo4gglOlFnbjjs3m2&#10;0ealNJlW/3pzGHj8+H6PJq2txJkabxwr6HYSEMS504YLBT+b+fsXCB+QNVaOScGVPEzGz08jTLW7&#10;8IrO61CIGMI+RQVlCHUqpc9Lsug7riaO3ME1FkOETSF1g5cYbiv5kSR9adFwbCixpllJ+Wn9ZxXc&#10;3rLBwmTf+89azs2udzj+bpdHpV5f2ukQRKA2PMT/7kwrGMSx8Uv8AX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OqSMMAAADbAAAADwAAAAAAAAAAAAAAAACYAgAAZHJzL2Rv&#10;d25yZXYueG1sUEsFBgAAAAAEAAQA9QAAAIgDAAAAAA==&#10;" fillcolor="#76923c" strokecolor="#548dd4" strokeweight="1pt">
                  <v:fill color2="#738f3b" focus="100%" type="gradient"/>
                  <v:shadow on="t" color="#622423" opacity=".5" offset="1pt"/>
                  <v:textbox>
                    <w:txbxContent>
                      <w:p w:rsidR="009E166E" w:rsidRPr="00315A2D" w:rsidRDefault="009E166E" w:rsidP="00315A2D">
                        <w:pPr>
                          <w:spacing w:after="200" w:line="276" w:lineRule="auto"/>
                          <w:jc w:val="left"/>
                          <w:rPr>
                            <w:rStyle w:val="AERbody"/>
                            <w:rFonts w:asciiTheme="minorHAnsi" w:hAnsiTheme="minorHAnsi" w:cstheme="minorHAnsi"/>
                            <w:color w:val="FFFFFF"/>
                            <w:sz w:val="22"/>
                            <w:szCs w:val="22"/>
                          </w:rPr>
                        </w:pPr>
                        <w:r w:rsidRPr="00315A2D">
                          <w:rPr>
                            <w:rStyle w:val="AERbody"/>
                            <w:rFonts w:asciiTheme="minorHAnsi" w:hAnsiTheme="minorHAnsi" w:cstheme="minorHAnsi"/>
                            <w:color w:val="FFFFFF"/>
                            <w:sz w:val="22"/>
                            <w:szCs w:val="22"/>
                          </w:rPr>
                          <w:t>Corporate income tax (net of value of imputation</w:t>
                        </w:r>
                        <w:r w:rsidRPr="00315A2D">
                          <w:rPr>
                            <w:rStyle w:val="AERbody"/>
                            <w:rFonts w:asciiTheme="minorHAnsi" w:hAnsiTheme="minorHAnsi" w:cstheme="minorHAnsi"/>
                            <w:sz w:val="22"/>
                            <w:szCs w:val="22"/>
                          </w:rPr>
                          <w:t xml:space="preserve"> </w:t>
                        </w:r>
                        <w:r w:rsidRPr="00315A2D">
                          <w:rPr>
                            <w:rStyle w:val="AERbody"/>
                            <w:rFonts w:asciiTheme="minorHAnsi" w:hAnsiTheme="minorHAnsi" w:cstheme="minorHAnsi"/>
                            <w:color w:val="FFFFFF"/>
                            <w:sz w:val="22"/>
                            <w:szCs w:val="22"/>
                          </w:rPr>
                          <w:t>credits)</w:t>
                        </w:r>
                        <w:r w:rsidRPr="00315A2D">
                          <w:rPr>
                            <w:rStyle w:val="AERbody"/>
                            <w:rFonts w:asciiTheme="minorHAnsi" w:hAnsiTheme="minorHAnsi" w:cstheme="minorHAnsi"/>
                            <w:color w:val="FFFFFF"/>
                            <w:sz w:val="22"/>
                            <w:szCs w:val="22"/>
                          </w:rPr>
                          <w:br/>
                        </w:r>
                      </w:p>
                    </w:txbxContent>
                  </v:textbox>
                </v:shape>
                <v:line id="Line 8" o:spid="_x0000_s1032" style="position:absolute;visibility:visible;mso-wrap-style:square" from="40519,50" to="439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9" o:spid="_x0000_s1033" style="position:absolute;visibility:visible;mso-wrap-style:square" from="40519,33375" to="43967,3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line id="Line 10" o:spid="_x0000_s1034" style="position:absolute;visibility:visible;mso-wrap-style:square" from="43967,50" to="43967,3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11" o:spid="_x0000_s1035" style="position:absolute;flip:x;visibility:visible;mso-wrap-style:square" from="10636,50" to="1408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v:line id="Line 12" o:spid="_x0000_s1036" style="position:absolute;flip:x;visibility:visible;mso-wrap-style:square" from="10636,13843" to="14084,13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spk8YAAADbAAAADwAAAGRycy9kb3ducmV2LnhtbESPQWsCMRSE7wX/Q3iCl1KztaWsW6OI&#10;IPTgRS0rvT03r5tlNy/bJNXtvzeFQo/DzHzDLFaD7cSFfGgcK3icZiCIK6cbrhW8H7cPOYgQkTV2&#10;jknBDwVYLUd3Cyy0u/KeLodYiwThUKACE2NfSBkqQxbD1PXEyft03mJM0tdSe7wmuO3kLMtepMWG&#10;04LBnjaGqvbwbRXIfHf/5dfn57ZsT6e5Kauy/9gpNRkP61cQkYb4H/5rv2kF+R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KZPGAAAA2wAAAA8AAAAAAAAA&#10;AAAAAAAAoQIAAGRycy9kb3ducmV2LnhtbFBLBQYAAAAABAAEAPkAAACUAwAAAAA=&#10;"/>
                <v:line id="Line 13" o:spid="_x0000_s1037" style="position:absolute;visibility:visible;mso-wrap-style:square" from="10636,50" to="10636,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shape id="Text Box 14" o:spid="_x0000_s1038" type="#_x0000_t202" style="position:absolute;top:4121;width:10267;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wKcIA&#10;AADbAAAADwAAAGRycy9kb3ducmV2LnhtbESPQYvCMBSE74L/IbwFL6KphRWpRilFca/qXvb2aJ5t&#10;2ealbaKt/vrNguBxmJlvmM1uMLW4U+cqywoW8wgEcW51xYWC78thtgLhPLLG2jIpeJCD3XY82mCi&#10;bc8nup99IQKEXYIKSu+bREqXl2TQzW1DHLyr7Qz6ILtC6g77ADe1jKNoKQ1WHBZKbCgrKf8934wC&#10;2+8fxlIbxdOfpzlmaXu6xq1Sk48hXYPwNPh3+NX+0gpWn/D/Jfw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PApwgAAANsAAAAPAAAAAAAAAAAAAAAAAJgCAABkcnMvZG93&#10;bnJldi54bWxQSwUGAAAAAAQABAD1AAAAhwMAAAAA&#10;" strokecolor="white">
                  <v:textbox>
                    <w:txbxContent>
                      <w:p w:rsidR="009E166E" w:rsidRPr="002569F7" w:rsidRDefault="009E166E" w:rsidP="0088341A">
                        <w:pPr>
                          <w:rPr>
                            <w:rFonts w:ascii="Calibri" w:hAnsi="Calibri"/>
                          </w:rPr>
                        </w:pPr>
                        <w:r w:rsidRPr="002569F7">
                          <w:rPr>
                            <w:rFonts w:ascii="Calibri" w:hAnsi="Calibri"/>
                          </w:rPr>
                          <w:t>Capital costs</w:t>
                        </w:r>
                      </w:p>
                    </w:txbxContent>
                  </v:textbox>
                </v:shape>
                <v:shape id="Text Box 15" o:spid="_x0000_s1039" type="#_x0000_t202" style="position:absolute;left:14916;top:13849;width:24701;height:6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Ws2MUA&#10;AADbAAAADwAAAGRycy9kb3ducmV2LnhtbESPQWvCQBSE7wX/w/IEL0U3CrWSZiNREPRSWhW0t0f2&#10;NQnNvg27q0n/fbdQ6HGY+WaYbD2YVtzJ+caygvksAUFcWt1wpeB82k1XIHxA1thaJgXf5GGdjx4y&#10;TLXt+Z3ux1CJWMI+RQV1CF0qpS9rMuhntiOO3qd1BkOUrpLaYR/LTSsXSbKUBhuOCzV2tK2p/Dre&#10;jILV8/Z06V43+q13T4fywxfD9bFQajIeihcQgYbwH/6j9zpyS/j9En+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azYxQAAANsAAAAPAAAAAAAAAAAAAAAAAJgCAABkcnMv&#10;ZG93bnJldi54bWxQSwUGAAAAAAQABAD1AAAAigMAAAAA&#10;" fillcolor="#365f91" strokecolor="#365f91" strokeweight="1pt">
                  <v:fill color2="#365f91" focus="100%" type="gradient"/>
                  <v:shadow on="t" color="#3f3151" opacity=".5" offset="1pt"/>
                  <v:textbox>
                    <w:txbxContent>
                      <w:p w:rsidR="009E166E" w:rsidRPr="008D2606" w:rsidRDefault="009E166E" w:rsidP="0088341A">
                        <w:pPr>
                          <w:spacing w:after="200" w:line="276" w:lineRule="auto"/>
                          <w:rPr>
                            <w:rFonts w:ascii="Calibri" w:hAnsi="Calibri"/>
                            <w:color w:val="FFFFFF"/>
                            <w:sz w:val="22"/>
                            <w:szCs w:val="22"/>
                          </w:rPr>
                        </w:pPr>
                        <w:r w:rsidRPr="008D2606">
                          <w:rPr>
                            <w:rFonts w:ascii="Calibri" w:hAnsi="Calibri"/>
                            <w:color w:val="FFFFFF"/>
                            <w:sz w:val="22"/>
                            <w:szCs w:val="22"/>
                          </w:rPr>
                          <w:t xml:space="preserve">Operating </w:t>
                        </w:r>
                        <w:r w:rsidRPr="00664FB1">
                          <w:rPr>
                            <w:rFonts w:ascii="Calibri" w:hAnsi="Calibri"/>
                            <w:color w:val="FFFFFF"/>
                            <w:sz w:val="22"/>
                            <w:szCs w:val="22"/>
                          </w:rPr>
                          <w:t>expenditure (opex)</w:t>
                        </w:r>
                        <w:r>
                          <w:t xml:space="preserve"> </w:t>
                        </w:r>
                      </w:p>
                      <w:p w:rsidR="009E166E" w:rsidRPr="004414F4" w:rsidRDefault="009E166E" w:rsidP="0088341A">
                        <w:pPr>
                          <w:rPr>
                            <w:color w:val="FFFFFF"/>
                          </w:rPr>
                        </w:pPr>
                      </w:p>
                    </w:txbxContent>
                  </v:textbox>
                </v:shape>
                <v:shape id="Text Box 16" o:spid="_x0000_s1040" type="#_x0000_t202" style="position:absolute;left:14916;top:20808;width:24701;height:6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tFMUA&#10;AADbAAAADwAAAGRycy9kb3ducmV2LnhtbESPQWvCQBSE70L/w/IKvZlNhaqkbkKpiiJempbi8ZF9&#10;zYZm34bsqtFf3y0IHoeZ+YZZFINtxYl63zhW8JykIIgrpxuuFXx9rsdzED4ga2wdk4ILeSjyh9EC&#10;M+3O/EGnMtQiQthnqMCE0GVS+sqQRZ+4jjh6P663GKLsa6l7PEe4beUkTafSYsNxwWBH74aq3/Jo&#10;FRw2l++9Oy67VfmyNTO3m9bXw06pp8fh7RVEoCHcw7f2ViuYz+D/S/wB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C0UxQAAANsAAAAPAAAAAAAAAAAAAAAAAJgCAABkcnMv&#10;ZG93bnJldi54bWxQSwUGAAAAAAQABAD1AAAAigMAAAAA&#10;" fillcolor="#548dd4" strokecolor="#76923c" strokeweight="1pt">
                  <v:fill color2="#548dd4" focus="100%" type="gradient"/>
                  <v:shadow on="t" color="#205867" opacity=".5" offset="1pt"/>
                  <v:textbox>
                    <w:txbxContent>
                      <w:p w:rsidR="009E166E" w:rsidRPr="008D2606" w:rsidRDefault="009E166E" w:rsidP="0088341A">
                        <w:pPr>
                          <w:spacing w:after="200" w:line="276" w:lineRule="auto"/>
                          <w:rPr>
                            <w:rFonts w:ascii="Calibri" w:hAnsi="Calibri"/>
                            <w:color w:val="FFFFFF"/>
                            <w:sz w:val="22"/>
                            <w:szCs w:val="22"/>
                          </w:rPr>
                        </w:pPr>
                        <w:r w:rsidRPr="008D2606">
                          <w:rPr>
                            <w:rFonts w:ascii="Calibri" w:hAnsi="Calibri"/>
                            <w:color w:val="FFFFFF"/>
                            <w:sz w:val="22"/>
                            <w:szCs w:val="22"/>
                          </w:rPr>
                          <w:t>Efficiency benefit sharing scheme</w:t>
                        </w:r>
                        <w:r>
                          <w:rPr>
                            <w:rFonts w:ascii="Calibri" w:hAnsi="Calibri"/>
                            <w:color w:val="FFFFFF"/>
                            <w:sz w:val="22"/>
                            <w:szCs w:val="22"/>
                          </w:rPr>
                          <w:t xml:space="preserve"> (EBSS)</w:t>
                        </w:r>
                        <w:r w:rsidRPr="008D2606">
                          <w:rPr>
                            <w:rFonts w:ascii="Calibri" w:hAnsi="Calibri"/>
                            <w:color w:val="FFFFFF"/>
                            <w:sz w:val="22"/>
                            <w:szCs w:val="22"/>
                          </w:rPr>
                          <w:br/>
                          <w:t>(increment or decrement)</w:t>
                        </w:r>
                      </w:p>
                      <w:p w:rsidR="009E166E" w:rsidRPr="00F51767" w:rsidRDefault="009E166E" w:rsidP="0088341A"/>
                    </w:txbxContent>
                  </v:textbox>
                </v:shape>
                <w10:anchorlock/>
              </v:group>
            </w:pict>
          </mc:Fallback>
        </mc:AlternateContent>
      </w:r>
    </w:p>
    <w:p w:rsidR="0088341A" w:rsidRDefault="0088341A" w:rsidP="0088341A">
      <w:pPr>
        <w:pStyle w:val="Heading2"/>
        <w:numPr>
          <w:ilvl w:val="2"/>
          <w:numId w:val="20"/>
        </w:numPr>
      </w:pPr>
      <w:bookmarkStart w:id="32" w:name="_Toc341686707"/>
      <w:bookmarkStart w:id="33" w:name="_Toc365283239"/>
      <w:r>
        <w:t>NER objectives for capex and opex forecasts</w:t>
      </w:r>
      <w:bookmarkEnd w:id="32"/>
      <w:bookmarkEnd w:id="33"/>
    </w:p>
    <w:p w:rsidR="0088341A" w:rsidRDefault="0088341A" w:rsidP="0088341A">
      <w:pPr>
        <w:pStyle w:val="AERbodytext"/>
        <w:numPr>
          <w:ilvl w:val="0"/>
          <w:numId w:val="1"/>
        </w:numPr>
      </w:pPr>
      <w:r>
        <w:t>The NER sets out the following objectives for SP AusNet's forecasts of total capex and opex:</w:t>
      </w:r>
      <w:r>
        <w:rPr>
          <w:rStyle w:val="FootnoteReference"/>
        </w:rPr>
        <w:footnoteReference w:id="25"/>
      </w:r>
    </w:p>
    <w:p w:rsidR="0088341A" w:rsidRPr="00CA4995" w:rsidRDefault="0088341A" w:rsidP="0088341A">
      <w:pPr>
        <w:pStyle w:val="AERbulletlistfirststyle"/>
      </w:pPr>
      <w:r w:rsidRPr="00CA4995">
        <w:t xml:space="preserve">meeting expected demand </w:t>
      </w:r>
    </w:p>
    <w:p w:rsidR="0088341A" w:rsidRPr="00CA4995" w:rsidRDefault="0088341A" w:rsidP="0088341A">
      <w:pPr>
        <w:pStyle w:val="AERbulletlistfirststyle"/>
      </w:pPr>
      <w:r w:rsidRPr="00CA4995">
        <w:t>complying with all applicable regulatory obligations or requirements</w:t>
      </w:r>
    </w:p>
    <w:p w:rsidR="0088341A" w:rsidRPr="00CA4995" w:rsidRDefault="0088341A" w:rsidP="0088341A">
      <w:pPr>
        <w:pStyle w:val="AERbulletlistfirststyle"/>
      </w:pPr>
      <w:r w:rsidRPr="00CA4995">
        <w:t>maintaining the quality, reliability and security of supply</w:t>
      </w:r>
    </w:p>
    <w:p w:rsidR="0088341A" w:rsidRPr="00CA4995" w:rsidRDefault="0088341A" w:rsidP="0088341A">
      <w:pPr>
        <w:pStyle w:val="AERbulletlistfirststyle"/>
      </w:pPr>
      <w:r w:rsidRPr="00CA4995">
        <w:t>maintaining the reliability, safety and security of the transmission system.</w:t>
      </w:r>
    </w:p>
    <w:p w:rsidR="0088341A" w:rsidRDefault="0088341A" w:rsidP="0088341A">
      <w:pPr>
        <w:pStyle w:val="AERbodytext"/>
        <w:numPr>
          <w:ilvl w:val="0"/>
          <w:numId w:val="1"/>
        </w:numPr>
      </w:pPr>
      <w:r>
        <w:t>We must determine whether SP AusNet's forecast capex and opex reflect the efficient costs required to meet these objectives, based on a realistic expectation of transmission services demand and cost inputs.</w:t>
      </w:r>
      <w:r>
        <w:rPr>
          <w:rStyle w:val="FootnoteReference"/>
        </w:rPr>
        <w:footnoteReference w:id="26"/>
      </w:r>
    </w:p>
    <w:p w:rsidR="0088341A" w:rsidRDefault="0088341A" w:rsidP="0088341A">
      <w:pPr>
        <w:pStyle w:val="Heading1"/>
        <w:numPr>
          <w:ilvl w:val="1"/>
          <w:numId w:val="20"/>
        </w:numPr>
      </w:pPr>
      <w:bookmarkStart w:id="34" w:name="_Toc365283240"/>
      <w:bookmarkStart w:id="35" w:name="_Toc365461983"/>
      <w:r>
        <w:lastRenderedPageBreak/>
        <w:t>Total revenue requirements and the impact on price</w:t>
      </w:r>
      <w:bookmarkEnd w:id="34"/>
      <w:bookmarkEnd w:id="35"/>
    </w:p>
    <w:p w:rsidR="0088341A" w:rsidRPr="00D35A40" w:rsidRDefault="000B0D08" w:rsidP="0088341A">
      <w:pPr>
        <w:pStyle w:val="AERbodytext"/>
        <w:numPr>
          <w:ilvl w:val="0"/>
          <w:numId w:val="1"/>
        </w:numPr>
      </w:pPr>
      <w:r>
        <w:t>SP AusNet’s</w:t>
      </w:r>
      <w:r w:rsidR="0088341A">
        <w:t xml:space="preserve"> </w:t>
      </w:r>
      <w:r w:rsidR="0088341A" w:rsidRPr="00D35A40">
        <w:t>total revenue</w:t>
      </w:r>
      <w:r w:rsidR="0088341A">
        <w:t xml:space="preserve"> cap</w:t>
      </w:r>
      <w:r>
        <w:t xml:space="preserve"> represents</w:t>
      </w:r>
      <w:r w:rsidR="0088341A" w:rsidRPr="00D35A40">
        <w:t xml:space="preserve"> our forecast of the efficient costs of providing prescribed transmission services. </w:t>
      </w:r>
      <w:r w:rsidR="00A030D7">
        <w:t>We determined t</w:t>
      </w:r>
      <w:r w:rsidR="0088341A" w:rsidRPr="00D35A40">
        <w:t xml:space="preserve">he total revenue cap set out in this </w:t>
      </w:r>
      <w:r w:rsidR="0088341A">
        <w:t>draft</w:t>
      </w:r>
      <w:r w:rsidR="0088341A" w:rsidRPr="00D35A40">
        <w:t xml:space="preserve"> decision by assessing the elements of </w:t>
      </w:r>
      <w:r w:rsidR="0088341A">
        <w:t>SP AusNet's</w:t>
      </w:r>
      <w:r w:rsidR="0088341A" w:rsidRPr="00D35A40">
        <w:t xml:space="preserve"> revenue proposal. That is, </w:t>
      </w:r>
      <w:r w:rsidR="0088341A">
        <w:t>we assessed the</w:t>
      </w:r>
      <w:r w:rsidR="0088341A" w:rsidRPr="00D35A40">
        <w:t xml:space="preserve"> proposed building blocks </w:t>
      </w:r>
      <w:r w:rsidR="0088341A">
        <w:t>for whether</w:t>
      </w:r>
      <w:r w:rsidR="0088341A" w:rsidRPr="00D35A40">
        <w:t xml:space="preserve"> they reflect the efficient costs of providing prescribed transmission services in </w:t>
      </w:r>
      <w:r w:rsidR="0088341A">
        <w:t>Victoria</w:t>
      </w:r>
      <w:r w:rsidR="0088341A" w:rsidRPr="00D35A40">
        <w:t xml:space="preserve">. </w:t>
      </w:r>
      <w:r w:rsidR="0088341A">
        <w:t>T</w:t>
      </w:r>
      <w:r w:rsidR="0088341A" w:rsidRPr="00D35A40">
        <w:t>his section</w:t>
      </w:r>
      <w:r w:rsidR="0088341A">
        <w:t xml:space="preserve"> sets out</w:t>
      </w:r>
      <w:r w:rsidR="0088341A" w:rsidRPr="00D35A40">
        <w:t xml:space="preserve"> </w:t>
      </w:r>
      <w:r w:rsidR="0088341A">
        <w:t>t</w:t>
      </w:r>
      <w:r w:rsidR="0088341A" w:rsidRPr="00D35A40">
        <w:t xml:space="preserve">he revenue requirement of </w:t>
      </w:r>
      <w:r w:rsidR="0088341A">
        <w:t>SP AusNet.</w:t>
      </w:r>
      <w:r w:rsidR="0088341A" w:rsidRPr="00D35A40">
        <w:t xml:space="preserve"> </w:t>
      </w:r>
      <w:r w:rsidR="0088341A">
        <w:t>It</w:t>
      </w:r>
      <w:r w:rsidR="0088341A" w:rsidRPr="00D35A40">
        <w:t xml:space="preserve"> also </w:t>
      </w:r>
      <w:r w:rsidR="0088341A">
        <w:t>summarises</w:t>
      </w:r>
      <w:r w:rsidR="0088341A" w:rsidRPr="00D35A40">
        <w:t xml:space="preserve"> the likely impact of this </w:t>
      </w:r>
      <w:r w:rsidR="0088341A">
        <w:t>draft</w:t>
      </w:r>
      <w:r w:rsidR="0088341A" w:rsidRPr="00D35A40">
        <w:t xml:space="preserve"> decision on average electricity prices for </w:t>
      </w:r>
      <w:r w:rsidR="0088341A">
        <w:t xml:space="preserve">Victorian </w:t>
      </w:r>
      <w:r w:rsidR="0088341A" w:rsidRPr="00D35A40">
        <w:t>consumers.</w:t>
      </w:r>
    </w:p>
    <w:p w:rsidR="0088341A" w:rsidRPr="00D35A40" w:rsidRDefault="0088341A" w:rsidP="0088341A">
      <w:pPr>
        <w:pStyle w:val="Heading2"/>
        <w:numPr>
          <w:ilvl w:val="2"/>
          <w:numId w:val="20"/>
        </w:numPr>
      </w:pPr>
      <w:bookmarkStart w:id="36" w:name="_Toc341686709"/>
      <w:bookmarkStart w:id="37" w:name="_Toc365283241"/>
      <w:r>
        <w:t>Draft</w:t>
      </w:r>
      <w:r w:rsidRPr="00D35A40">
        <w:t xml:space="preserve"> decision</w:t>
      </w:r>
      <w:bookmarkEnd w:id="36"/>
      <w:bookmarkEnd w:id="37"/>
    </w:p>
    <w:p w:rsidR="0088341A" w:rsidRPr="00D35A40" w:rsidRDefault="0088341A" w:rsidP="0088341A">
      <w:pPr>
        <w:pStyle w:val="AERbodytext"/>
        <w:numPr>
          <w:ilvl w:val="0"/>
          <w:numId w:val="1"/>
        </w:numPr>
      </w:pPr>
      <w:r w:rsidRPr="00D35A40">
        <w:t xml:space="preserve">Our </w:t>
      </w:r>
      <w:r>
        <w:t>draft</w:t>
      </w:r>
      <w:r w:rsidRPr="00D35A40">
        <w:t xml:space="preserve"> decision on </w:t>
      </w:r>
      <w:r>
        <w:t>SP AusNet's</w:t>
      </w:r>
      <w:r w:rsidRPr="00D35A40">
        <w:t xml:space="preserve"> total revenue cap </w:t>
      </w:r>
      <w:r>
        <w:t>(smoothed revenue) over the 2014–17</w:t>
      </w:r>
      <w:r w:rsidRPr="00D35A40">
        <w:t xml:space="preserve"> regulatory control period is $</w:t>
      </w:r>
      <w:r>
        <w:t>1528</w:t>
      </w:r>
      <w:r w:rsidRPr="00D35A40">
        <w:t xml:space="preserve"> million ($ nominal). This</w:t>
      </w:r>
      <w:r>
        <w:t xml:space="preserve"> amount</w:t>
      </w:r>
      <w:r w:rsidRPr="00D35A40">
        <w:t xml:space="preserve"> is $</w:t>
      </w:r>
      <w:r>
        <w:t>69.8</w:t>
      </w:r>
      <w:r w:rsidRPr="00D35A40">
        <w:t xml:space="preserve"> million </w:t>
      </w:r>
      <w:r>
        <w:t xml:space="preserve">(or 4.4 per cent) </w:t>
      </w:r>
      <w:r w:rsidRPr="00D35A40">
        <w:t xml:space="preserve">less than </w:t>
      </w:r>
      <w:r>
        <w:t xml:space="preserve">SP AusNet's </w:t>
      </w:r>
      <w:r w:rsidRPr="00D35A40">
        <w:t xml:space="preserve">revenue proposal. The key element of our </w:t>
      </w:r>
      <w:r>
        <w:t>draft</w:t>
      </w:r>
      <w:r w:rsidRPr="00D35A40">
        <w:t xml:space="preserve"> decision that reduced </w:t>
      </w:r>
      <w:r>
        <w:t>SP AusNet's</w:t>
      </w:r>
      <w:r w:rsidRPr="00D35A40">
        <w:t xml:space="preserve"> proposed revenu</w:t>
      </w:r>
      <w:r>
        <w:t xml:space="preserve">e is </w:t>
      </w:r>
      <w:r w:rsidRPr="00717CAC">
        <w:t>forecast opex and capex</w:t>
      </w:r>
      <w:r w:rsidRPr="00D35A40">
        <w:t xml:space="preserve">. </w:t>
      </w:r>
      <w:r w:rsidR="00A437BE">
        <w:fldChar w:fldCharType="begin"/>
      </w:r>
      <w:r w:rsidR="00A437BE">
        <w:instrText xml:space="preserve"> REF _Ref365452565 \h </w:instrText>
      </w:r>
      <w:r w:rsidR="00A437BE">
        <w:fldChar w:fldCharType="separate"/>
      </w:r>
      <w:r w:rsidR="00A437BE">
        <w:t xml:space="preserve">Table </w:t>
      </w:r>
      <w:r w:rsidR="00A437BE">
        <w:rPr>
          <w:noProof/>
        </w:rPr>
        <w:t>3</w:t>
      </w:r>
      <w:r w:rsidR="00A437BE">
        <w:t>.</w:t>
      </w:r>
      <w:r w:rsidR="00A437BE">
        <w:rPr>
          <w:noProof/>
        </w:rPr>
        <w:t>1</w:t>
      </w:r>
      <w:r w:rsidR="00A437BE">
        <w:fldChar w:fldCharType="end"/>
      </w:r>
      <w:r w:rsidR="00A437BE">
        <w:t xml:space="preserve"> </w:t>
      </w:r>
      <w:r w:rsidRPr="00D35A40">
        <w:t xml:space="preserve">shows our </w:t>
      </w:r>
      <w:r>
        <w:t>draft</w:t>
      </w:r>
      <w:r w:rsidRPr="00D35A40">
        <w:t xml:space="preserve"> decision on </w:t>
      </w:r>
      <w:r>
        <w:t>SP AusNet's</w:t>
      </w:r>
      <w:r w:rsidRPr="00D35A40">
        <w:t xml:space="preserve"> building blocks and total revenue. </w:t>
      </w:r>
      <w:r w:rsidR="000B0D08">
        <w:t>Attachments to this draft decision discuss e</w:t>
      </w:r>
      <w:r w:rsidRPr="00D35A40">
        <w:t xml:space="preserve">ach building block </w:t>
      </w:r>
      <w:r w:rsidR="000B0D08">
        <w:t>in detail</w:t>
      </w:r>
      <w:r w:rsidRPr="00D35A40">
        <w:t xml:space="preserve">. </w:t>
      </w:r>
    </w:p>
    <w:p w:rsidR="0088341A" w:rsidRDefault="00C56A87" w:rsidP="00C56A87">
      <w:pPr>
        <w:pStyle w:val="Caption"/>
      </w:pPr>
      <w:bookmarkStart w:id="38" w:name="_Ref365452565"/>
      <w:r>
        <w:t xml:space="preserve">Table </w:t>
      </w:r>
      <w:fldSimple w:instr=" STYLEREF 1 \s ">
        <w:r w:rsidR="004F35AA">
          <w:rPr>
            <w:noProof/>
          </w:rPr>
          <w:t>3</w:t>
        </w:r>
      </w:fldSimple>
      <w:r>
        <w:t>.</w:t>
      </w:r>
      <w:fldSimple w:instr=" SEQ Table \* ARABIC \s 1 ">
        <w:r w:rsidR="004F35AA">
          <w:rPr>
            <w:noProof/>
          </w:rPr>
          <w:t>1</w:t>
        </w:r>
      </w:fldSimple>
      <w:bookmarkEnd w:id="38"/>
      <w:r>
        <w:tab/>
      </w:r>
      <w:r w:rsidR="0088341A" w:rsidRPr="00D35A40">
        <w:t>AER</w:t>
      </w:r>
      <w:r w:rsidR="000B0D08">
        <w:t>’s</w:t>
      </w:r>
      <w:r w:rsidR="0088341A" w:rsidRPr="00D35A40">
        <w:t xml:space="preserve"> </w:t>
      </w:r>
      <w:r w:rsidR="0088341A">
        <w:t>draft</w:t>
      </w:r>
      <w:r w:rsidR="0088341A" w:rsidRPr="00D35A40">
        <w:t xml:space="preserve"> decision on </w:t>
      </w:r>
      <w:r w:rsidR="0088341A">
        <w:t>SP AusNet</w:t>
      </w:r>
      <w:r w:rsidR="000B0D08">
        <w:t>’s</w:t>
      </w:r>
      <w:r w:rsidR="0088341A" w:rsidRPr="00D35A40">
        <w:t xml:space="preserve"> proposed revenue requirements </w:t>
      </w:r>
      <w:r w:rsidR="00875391">
        <w:br/>
      </w:r>
      <w:r w:rsidR="0088341A" w:rsidRPr="00D35A40">
        <w:t>($</w:t>
      </w:r>
      <w:r w:rsidR="0088341A">
        <w:t xml:space="preserve"> million,</w:t>
      </w:r>
      <w:r w:rsidR="0088341A" w:rsidRPr="00D35A40">
        <w:t xml:space="preserve"> nominal)</w:t>
      </w:r>
    </w:p>
    <w:tbl>
      <w:tblPr>
        <w:tblW w:w="0" w:type="auto"/>
        <w:tblBorders>
          <w:bottom w:val="single" w:sz="4" w:space="0" w:color="365F91"/>
        </w:tblBorders>
        <w:tblLook w:val="04A0" w:firstRow="1" w:lastRow="0" w:firstColumn="1" w:lastColumn="0" w:noHBand="0" w:noVBand="1"/>
      </w:tblPr>
      <w:tblGrid>
        <w:gridCol w:w="2802"/>
        <w:gridCol w:w="3118"/>
        <w:gridCol w:w="1134"/>
        <w:gridCol w:w="1134"/>
        <w:gridCol w:w="1054"/>
      </w:tblGrid>
      <w:tr w:rsidR="0088341A" w:rsidTr="00501137">
        <w:tc>
          <w:tcPr>
            <w:tcW w:w="2802" w:type="dxa"/>
            <w:shd w:val="clear" w:color="auto" w:fill="365F91"/>
            <w:vAlign w:val="center"/>
          </w:tcPr>
          <w:p w:rsidR="0088341A" w:rsidRPr="00515E11" w:rsidRDefault="0088341A" w:rsidP="00501137">
            <w:pPr>
              <w:pStyle w:val="AERbodytext"/>
              <w:numPr>
                <w:ilvl w:val="0"/>
                <w:numId w:val="1"/>
              </w:numPr>
              <w:spacing w:before="120"/>
              <w:rPr>
                <w:b/>
                <w:color w:val="FFFFFF"/>
                <w:sz w:val="16"/>
              </w:rPr>
            </w:pPr>
          </w:p>
        </w:tc>
        <w:tc>
          <w:tcPr>
            <w:tcW w:w="3118" w:type="dxa"/>
            <w:shd w:val="clear" w:color="auto" w:fill="365F91"/>
            <w:vAlign w:val="center"/>
          </w:tcPr>
          <w:p w:rsidR="0088341A" w:rsidRPr="00515E11" w:rsidRDefault="0088341A" w:rsidP="00501137">
            <w:pPr>
              <w:pStyle w:val="AERtabletextright"/>
              <w:rPr>
                <w:b/>
                <w:color w:val="FFFFFF"/>
              </w:rPr>
            </w:pPr>
            <w:r w:rsidRPr="00515E11">
              <w:rPr>
                <w:b/>
                <w:color w:val="FFFFFF"/>
              </w:rPr>
              <w:t>2014–15</w:t>
            </w:r>
          </w:p>
        </w:tc>
        <w:tc>
          <w:tcPr>
            <w:tcW w:w="1134" w:type="dxa"/>
            <w:shd w:val="clear" w:color="auto" w:fill="365F91"/>
            <w:vAlign w:val="center"/>
          </w:tcPr>
          <w:p w:rsidR="0088341A" w:rsidRPr="00515E11" w:rsidRDefault="0088341A" w:rsidP="00501137">
            <w:pPr>
              <w:pStyle w:val="AERtabletextright"/>
              <w:rPr>
                <w:b/>
                <w:color w:val="FFFFFF"/>
              </w:rPr>
            </w:pPr>
            <w:r w:rsidRPr="00515E11">
              <w:rPr>
                <w:b/>
                <w:color w:val="FFFFFF"/>
              </w:rPr>
              <w:t>2015–16</w:t>
            </w:r>
          </w:p>
        </w:tc>
        <w:tc>
          <w:tcPr>
            <w:tcW w:w="1134" w:type="dxa"/>
            <w:shd w:val="clear" w:color="auto" w:fill="365F91"/>
            <w:vAlign w:val="center"/>
          </w:tcPr>
          <w:p w:rsidR="0088341A" w:rsidRPr="00515E11" w:rsidRDefault="0088341A" w:rsidP="00501137">
            <w:pPr>
              <w:pStyle w:val="AERtabletextright"/>
              <w:rPr>
                <w:b/>
                <w:color w:val="FFFFFF"/>
              </w:rPr>
            </w:pPr>
            <w:r w:rsidRPr="00515E11">
              <w:rPr>
                <w:b/>
                <w:color w:val="FFFFFF"/>
              </w:rPr>
              <w:t>2016–17</w:t>
            </w:r>
          </w:p>
        </w:tc>
        <w:tc>
          <w:tcPr>
            <w:tcW w:w="1054" w:type="dxa"/>
            <w:shd w:val="clear" w:color="auto" w:fill="365F91"/>
            <w:vAlign w:val="center"/>
          </w:tcPr>
          <w:p w:rsidR="0088341A" w:rsidRPr="00515E11" w:rsidRDefault="0088341A" w:rsidP="00501137">
            <w:pPr>
              <w:pStyle w:val="AERtabletextright"/>
              <w:rPr>
                <w:b/>
                <w:color w:val="FFFFFF"/>
              </w:rPr>
            </w:pPr>
            <w:r w:rsidRPr="00515E11">
              <w:rPr>
                <w:b/>
                <w:color w:val="FFFFFF"/>
              </w:rPr>
              <w:t>Total</w:t>
            </w:r>
          </w:p>
        </w:tc>
      </w:tr>
      <w:tr w:rsidR="0088341A" w:rsidTr="00501137">
        <w:tc>
          <w:tcPr>
            <w:tcW w:w="2802" w:type="dxa"/>
            <w:shd w:val="clear" w:color="auto" w:fill="auto"/>
            <w:vAlign w:val="center"/>
          </w:tcPr>
          <w:p w:rsidR="0088341A" w:rsidRPr="00D73584" w:rsidRDefault="0088341A" w:rsidP="00501137">
            <w:pPr>
              <w:pStyle w:val="AERtabletextleft"/>
            </w:pPr>
            <w:r>
              <w:t>Return on capital</w:t>
            </w:r>
          </w:p>
        </w:tc>
        <w:tc>
          <w:tcPr>
            <w:tcW w:w="3118" w:type="dxa"/>
            <w:shd w:val="clear" w:color="auto" w:fill="auto"/>
            <w:vAlign w:val="center"/>
          </w:tcPr>
          <w:p w:rsidR="0088341A" w:rsidRPr="00BD3C75" w:rsidRDefault="0088341A" w:rsidP="00501137">
            <w:pPr>
              <w:pStyle w:val="AERtabletextright"/>
            </w:pPr>
            <w:r>
              <w:t>213.3</w:t>
            </w:r>
          </w:p>
        </w:tc>
        <w:tc>
          <w:tcPr>
            <w:tcW w:w="1134" w:type="dxa"/>
            <w:shd w:val="clear" w:color="auto" w:fill="auto"/>
            <w:vAlign w:val="center"/>
          </w:tcPr>
          <w:p w:rsidR="0088341A" w:rsidRPr="00BD3C75" w:rsidRDefault="0088341A" w:rsidP="00501137">
            <w:pPr>
              <w:pStyle w:val="AERtabletextright"/>
            </w:pPr>
            <w:r>
              <w:t>217.3</w:t>
            </w:r>
          </w:p>
        </w:tc>
        <w:tc>
          <w:tcPr>
            <w:tcW w:w="1134" w:type="dxa"/>
            <w:shd w:val="clear" w:color="auto" w:fill="auto"/>
            <w:vAlign w:val="center"/>
          </w:tcPr>
          <w:p w:rsidR="0088341A" w:rsidRPr="00BD3C75" w:rsidRDefault="0088341A" w:rsidP="00C21B34">
            <w:pPr>
              <w:pStyle w:val="AERtabletextright"/>
            </w:pPr>
            <w:r>
              <w:t>221.</w:t>
            </w:r>
            <w:r w:rsidR="00C21B34">
              <w:t>4</w:t>
            </w:r>
          </w:p>
        </w:tc>
        <w:tc>
          <w:tcPr>
            <w:tcW w:w="1054" w:type="dxa"/>
            <w:shd w:val="clear" w:color="auto" w:fill="auto"/>
            <w:vAlign w:val="center"/>
          </w:tcPr>
          <w:p w:rsidR="0088341A" w:rsidRPr="00BD3C75" w:rsidRDefault="0088341A" w:rsidP="00501137">
            <w:pPr>
              <w:pStyle w:val="AERtabletextright"/>
            </w:pPr>
            <w:r>
              <w:t>652.0</w:t>
            </w:r>
          </w:p>
        </w:tc>
      </w:tr>
      <w:tr w:rsidR="0088341A" w:rsidTr="00501137">
        <w:tc>
          <w:tcPr>
            <w:tcW w:w="2802" w:type="dxa"/>
            <w:shd w:val="clear" w:color="auto" w:fill="DBE5F1"/>
            <w:vAlign w:val="center"/>
          </w:tcPr>
          <w:p w:rsidR="0088341A" w:rsidRPr="00D73584" w:rsidRDefault="0088341A" w:rsidP="00501137">
            <w:pPr>
              <w:pStyle w:val="AERtabletextleft"/>
            </w:pPr>
            <w:r>
              <w:t>Regulatory depreciation</w:t>
            </w:r>
            <w:r w:rsidRPr="00D73584">
              <w:rPr>
                <w:rStyle w:val="AERsuperscript"/>
              </w:rPr>
              <w:t>a</w:t>
            </w:r>
          </w:p>
        </w:tc>
        <w:tc>
          <w:tcPr>
            <w:tcW w:w="3118" w:type="dxa"/>
            <w:shd w:val="clear" w:color="auto" w:fill="DBE5F1"/>
            <w:vAlign w:val="center"/>
          </w:tcPr>
          <w:p w:rsidR="0088341A" w:rsidRPr="00BD3C75" w:rsidRDefault="0088341A" w:rsidP="00501137">
            <w:pPr>
              <w:pStyle w:val="AERtabletextright"/>
            </w:pPr>
            <w:r>
              <w:t>75.6</w:t>
            </w:r>
          </w:p>
        </w:tc>
        <w:tc>
          <w:tcPr>
            <w:tcW w:w="1134" w:type="dxa"/>
            <w:shd w:val="clear" w:color="auto" w:fill="DBE5F1"/>
            <w:vAlign w:val="center"/>
          </w:tcPr>
          <w:p w:rsidR="0088341A" w:rsidRPr="00BD3C75" w:rsidRDefault="0088341A" w:rsidP="00501137">
            <w:pPr>
              <w:pStyle w:val="AERtabletextright"/>
            </w:pPr>
            <w:r>
              <w:t>80.0</w:t>
            </w:r>
          </w:p>
        </w:tc>
        <w:tc>
          <w:tcPr>
            <w:tcW w:w="1134" w:type="dxa"/>
            <w:shd w:val="clear" w:color="auto" w:fill="DBE5F1"/>
            <w:vAlign w:val="center"/>
          </w:tcPr>
          <w:p w:rsidR="0088341A" w:rsidRPr="00BD3C75" w:rsidRDefault="0088341A" w:rsidP="00501137">
            <w:pPr>
              <w:pStyle w:val="AERtabletextright"/>
            </w:pPr>
            <w:r>
              <w:t>85.</w:t>
            </w:r>
            <w:r w:rsidRPr="00BD3C75">
              <w:t>5</w:t>
            </w:r>
          </w:p>
        </w:tc>
        <w:tc>
          <w:tcPr>
            <w:tcW w:w="1054" w:type="dxa"/>
            <w:shd w:val="clear" w:color="auto" w:fill="DBE5F1"/>
            <w:vAlign w:val="center"/>
          </w:tcPr>
          <w:p w:rsidR="0088341A" w:rsidRPr="00BD3C75" w:rsidRDefault="0088341A" w:rsidP="00501137">
            <w:pPr>
              <w:pStyle w:val="AERtabletextright"/>
            </w:pPr>
            <w:r>
              <w:t>241.</w:t>
            </w:r>
            <w:r w:rsidRPr="00BD3C75">
              <w:t>2</w:t>
            </w:r>
          </w:p>
        </w:tc>
      </w:tr>
      <w:tr w:rsidR="0088341A" w:rsidTr="00501137">
        <w:tc>
          <w:tcPr>
            <w:tcW w:w="2802" w:type="dxa"/>
            <w:shd w:val="clear" w:color="auto" w:fill="auto"/>
            <w:vAlign w:val="center"/>
          </w:tcPr>
          <w:p w:rsidR="0088341A" w:rsidRPr="00D73584" w:rsidRDefault="0088341A" w:rsidP="00501137">
            <w:pPr>
              <w:pStyle w:val="AERtabletextleft"/>
            </w:pPr>
            <w:r>
              <w:t xml:space="preserve">Operating </w:t>
            </w:r>
            <w:r w:rsidRPr="00D73584">
              <w:t>expenditure</w:t>
            </w:r>
          </w:p>
        </w:tc>
        <w:tc>
          <w:tcPr>
            <w:tcW w:w="3118" w:type="dxa"/>
            <w:shd w:val="clear" w:color="auto" w:fill="auto"/>
            <w:vAlign w:val="center"/>
          </w:tcPr>
          <w:p w:rsidR="0088341A" w:rsidRPr="00BD3C75" w:rsidRDefault="0088341A" w:rsidP="00501137">
            <w:pPr>
              <w:pStyle w:val="AERtabletextright"/>
            </w:pPr>
            <w:r>
              <w:t>18</w:t>
            </w:r>
            <w:r w:rsidRPr="00BD3C75">
              <w:t>4.7</w:t>
            </w:r>
          </w:p>
        </w:tc>
        <w:tc>
          <w:tcPr>
            <w:tcW w:w="1134" w:type="dxa"/>
            <w:shd w:val="clear" w:color="auto" w:fill="auto"/>
            <w:vAlign w:val="center"/>
          </w:tcPr>
          <w:p w:rsidR="0088341A" w:rsidRPr="00BD3C75" w:rsidRDefault="0088341A" w:rsidP="00501137">
            <w:pPr>
              <w:pStyle w:val="AERtabletextright"/>
            </w:pPr>
            <w:r>
              <w:t>19</w:t>
            </w:r>
            <w:r w:rsidRPr="00BD3C75">
              <w:t>3.5</w:t>
            </w:r>
          </w:p>
        </w:tc>
        <w:tc>
          <w:tcPr>
            <w:tcW w:w="1134" w:type="dxa"/>
            <w:shd w:val="clear" w:color="auto" w:fill="auto"/>
            <w:vAlign w:val="center"/>
          </w:tcPr>
          <w:p w:rsidR="0088341A" w:rsidRPr="00BD3C75" w:rsidRDefault="0088341A" w:rsidP="00501137">
            <w:pPr>
              <w:pStyle w:val="AERtabletextright"/>
            </w:pPr>
            <w:r>
              <w:t>19</w:t>
            </w:r>
            <w:r w:rsidRPr="00BD3C75">
              <w:t>5.7</w:t>
            </w:r>
          </w:p>
        </w:tc>
        <w:tc>
          <w:tcPr>
            <w:tcW w:w="1054" w:type="dxa"/>
            <w:shd w:val="clear" w:color="auto" w:fill="auto"/>
            <w:vAlign w:val="center"/>
          </w:tcPr>
          <w:p w:rsidR="0088341A" w:rsidRPr="00BD3C75" w:rsidRDefault="0088341A" w:rsidP="00501137">
            <w:pPr>
              <w:pStyle w:val="AERtabletextright"/>
            </w:pPr>
            <w:r>
              <w:t>57</w:t>
            </w:r>
            <w:r w:rsidRPr="00BD3C75">
              <w:t>3.9</w:t>
            </w:r>
          </w:p>
        </w:tc>
      </w:tr>
      <w:tr w:rsidR="0088341A" w:rsidTr="00501137">
        <w:tc>
          <w:tcPr>
            <w:tcW w:w="2802" w:type="dxa"/>
            <w:shd w:val="clear" w:color="auto" w:fill="DBE5F1"/>
            <w:vAlign w:val="center"/>
          </w:tcPr>
          <w:p w:rsidR="0088341A" w:rsidRPr="00D73584" w:rsidRDefault="0088341A" w:rsidP="00501137">
            <w:pPr>
              <w:pStyle w:val="AERtabletextleft"/>
            </w:pPr>
            <w:r>
              <w:t>Efficiency benefit sharing scheme (carryover amounts)</w:t>
            </w:r>
          </w:p>
        </w:tc>
        <w:tc>
          <w:tcPr>
            <w:tcW w:w="3118" w:type="dxa"/>
            <w:shd w:val="clear" w:color="auto" w:fill="DBE5F1"/>
            <w:vAlign w:val="center"/>
          </w:tcPr>
          <w:p w:rsidR="0088341A" w:rsidRPr="00BD3C75" w:rsidRDefault="0088341A" w:rsidP="00501137">
            <w:pPr>
              <w:pStyle w:val="AERtabletextright"/>
            </w:pPr>
            <w:r>
              <w:t>18</w:t>
            </w:r>
            <w:r w:rsidRPr="00BD3C75">
              <w:t>.4</w:t>
            </w:r>
          </w:p>
        </w:tc>
        <w:tc>
          <w:tcPr>
            <w:tcW w:w="1134" w:type="dxa"/>
            <w:shd w:val="clear" w:color="auto" w:fill="DBE5F1"/>
            <w:vAlign w:val="center"/>
          </w:tcPr>
          <w:p w:rsidR="0088341A" w:rsidRPr="00BD3C75" w:rsidRDefault="0088341A" w:rsidP="00501137">
            <w:pPr>
              <w:pStyle w:val="AERtabletextright"/>
            </w:pPr>
            <w:r>
              <w:t>16</w:t>
            </w:r>
            <w:r w:rsidRPr="00BD3C75">
              <w:t>.2</w:t>
            </w:r>
          </w:p>
        </w:tc>
        <w:tc>
          <w:tcPr>
            <w:tcW w:w="1134" w:type="dxa"/>
            <w:shd w:val="clear" w:color="auto" w:fill="DBE5F1"/>
            <w:vAlign w:val="center"/>
          </w:tcPr>
          <w:p w:rsidR="0088341A" w:rsidRPr="00BD3C75" w:rsidRDefault="0088341A" w:rsidP="00501137">
            <w:pPr>
              <w:pStyle w:val="AERtabletextright"/>
            </w:pPr>
            <w:r>
              <w:t>4</w:t>
            </w:r>
            <w:r w:rsidRPr="00BD3C75">
              <w:t>.1</w:t>
            </w:r>
          </w:p>
        </w:tc>
        <w:tc>
          <w:tcPr>
            <w:tcW w:w="1054" w:type="dxa"/>
            <w:shd w:val="clear" w:color="auto" w:fill="DBE5F1"/>
            <w:vAlign w:val="center"/>
          </w:tcPr>
          <w:p w:rsidR="0088341A" w:rsidRPr="00BD3C75" w:rsidRDefault="0088341A" w:rsidP="00501137">
            <w:pPr>
              <w:pStyle w:val="AERtabletextright"/>
            </w:pPr>
            <w:r>
              <w:t>38.7</w:t>
            </w:r>
          </w:p>
        </w:tc>
      </w:tr>
      <w:tr w:rsidR="0088341A" w:rsidTr="00501137">
        <w:tc>
          <w:tcPr>
            <w:tcW w:w="2802" w:type="dxa"/>
            <w:shd w:val="clear" w:color="auto" w:fill="auto"/>
            <w:vAlign w:val="center"/>
          </w:tcPr>
          <w:p w:rsidR="0088341A" w:rsidRPr="00D73584" w:rsidRDefault="0088341A" w:rsidP="00501137">
            <w:pPr>
              <w:pStyle w:val="AERtabletextleft"/>
            </w:pPr>
            <w:r>
              <w:t>Net tax allowance</w:t>
            </w:r>
          </w:p>
        </w:tc>
        <w:tc>
          <w:tcPr>
            <w:tcW w:w="3118" w:type="dxa"/>
            <w:shd w:val="clear" w:color="auto" w:fill="auto"/>
            <w:vAlign w:val="center"/>
          </w:tcPr>
          <w:p w:rsidR="0088341A" w:rsidRPr="00BD3C75" w:rsidRDefault="0088341A" w:rsidP="00501137">
            <w:pPr>
              <w:pStyle w:val="AERtabletextright"/>
            </w:pPr>
            <w:r>
              <w:t>8.2</w:t>
            </w:r>
          </w:p>
        </w:tc>
        <w:tc>
          <w:tcPr>
            <w:tcW w:w="1134" w:type="dxa"/>
            <w:shd w:val="clear" w:color="auto" w:fill="auto"/>
            <w:vAlign w:val="center"/>
          </w:tcPr>
          <w:p w:rsidR="0088341A" w:rsidRPr="00BD3C75" w:rsidRDefault="0088341A" w:rsidP="00501137">
            <w:pPr>
              <w:pStyle w:val="AERtabletextright"/>
            </w:pPr>
            <w:r>
              <w:t>8.0</w:t>
            </w:r>
          </w:p>
        </w:tc>
        <w:tc>
          <w:tcPr>
            <w:tcW w:w="1134" w:type="dxa"/>
            <w:shd w:val="clear" w:color="auto" w:fill="auto"/>
            <w:vAlign w:val="center"/>
          </w:tcPr>
          <w:p w:rsidR="0088341A" w:rsidRPr="00BD3C75" w:rsidRDefault="0088341A" w:rsidP="00501137">
            <w:pPr>
              <w:pStyle w:val="AERtabletextright"/>
            </w:pPr>
            <w:r>
              <w:t>8.6</w:t>
            </w:r>
          </w:p>
        </w:tc>
        <w:tc>
          <w:tcPr>
            <w:tcW w:w="1054" w:type="dxa"/>
            <w:shd w:val="clear" w:color="auto" w:fill="auto"/>
            <w:vAlign w:val="center"/>
          </w:tcPr>
          <w:p w:rsidR="0088341A" w:rsidRPr="00BD3C75" w:rsidRDefault="0088341A" w:rsidP="00501137">
            <w:pPr>
              <w:pStyle w:val="AERtabletextright"/>
            </w:pPr>
            <w:r>
              <w:t>24.8</w:t>
            </w:r>
          </w:p>
        </w:tc>
      </w:tr>
      <w:tr w:rsidR="0088341A" w:rsidTr="00501137">
        <w:tc>
          <w:tcPr>
            <w:tcW w:w="2802" w:type="dxa"/>
            <w:shd w:val="clear" w:color="auto" w:fill="DBE5F1"/>
            <w:vAlign w:val="center"/>
          </w:tcPr>
          <w:p w:rsidR="0088341A" w:rsidRPr="00D73584" w:rsidRDefault="0088341A" w:rsidP="00501137">
            <w:pPr>
              <w:pStyle w:val="AERtabletextleft"/>
            </w:pPr>
            <w:r>
              <w:t>Annual building block revenue requirement (unsmoothed)</w:t>
            </w:r>
          </w:p>
        </w:tc>
        <w:tc>
          <w:tcPr>
            <w:tcW w:w="3118" w:type="dxa"/>
            <w:shd w:val="clear" w:color="auto" w:fill="DBE5F1"/>
            <w:vAlign w:val="center"/>
          </w:tcPr>
          <w:p w:rsidR="0088341A" w:rsidRPr="00BD3C75" w:rsidRDefault="0088341A" w:rsidP="00501137">
            <w:pPr>
              <w:pStyle w:val="AERtabletextright"/>
            </w:pPr>
            <w:r>
              <w:t>500</w:t>
            </w:r>
            <w:r w:rsidRPr="00BD3C75">
              <w:t>.2</w:t>
            </w:r>
          </w:p>
        </w:tc>
        <w:tc>
          <w:tcPr>
            <w:tcW w:w="1134" w:type="dxa"/>
            <w:shd w:val="clear" w:color="auto" w:fill="DBE5F1"/>
            <w:vAlign w:val="center"/>
          </w:tcPr>
          <w:p w:rsidR="0088341A" w:rsidRPr="00BD3C75" w:rsidRDefault="0088341A" w:rsidP="00501137">
            <w:pPr>
              <w:pStyle w:val="AERtabletextright"/>
            </w:pPr>
            <w:r>
              <w:t>51</w:t>
            </w:r>
            <w:r w:rsidRPr="00BD3C75">
              <w:t>5.0</w:t>
            </w:r>
          </w:p>
        </w:tc>
        <w:tc>
          <w:tcPr>
            <w:tcW w:w="1134" w:type="dxa"/>
            <w:shd w:val="clear" w:color="auto" w:fill="DBE5F1"/>
            <w:vAlign w:val="center"/>
          </w:tcPr>
          <w:p w:rsidR="0088341A" w:rsidRPr="00BD3C75" w:rsidRDefault="0088341A" w:rsidP="00501137">
            <w:pPr>
              <w:pStyle w:val="AERtabletextright"/>
            </w:pPr>
            <w:r>
              <w:t>5</w:t>
            </w:r>
            <w:r w:rsidRPr="00BD3C75">
              <w:t>15.4</w:t>
            </w:r>
          </w:p>
        </w:tc>
        <w:tc>
          <w:tcPr>
            <w:tcW w:w="1054" w:type="dxa"/>
            <w:shd w:val="clear" w:color="auto" w:fill="DBE5F1"/>
            <w:vAlign w:val="center"/>
          </w:tcPr>
          <w:p w:rsidR="0088341A" w:rsidRPr="00BD3C75" w:rsidRDefault="0088341A" w:rsidP="00501137">
            <w:pPr>
              <w:pStyle w:val="AERtabletextright"/>
            </w:pPr>
            <w:r>
              <w:t>153</w:t>
            </w:r>
            <w:r w:rsidRPr="00BD3C75">
              <w:t>0.6</w:t>
            </w:r>
          </w:p>
        </w:tc>
      </w:tr>
      <w:tr w:rsidR="0088341A" w:rsidTr="00501137">
        <w:tc>
          <w:tcPr>
            <w:tcW w:w="2802" w:type="dxa"/>
            <w:shd w:val="clear" w:color="auto" w:fill="auto"/>
            <w:vAlign w:val="center"/>
          </w:tcPr>
          <w:p w:rsidR="0088341A" w:rsidRPr="00D73584" w:rsidRDefault="0088341A" w:rsidP="00501137">
            <w:pPr>
              <w:pStyle w:val="AERtabletextleft"/>
            </w:pPr>
            <w:r>
              <w:t>Annual expected maximum allowed revenue (smoothed)</w:t>
            </w:r>
          </w:p>
        </w:tc>
        <w:tc>
          <w:tcPr>
            <w:tcW w:w="3118" w:type="dxa"/>
            <w:shd w:val="clear" w:color="auto" w:fill="auto"/>
            <w:vAlign w:val="center"/>
          </w:tcPr>
          <w:p w:rsidR="0088341A" w:rsidRPr="00BD3C75" w:rsidRDefault="0088341A" w:rsidP="00501137">
            <w:pPr>
              <w:pStyle w:val="AERtabletextright"/>
            </w:pPr>
            <w:r>
              <w:t>5</w:t>
            </w:r>
            <w:r w:rsidRPr="00BD3C75">
              <w:t>19.0</w:t>
            </w:r>
          </w:p>
        </w:tc>
        <w:tc>
          <w:tcPr>
            <w:tcW w:w="1134" w:type="dxa"/>
            <w:shd w:val="clear" w:color="auto" w:fill="auto"/>
            <w:vAlign w:val="center"/>
          </w:tcPr>
          <w:p w:rsidR="0088341A" w:rsidRPr="00BD3C75" w:rsidRDefault="0088341A" w:rsidP="00501137">
            <w:pPr>
              <w:pStyle w:val="AERtabletextright"/>
            </w:pPr>
            <w:r>
              <w:t>5</w:t>
            </w:r>
            <w:r w:rsidRPr="00BD3C75">
              <w:t>09.3</w:t>
            </w:r>
          </w:p>
        </w:tc>
        <w:tc>
          <w:tcPr>
            <w:tcW w:w="1134" w:type="dxa"/>
            <w:shd w:val="clear" w:color="auto" w:fill="auto"/>
            <w:vAlign w:val="center"/>
          </w:tcPr>
          <w:p w:rsidR="0088341A" w:rsidRPr="00BD3C75" w:rsidRDefault="0088341A" w:rsidP="00501137">
            <w:pPr>
              <w:pStyle w:val="AERtabletextright"/>
            </w:pPr>
            <w:r>
              <w:t>499</w:t>
            </w:r>
            <w:r w:rsidRPr="00BD3C75">
              <w:t>.8</w:t>
            </w:r>
          </w:p>
        </w:tc>
        <w:tc>
          <w:tcPr>
            <w:tcW w:w="1054" w:type="dxa"/>
            <w:shd w:val="clear" w:color="auto" w:fill="auto"/>
            <w:vAlign w:val="center"/>
          </w:tcPr>
          <w:p w:rsidR="0088341A" w:rsidRPr="00BD3C75" w:rsidRDefault="0088341A" w:rsidP="00C21B34">
            <w:pPr>
              <w:pStyle w:val="AERtabletextright"/>
            </w:pPr>
            <w:r>
              <w:t>15</w:t>
            </w:r>
            <w:r w:rsidRPr="00BD3C75">
              <w:t>28.</w:t>
            </w:r>
            <w:r w:rsidR="00C21B34">
              <w:t>1</w:t>
            </w:r>
            <w:r w:rsidRPr="00BD3C75">
              <w:rPr>
                <w:rStyle w:val="AERsuperscript"/>
              </w:rPr>
              <w:t>b</w:t>
            </w:r>
          </w:p>
        </w:tc>
      </w:tr>
      <w:tr w:rsidR="0088341A" w:rsidTr="00501137">
        <w:tc>
          <w:tcPr>
            <w:tcW w:w="2802" w:type="dxa"/>
            <w:shd w:val="clear" w:color="auto" w:fill="DBE5F1"/>
            <w:vAlign w:val="center"/>
          </w:tcPr>
          <w:p w:rsidR="0088341A" w:rsidRPr="00D73584" w:rsidRDefault="0088341A" w:rsidP="00501137">
            <w:pPr>
              <w:pStyle w:val="AERtabletextleft"/>
            </w:pPr>
            <w:r>
              <w:t>X factor (%)</w:t>
            </w:r>
          </w:p>
        </w:tc>
        <w:tc>
          <w:tcPr>
            <w:tcW w:w="3118" w:type="dxa"/>
            <w:shd w:val="clear" w:color="auto" w:fill="DBE5F1"/>
            <w:vAlign w:val="center"/>
          </w:tcPr>
          <w:p w:rsidR="0088341A" w:rsidRPr="00BD3C75" w:rsidRDefault="0088341A" w:rsidP="00501137">
            <w:pPr>
              <w:pStyle w:val="AERtabletextright"/>
            </w:pPr>
            <w:r>
              <w:t>n/a</w:t>
            </w:r>
            <w:r w:rsidRPr="00BD3C75">
              <w:rPr>
                <w:rStyle w:val="AERsuperscript"/>
              </w:rPr>
              <w:t>c</w:t>
            </w:r>
          </w:p>
        </w:tc>
        <w:tc>
          <w:tcPr>
            <w:tcW w:w="1134" w:type="dxa"/>
            <w:shd w:val="clear" w:color="auto" w:fill="DBE5F1"/>
            <w:vAlign w:val="center"/>
          </w:tcPr>
          <w:p w:rsidR="0088341A" w:rsidRPr="00BD3C75" w:rsidRDefault="0088341A" w:rsidP="00501137">
            <w:pPr>
              <w:pStyle w:val="AERtabletextright"/>
            </w:pPr>
            <w:r>
              <w:t>4</w:t>
            </w:r>
            <w:r w:rsidRPr="00BD3C75">
              <w:t>.26</w:t>
            </w:r>
          </w:p>
        </w:tc>
        <w:tc>
          <w:tcPr>
            <w:tcW w:w="1134" w:type="dxa"/>
            <w:shd w:val="clear" w:color="auto" w:fill="DBE5F1"/>
            <w:vAlign w:val="center"/>
          </w:tcPr>
          <w:p w:rsidR="0088341A" w:rsidRPr="00BD3C75" w:rsidRDefault="0088341A" w:rsidP="00501137">
            <w:pPr>
              <w:pStyle w:val="AERtabletextright"/>
            </w:pPr>
            <w:r>
              <w:t>4</w:t>
            </w:r>
            <w:r w:rsidRPr="00BD3C75">
              <w:t>.26</w:t>
            </w:r>
          </w:p>
        </w:tc>
        <w:tc>
          <w:tcPr>
            <w:tcW w:w="1054" w:type="dxa"/>
            <w:shd w:val="clear" w:color="auto" w:fill="DBE5F1"/>
            <w:vAlign w:val="center"/>
          </w:tcPr>
          <w:p w:rsidR="0088341A" w:rsidRPr="00BD3C75" w:rsidRDefault="0088341A" w:rsidP="00501137">
            <w:pPr>
              <w:pStyle w:val="AERtabletextright"/>
            </w:pPr>
            <w:r>
              <w:t>n/a</w:t>
            </w:r>
          </w:p>
        </w:tc>
      </w:tr>
    </w:tbl>
    <w:p w:rsidR="0088341A" w:rsidRPr="003273C1" w:rsidRDefault="0088341A" w:rsidP="0088341A">
      <w:pPr>
        <w:pStyle w:val="AERtablesource"/>
      </w:pPr>
      <w:r>
        <w:t>Source:</w:t>
      </w:r>
      <w:r>
        <w:tab/>
        <w:t>AER analysis.</w:t>
      </w:r>
    </w:p>
    <w:p w:rsidR="0088341A" w:rsidRDefault="0088341A" w:rsidP="0088341A">
      <w:pPr>
        <w:pStyle w:val="AERtablesource"/>
      </w:pPr>
      <w:r>
        <w:t>(a)</w:t>
      </w:r>
      <w:r>
        <w:tab/>
        <w:t>Regulatory depreciation is straight-line depreciation net of the inflation indexation on the opening RAB.</w:t>
      </w:r>
    </w:p>
    <w:p w:rsidR="0088341A" w:rsidRDefault="0088341A" w:rsidP="0088341A">
      <w:pPr>
        <w:pStyle w:val="AERtablesource"/>
      </w:pPr>
      <w:r>
        <w:t>(b)</w:t>
      </w:r>
      <w:r>
        <w:tab/>
        <w:t>The estimated total revenue cap is equal to the total annual expected MAR.</w:t>
      </w:r>
    </w:p>
    <w:p w:rsidR="0088341A" w:rsidRDefault="0088341A" w:rsidP="0088341A">
      <w:pPr>
        <w:pStyle w:val="AERtablesource"/>
      </w:pPr>
      <w:r>
        <w:t>(c)</w:t>
      </w:r>
      <w:r>
        <w:tab/>
        <w:t>SP AusNet is not required to apply an X factor for 2014–15 because the MAR for 2014–15 will be that set in the final decision. The MAR for 2014–15 is around 7.3 per cent lower than the MAR in the final year of the 2008–14 regulatory control period (2013–14) in real terms, or 5.0 per cent lower in nominal terms.</w:t>
      </w:r>
    </w:p>
    <w:p w:rsidR="0088341A" w:rsidRPr="00D35A40" w:rsidRDefault="00A35D2F" w:rsidP="0088341A">
      <w:pPr>
        <w:pStyle w:val="AERbodytext"/>
        <w:numPr>
          <w:ilvl w:val="0"/>
          <w:numId w:val="1"/>
        </w:numPr>
      </w:pPr>
      <w:r>
        <w:fldChar w:fldCharType="begin"/>
      </w:r>
      <w:r>
        <w:instrText xml:space="preserve"> REF _Ref364697147 \h </w:instrText>
      </w:r>
      <w:r>
        <w:fldChar w:fldCharType="separate"/>
      </w:r>
      <w:r w:rsidR="004F35AA">
        <w:t xml:space="preserve">Figure </w:t>
      </w:r>
      <w:r w:rsidR="004F35AA">
        <w:rPr>
          <w:noProof/>
        </w:rPr>
        <w:t>3</w:t>
      </w:r>
      <w:r w:rsidR="004F35AA">
        <w:t>.</w:t>
      </w:r>
      <w:r w:rsidR="004F35AA">
        <w:rPr>
          <w:noProof/>
        </w:rPr>
        <w:t>1</w:t>
      </w:r>
      <w:r>
        <w:fldChar w:fldCharType="end"/>
      </w:r>
      <w:r>
        <w:t xml:space="preserve"> </w:t>
      </w:r>
      <w:r w:rsidR="0088341A" w:rsidRPr="00D35A40">
        <w:t xml:space="preserve">compares </w:t>
      </w:r>
      <w:r w:rsidR="0088341A">
        <w:t>our draft decision building blocks for SP AusNet's 2014–17</w:t>
      </w:r>
      <w:r w:rsidR="0088341A" w:rsidRPr="00D35A40">
        <w:t xml:space="preserve"> re</w:t>
      </w:r>
      <w:r w:rsidR="0088341A">
        <w:t>gulatory control period with SP AusNet's proposed revenue requirement for that same period, and with the approved</w:t>
      </w:r>
      <w:r w:rsidR="0088341A" w:rsidRPr="00D35A40">
        <w:t xml:space="preserve"> reve</w:t>
      </w:r>
      <w:r w:rsidR="0088341A">
        <w:t>nue for the 2008–14</w:t>
      </w:r>
      <w:r w:rsidR="0088341A" w:rsidRPr="00D35A40">
        <w:t xml:space="preserve"> regulatory control period.</w:t>
      </w:r>
      <w:r w:rsidR="0088341A">
        <w:rPr>
          <w:rStyle w:val="FootnoteReference"/>
        </w:rPr>
        <w:footnoteReference w:id="27"/>
      </w:r>
      <w:r w:rsidR="000B0D08">
        <w:t xml:space="preserve"> It shows </w:t>
      </w:r>
      <w:r w:rsidR="0088341A">
        <w:t>our</w:t>
      </w:r>
      <w:r w:rsidR="0088341A" w:rsidRPr="00283695">
        <w:t xml:space="preserve"> draft </w:t>
      </w:r>
      <w:r w:rsidR="0088341A">
        <w:t xml:space="preserve">decision results in a decrease of 8.1 per cent in real terms ($2013–14) </w:t>
      </w:r>
      <w:r w:rsidR="000B0D08">
        <w:t>on</w:t>
      </w:r>
      <w:r w:rsidR="0088341A" w:rsidRPr="00283695">
        <w:t xml:space="preserve"> </w:t>
      </w:r>
      <w:r w:rsidR="0088341A">
        <w:t>SP AusNet's average annual revenue relative to that in the 2008–14 regulatory control period. This decrease in</w:t>
      </w:r>
      <w:r w:rsidR="000B0D08">
        <w:t xml:space="preserve"> revenue is primarily because we applied</w:t>
      </w:r>
      <w:r w:rsidR="0088341A">
        <w:t xml:space="preserve"> a </w:t>
      </w:r>
      <w:r w:rsidR="0088341A">
        <w:lastRenderedPageBreak/>
        <w:t xml:space="preserve">lower WACC applied to this draft decision for the 2014–17 regulatory control period </w:t>
      </w:r>
      <w:r w:rsidR="0088341A" w:rsidRPr="00CD37C7">
        <w:t>than</w:t>
      </w:r>
      <w:r w:rsidR="000B0D08">
        <w:t xml:space="preserve"> we</w:t>
      </w:r>
      <w:r w:rsidR="0088341A">
        <w:t xml:space="preserve"> approved</w:t>
      </w:r>
      <w:r w:rsidR="000B0D08">
        <w:t xml:space="preserve"> for</w:t>
      </w:r>
      <w:r w:rsidR="0088341A" w:rsidRPr="00CD37C7">
        <w:t xml:space="preserve"> the 200</w:t>
      </w:r>
      <w:r w:rsidR="0088341A">
        <w:t>8–14</w:t>
      </w:r>
      <w:r w:rsidR="0088341A" w:rsidRPr="00CD37C7">
        <w:t xml:space="preserve"> </w:t>
      </w:r>
      <w:r w:rsidR="0088341A">
        <w:t>regulatory control period.</w:t>
      </w:r>
      <w:r w:rsidR="00C21B34">
        <w:rPr>
          <w:rStyle w:val="FootnoteReference"/>
        </w:rPr>
        <w:footnoteReference w:id="28"/>
      </w:r>
      <w:r w:rsidR="0088341A">
        <w:t xml:space="preserve">  </w:t>
      </w:r>
    </w:p>
    <w:p w:rsidR="0088341A" w:rsidRDefault="00A35D2F" w:rsidP="00A35D2F">
      <w:pPr>
        <w:pStyle w:val="Caption"/>
      </w:pPr>
      <w:bookmarkStart w:id="39" w:name="_Ref364697147"/>
      <w:r>
        <w:t xml:space="preserve">Figure </w:t>
      </w:r>
      <w:fldSimple w:instr=" STYLEREF 1 \s ">
        <w:r w:rsidR="004F35AA">
          <w:rPr>
            <w:noProof/>
          </w:rPr>
          <w:t>3</w:t>
        </w:r>
      </w:fldSimple>
      <w:r w:rsidR="00C56A87">
        <w:t>.</w:t>
      </w:r>
      <w:fldSimple w:instr=" SEQ Figure \* ARABIC \s 1 ">
        <w:r w:rsidR="004F35AA">
          <w:rPr>
            <w:noProof/>
          </w:rPr>
          <w:t>1</w:t>
        </w:r>
      </w:fldSimple>
      <w:bookmarkEnd w:id="39"/>
      <w:r w:rsidR="0088341A">
        <w:tab/>
        <w:t xml:space="preserve">Annual average of </w:t>
      </w:r>
      <w:r w:rsidR="000B0D08">
        <w:t>AER's draft decision compared with</w:t>
      </w:r>
      <w:r w:rsidR="0088341A">
        <w:t xml:space="preserve"> SP AusNet's proposed revenue requirement and approved revenue for 2008–14 ($ million, 2013–14)</w:t>
      </w:r>
    </w:p>
    <w:p w:rsidR="0088341A" w:rsidRDefault="0088341A" w:rsidP="0088341A">
      <w:pPr>
        <w:pStyle w:val="AERtablesource"/>
      </w:pPr>
      <w:r>
        <w:rPr>
          <w:noProof/>
          <w:lang w:eastAsia="en-AU"/>
        </w:rPr>
        <w:drawing>
          <wp:inline distT="0" distB="0" distL="0" distR="0" wp14:anchorId="62DE4ABC" wp14:editId="04E5F0C2">
            <wp:extent cx="5727700" cy="3730625"/>
            <wp:effectExtent l="0" t="0" r="635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0" cy="3730625"/>
                    </a:xfrm>
                    <a:prstGeom prst="rect">
                      <a:avLst/>
                    </a:prstGeom>
                    <a:noFill/>
                    <a:ln>
                      <a:noFill/>
                    </a:ln>
                  </pic:spPr>
                </pic:pic>
              </a:graphicData>
            </a:graphic>
          </wp:inline>
        </w:drawing>
      </w:r>
    </w:p>
    <w:p w:rsidR="0088341A" w:rsidRDefault="0088341A" w:rsidP="0088341A">
      <w:pPr>
        <w:pStyle w:val="AERtablesource"/>
      </w:pPr>
      <w:r>
        <w:t>Source:</w:t>
      </w:r>
      <w:r>
        <w:tab/>
        <w:t>AER analysis.</w:t>
      </w:r>
    </w:p>
    <w:p w:rsidR="0088341A" w:rsidRPr="00D35A40" w:rsidRDefault="0088341A" w:rsidP="0088341A">
      <w:pPr>
        <w:pStyle w:val="AERbodytext"/>
        <w:numPr>
          <w:ilvl w:val="0"/>
          <w:numId w:val="1"/>
        </w:numPr>
      </w:pPr>
      <w:r>
        <w:fldChar w:fldCharType="begin"/>
      </w:r>
      <w:r>
        <w:instrText xml:space="preserve"> REF _Ref360807505 \h </w:instrText>
      </w:r>
      <w:r>
        <w:fldChar w:fldCharType="separate"/>
      </w:r>
      <w:r w:rsidR="004F35AA">
        <w:t xml:space="preserve">Figure </w:t>
      </w:r>
      <w:r w:rsidR="004F35AA">
        <w:rPr>
          <w:noProof/>
        </w:rPr>
        <w:t>3</w:t>
      </w:r>
      <w:r w:rsidR="004F35AA">
        <w:t>.</w:t>
      </w:r>
      <w:r w:rsidR="004F35AA">
        <w:rPr>
          <w:noProof/>
        </w:rPr>
        <w:t>2</w:t>
      </w:r>
      <w:r>
        <w:fldChar w:fldCharType="end"/>
      </w:r>
      <w:r>
        <w:t xml:space="preserve"> </w:t>
      </w:r>
      <w:r w:rsidRPr="00D35A40">
        <w:t xml:space="preserve">shows the effect of our </w:t>
      </w:r>
      <w:r>
        <w:t>draft</w:t>
      </w:r>
      <w:r w:rsidRPr="00D35A40">
        <w:t xml:space="preserve"> decision adjustments on </w:t>
      </w:r>
      <w:r>
        <w:t>SP AusNet's</w:t>
      </w:r>
      <w:r w:rsidRPr="00D35A40">
        <w:t xml:space="preserve"> proposed building blocks. </w:t>
      </w:r>
      <w:r>
        <w:t>It</w:t>
      </w:r>
      <w:r w:rsidR="000B0D08">
        <w:t xml:space="preserve"> shows </w:t>
      </w:r>
      <w:r w:rsidRPr="00D35A40">
        <w:t xml:space="preserve">our </w:t>
      </w:r>
      <w:r>
        <w:t>draft</w:t>
      </w:r>
      <w:r w:rsidRPr="00D35A40">
        <w:t xml:space="preserve"> decision will reduce </w:t>
      </w:r>
      <w:r>
        <w:t>SP AusNet's</w:t>
      </w:r>
      <w:r w:rsidRPr="00D35A40">
        <w:t xml:space="preserve"> proposals for </w:t>
      </w:r>
      <w:r>
        <w:t xml:space="preserve">the </w:t>
      </w:r>
      <w:r w:rsidRPr="00D35A40">
        <w:t>opex building block.</w:t>
      </w:r>
    </w:p>
    <w:p w:rsidR="0088341A" w:rsidRPr="00D35A40" w:rsidRDefault="0088341A" w:rsidP="0088341A">
      <w:pPr>
        <w:pStyle w:val="Caption"/>
      </w:pPr>
      <w:bookmarkStart w:id="40" w:name="_Ref360807505"/>
      <w:r>
        <w:lastRenderedPageBreak/>
        <w:t xml:space="preserve">Figure </w:t>
      </w:r>
      <w:fldSimple w:instr=" STYLEREF 1 \s ">
        <w:r w:rsidR="004F35AA">
          <w:rPr>
            <w:noProof/>
          </w:rPr>
          <w:t>3</w:t>
        </w:r>
      </w:fldSimple>
      <w:r w:rsidR="00C56A87">
        <w:t>.</w:t>
      </w:r>
      <w:fldSimple w:instr=" SEQ Figure \* ARABIC \s 1 ">
        <w:r w:rsidR="004F35AA">
          <w:rPr>
            <w:noProof/>
          </w:rPr>
          <w:t>2</w:t>
        </w:r>
      </w:fldSimple>
      <w:bookmarkEnd w:id="40"/>
      <w:r>
        <w:tab/>
      </w:r>
      <w:r w:rsidRPr="00D35A40">
        <w:t xml:space="preserve">AER’s </w:t>
      </w:r>
      <w:r>
        <w:t>draft</w:t>
      </w:r>
      <w:r w:rsidRPr="00D35A40">
        <w:t xml:space="preserve"> decision and </w:t>
      </w:r>
      <w:r>
        <w:t>SP AusNet's</w:t>
      </w:r>
      <w:r w:rsidRPr="00D35A40">
        <w:t xml:space="preserve"> </w:t>
      </w:r>
      <w:r>
        <w:t>proposed</w:t>
      </w:r>
      <w:r w:rsidRPr="00D35A40">
        <w:t xml:space="preserve"> annual building block revenue requirement ($ million, nominal)</w:t>
      </w:r>
    </w:p>
    <w:p w:rsidR="0088341A" w:rsidRDefault="0088341A" w:rsidP="0088341A">
      <w:pPr>
        <w:pStyle w:val="AERtablesource"/>
      </w:pPr>
      <w:bookmarkStart w:id="41" w:name="_Toc341686710"/>
      <w:r>
        <w:rPr>
          <w:noProof/>
          <w:lang w:eastAsia="en-AU"/>
        </w:rPr>
        <w:drawing>
          <wp:inline distT="0" distB="0" distL="0" distR="0" wp14:anchorId="0451E985" wp14:editId="557838C8">
            <wp:extent cx="5727700" cy="3555365"/>
            <wp:effectExtent l="0" t="0" r="6350"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0" cy="3555365"/>
                    </a:xfrm>
                    <a:prstGeom prst="rect">
                      <a:avLst/>
                    </a:prstGeom>
                    <a:noFill/>
                    <a:ln>
                      <a:noFill/>
                    </a:ln>
                  </pic:spPr>
                </pic:pic>
              </a:graphicData>
            </a:graphic>
          </wp:inline>
        </w:drawing>
      </w:r>
    </w:p>
    <w:p w:rsidR="0088341A" w:rsidRDefault="0088341A" w:rsidP="0088341A">
      <w:pPr>
        <w:pStyle w:val="AERtablesource"/>
        <w:ind w:left="0" w:firstLine="0"/>
      </w:pPr>
    </w:p>
    <w:p w:rsidR="0088341A" w:rsidRDefault="0088341A" w:rsidP="0088341A">
      <w:pPr>
        <w:pStyle w:val="AERtablesource"/>
        <w:ind w:left="0" w:firstLine="0"/>
      </w:pPr>
      <w:r w:rsidRPr="00D35A40">
        <w:t xml:space="preserve">Source: </w:t>
      </w:r>
      <w:r w:rsidRPr="00D35A40">
        <w:tab/>
        <w:t>AER analysis.</w:t>
      </w:r>
    </w:p>
    <w:p w:rsidR="0088341A" w:rsidRPr="00D35A40" w:rsidRDefault="0088341A" w:rsidP="0088341A">
      <w:pPr>
        <w:pStyle w:val="Heading2"/>
        <w:numPr>
          <w:ilvl w:val="2"/>
          <w:numId w:val="20"/>
        </w:numPr>
      </w:pPr>
      <w:bookmarkStart w:id="42" w:name="_Toc365283242"/>
      <w:r w:rsidRPr="00D35A40">
        <w:t>Sensitivity analysis</w:t>
      </w:r>
      <w:bookmarkEnd w:id="41"/>
      <w:bookmarkEnd w:id="42"/>
    </w:p>
    <w:p w:rsidR="0088341A" w:rsidRPr="00D35A40" w:rsidRDefault="0088341A" w:rsidP="0088341A">
      <w:pPr>
        <w:pStyle w:val="AERbodytext"/>
        <w:numPr>
          <w:ilvl w:val="0"/>
          <w:numId w:val="1"/>
        </w:numPr>
      </w:pPr>
      <w:r w:rsidRPr="00D35A40">
        <w:t xml:space="preserve">We assessed the impact of key aspects of our </w:t>
      </w:r>
      <w:r>
        <w:t>draft</w:t>
      </w:r>
      <w:r w:rsidRPr="00D35A40">
        <w:t xml:space="preserve"> decision on </w:t>
      </w:r>
      <w:r>
        <w:t>SP AusNet's</w:t>
      </w:r>
      <w:r w:rsidRPr="00D35A40">
        <w:t xml:space="preserve"> </w:t>
      </w:r>
      <w:r>
        <w:t>revenue</w:t>
      </w:r>
      <w:r w:rsidRPr="00D35A40">
        <w:t xml:space="preserve"> proposal. These include our </w:t>
      </w:r>
      <w:r>
        <w:t>draft</w:t>
      </w:r>
      <w:r w:rsidRPr="00D35A40">
        <w:t xml:space="preserve"> decision on forecast opex, forecast capex and the cost of capital. Our </w:t>
      </w:r>
      <w:r>
        <w:t>draft</w:t>
      </w:r>
      <w:r w:rsidRPr="00D35A40">
        <w:t xml:space="preserve"> decision on each is:</w:t>
      </w:r>
    </w:p>
    <w:p w:rsidR="0088341A" w:rsidRPr="00D35A40" w:rsidRDefault="000B0D08" w:rsidP="0088341A">
      <w:pPr>
        <w:pStyle w:val="AERbulletlistfirststyle"/>
      </w:pPr>
      <w:r>
        <w:t xml:space="preserve">forecast </w:t>
      </w:r>
      <w:r w:rsidR="0088341A" w:rsidRPr="00D35A40">
        <w:t>capex of $</w:t>
      </w:r>
      <w:r w:rsidR="0088341A">
        <w:t>396.</w:t>
      </w:r>
      <w:r w:rsidR="006015F9">
        <w:t xml:space="preserve">2 </w:t>
      </w:r>
      <w:r w:rsidR="0088341A">
        <w:t>million ($2013–14</w:t>
      </w:r>
      <w:r w:rsidR="0088341A" w:rsidRPr="00D35A40">
        <w:t xml:space="preserve">), compared </w:t>
      </w:r>
      <w:r w:rsidR="00A030D7">
        <w:t>with</w:t>
      </w:r>
      <w:r w:rsidR="00A030D7" w:rsidRPr="00D35A40">
        <w:t xml:space="preserve"> </w:t>
      </w:r>
      <w:r w:rsidR="0088341A">
        <w:t>SP AusNet's</w:t>
      </w:r>
      <w:r w:rsidR="0088341A" w:rsidRPr="00D35A40">
        <w:t xml:space="preserve"> proposed $</w:t>
      </w:r>
      <w:r w:rsidR="0088341A">
        <w:t>564.2</w:t>
      </w:r>
      <w:r w:rsidR="0088341A" w:rsidRPr="00D35A40">
        <w:t xml:space="preserve"> </w:t>
      </w:r>
      <w:r w:rsidR="0088341A">
        <w:t>million ($2013–14</w:t>
      </w:r>
      <w:r w:rsidR="0088341A" w:rsidRPr="00D35A40">
        <w:t>) in its rev</w:t>
      </w:r>
      <w:r w:rsidR="0088341A">
        <w:t>enue</w:t>
      </w:r>
      <w:r w:rsidR="0088341A" w:rsidRPr="00D35A40">
        <w:t xml:space="preserve"> proposal</w:t>
      </w:r>
      <w:r w:rsidR="0088341A">
        <w:t>;</w:t>
      </w:r>
      <w:r w:rsidR="0088341A">
        <w:rPr>
          <w:rStyle w:val="FootnoteReference"/>
        </w:rPr>
        <w:footnoteReference w:id="29"/>
      </w:r>
      <w:r w:rsidR="0088341A">
        <w:t xml:space="preserve"> a reduction of 30 </w:t>
      </w:r>
      <w:r w:rsidR="0088341A" w:rsidRPr="00D35A40">
        <w:t>per cent.</w:t>
      </w:r>
    </w:p>
    <w:p w:rsidR="0088341A" w:rsidRPr="00D35A40" w:rsidRDefault="000B0D08" w:rsidP="0088341A">
      <w:pPr>
        <w:pStyle w:val="AERbulletlistfirststyle"/>
      </w:pPr>
      <w:r>
        <w:t xml:space="preserve">forecast </w:t>
      </w:r>
      <w:r w:rsidR="0088341A" w:rsidRPr="00D35A40">
        <w:t>opex of $</w:t>
      </w:r>
      <w:r w:rsidR="0088341A">
        <w:t xml:space="preserve">543.2 </w:t>
      </w:r>
      <w:r w:rsidR="0088341A" w:rsidRPr="00D35A40">
        <w:t>million ($201</w:t>
      </w:r>
      <w:r w:rsidR="0088341A">
        <w:t>3</w:t>
      </w:r>
      <w:r w:rsidR="0088341A" w:rsidRPr="00D35A40">
        <w:t>–1</w:t>
      </w:r>
      <w:r w:rsidR="0088341A">
        <w:t>4</w:t>
      </w:r>
      <w:r w:rsidR="0088341A" w:rsidRPr="00D35A40">
        <w:t xml:space="preserve">), compared </w:t>
      </w:r>
      <w:r w:rsidR="00A030D7">
        <w:t>with</w:t>
      </w:r>
      <w:r w:rsidR="00A030D7" w:rsidRPr="00D35A40">
        <w:t xml:space="preserve"> </w:t>
      </w:r>
      <w:r w:rsidR="0088341A">
        <w:t>SP AusNet's</w:t>
      </w:r>
      <w:r w:rsidR="0088341A" w:rsidRPr="00D35A40">
        <w:t xml:space="preserve"> proposed $</w:t>
      </w:r>
      <w:r w:rsidR="0088341A">
        <w:t>607.2</w:t>
      </w:r>
      <w:r w:rsidR="0088341A" w:rsidRPr="00D35A40">
        <w:t xml:space="preserve"> </w:t>
      </w:r>
      <w:r w:rsidR="0088341A">
        <w:t>million ($2013–14</w:t>
      </w:r>
      <w:r w:rsidR="0088341A" w:rsidRPr="00D35A40">
        <w:t>) in its rev</w:t>
      </w:r>
      <w:r w:rsidR="0088341A">
        <w:t>enue</w:t>
      </w:r>
      <w:r w:rsidR="0088341A" w:rsidRPr="00D35A40">
        <w:t xml:space="preserve"> proposal;</w:t>
      </w:r>
      <w:r w:rsidR="0088341A">
        <w:rPr>
          <w:rStyle w:val="FootnoteReference"/>
        </w:rPr>
        <w:footnoteReference w:id="30"/>
      </w:r>
      <w:r w:rsidR="0088341A" w:rsidRPr="00D35A40">
        <w:t xml:space="preserve"> a reduction of </w:t>
      </w:r>
      <w:r w:rsidR="0088341A">
        <w:t>1</w:t>
      </w:r>
      <w:r w:rsidR="00536116">
        <w:t>1</w:t>
      </w:r>
      <w:r w:rsidR="0088341A">
        <w:t xml:space="preserve"> </w:t>
      </w:r>
      <w:r w:rsidR="0088341A" w:rsidRPr="00D35A40">
        <w:t>per cent.</w:t>
      </w:r>
    </w:p>
    <w:p w:rsidR="0088341A" w:rsidRPr="00D35A40" w:rsidRDefault="0088341A" w:rsidP="0088341A">
      <w:pPr>
        <w:pStyle w:val="AERbulletlistfirststyle"/>
      </w:pPr>
      <w:r w:rsidRPr="00D35A40">
        <w:t xml:space="preserve">a cost of capital of </w:t>
      </w:r>
      <w:r>
        <w:t>7.43</w:t>
      </w:r>
      <w:r w:rsidRPr="00D35A40">
        <w:t xml:space="preserve"> per cent, compared </w:t>
      </w:r>
      <w:r w:rsidR="00A030D7">
        <w:t>with</w:t>
      </w:r>
      <w:r w:rsidR="00A030D7" w:rsidRPr="00D35A40">
        <w:t xml:space="preserve"> </w:t>
      </w:r>
      <w:r>
        <w:t>SP AusNet's</w:t>
      </w:r>
      <w:r w:rsidRPr="00D35A40">
        <w:t xml:space="preserve"> proposed </w:t>
      </w:r>
      <w:r>
        <w:t>7.19</w:t>
      </w:r>
      <w:r w:rsidRPr="00D35A40">
        <w:t xml:space="preserve"> per cent in its rev</w:t>
      </w:r>
      <w:r>
        <w:t>enue</w:t>
      </w:r>
      <w:r w:rsidRPr="00D35A40">
        <w:t xml:space="preserve"> proposal.</w:t>
      </w:r>
    </w:p>
    <w:p w:rsidR="0088341A" w:rsidRPr="00D35A40" w:rsidRDefault="0088341A" w:rsidP="0088341A">
      <w:pPr>
        <w:pStyle w:val="AERbodytext"/>
        <w:numPr>
          <w:ilvl w:val="0"/>
          <w:numId w:val="1"/>
        </w:numPr>
      </w:pPr>
      <w:r>
        <w:fldChar w:fldCharType="begin"/>
      </w:r>
      <w:r>
        <w:instrText xml:space="preserve"> REF _Ref360808004 \h </w:instrText>
      </w:r>
      <w:r>
        <w:fldChar w:fldCharType="separate"/>
      </w:r>
      <w:r w:rsidR="004F35AA">
        <w:t xml:space="preserve">Table </w:t>
      </w:r>
      <w:r w:rsidR="004F35AA">
        <w:rPr>
          <w:noProof/>
        </w:rPr>
        <w:t>3</w:t>
      </w:r>
      <w:r w:rsidR="004F35AA">
        <w:t>.</w:t>
      </w:r>
      <w:r w:rsidR="004F35AA">
        <w:rPr>
          <w:noProof/>
        </w:rPr>
        <w:t>2</w:t>
      </w:r>
      <w:r>
        <w:fldChar w:fldCharType="end"/>
      </w:r>
      <w:r>
        <w:t xml:space="preserve"> </w:t>
      </w:r>
      <w:r w:rsidRPr="00D35A40">
        <w:t xml:space="preserve">shows total unsmoothed revenue, based on our </w:t>
      </w:r>
      <w:r>
        <w:t>draft</w:t>
      </w:r>
      <w:r w:rsidRPr="00D35A40">
        <w:t xml:space="preserve"> decision on forecast capex, would be $</w:t>
      </w:r>
      <w:r>
        <w:t>1582</w:t>
      </w:r>
      <w:r w:rsidRPr="00D35A40">
        <w:t xml:space="preserve"> million ($ nominal) or </w:t>
      </w:r>
      <w:r>
        <w:t>1.0</w:t>
      </w:r>
      <w:r w:rsidRPr="00D35A40">
        <w:t xml:space="preserve"> per cent lower than </w:t>
      </w:r>
      <w:r>
        <w:t>SP AusNet's</w:t>
      </w:r>
      <w:r w:rsidRPr="00D35A40">
        <w:t xml:space="preserve"> proposed total unsmoothed revenue in its </w:t>
      </w:r>
      <w:r>
        <w:t>revenue</w:t>
      </w:r>
      <w:r w:rsidRPr="00D35A40">
        <w:t xml:space="preserve"> proposal. It also shows total unsmoothed revenue would be $</w:t>
      </w:r>
      <w:r>
        <w:t>1530</w:t>
      </w:r>
      <w:r w:rsidRPr="00D35A40">
        <w:t xml:space="preserve"> million ($ nominal) or </w:t>
      </w:r>
      <w:r>
        <w:t>4.</w:t>
      </w:r>
      <w:r w:rsidR="00536116">
        <w:t>2</w:t>
      </w:r>
      <w:r w:rsidRPr="00D35A40">
        <w:t xml:space="preserve"> per cent lower than </w:t>
      </w:r>
      <w:r>
        <w:t>SP AusNet's</w:t>
      </w:r>
      <w:r w:rsidRPr="00D35A40">
        <w:t xml:space="preserve"> proposed total unsmoothed revenue in its </w:t>
      </w:r>
      <w:r>
        <w:t>revenue</w:t>
      </w:r>
      <w:r w:rsidRPr="00D35A40">
        <w:t xml:space="preserve"> proposal, when </w:t>
      </w:r>
      <w:r w:rsidR="000B0D08">
        <w:t xml:space="preserve">adopting </w:t>
      </w:r>
      <w:r w:rsidRPr="00D35A40">
        <w:t xml:space="preserve">our </w:t>
      </w:r>
      <w:r>
        <w:t>draft</w:t>
      </w:r>
      <w:r w:rsidRPr="00D35A40">
        <w:t xml:space="preserve"> decision on forecast opex. In addition, total u</w:t>
      </w:r>
      <w:r>
        <w:t>nsmoothed revenue would be $1620</w:t>
      </w:r>
      <w:r w:rsidRPr="00D35A40">
        <w:t xml:space="preserve"> </w:t>
      </w:r>
      <w:r>
        <w:t>million ($ nominal) or 1.4</w:t>
      </w:r>
      <w:r w:rsidRPr="00D35A40">
        <w:t xml:space="preserve"> per cent higher than </w:t>
      </w:r>
      <w:r>
        <w:t>SP AusNet's</w:t>
      </w:r>
      <w:r w:rsidRPr="00D35A40">
        <w:t xml:space="preserve"> proposed total unsmoothed revenue in its </w:t>
      </w:r>
      <w:r>
        <w:t>revenue</w:t>
      </w:r>
      <w:r w:rsidRPr="00D35A40">
        <w:t xml:space="preserve"> proposal when </w:t>
      </w:r>
      <w:r w:rsidR="000B0D08">
        <w:t xml:space="preserve">adopting </w:t>
      </w:r>
      <w:r>
        <w:t>our draft</w:t>
      </w:r>
      <w:r w:rsidRPr="00D35A40">
        <w:t xml:space="preserve"> decision o</w:t>
      </w:r>
      <w:r w:rsidR="000B0D08">
        <w:t>n the cost of capital</w:t>
      </w:r>
      <w:r w:rsidRPr="00D35A40">
        <w:t>.</w:t>
      </w:r>
    </w:p>
    <w:p w:rsidR="0088341A" w:rsidRPr="00D35A40" w:rsidRDefault="0088341A" w:rsidP="0088341A">
      <w:pPr>
        <w:pStyle w:val="Caption"/>
      </w:pPr>
      <w:bookmarkStart w:id="43" w:name="_Ref360808004"/>
      <w:r>
        <w:lastRenderedPageBreak/>
        <w:t xml:space="preserve">Table </w:t>
      </w:r>
      <w:fldSimple w:instr=" STYLEREF 1 \s ">
        <w:r w:rsidR="004F35AA">
          <w:rPr>
            <w:noProof/>
          </w:rPr>
          <w:t>3</w:t>
        </w:r>
      </w:fldSimple>
      <w:r w:rsidR="00C56A87">
        <w:t>.</w:t>
      </w:r>
      <w:fldSimple w:instr=" SEQ Table \* ARABIC \s 1 ">
        <w:r w:rsidR="004F35AA">
          <w:rPr>
            <w:noProof/>
          </w:rPr>
          <w:t>2</w:t>
        </w:r>
      </w:fldSimple>
      <w:bookmarkEnd w:id="43"/>
      <w:r>
        <w:tab/>
      </w:r>
      <w:r w:rsidRPr="00D35A40">
        <w:t xml:space="preserve">Changes to </w:t>
      </w:r>
      <w:r>
        <w:t>SP AusNet</w:t>
      </w:r>
      <w:r w:rsidRPr="00D35A40">
        <w:t xml:space="preserve">’s total proposed unsmoothed revenue, when </w:t>
      </w:r>
      <w:r w:rsidR="000B0D08">
        <w:t xml:space="preserve">adopting the </w:t>
      </w:r>
      <w:r w:rsidRPr="00D35A40">
        <w:t xml:space="preserve">AER’s </w:t>
      </w:r>
      <w:r>
        <w:t>draft</w:t>
      </w:r>
      <w:r w:rsidRPr="00D35A40">
        <w:t xml:space="preserve"> decision </w:t>
      </w:r>
      <w:r w:rsidR="000B0D08">
        <w:t xml:space="preserve">on the </w:t>
      </w:r>
      <w:r w:rsidRPr="00D35A40">
        <w:t>capex forecast, op</w:t>
      </w:r>
      <w:r w:rsidR="000B0D08">
        <w:t>ex forecast and WACC</w:t>
      </w:r>
    </w:p>
    <w:tbl>
      <w:tblPr>
        <w:tblStyle w:val="AERtable-numbers"/>
        <w:tblW w:w="9180" w:type="dxa"/>
        <w:tblLayout w:type="fixed"/>
        <w:tblLook w:val="04A0" w:firstRow="1" w:lastRow="0" w:firstColumn="1" w:lastColumn="0" w:noHBand="0" w:noVBand="1"/>
      </w:tblPr>
      <w:tblGrid>
        <w:gridCol w:w="1809"/>
        <w:gridCol w:w="1985"/>
        <w:gridCol w:w="2126"/>
        <w:gridCol w:w="1701"/>
        <w:gridCol w:w="1559"/>
      </w:tblGrid>
      <w:tr w:rsidR="0088341A" w:rsidRPr="00657046" w:rsidTr="00657046">
        <w:trPr>
          <w:cnfStyle w:val="100000000000" w:firstRow="1" w:lastRow="0" w:firstColumn="0" w:lastColumn="0" w:oddVBand="0" w:evenVBand="0" w:oddHBand="0"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1809" w:type="dxa"/>
            <w:noWrap/>
          </w:tcPr>
          <w:p w:rsidR="0088341A" w:rsidRPr="00657046" w:rsidRDefault="0088341A" w:rsidP="00657046">
            <w:pPr>
              <w:pStyle w:val="AERtabletextright"/>
              <w:jc w:val="left"/>
            </w:pPr>
            <w:r w:rsidRPr="00657046">
              <w:t> </w:t>
            </w:r>
          </w:p>
        </w:tc>
        <w:tc>
          <w:tcPr>
            <w:tcW w:w="1985" w:type="dxa"/>
            <w:noWrap/>
          </w:tcPr>
          <w:p w:rsidR="0088341A" w:rsidRPr="00657046" w:rsidRDefault="0088341A" w:rsidP="00657046">
            <w:pPr>
              <w:pStyle w:val="AERtabletextright"/>
              <w:cnfStyle w:val="100000000000" w:firstRow="1" w:lastRow="0" w:firstColumn="0" w:lastColumn="0" w:oddVBand="0" w:evenVBand="0" w:oddHBand="0" w:evenHBand="0" w:firstRowFirstColumn="0" w:firstRowLastColumn="0" w:lastRowFirstColumn="0" w:lastRowLastColumn="0"/>
            </w:pPr>
            <w:r w:rsidRPr="00657046">
              <w:t>Proposed</w:t>
            </w:r>
            <w:r w:rsidRPr="00657046">
              <w:br/>
              <w:t>($ million, 2013–14)</w:t>
            </w:r>
          </w:p>
        </w:tc>
        <w:tc>
          <w:tcPr>
            <w:tcW w:w="2126" w:type="dxa"/>
            <w:noWrap/>
          </w:tcPr>
          <w:p w:rsidR="0088341A" w:rsidRPr="00657046" w:rsidRDefault="0088341A" w:rsidP="00657046">
            <w:pPr>
              <w:pStyle w:val="AERtabletextright"/>
              <w:cnfStyle w:val="100000000000" w:firstRow="1" w:lastRow="0" w:firstColumn="0" w:lastColumn="0" w:oddVBand="0" w:evenVBand="0" w:oddHBand="0" w:evenHBand="0" w:firstRowFirstColumn="0" w:firstRowLastColumn="0" w:lastRowFirstColumn="0" w:lastRowLastColumn="0"/>
            </w:pPr>
            <w:r w:rsidRPr="00657046">
              <w:t> Draft decision                             ($ million, 2013–14)</w:t>
            </w:r>
          </w:p>
        </w:tc>
        <w:tc>
          <w:tcPr>
            <w:tcW w:w="1701" w:type="dxa"/>
            <w:noWrap/>
          </w:tcPr>
          <w:p w:rsidR="0088341A" w:rsidRPr="00657046" w:rsidRDefault="0088341A" w:rsidP="00657046">
            <w:pPr>
              <w:pStyle w:val="AERtabletextright"/>
              <w:cnfStyle w:val="100000000000" w:firstRow="1" w:lastRow="0" w:firstColumn="0" w:lastColumn="0" w:oddVBand="0" w:evenVBand="0" w:oddHBand="0" w:evenHBand="0" w:firstRowFirstColumn="0" w:firstRowLastColumn="0" w:lastRowFirstColumn="0" w:lastRowLastColumn="0"/>
            </w:pPr>
            <w:r w:rsidRPr="00657046">
              <w:t xml:space="preserve">Revenue change  ($ million, nominal) </w:t>
            </w:r>
          </w:p>
        </w:tc>
        <w:tc>
          <w:tcPr>
            <w:tcW w:w="1559" w:type="dxa"/>
            <w:noWrap/>
          </w:tcPr>
          <w:p w:rsidR="0088341A" w:rsidRPr="00657046" w:rsidRDefault="0088341A" w:rsidP="00657046">
            <w:pPr>
              <w:pStyle w:val="AERtabletextright"/>
              <w:cnfStyle w:val="100000000000" w:firstRow="1" w:lastRow="0" w:firstColumn="0" w:lastColumn="0" w:oddVBand="0" w:evenVBand="0" w:oddHBand="0" w:evenHBand="0" w:firstRowFirstColumn="0" w:firstRowLastColumn="0" w:lastRowFirstColumn="0" w:lastRowLastColumn="0"/>
            </w:pPr>
            <w:r w:rsidRPr="00657046">
              <w:t xml:space="preserve">Revenue change (per cent) </w:t>
            </w:r>
          </w:p>
        </w:tc>
      </w:tr>
      <w:tr w:rsidR="0088341A" w:rsidRPr="00657046" w:rsidTr="00657046">
        <w:trPr>
          <w:trHeight w:val="300"/>
        </w:trPr>
        <w:tc>
          <w:tcPr>
            <w:cnfStyle w:val="001000000000" w:firstRow="0" w:lastRow="0" w:firstColumn="1" w:lastColumn="0" w:oddVBand="0" w:evenVBand="0" w:oddHBand="0" w:evenHBand="0" w:firstRowFirstColumn="0" w:firstRowLastColumn="0" w:lastRowFirstColumn="0" w:lastRowLastColumn="0"/>
            <w:tcW w:w="1809" w:type="dxa"/>
            <w:noWrap/>
          </w:tcPr>
          <w:p w:rsidR="0088341A" w:rsidRPr="00657046" w:rsidRDefault="0088341A" w:rsidP="00657046">
            <w:pPr>
              <w:pStyle w:val="AERtabletextleft"/>
            </w:pPr>
            <w:r w:rsidRPr="00657046">
              <w:t>Capex</w:t>
            </w:r>
          </w:p>
        </w:tc>
        <w:tc>
          <w:tcPr>
            <w:tcW w:w="1985" w:type="dxa"/>
            <w:noWrap/>
          </w:tcPr>
          <w:p w:rsidR="0088341A" w:rsidRPr="00657046" w:rsidRDefault="0088341A" w:rsidP="00657046">
            <w:pPr>
              <w:pStyle w:val="AERtabletextright"/>
              <w:cnfStyle w:val="000000000000" w:firstRow="0" w:lastRow="0" w:firstColumn="0" w:lastColumn="0" w:oddVBand="0" w:evenVBand="0" w:oddHBand="0" w:evenHBand="0" w:firstRowFirstColumn="0" w:firstRowLastColumn="0" w:lastRowFirstColumn="0" w:lastRowLastColumn="0"/>
            </w:pPr>
            <w:r w:rsidRPr="00657046">
              <w:t>564.2</w:t>
            </w:r>
          </w:p>
        </w:tc>
        <w:tc>
          <w:tcPr>
            <w:tcW w:w="2126" w:type="dxa"/>
            <w:noWrap/>
          </w:tcPr>
          <w:p w:rsidR="0088341A" w:rsidRPr="00657046" w:rsidRDefault="0088341A" w:rsidP="00657046">
            <w:pPr>
              <w:pStyle w:val="AERtabletextright"/>
              <w:cnfStyle w:val="000000000000" w:firstRow="0" w:lastRow="0" w:firstColumn="0" w:lastColumn="0" w:oddVBand="0" w:evenVBand="0" w:oddHBand="0" w:evenHBand="0" w:firstRowFirstColumn="0" w:firstRowLastColumn="0" w:lastRowFirstColumn="0" w:lastRowLastColumn="0"/>
            </w:pPr>
            <w:r w:rsidRPr="00657046">
              <w:t>396.</w:t>
            </w:r>
            <w:r w:rsidR="006015F9" w:rsidRPr="00657046">
              <w:t>2</w:t>
            </w:r>
          </w:p>
        </w:tc>
        <w:tc>
          <w:tcPr>
            <w:tcW w:w="1701" w:type="dxa"/>
            <w:noWrap/>
          </w:tcPr>
          <w:p w:rsidR="0088341A" w:rsidRPr="00657046" w:rsidRDefault="0088341A" w:rsidP="00657046">
            <w:pPr>
              <w:pStyle w:val="AERtabletextright"/>
              <w:cnfStyle w:val="000000000000" w:firstRow="0" w:lastRow="0" w:firstColumn="0" w:lastColumn="0" w:oddVBand="0" w:evenVBand="0" w:oddHBand="0" w:evenHBand="0" w:firstRowFirstColumn="0" w:firstRowLastColumn="0" w:lastRowFirstColumn="0" w:lastRowLastColumn="0"/>
            </w:pPr>
            <w:r w:rsidRPr="00657046">
              <w:t>–16.0</w:t>
            </w:r>
          </w:p>
        </w:tc>
        <w:tc>
          <w:tcPr>
            <w:tcW w:w="1559" w:type="dxa"/>
            <w:noWrap/>
          </w:tcPr>
          <w:p w:rsidR="0088341A" w:rsidRPr="00657046" w:rsidRDefault="0088341A" w:rsidP="00657046">
            <w:pPr>
              <w:pStyle w:val="AERtabletextright"/>
              <w:cnfStyle w:val="000000000000" w:firstRow="0" w:lastRow="0" w:firstColumn="0" w:lastColumn="0" w:oddVBand="0" w:evenVBand="0" w:oddHBand="0" w:evenHBand="0" w:firstRowFirstColumn="0" w:firstRowLastColumn="0" w:lastRowFirstColumn="0" w:lastRowLastColumn="0"/>
            </w:pPr>
            <w:r w:rsidRPr="00657046">
              <w:t>–1.0</w:t>
            </w:r>
          </w:p>
        </w:tc>
      </w:tr>
      <w:tr w:rsidR="0088341A" w:rsidRPr="00657046" w:rsidTr="0065704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noWrap/>
          </w:tcPr>
          <w:p w:rsidR="0088341A" w:rsidRPr="00657046" w:rsidRDefault="0088341A" w:rsidP="00657046">
            <w:pPr>
              <w:pStyle w:val="AERtabletextleft"/>
            </w:pPr>
            <w:r w:rsidRPr="00657046">
              <w:t>Opex</w:t>
            </w:r>
            <w:r w:rsidRPr="00657046">
              <w:rPr>
                <w:vertAlign w:val="superscript"/>
              </w:rPr>
              <w:t>(a)</w:t>
            </w:r>
          </w:p>
        </w:tc>
        <w:tc>
          <w:tcPr>
            <w:tcW w:w="1985" w:type="dxa"/>
            <w:noWrap/>
          </w:tcPr>
          <w:p w:rsidR="0088341A" w:rsidRPr="00657046" w:rsidRDefault="0088341A" w:rsidP="00657046">
            <w:pPr>
              <w:pStyle w:val="AERtabletextright"/>
              <w:cnfStyle w:val="000000010000" w:firstRow="0" w:lastRow="0" w:firstColumn="0" w:lastColumn="0" w:oddVBand="0" w:evenVBand="0" w:oddHBand="0" w:evenHBand="1" w:firstRowFirstColumn="0" w:firstRowLastColumn="0" w:lastRowFirstColumn="0" w:lastRowLastColumn="0"/>
            </w:pPr>
            <w:r w:rsidRPr="00657046">
              <w:t>607.2</w:t>
            </w:r>
          </w:p>
        </w:tc>
        <w:tc>
          <w:tcPr>
            <w:tcW w:w="2126" w:type="dxa"/>
            <w:noWrap/>
          </w:tcPr>
          <w:p w:rsidR="0088341A" w:rsidRPr="00657046" w:rsidRDefault="0088341A" w:rsidP="00657046">
            <w:pPr>
              <w:pStyle w:val="AERtabletextright"/>
              <w:cnfStyle w:val="000000010000" w:firstRow="0" w:lastRow="0" w:firstColumn="0" w:lastColumn="0" w:oddVBand="0" w:evenVBand="0" w:oddHBand="0" w:evenHBand="1" w:firstRowFirstColumn="0" w:firstRowLastColumn="0" w:lastRowFirstColumn="0" w:lastRowLastColumn="0"/>
            </w:pPr>
            <w:r w:rsidRPr="00657046">
              <w:t>543.2</w:t>
            </w:r>
          </w:p>
        </w:tc>
        <w:tc>
          <w:tcPr>
            <w:tcW w:w="1701" w:type="dxa"/>
            <w:noWrap/>
          </w:tcPr>
          <w:p w:rsidR="0088341A" w:rsidRPr="00657046" w:rsidRDefault="0088341A" w:rsidP="00536116">
            <w:pPr>
              <w:pStyle w:val="AERtabletextright"/>
              <w:cnfStyle w:val="000000010000" w:firstRow="0" w:lastRow="0" w:firstColumn="0" w:lastColumn="0" w:oddVBand="0" w:evenVBand="0" w:oddHBand="0" w:evenHBand="1" w:firstRowFirstColumn="0" w:firstRowLastColumn="0" w:lastRowFirstColumn="0" w:lastRowLastColumn="0"/>
            </w:pPr>
            <w:r w:rsidRPr="00657046">
              <w:t>–67.</w:t>
            </w:r>
            <w:r w:rsidR="00536116">
              <w:t>9</w:t>
            </w:r>
          </w:p>
        </w:tc>
        <w:tc>
          <w:tcPr>
            <w:tcW w:w="1559" w:type="dxa"/>
            <w:noWrap/>
          </w:tcPr>
          <w:p w:rsidR="0088341A" w:rsidRPr="00657046" w:rsidRDefault="0088341A" w:rsidP="00657046">
            <w:pPr>
              <w:pStyle w:val="AERtabletextright"/>
              <w:cnfStyle w:val="000000010000" w:firstRow="0" w:lastRow="0" w:firstColumn="0" w:lastColumn="0" w:oddVBand="0" w:evenVBand="0" w:oddHBand="0" w:evenHBand="1" w:firstRowFirstColumn="0" w:firstRowLastColumn="0" w:lastRowFirstColumn="0" w:lastRowLastColumn="0"/>
            </w:pPr>
            <w:r w:rsidRPr="00657046">
              <w:t>-4.2</w:t>
            </w:r>
          </w:p>
        </w:tc>
      </w:tr>
      <w:tr w:rsidR="0088341A" w:rsidRPr="00657046" w:rsidTr="00657046">
        <w:trPr>
          <w:trHeight w:val="300"/>
        </w:trPr>
        <w:tc>
          <w:tcPr>
            <w:cnfStyle w:val="001000000000" w:firstRow="0" w:lastRow="0" w:firstColumn="1" w:lastColumn="0" w:oddVBand="0" w:evenVBand="0" w:oddHBand="0" w:evenHBand="0" w:firstRowFirstColumn="0" w:firstRowLastColumn="0" w:lastRowFirstColumn="0" w:lastRowLastColumn="0"/>
            <w:tcW w:w="1809" w:type="dxa"/>
            <w:noWrap/>
          </w:tcPr>
          <w:p w:rsidR="0088341A" w:rsidRPr="00657046" w:rsidRDefault="0088341A" w:rsidP="00657046">
            <w:pPr>
              <w:pStyle w:val="AERtabletextleft"/>
            </w:pPr>
            <w:r w:rsidRPr="00657046">
              <w:t>WACC</w:t>
            </w:r>
          </w:p>
        </w:tc>
        <w:tc>
          <w:tcPr>
            <w:tcW w:w="1985" w:type="dxa"/>
            <w:noWrap/>
          </w:tcPr>
          <w:p w:rsidR="0088341A" w:rsidRPr="00657046" w:rsidRDefault="0088341A" w:rsidP="009E166E">
            <w:pPr>
              <w:pStyle w:val="AERtabletextright"/>
              <w:cnfStyle w:val="000000000000" w:firstRow="0" w:lastRow="0" w:firstColumn="0" w:lastColumn="0" w:oddVBand="0" w:evenVBand="0" w:oddHBand="0" w:evenHBand="0" w:firstRowFirstColumn="0" w:firstRowLastColumn="0" w:lastRowFirstColumn="0" w:lastRowLastColumn="0"/>
            </w:pPr>
            <w:r w:rsidRPr="00657046">
              <w:t>7.19</w:t>
            </w:r>
            <w:r w:rsidR="009E166E">
              <w:t>%</w:t>
            </w:r>
          </w:p>
        </w:tc>
        <w:tc>
          <w:tcPr>
            <w:tcW w:w="2126" w:type="dxa"/>
            <w:noWrap/>
          </w:tcPr>
          <w:p w:rsidR="0088341A" w:rsidRPr="00657046" w:rsidRDefault="0088341A" w:rsidP="009E166E">
            <w:pPr>
              <w:pStyle w:val="AERtabletextright"/>
              <w:cnfStyle w:val="000000000000" w:firstRow="0" w:lastRow="0" w:firstColumn="0" w:lastColumn="0" w:oddVBand="0" w:evenVBand="0" w:oddHBand="0" w:evenHBand="0" w:firstRowFirstColumn="0" w:firstRowLastColumn="0" w:lastRowFirstColumn="0" w:lastRowLastColumn="0"/>
            </w:pPr>
            <w:r w:rsidRPr="00657046">
              <w:t>7.43</w:t>
            </w:r>
            <w:r w:rsidR="009E166E">
              <w:t>%</w:t>
            </w:r>
          </w:p>
        </w:tc>
        <w:tc>
          <w:tcPr>
            <w:tcW w:w="1701" w:type="dxa"/>
            <w:noWrap/>
          </w:tcPr>
          <w:p w:rsidR="0088341A" w:rsidRPr="00657046" w:rsidRDefault="0088341A" w:rsidP="00657046">
            <w:pPr>
              <w:pStyle w:val="AERtabletextright"/>
              <w:cnfStyle w:val="000000000000" w:firstRow="0" w:lastRow="0" w:firstColumn="0" w:lastColumn="0" w:oddVBand="0" w:evenVBand="0" w:oddHBand="0" w:evenHBand="0" w:firstRowFirstColumn="0" w:firstRowLastColumn="0" w:lastRowFirstColumn="0" w:lastRowLastColumn="0"/>
            </w:pPr>
            <w:r w:rsidRPr="00657046">
              <w:t>22.4</w:t>
            </w:r>
          </w:p>
        </w:tc>
        <w:tc>
          <w:tcPr>
            <w:tcW w:w="1559" w:type="dxa"/>
            <w:noWrap/>
          </w:tcPr>
          <w:p w:rsidR="0088341A" w:rsidRPr="00657046" w:rsidRDefault="0088341A" w:rsidP="00657046">
            <w:pPr>
              <w:pStyle w:val="AERtabletextright"/>
              <w:cnfStyle w:val="000000000000" w:firstRow="0" w:lastRow="0" w:firstColumn="0" w:lastColumn="0" w:oddVBand="0" w:evenVBand="0" w:oddHBand="0" w:evenHBand="0" w:firstRowFirstColumn="0" w:firstRowLastColumn="0" w:lastRowFirstColumn="0" w:lastRowLastColumn="0"/>
            </w:pPr>
            <w:r w:rsidRPr="00657046">
              <w:t>1.4</w:t>
            </w:r>
          </w:p>
        </w:tc>
      </w:tr>
    </w:tbl>
    <w:p w:rsidR="0088341A" w:rsidRPr="00D35A40" w:rsidRDefault="0088341A" w:rsidP="0088341A">
      <w:pPr>
        <w:pStyle w:val="AERtablesource"/>
      </w:pPr>
      <w:r w:rsidRPr="00D35A40">
        <w:t xml:space="preserve">Source: </w:t>
      </w:r>
      <w:r w:rsidRPr="00D35A40">
        <w:tab/>
      </w:r>
      <w:r>
        <w:t xml:space="preserve">SP AusNet, </w:t>
      </w:r>
      <w:r w:rsidRPr="0087288F">
        <w:rPr>
          <w:rStyle w:val="AERtextitalic"/>
        </w:rPr>
        <w:t>Post-tax revenue model</w:t>
      </w:r>
      <w:r>
        <w:t>, February 2013</w:t>
      </w:r>
      <w:r w:rsidRPr="00D35A40">
        <w:t>; AER analysis.</w:t>
      </w:r>
    </w:p>
    <w:p w:rsidR="0088341A" w:rsidRPr="00D35A40" w:rsidRDefault="0088341A" w:rsidP="0088341A">
      <w:pPr>
        <w:pStyle w:val="AERtablesource"/>
      </w:pPr>
      <w:r w:rsidRPr="00D35A40">
        <w:t xml:space="preserve"> </w:t>
      </w:r>
      <w:r>
        <w:t>(a</w:t>
      </w:r>
      <w:r w:rsidRPr="00D35A40">
        <w:t>)</w:t>
      </w:r>
      <w:r w:rsidRPr="00D35A40">
        <w:tab/>
      </w:r>
      <w:r>
        <w:t>Exclude equity raising costs</w:t>
      </w:r>
      <w:r w:rsidRPr="00D35A40">
        <w:t>.</w:t>
      </w:r>
    </w:p>
    <w:p w:rsidR="0088341A" w:rsidRPr="00D35A40" w:rsidRDefault="0088341A" w:rsidP="0088341A">
      <w:pPr>
        <w:pStyle w:val="Heading2"/>
        <w:numPr>
          <w:ilvl w:val="2"/>
          <w:numId w:val="20"/>
        </w:numPr>
      </w:pPr>
      <w:bookmarkStart w:id="44" w:name="_Toc341686711"/>
      <w:bookmarkStart w:id="45" w:name="_Toc365283243"/>
      <w:r w:rsidRPr="00D35A40">
        <w:t xml:space="preserve">Indicative impact on </w:t>
      </w:r>
      <w:r>
        <w:t xml:space="preserve">transmission charges and </w:t>
      </w:r>
      <w:r w:rsidRPr="00D35A40">
        <w:t xml:space="preserve">electricity </w:t>
      </w:r>
      <w:bookmarkEnd w:id="44"/>
      <w:r>
        <w:t>bills in Victoria</w:t>
      </w:r>
      <w:bookmarkEnd w:id="45"/>
    </w:p>
    <w:p w:rsidR="0088341A" w:rsidRDefault="0088341A" w:rsidP="0088341A">
      <w:pPr>
        <w:pStyle w:val="AERbodytext"/>
        <w:numPr>
          <w:ilvl w:val="0"/>
          <w:numId w:val="1"/>
        </w:numPr>
      </w:pPr>
      <w:r>
        <w:t>We</w:t>
      </w:r>
      <w:r w:rsidRPr="002854F3">
        <w:t xml:space="preserve"> estimate</w:t>
      </w:r>
      <w:r>
        <w:t>d</w:t>
      </w:r>
      <w:r w:rsidRPr="002854F3">
        <w:t xml:space="preserve"> the effect of </w:t>
      </w:r>
      <w:r>
        <w:t xml:space="preserve">this draft decision on </w:t>
      </w:r>
      <w:r w:rsidRPr="002854F3">
        <w:t xml:space="preserve">forecast average transmission charges </w:t>
      </w:r>
      <w:r>
        <w:t xml:space="preserve">in Victoria </w:t>
      </w:r>
      <w:r w:rsidRPr="002854F3">
        <w:t>by</w:t>
      </w:r>
      <w:r>
        <w:t>:</w:t>
      </w:r>
    </w:p>
    <w:p w:rsidR="0088341A" w:rsidRDefault="0088341A" w:rsidP="0088341A">
      <w:pPr>
        <w:pStyle w:val="AERbulletlistfirststyle"/>
      </w:pPr>
      <w:r w:rsidRPr="002854F3">
        <w:t xml:space="preserve">taking the </w:t>
      </w:r>
      <w:r>
        <w:t xml:space="preserve">sum of SP AusNet's </w:t>
      </w:r>
      <w:r w:rsidRPr="002854F3">
        <w:t>annual expected MAR</w:t>
      </w:r>
      <w:r>
        <w:t xml:space="preserve"> determined in this draft decision and the proportion of Murraylink's annual expected MAR for 2014–17 that is allocated to Victorian customers (55 per cent),</w:t>
      </w:r>
      <w:r>
        <w:rPr>
          <w:rStyle w:val="FootnoteReference"/>
        </w:rPr>
        <w:footnoteReference w:id="31"/>
      </w:r>
      <w:r w:rsidRPr="002854F3">
        <w:t xml:space="preserve"> and </w:t>
      </w:r>
    </w:p>
    <w:p w:rsidR="0088341A" w:rsidRPr="00D35A40" w:rsidRDefault="0088341A" w:rsidP="0088341A">
      <w:pPr>
        <w:pStyle w:val="AERbulletlistfirststyle"/>
      </w:pPr>
      <w:r w:rsidRPr="002854F3">
        <w:t xml:space="preserve">dividing it by the forecast annual energy delivered in </w:t>
      </w:r>
      <w:r>
        <w:t>Victoria</w:t>
      </w:r>
      <w:r w:rsidRPr="002854F3">
        <w:t>.</w:t>
      </w:r>
      <w:r>
        <w:rPr>
          <w:rStyle w:val="FootnoteReference"/>
        </w:rPr>
        <w:footnoteReference w:id="32"/>
      </w:r>
    </w:p>
    <w:p w:rsidR="0088341A" w:rsidRDefault="0088341A" w:rsidP="0088341A">
      <w:pPr>
        <w:pStyle w:val="AERbodytext"/>
        <w:numPr>
          <w:ilvl w:val="0"/>
          <w:numId w:val="1"/>
        </w:numPr>
      </w:pPr>
      <w:r w:rsidRPr="00AF7BBB">
        <w:t>Based on this a</w:t>
      </w:r>
      <w:r>
        <w:t xml:space="preserve">pproach, we estimated our </w:t>
      </w:r>
      <w:r w:rsidRPr="00AF7BBB">
        <w:t>draft</w:t>
      </w:r>
      <w:r>
        <w:t xml:space="preserve"> decision would result in </w:t>
      </w:r>
      <w:r w:rsidRPr="00AF7BBB">
        <w:t>average transmission</w:t>
      </w:r>
      <w:r>
        <w:t xml:space="preserve"> </w:t>
      </w:r>
      <w:r w:rsidRPr="00AF7BBB">
        <w:t xml:space="preserve">charges </w:t>
      </w:r>
      <w:r w:rsidR="000B0D08">
        <w:t>falling by</w:t>
      </w:r>
      <w:r>
        <w:t xml:space="preserve"> 6.6 </w:t>
      </w:r>
      <w:r w:rsidRPr="00AF7BBB">
        <w:t>per cent per annum (</w:t>
      </w:r>
      <w:r>
        <w:t>$2013–14</w:t>
      </w:r>
      <w:r w:rsidRPr="00AF7BBB">
        <w:t>) from 201</w:t>
      </w:r>
      <w:r>
        <w:t>3–14</w:t>
      </w:r>
      <w:r w:rsidRPr="00AF7BBB">
        <w:t xml:space="preserve"> to 201</w:t>
      </w:r>
      <w:r>
        <w:t>6–17</w:t>
      </w:r>
      <w:r w:rsidRPr="00AF7BBB">
        <w:t>.</w:t>
      </w:r>
      <w:r>
        <w:rPr>
          <w:rStyle w:val="FootnoteReference"/>
        </w:rPr>
        <w:footnoteReference w:id="33"/>
      </w:r>
      <w:r w:rsidRPr="007533AA">
        <w:t xml:space="preserve"> </w:t>
      </w:r>
      <w:r>
        <w:t>If these lower transmission charges were pass</w:t>
      </w:r>
      <w:r w:rsidR="00A030D7">
        <w:t>ed</w:t>
      </w:r>
      <w:r>
        <w:t xml:space="preserve"> through to end customers, then average residential electricity bills in Victoria could reduce by about $16 in total ($2013–14) or 0.3 per cent per annum during the 2014</w:t>
      </w:r>
      <w:r w:rsidRPr="00AF7BBB">
        <w:t>–</w:t>
      </w:r>
      <w:r>
        <w:t>17 regulatory control period.</w:t>
      </w:r>
      <w:r w:rsidRPr="00D35A40">
        <w:t xml:space="preserve"> </w:t>
      </w:r>
      <w:r>
        <w:t xml:space="preserve">In comparison, SP AusNet's proposal would result in an average bill reduction of approximately $7 in total or 0.1 per cent per annum. </w:t>
      </w:r>
      <w:r>
        <w:fldChar w:fldCharType="begin"/>
      </w:r>
      <w:r>
        <w:instrText xml:space="preserve"> REF _Ref361409698 \h </w:instrText>
      </w:r>
      <w:r>
        <w:fldChar w:fldCharType="separate"/>
      </w:r>
      <w:r w:rsidR="004F35AA">
        <w:t xml:space="preserve">Table </w:t>
      </w:r>
      <w:r w:rsidR="004F35AA">
        <w:rPr>
          <w:noProof/>
        </w:rPr>
        <w:t>3</w:t>
      </w:r>
      <w:r w:rsidR="004F35AA">
        <w:t>.</w:t>
      </w:r>
      <w:r w:rsidR="004F35AA">
        <w:rPr>
          <w:noProof/>
        </w:rPr>
        <w:t>3</w:t>
      </w:r>
      <w:r>
        <w:fldChar w:fldCharType="end"/>
      </w:r>
      <w:r>
        <w:t xml:space="preserve"> shows the estimated impact of our draft decision and SP AusNet's proposal on the average Victorian residential electricity bills, by tariff type.</w:t>
      </w:r>
    </w:p>
    <w:p w:rsidR="0088341A" w:rsidRDefault="0088341A" w:rsidP="0088341A">
      <w:pPr>
        <w:pStyle w:val="Caption"/>
        <w:keepLines/>
      </w:pPr>
      <w:bookmarkStart w:id="46" w:name="_Ref361409698"/>
      <w:r>
        <w:lastRenderedPageBreak/>
        <w:t xml:space="preserve">Table </w:t>
      </w:r>
      <w:fldSimple w:instr=" STYLEREF 1 \s ">
        <w:r w:rsidR="004F35AA">
          <w:rPr>
            <w:noProof/>
          </w:rPr>
          <w:t>3</w:t>
        </w:r>
      </w:fldSimple>
      <w:r w:rsidR="00C56A87">
        <w:t>.</w:t>
      </w:r>
      <w:fldSimple w:instr=" SEQ Table \* ARABIC \s 1 ">
        <w:r w:rsidR="004F35AA">
          <w:rPr>
            <w:noProof/>
          </w:rPr>
          <w:t>3</w:t>
        </w:r>
      </w:fldSimple>
      <w:bookmarkEnd w:id="46"/>
      <w:r>
        <w:tab/>
        <w:t>AER estimated impact of the draft decision for SP AusNet on the average residential electricity bills in Victoria over 2014–17 ($2013–14)</w:t>
      </w:r>
    </w:p>
    <w:tbl>
      <w:tblPr>
        <w:tblW w:w="0" w:type="auto"/>
        <w:tblBorders>
          <w:bottom w:val="single" w:sz="4" w:space="0" w:color="365F91"/>
        </w:tblBorders>
        <w:tblLook w:val="04A0" w:firstRow="1" w:lastRow="0" w:firstColumn="1" w:lastColumn="0" w:noHBand="0" w:noVBand="1"/>
      </w:tblPr>
      <w:tblGrid>
        <w:gridCol w:w="1101"/>
        <w:gridCol w:w="1659"/>
        <w:gridCol w:w="1728"/>
        <w:gridCol w:w="1758"/>
        <w:gridCol w:w="1387"/>
        <w:gridCol w:w="1609"/>
      </w:tblGrid>
      <w:tr w:rsidR="0088341A" w:rsidRPr="002B4341" w:rsidTr="00501137">
        <w:tc>
          <w:tcPr>
            <w:tcW w:w="1101" w:type="dxa"/>
            <w:shd w:val="clear" w:color="auto" w:fill="365F91"/>
            <w:vAlign w:val="center"/>
          </w:tcPr>
          <w:p w:rsidR="0088341A" w:rsidRPr="002B4341" w:rsidRDefault="0088341A" w:rsidP="00501137">
            <w:pPr>
              <w:pStyle w:val="AERtabletextleft"/>
              <w:keepNext/>
              <w:keepLines/>
              <w:rPr>
                <w:b/>
                <w:color w:val="FFFFFF"/>
              </w:rPr>
            </w:pPr>
            <w:r w:rsidRPr="002B4341">
              <w:rPr>
                <w:b/>
                <w:color w:val="FFFFFF"/>
              </w:rPr>
              <w:t>Tariff type</w:t>
            </w:r>
            <w:r w:rsidRPr="002B4341">
              <w:rPr>
                <w:rStyle w:val="AERsuperscript"/>
                <w:b/>
                <w:color w:val="FFFFFF"/>
              </w:rPr>
              <w:t>a</w:t>
            </w:r>
          </w:p>
        </w:tc>
        <w:tc>
          <w:tcPr>
            <w:tcW w:w="1659" w:type="dxa"/>
            <w:shd w:val="clear" w:color="auto" w:fill="365F91"/>
            <w:vAlign w:val="center"/>
          </w:tcPr>
          <w:p w:rsidR="0088341A" w:rsidRPr="002B4341" w:rsidRDefault="0088341A" w:rsidP="00501137">
            <w:pPr>
              <w:pStyle w:val="AERtabletextright"/>
              <w:keepNext/>
              <w:keepLines/>
              <w:rPr>
                <w:b/>
                <w:color w:val="FFFFFF"/>
              </w:rPr>
            </w:pPr>
            <w:r w:rsidRPr="002B4341">
              <w:rPr>
                <w:b/>
                <w:color w:val="FFFFFF"/>
              </w:rPr>
              <w:t>Average annual bill</w:t>
            </w:r>
            <w:r w:rsidRPr="002B4341">
              <w:rPr>
                <w:rStyle w:val="AERsuperscript"/>
                <w:b/>
                <w:color w:val="FFFFFF"/>
              </w:rPr>
              <w:t>b</w:t>
            </w:r>
          </w:p>
        </w:tc>
        <w:tc>
          <w:tcPr>
            <w:tcW w:w="1728" w:type="dxa"/>
            <w:shd w:val="clear" w:color="auto" w:fill="365F91"/>
            <w:vAlign w:val="center"/>
          </w:tcPr>
          <w:p w:rsidR="0088341A" w:rsidRPr="002B4341" w:rsidRDefault="0088341A" w:rsidP="00501137">
            <w:pPr>
              <w:pStyle w:val="AERtabletextright"/>
              <w:keepNext/>
              <w:keepLines/>
              <w:rPr>
                <w:b/>
                <w:color w:val="FFFFFF"/>
              </w:rPr>
            </w:pPr>
            <w:r w:rsidRPr="002B4341">
              <w:rPr>
                <w:b/>
                <w:color w:val="FFFFFF"/>
              </w:rPr>
              <w:t>Total reduction over 2014–17 — SP AusNet' proposal</w:t>
            </w:r>
          </w:p>
        </w:tc>
        <w:tc>
          <w:tcPr>
            <w:tcW w:w="1758" w:type="dxa"/>
            <w:shd w:val="clear" w:color="auto" w:fill="365F91"/>
            <w:vAlign w:val="center"/>
          </w:tcPr>
          <w:p w:rsidR="0088341A" w:rsidRPr="002B4341" w:rsidRDefault="0088341A" w:rsidP="00501137">
            <w:pPr>
              <w:pStyle w:val="AERtabletextright"/>
              <w:keepNext/>
              <w:keepLines/>
              <w:rPr>
                <w:b/>
                <w:color w:val="FFFFFF"/>
              </w:rPr>
            </w:pPr>
            <w:r w:rsidRPr="002B4341">
              <w:rPr>
                <w:b/>
                <w:color w:val="FFFFFF"/>
              </w:rPr>
              <w:t>Total reduction over 2014–17 — AER's draft decision</w:t>
            </w:r>
          </w:p>
        </w:tc>
        <w:tc>
          <w:tcPr>
            <w:tcW w:w="1387" w:type="dxa"/>
            <w:shd w:val="clear" w:color="auto" w:fill="365F91"/>
            <w:vAlign w:val="center"/>
          </w:tcPr>
          <w:p w:rsidR="0088341A" w:rsidRPr="002B4341" w:rsidRDefault="0088341A" w:rsidP="00501137">
            <w:pPr>
              <w:pStyle w:val="AERtabletextright"/>
              <w:keepNext/>
              <w:keepLines/>
              <w:rPr>
                <w:b/>
                <w:color w:val="FFFFFF"/>
              </w:rPr>
            </w:pPr>
            <w:r w:rsidRPr="002B4341">
              <w:rPr>
                <w:b/>
                <w:color w:val="FFFFFF"/>
              </w:rPr>
              <w:t xml:space="preserve">Impact on annual bill—SP AusNet's proposal </w:t>
            </w:r>
          </w:p>
          <w:p w:rsidR="0088341A" w:rsidRPr="002B4341" w:rsidRDefault="0088341A" w:rsidP="00501137">
            <w:pPr>
              <w:pStyle w:val="AERtabletextright"/>
              <w:keepNext/>
              <w:keepLines/>
              <w:rPr>
                <w:b/>
                <w:color w:val="FFFFFF"/>
              </w:rPr>
            </w:pPr>
            <w:r w:rsidRPr="002B4341">
              <w:rPr>
                <w:b/>
                <w:color w:val="FFFFFF"/>
              </w:rPr>
              <w:t>(per cent, per annum)</w:t>
            </w:r>
          </w:p>
        </w:tc>
        <w:tc>
          <w:tcPr>
            <w:tcW w:w="1609" w:type="dxa"/>
            <w:shd w:val="clear" w:color="auto" w:fill="365F91"/>
            <w:vAlign w:val="center"/>
          </w:tcPr>
          <w:p w:rsidR="0088341A" w:rsidRPr="002B4341" w:rsidRDefault="0088341A" w:rsidP="00501137">
            <w:pPr>
              <w:pStyle w:val="AERtabletextright"/>
              <w:keepNext/>
              <w:keepLines/>
              <w:rPr>
                <w:b/>
                <w:color w:val="FFFFFF"/>
              </w:rPr>
            </w:pPr>
            <w:r w:rsidRPr="002B4341">
              <w:rPr>
                <w:b/>
                <w:color w:val="FFFFFF"/>
              </w:rPr>
              <w:t xml:space="preserve">Impact on annual bill—AER's draft decision </w:t>
            </w:r>
          </w:p>
          <w:p w:rsidR="0088341A" w:rsidRPr="002B4341" w:rsidRDefault="0088341A" w:rsidP="00501137">
            <w:pPr>
              <w:pStyle w:val="AERtabletextright"/>
              <w:keepNext/>
              <w:keepLines/>
              <w:rPr>
                <w:b/>
                <w:color w:val="FFFFFF"/>
              </w:rPr>
            </w:pPr>
            <w:r w:rsidRPr="002B4341">
              <w:rPr>
                <w:b/>
                <w:color w:val="FFFFFF"/>
              </w:rPr>
              <w:t>(per cent, per annum)</w:t>
            </w:r>
          </w:p>
        </w:tc>
      </w:tr>
      <w:tr w:rsidR="0088341A" w:rsidRPr="002B4341" w:rsidTr="00501137">
        <w:tc>
          <w:tcPr>
            <w:tcW w:w="1101" w:type="dxa"/>
            <w:shd w:val="clear" w:color="auto" w:fill="auto"/>
            <w:vAlign w:val="center"/>
          </w:tcPr>
          <w:p w:rsidR="0088341A" w:rsidRPr="00191F37" w:rsidRDefault="0088341A" w:rsidP="00501137">
            <w:pPr>
              <w:pStyle w:val="AERtabletextleft"/>
              <w:keepNext/>
              <w:keepLines/>
            </w:pPr>
            <w:r w:rsidRPr="00191F37">
              <w:t>Single rate</w:t>
            </w:r>
          </w:p>
        </w:tc>
        <w:tc>
          <w:tcPr>
            <w:tcW w:w="1659" w:type="dxa"/>
            <w:shd w:val="clear" w:color="auto" w:fill="auto"/>
            <w:vAlign w:val="center"/>
          </w:tcPr>
          <w:p w:rsidR="0088341A" w:rsidRDefault="0088341A" w:rsidP="00501137">
            <w:pPr>
              <w:pStyle w:val="AERtabletextright"/>
              <w:keepNext/>
              <w:keepLines/>
            </w:pPr>
            <w:r>
              <w:t>$1347</w:t>
            </w:r>
          </w:p>
        </w:tc>
        <w:tc>
          <w:tcPr>
            <w:tcW w:w="1728" w:type="dxa"/>
            <w:shd w:val="clear" w:color="auto" w:fill="auto"/>
            <w:vAlign w:val="center"/>
          </w:tcPr>
          <w:p w:rsidR="0088341A" w:rsidRDefault="0088341A" w:rsidP="00501137">
            <w:pPr>
              <w:pStyle w:val="AERtabletextright"/>
              <w:keepNext/>
              <w:keepLines/>
            </w:pPr>
            <w:r>
              <w:t>–$5</w:t>
            </w:r>
          </w:p>
        </w:tc>
        <w:tc>
          <w:tcPr>
            <w:tcW w:w="1758" w:type="dxa"/>
            <w:shd w:val="clear" w:color="auto" w:fill="auto"/>
            <w:vAlign w:val="center"/>
          </w:tcPr>
          <w:p w:rsidR="0088341A" w:rsidRDefault="0088341A" w:rsidP="00501137">
            <w:pPr>
              <w:pStyle w:val="AERtabletextright"/>
              <w:keepNext/>
              <w:keepLines/>
            </w:pPr>
            <w:r>
              <w:t>–$12</w:t>
            </w:r>
          </w:p>
        </w:tc>
        <w:tc>
          <w:tcPr>
            <w:tcW w:w="1387" w:type="dxa"/>
            <w:shd w:val="clear" w:color="auto" w:fill="auto"/>
            <w:vAlign w:val="center"/>
          </w:tcPr>
          <w:p w:rsidR="0088341A" w:rsidRDefault="0088341A" w:rsidP="00501137">
            <w:pPr>
              <w:pStyle w:val="AERtabletextright"/>
              <w:keepNext/>
              <w:keepLines/>
            </w:pPr>
            <w:r>
              <w:t>–0.1</w:t>
            </w:r>
          </w:p>
        </w:tc>
        <w:tc>
          <w:tcPr>
            <w:tcW w:w="1609" w:type="dxa"/>
            <w:shd w:val="clear" w:color="auto" w:fill="auto"/>
            <w:vAlign w:val="center"/>
          </w:tcPr>
          <w:p w:rsidR="0088341A" w:rsidRDefault="0088341A" w:rsidP="00501137">
            <w:pPr>
              <w:pStyle w:val="AERtabletextright"/>
              <w:keepNext/>
              <w:keepLines/>
            </w:pPr>
            <w:r>
              <w:t>–0.3</w:t>
            </w:r>
          </w:p>
        </w:tc>
      </w:tr>
      <w:tr w:rsidR="0088341A" w:rsidRPr="002B4341" w:rsidTr="00501137">
        <w:tc>
          <w:tcPr>
            <w:tcW w:w="1101" w:type="dxa"/>
            <w:shd w:val="clear" w:color="auto" w:fill="DBE5F1"/>
            <w:vAlign w:val="center"/>
          </w:tcPr>
          <w:p w:rsidR="0088341A" w:rsidRPr="00191F37" w:rsidRDefault="0088341A" w:rsidP="00501137">
            <w:pPr>
              <w:pStyle w:val="AERtabletextleft"/>
              <w:keepNext/>
              <w:keepLines/>
            </w:pPr>
            <w:r w:rsidRPr="00191F37">
              <w:t>Two-rate</w:t>
            </w:r>
          </w:p>
        </w:tc>
        <w:tc>
          <w:tcPr>
            <w:tcW w:w="1659" w:type="dxa"/>
            <w:shd w:val="clear" w:color="auto" w:fill="DBE5F1"/>
            <w:vAlign w:val="center"/>
          </w:tcPr>
          <w:p w:rsidR="0088341A" w:rsidRDefault="0088341A" w:rsidP="00501137">
            <w:pPr>
              <w:pStyle w:val="AERtabletextright"/>
              <w:keepNext/>
              <w:keepLines/>
            </w:pPr>
            <w:r>
              <w:t>$1743</w:t>
            </w:r>
          </w:p>
        </w:tc>
        <w:tc>
          <w:tcPr>
            <w:tcW w:w="1728" w:type="dxa"/>
            <w:shd w:val="clear" w:color="auto" w:fill="DBE5F1"/>
            <w:vAlign w:val="center"/>
          </w:tcPr>
          <w:p w:rsidR="0088341A" w:rsidRDefault="0088341A" w:rsidP="00501137">
            <w:pPr>
              <w:pStyle w:val="AERtabletextright"/>
              <w:keepNext/>
              <w:keepLines/>
            </w:pPr>
            <w:r>
              <w:t>–$7</w:t>
            </w:r>
          </w:p>
        </w:tc>
        <w:tc>
          <w:tcPr>
            <w:tcW w:w="1758" w:type="dxa"/>
            <w:shd w:val="clear" w:color="auto" w:fill="DBE5F1"/>
            <w:vAlign w:val="center"/>
          </w:tcPr>
          <w:p w:rsidR="0088341A" w:rsidRDefault="0088341A" w:rsidP="00501137">
            <w:pPr>
              <w:pStyle w:val="AERtabletextright"/>
              <w:keepNext/>
              <w:keepLines/>
            </w:pPr>
            <w:r>
              <w:t>–$16</w:t>
            </w:r>
          </w:p>
        </w:tc>
        <w:tc>
          <w:tcPr>
            <w:tcW w:w="1387" w:type="dxa"/>
            <w:shd w:val="clear" w:color="auto" w:fill="DBE5F1"/>
            <w:vAlign w:val="center"/>
          </w:tcPr>
          <w:p w:rsidR="0088341A" w:rsidRDefault="0088341A" w:rsidP="00501137">
            <w:pPr>
              <w:pStyle w:val="AERtabletextright"/>
              <w:keepNext/>
              <w:keepLines/>
            </w:pPr>
            <w:r>
              <w:t>–0.1</w:t>
            </w:r>
          </w:p>
        </w:tc>
        <w:tc>
          <w:tcPr>
            <w:tcW w:w="1609" w:type="dxa"/>
            <w:shd w:val="clear" w:color="auto" w:fill="DBE5F1"/>
            <w:vAlign w:val="center"/>
          </w:tcPr>
          <w:p w:rsidR="0088341A" w:rsidRDefault="0088341A" w:rsidP="00501137">
            <w:pPr>
              <w:pStyle w:val="AERtabletextright"/>
              <w:keepNext/>
              <w:keepLines/>
            </w:pPr>
            <w:r>
              <w:t>–0.3</w:t>
            </w:r>
          </w:p>
        </w:tc>
      </w:tr>
      <w:tr w:rsidR="0088341A" w:rsidRPr="002B4341" w:rsidTr="00501137">
        <w:tc>
          <w:tcPr>
            <w:tcW w:w="1101" w:type="dxa"/>
            <w:shd w:val="clear" w:color="auto" w:fill="auto"/>
            <w:vAlign w:val="center"/>
          </w:tcPr>
          <w:p w:rsidR="0088341A" w:rsidRPr="00191F37" w:rsidRDefault="0088341A" w:rsidP="00501137">
            <w:pPr>
              <w:pStyle w:val="AERtabletextleft"/>
              <w:keepNext/>
              <w:keepLines/>
            </w:pPr>
            <w:r w:rsidRPr="00191F37">
              <w:t>Time-of-use</w:t>
            </w:r>
          </w:p>
        </w:tc>
        <w:tc>
          <w:tcPr>
            <w:tcW w:w="1659" w:type="dxa"/>
            <w:shd w:val="clear" w:color="auto" w:fill="auto"/>
            <w:vAlign w:val="center"/>
          </w:tcPr>
          <w:p w:rsidR="0088341A" w:rsidRDefault="0088341A" w:rsidP="00501137">
            <w:pPr>
              <w:pStyle w:val="AERtabletextright"/>
              <w:keepNext/>
              <w:keepLines/>
            </w:pPr>
            <w:r>
              <w:t>$2231</w:t>
            </w:r>
          </w:p>
        </w:tc>
        <w:tc>
          <w:tcPr>
            <w:tcW w:w="1728" w:type="dxa"/>
            <w:shd w:val="clear" w:color="auto" w:fill="auto"/>
            <w:vAlign w:val="center"/>
          </w:tcPr>
          <w:p w:rsidR="0088341A" w:rsidRDefault="0088341A" w:rsidP="00501137">
            <w:pPr>
              <w:pStyle w:val="AERtabletextright"/>
              <w:keepNext/>
              <w:keepLines/>
            </w:pPr>
            <w:r>
              <w:t>–$9</w:t>
            </w:r>
          </w:p>
        </w:tc>
        <w:tc>
          <w:tcPr>
            <w:tcW w:w="1758" w:type="dxa"/>
            <w:shd w:val="clear" w:color="auto" w:fill="auto"/>
            <w:vAlign w:val="center"/>
          </w:tcPr>
          <w:p w:rsidR="0088341A" w:rsidRDefault="0088341A" w:rsidP="00501137">
            <w:pPr>
              <w:pStyle w:val="AERtabletextright"/>
              <w:keepNext/>
              <w:keepLines/>
            </w:pPr>
            <w:r>
              <w:t>–$20</w:t>
            </w:r>
          </w:p>
        </w:tc>
        <w:tc>
          <w:tcPr>
            <w:tcW w:w="1387" w:type="dxa"/>
            <w:shd w:val="clear" w:color="auto" w:fill="auto"/>
            <w:vAlign w:val="center"/>
          </w:tcPr>
          <w:p w:rsidR="0088341A" w:rsidRDefault="0088341A" w:rsidP="00501137">
            <w:pPr>
              <w:pStyle w:val="AERtabletextright"/>
              <w:keepNext/>
              <w:keepLines/>
            </w:pPr>
            <w:r>
              <w:t>–0.1</w:t>
            </w:r>
          </w:p>
        </w:tc>
        <w:tc>
          <w:tcPr>
            <w:tcW w:w="1609" w:type="dxa"/>
            <w:shd w:val="clear" w:color="auto" w:fill="auto"/>
            <w:vAlign w:val="center"/>
          </w:tcPr>
          <w:p w:rsidR="0088341A" w:rsidRDefault="0088341A" w:rsidP="00501137">
            <w:pPr>
              <w:pStyle w:val="AERtabletextright"/>
              <w:keepNext/>
              <w:keepLines/>
            </w:pPr>
            <w:r>
              <w:t>–0.3</w:t>
            </w:r>
          </w:p>
        </w:tc>
      </w:tr>
    </w:tbl>
    <w:p w:rsidR="0088341A" w:rsidRDefault="0088341A" w:rsidP="0088341A">
      <w:pPr>
        <w:pStyle w:val="AERtablesource"/>
        <w:keepNext/>
        <w:keepLines/>
      </w:pPr>
      <w:r>
        <w:t>So</w:t>
      </w:r>
      <w:r w:rsidR="0098143C">
        <w:t>urce:</w:t>
      </w:r>
      <w:r w:rsidR="0098143C">
        <w:tab/>
        <w:t>Essential Services C</w:t>
      </w:r>
      <w:r>
        <w:t xml:space="preserve">ommission Victoria, </w:t>
      </w:r>
      <w:r w:rsidRPr="00052302">
        <w:rPr>
          <w:rStyle w:val="AERtextitalic"/>
        </w:rPr>
        <w:t>Energy retailers comparative performance report—pricing</w:t>
      </w:r>
      <w:r>
        <w:t>, p.4; AER analysis.</w:t>
      </w:r>
    </w:p>
    <w:p w:rsidR="0088341A" w:rsidRDefault="0088341A" w:rsidP="0088341A">
      <w:pPr>
        <w:pStyle w:val="AERtablesource"/>
        <w:keepNext/>
        <w:keepLines/>
      </w:pPr>
      <w:r>
        <w:t>(a)</w:t>
      </w:r>
      <w:r>
        <w:tab/>
        <w:t xml:space="preserve">The single rate tariff is based on 4000 kilowatt hours (kWh) peak consumption per year. This use is typical of a customer who has gas hot water and heating. </w:t>
      </w:r>
    </w:p>
    <w:p w:rsidR="0088341A" w:rsidRDefault="0088341A" w:rsidP="0088341A">
      <w:pPr>
        <w:pStyle w:val="AERtablesource"/>
        <w:keepNext/>
        <w:keepLines/>
      </w:pPr>
      <w:r>
        <w:tab/>
        <w:t xml:space="preserve">The two-rate tariff is based on 4000 kWh peak and 2500 kWh off-peak consumption per year (off-peak is between 11 pm and 7 am). This use is typical of a customer with no gas supply who has off peak electric hot water.  </w:t>
      </w:r>
    </w:p>
    <w:p w:rsidR="0088341A" w:rsidRDefault="0088341A" w:rsidP="0088341A">
      <w:pPr>
        <w:pStyle w:val="AERtablesource"/>
        <w:keepNext/>
        <w:keepLines/>
      </w:pPr>
      <w:r>
        <w:tab/>
        <w:t>The time-of-use tariff is based on 3000 kWh peak and 6000 kWh off-peak consumption per year. Off-peak includes the whole weekend and between 11 pm and 7 am Monday to Friday. This use is typical of a customer who uses the off-peak time for any purpose over the weekend in addition to hot water and heating overnight.</w:t>
      </w:r>
    </w:p>
    <w:p w:rsidR="0088341A" w:rsidRPr="007141BD" w:rsidRDefault="0088341A" w:rsidP="0088341A">
      <w:pPr>
        <w:pStyle w:val="AERtablesource"/>
        <w:keepNext/>
        <w:keepLines/>
      </w:pPr>
      <w:r>
        <w:t>(b)</w:t>
      </w:r>
      <w:r>
        <w:tab/>
      </w:r>
      <w:r w:rsidRPr="007141BD">
        <w:t>The average annual bills reflect a weighted average of the market offers and standing of</w:t>
      </w:r>
      <w:r w:rsidR="000B0D08">
        <w:t>fers as shown on the Victorian G</w:t>
      </w:r>
      <w:r w:rsidRPr="007141BD">
        <w:t>overnment's electricity and gas comparator website at 3 July 2013 (</w:t>
      </w:r>
      <w:hyperlink r:id="rId26" w:history="1">
        <w:r w:rsidRPr="007141BD">
          <w:rPr>
            <w:rStyle w:val="Hyperlink"/>
          </w:rPr>
          <w:t>http://yourchoice.vic.gov.au/</w:t>
        </w:r>
      </w:hyperlink>
      <w:r w:rsidRPr="007141BD">
        <w:t>). They also reflect the average offer</w:t>
      </w:r>
      <w:r>
        <w:t>s</w:t>
      </w:r>
      <w:r w:rsidRPr="007141BD">
        <w:t xml:space="preserve"> across all the distribution </w:t>
      </w:r>
      <w:r w:rsidR="000B0D08">
        <w:t>zones in Victoria. Retailers that have fewer</w:t>
      </w:r>
      <w:r w:rsidRPr="007141BD">
        <w:t xml:space="preserve"> than 1000 customers in Victoria are not included </w:t>
      </w:r>
      <w:r>
        <w:t>in</w:t>
      </w:r>
      <w:r w:rsidRPr="007141BD">
        <w:t xml:space="preserve"> this analysis.</w:t>
      </w:r>
    </w:p>
    <w:p w:rsidR="0088341A" w:rsidRDefault="0088341A" w:rsidP="0088341A">
      <w:pPr>
        <w:pStyle w:val="AERbodytext"/>
        <w:numPr>
          <w:ilvl w:val="0"/>
          <w:numId w:val="1"/>
        </w:numPr>
      </w:pPr>
      <w:r>
        <w:t>Similarly, for an average electricity bill for businesses in Victoria, our draft decision is no</w:t>
      </w:r>
      <w:r w:rsidR="000B0D08">
        <w:t>t expected to contribute to</w:t>
      </w:r>
      <w:r>
        <w:t xml:space="preserve"> any price increase. If the lower transmission charges arising from this draft decision were pass</w:t>
      </w:r>
      <w:r w:rsidR="000B0D08">
        <w:t>ed</w:t>
      </w:r>
      <w:r>
        <w:t xml:space="preserve"> through to end customers, then average business electricity customer bills could be expected to reduce by about $65 in total ($2013–14) or 0.3 per cent per annum during the 2014</w:t>
      </w:r>
      <w:r w:rsidRPr="007606FD">
        <w:t>–</w:t>
      </w:r>
      <w:r>
        <w:t>17 regulatory control period. In comparison, SP AusNet's proposal would result in an average bill reduction of approximately $29 in total</w:t>
      </w:r>
      <w:r w:rsidR="0098143C">
        <w:t>,</w:t>
      </w:r>
      <w:r>
        <w:t xml:space="preserve"> or 0.1 per cent per annum.</w:t>
      </w:r>
      <w:r w:rsidRPr="007533AA">
        <w:t xml:space="preserve"> </w:t>
      </w:r>
      <w:r w:rsidR="00820348">
        <w:fldChar w:fldCharType="begin"/>
      </w:r>
      <w:r w:rsidR="00820348">
        <w:instrText xml:space="preserve"> REF _Ref364408489 \h </w:instrText>
      </w:r>
      <w:r w:rsidR="00820348">
        <w:fldChar w:fldCharType="separate"/>
      </w:r>
      <w:r w:rsidR="004F35AA">
        <w:t xml:space="preserve">Table </w:t>
      </w:r>
      <w:r w:rsidR="004F35AA">
        <w:rPr>
          <w:noProof/>
        </w:rPr>
        <w:t>3</w:t>
      </w:r>
      <w:r w:rsidR="004F35AA">
        <w:t>.</w:t>
      </w:r>
      <w:r w:rsidR="004F35AA">
        <w:rPr>
          <w:noProof/>
        </w:rPr>
        <w:t>4</w:t>
      </w:r>
      <w:r w:rsidR="00820348">
        <w:fldChar w:fldCharType="end"/>
      </w:r>
      <w:r w:rsidR="00820348">
        <w:t xml:space="preserve"> </w:t>
      </w:r>
      <w:r>
        <w:t>shows the estimated impact of our draft decision and SP AusNet's proposal on average Victorian business electricity bills by tariff type.</w:t>
      </w:r>
    </w:p>
    <w:p w:rsidR="0088341A" w:rsidRDefault="0088341A" w:rsidP="0088341A">
      <w:pPr>
        <w:pStyle w:val="Caption"/>
      </w:pPr>
      <w:bookmarkStart w:id="47" w:name="_Ref364408489"/>
      <w:r>
        <w:t xml:space="preserve">Table </w:t>
      </w:r>
      <w:fldSimple w:instr=" STYLEREF 1 \s ">
        <w:r w:rsidR="004F35AA">
          <w:rPr>
            <w:noProof/>
          </w:rPr>
          <w:t>3</w:t>
        </w:r>
      </w:fldSimple>
      <w:r w:rsidR="00C56A87">
        <w:t>.</w:t>
      </w:r>
      <w:fldSimple w:instr=" SEQ Table \* ARABIC \s 1 ">
        <w:r w:rsidR="004F35AA">
          <w:rPr>
            <w:noProof/>
          </w:rPr>
          <w:t>4</w:t>
        </w:r>
      </w:fldSimple>
      <w:bookmarkEnd w:id="47"/>
      <w:r>
        <w:tab/>
        <w:t>AER estimated impact of the draft decision for SP AusNet on the average electricity bills of businesses in Victoria over 2014–17 ($2013–14)</w:t>
      </w:r>
    </w:p>
    <w:tbl>
      <w:tblPr>
        <w:tblW w:w="0" w:type="auto"/>
        <w:tblBorders>
          <w:bottom w:val="single" w:sz="4" w:space="0" w:color="365F91"/>
        </w:tblBorders>
        <w:tblLook w:val="04A0" w:firstRow="1" w:lastRow="0" w:firstColumn="1" w:lastColumn="0" w:noHBand="0" w:noVBand="1"/>
      </w:tblPr>
      <w:tblGrid>
        <w:gridCol w:w="1316"/>
        <w:gridCol w:w="1497"/>
        <w:gridCol w:w="1762"/>
        <w:gridCol w:w="1793"/>
        <w:gridCol w:w="1437"/>
        <w:gridCol w:w="1437"/>
      </w:tblGrid>
      <w:tr w:rsidR="0088341A" w:rsidRPr="002B4341" w:rsidTr="00501137">
        <w:tc>
          <w:tcPr>
            <w:tcW w:w="1316" w:type="dxa"/>
            <w:shd w:val="clear" w:color="auto" w:fill="365F91"/>
            <w:vAlign w:val="center"/>
          </w:tcPr>
          <w:p w:rsidR="0088341A" w:rsidRPr="002B4341" w:rsidRDefault="0088341A" w:rsidP="00501137">
            <w:pPr>
              <w:pStyle w:val="AERtabletextleft"/>
              <w:rPr>
                <w:b/>
                <w:color w:val="FFFFFF"/>
              </w:rPr>
            </w:pPr>
            <w:r w:rsidRPr="002B4341">
              <w:rPr>
                <w:b/>
                <w:color w:val="FFFFFF"/>
              </w:rPr>
              <w:t>Tariff type</w:t>
            </w:r>
            <w:r w:rsidRPr="002B4341">
              <w:rPr>
                <w:rStyle w:val="AERsuperscript"/>
                <w:b/>
                <w:color w:val="FFFFFF"/>
              </w:rPr>
              <w:t>a</w:t>
            </w:r>
          </w:p>
        </w:tc>
        <w:tc>
          <w:tcPr>
            <w:tcW w:w="1497" w:type="dxa"/>
            <w:shd w:val="clear" w:color="auto" w:fill="365F91"/>
            <w:vAlign w:val="center"/>
          </w:tcPr>
          <w:p w:rsidR="0088341A" w:rsidRPr="002B4341" w:rsidRDefault="0088341A" w:rsidP="00501137">
            <w:pPr>
              <w:pStyle w:val="AERtabletextright"/>
              <w:rPr>
                <w:b/>
                <w:color w:val="FFFFFF"/>
              </w:rPr>
            </w:pPr>
            <w:r w:rsidRPr="002B4341">
              <w:rPr>
                <w:b/>
                <w:color w:val="FFFFFF"/>
              </w:rPr>
              <w:t>Average annual bill</w:t>
            </w:r>
            <w:r w:rsidRPr="002B4341">
              <w:rPr>
                <w:rStyle w:val="AERsuperscript"/>
                <w:b/>
                <w:color w:val="FFFFFF"/>
              </w:rPr>
              <w:t>b</w:t>
            </w:r>
          </w:p>
        </w:tc>
        <w:tc>
          <w:tcPr>
            <w:tcW w:w="1762" w:type="dxa"/>
            <w:shd w:val="clear" w:color="auto" w:fill="365F91"/>
            <w:vAlign w:val="center"/>
          </w:tcPr>
          <w:p w:rsidR="0088341A" w:rsidRPr="002B4341" w:rsidRDefault="0088341A" w:rsidP="00501137">
            <w:pPr>
              <w:pStyle w:val="AERtabletextright"/>
              <w:rPr>
                <w:b/>
                <w:color w:val="FFFFFF"/>
              </w:rPr>
            </w:pPr>
            <w:r w:rsidRPr="002B4341">
              <w:rPr>
                <w:b/>
                <w:color w:val="FFFFFF"/>
              </w:rPr>
              <w:t>Total reduction over 2014–17 — SP AusNet</w:t>
            </w:r>
            <w:r w:rsidR="0098143C">
              <w:rPr>
                <w:b/>
                <w:color w:val="FFFFFF"/>
              </w:rPr>
              <w:t>’s proposal</w:t>
            </w:r>
          </w:p>
        </w:tc>
        <w:tc>
          <w:tcPr>
            <w:tcW w:w="1793" w:type="dxa"/>
            <w:shd w:val="clear" w:color="auto" w:fill="365F91"/>
            <w:vAlign w:val="center"/>
          </w:tcPr>
          <w:p w:rsidR="0088341A" w:rsidRPr="002B4341" w:rsidRDefault="0088341A" w:rsidP="00501137">
            <w:pPr>
              <w:pStyle w:val="AERtabletextright"/>
              <w:rPr>
                <w:b/>
                <w:color w:val="FFFFFF"/>
              </w:rPr>
            </w:pPr>
            <w:r w:rsidRPr="002B4341">
              <w:rPr>
                <w:b/>
                <w:color w:val="FFFFFF"/>
              </w:rPr>
              <w:t>Total reduction over 2014–17 — AER</w:t>
            </w:r>
            <w:r w:rsidR="0098143C">
              <w:rPr>
                <w:b/>
                <w:color w:val="FFFFFF"/>
              </w:rPr>
              <w:t>’s</w:t>
            </w:r>
            <w:r w:rsidRPr="002B4341">
              <w:rPr>
                <w:b/>
                <w:color w:val="FFFFFF"/>
              </w:rPr>
              <w:t xml:space="preserve"> draft decision</w:t>
            </w:r>
          </w:p>
        </w:tc>
        <w:tc>
          <w:tcPr>
            <w:tcW w:w="1437" w:type="dxa"/>
            <w:shd w:val="clear" w:color="auto" w:fill="365F91"/>
            <w:vAlign w:val="center"/>
          </w:tcPr>
          <w:p w:rsidR="0088341A" w:rsidRPr="002B4341" w:rsidRDefault="0088341A" w:rsidP="00501137">
            <w:pPr>
              <w:pStyle w:val="AERtabletextright"/>
              <w:tabs>
                <w:tab w:val="num" w:pos="0"/>
              </w:tabs>
              <w:rPr>
                <w:b/>
                <w:color w:val="FFFFFF"/>
              </w:rPr>
            </w:pPr>
            <w:r w:rsidRPr="002B4341">
              <w:rPr>
                <w:b/>
                <w:color w:val="FFFFFF"/>
              </w:rPr>
              <w:t xml:space="preserve">Impact on annual bill—SP AusNet's proposal </w:t>
            </w:r>
          </w:p>
          <w:p w:rsidR="0088341A" w:rsidRPr="002B4341" w:rsidRDefault="0088341A" w:rsidP="00501137">
            <w:pPr>
              <w:pStyle w:val="AERtabletextright"/>
              <w:tabs>
                <w:tab w:val="num" w:pos="0"/>
              </w:tabs>
              <w:rPr>
                <w:b/>
                <w:color w:val="FFFFFF"/>
              </w:rPr>
            </w:pPr>
            <w:r w:rsidRPr="002B4341">
              <w:rPr>
                <w:b/>
                <w:color w:val="FFFFFF"/>
              </w:rPr>
              <w:t>(per cent, per annum)</w:t>
            </w:r>
          </w:p>
        </w:tc>
        <w:tc>
          <w:tcPr>
            <w:tcW w:w="1437" w:type="dxa"/>
            <w:shd w:val="clear" w:color="auto" w:fill="365F91"/>
            <w:vAlign w:val="center"/>
          </w:tcPr>
          <w:p w:rsidR="0088341A" w:rsidRPr="002B4341" w:rsidRDefault="0088341A" w:rsidP="00501137">
            <w:pPr>
              <w:pStyle w:val="AERtabletextright"/>
              <w:tabs>
                <w:tab w:val="num" w:pos="0"/>
              </w:tabs>
              <w:rPr>
                <w:b/>
                <w:color w:val="FFFFFF"/>
              </w:rPr>
            </w:pPr>
            <w:r w:rsidRPr="002B4341">
              <w:rPr>
                <w:b/>
                <w:color w:val="FFFFFF"/>
              </w:rPr>
              <w:t xml:space="preserve">Impact on annual bill—AER's draft decision </w:t>
            </w:r>
          </w:p>
          <w:p w:rsidR="0088341A" w:rsidRPr="002B4341" w:rsidRDefault="0088341A" w:rsidP="00501137">
            <w:pPr>
              <w:pStyle w:val="AERtabletextright"/>
              <w:tabs>
                <w:tab w:val="num" w:pos="0"/>
              </w:tabs>
              <w:rPr>
                <w:b/>
                <w:color w:val="FFFFFF"/>
              </w:rPr>
            </w:pPr>
            <w:r w:rsidRPr="002B4341">
              <w:rPr>
                <w:b/>
                <w:color w:val="FFFFFF"/>
              </w:rPr>
              <w:t>(per cent, per annum)</w:t>
            </w:r>
          </w:p>
        </w:tc>
      </w:tr>
      <w:tr w:rsidR="0088341A" w:rsidRPr="002B4341" w:rsidTr="00501137">
        <w:tc>
          <w:tcPr>
            <w:tcW w:w="1316" w:type="dxa"/>
            <w:shd w:val="clear" w:color="auto" w:fill="auto"/>
            <w:vAlign w:val="center"/>
          </w:tcPr>
          <w:p w:rsidR="0088341A" w:rsidRPr="001E4E0B" w:rsidRDefault="0088341A" w:rsidP="00501137">
            <w:pPr>
              <w:pStyle w:val="AERtabletextleft"/>
            </w:pPr>
            <w:r w:rsidRPr="001E4E0B">
              <w:t>Single rate</w:t>
            </w:r>
          </w:p>
        </w:tc>
        <w:tc>
          <w:tcPr>
            <w:tcW w:w="1497" w:type="dxa"/>
            <w:shd w:val="clear" w:color="auto" w:fill="auto"/>
            <w:vAlign w:val="center"/>
          </w:tcPr>
          <w:p w:rsidR="0088341A" w:rsidRPr="002357F2" w:rsidRDefault="0088341A" w:rsidP="00501137">
            <w:pPr>
              <w:pStyle w:val="AERtabletextright"/>
            </w:pPr>
            <w:r>
              <w:t>$3777</w:t>
            </w:r>
          </w:p>
        </w:tc>
        <w:tc>
          <w:tcPr>
            <w:tcW w:w="1762" w:type="dxa"/>
            <w:shd w:val="clear" w:color="auto" w:fill="auto"/>
            <w:vAlign w:val="center"/>
          </w:tcPr>
          <w:p w:rsidR="0088341A" w:rsidRPr="002357F2" w:rsidRDefault="0088341A" w:rsidP="00501137">
            <w:pPr>
              <w:pStyle w:val="AERtabletextright"/>
            </w:pPr>
            <w:r>
              <w:t>–$15</w:t>
            </w:r>
          </w:p>
        </w:tc>
        <w:tc>
          <w:tcPr>
            <w:tcW w:w="1793" w:type="dxa"/>
            <w:shd w:val="clear" w:color="auto" w:fill="auto"/>
            <w:vAlign w:val="center"/>
          </w:tcPr>
          <w:p w:rsidR="0088341A" w:rsidRPr="002357F2" w:rsidRDefault="0088341A" w:rsidP="00501137">
            <w:pPr>
              <w:pStyle w:val="AERtabletextright"/>
            </w:pPr>
            <w:r>
              <w:t>–$</w:t>
            </w:r>
            <w:r w:rsidRPr="002357F2">
              <w:t>34</w:t>
            </w:r>
          </w:p>
        </w:tc>
        <w:tc>
          <w:tcPr>
            <w:tcW w:w="1437" w:type="dxa"/>
            <w:shd w:val="clear" w:color="auto" w:fill="auto"/>
            <w:vAlign w:val="center"/>
          </w:tcPr>
          <w:p w:rsidR="0088341A" w:rsidRDefault="0088341A" w:rsidP="00501137">
            <w:pPr>
              <w:pStyle w:val="AERtabletextright"/>
              <w:tabs>
                <w:tab w:val="num" w:pos="0"/>
              </w:tabs>
            </w:pPr>
            <w:r>
              <w:t>–0.1</w:t>
            </w:r>
          </w:p>
        </w:tc>
        <w:tc>
          <w:tcPr>
            <w:tcW w:w="1437" w:type="dxa"/>
            <w:shd w:val="clear" w:color="auto" w:fill="auto"/>
            <w:vAlign w:val="center"/>
          </w:tcPr>
          <w:p w:rsidR="0088341A" w:rsidRDefault="0088341A" w:rsidP="00501137">
            <w:pPr>
              <w:pStyle w:val="AERtabletextright"/>
              <w:tabs>
                <w:tab w:val="num" w:pos="0"/>
              </w:tabs>
            </w:pPr>
            <w:r>
              <w:t>–0.3</w:t>
            </w:r>
          </w:p>
        </w:tc>
      </w:tr>
      <w:tr w:rsidR="0088341A" w:rsidRPr="002B4341" w:rsidTr="00501137">
        <w:tc>
          <w:tcPr>
            <w:tcW w:w="1316" w:type="dxa"/>
            <w:shd w:val="clear" w:color="auto" w:fill="DBE5F1"/>
            <w:vAlign w:val="center"/>
          </w:tcPr>
          <w:p w:rsidR="0088341A" w:rsidRPr="001E4E0B" w:rsidRDefault="0088341A" w:rsidP="00501137">
            <w:pPr>
              <w:pStyle w:val="AERtabletextleft"/>
            </w:pPr>
            <w:r w:rsidRPr="001E4E0B">
              <w:t>Time-of-use</w:t>
            </w:r>
          </w:p>
        </w:tc>
        <w:tc>
          <w:tcPr>
            <w:tcW w:w="1497" w:type="dxa"/>
            <w:shd w:val="clear" w:color="auto" w:fill="DBE5F1"/>
            <w:vAlign w:val="center"/>
          </w:tcPr>
          <w:p w:rsidR="0088341A" w:rsidRPr="002357F2" w:rsidRDefault="0088341A" w:rsidP="00501137">
            <w:pPr>
              <w:pStyle w:val="AERtabletextright"/>
            </w:pPr>
            <w:r>
              <w:t>$10661</w:t>
            </w:r>
          </w:p>
        </w:tc>
        <w:tc>
          <w:tcPr>
            <w:tcW w:w="1762" w:type="dxa"/>
            <w:shd w:val="clear" w:color="auto" w:fill="DBE5F1"/>
            <w:vAlign w:val="center"/>
          </w:tcPr>
          <w:p w:rsidR="0088341A" w:rsidRPr="002357F2" w:rsidRDefault="0088341A" w:rsidP="00501137">
            <w:pPr>
              <w:pStyle w:val="AERtabletextright"/>
            </w:pPr>
            <w:r>
              <w:t>–$43</w:t>
            </w:r>
          </w:p>
        </w:tc>
        <w:tc>
          <w:tcPr>
            <w:tcW w:w="1793" w:type="dxa"/>
            <w:shd w:val="clear" w:color="auto" w:fill="DBE5F1"/>
            <w:vAlign w:val="center"/>
          </w:tcPr>
          <w:p w:rsidR="0088341A" w:rsidRPr="002357F2" w:rsidRDefault="0088341A" w:rsidP="00501137">
            <w:pPr>
              <w:pStyle w:val="AERtabletextright"/>
            </w:pPr>
            <w:r>
              <w:t>–$96</w:t>
            </w:r>
          </w:p>
        </w:tc>
        <w:tc>
          <w:tcPr>
            <w:tcW w:w="1437" w:type="dxa"/>
            <w:shd w:val="clear" w:color="auto" w:fill="DBE5F1"/>
            <w:vAlign w:val="center"/>
          </w:tcPr>
          <w:p w:rsidR="0088341A" w:rsidRDefault="0088341A" w:rsidP="00501137">
            <w:pPr>
              <w:pStyle w:val="AERtabletextright"/>
              <w:tabs>
                <w:tab w:val="num" w:pos="0"/>
              </w:tabs>
            </w:pPr>
            <w:r>
              <w:t>–0.1</w:t>
            </w:r>
          </w:p>
        </w:tc>
        <w:tc>
          <w:tcPr>
            <w:tcW w:w="1437" w:type="dxa"/>
            <w:shd w:val="clear" w:color="auto" w:fill="DBE5F1"/>
            <w:vAlign w:val="center"/>
          </w:tcPr>
          <w:p w:rsidR="0088341A" w:rsidRDefault="0088341A" w:rsidP="00501137">
            <w:pPr>
              <w:pStyle w:val="AERtabletextright"/>
              <w:tabs>
                <w:tab w:val="num" w:pos="0"/>
              </w:tabs>
            </w:pPr>
            <w:r>
              <w:t>–0.3</w:t>
            </w:r>
          </w:p>
        </w:tc>
      </w:tr>
    </w:tbl>
    <w:p w:rsidR="0088341A" w:rsidRDefault="0098143C" w:rsidP="0088341A">
      <w:pPr>
        <w:pStyle w:val="AERtablesource"/>
      </w:pPr>
      <w:r>
        <w:t>Source:</w:t>
      </w:r>
      <w:r>
        <w:tab/>
        <w:t>Essential S</w:t>
      </w:r>
      <w:r w:rsidR="0088341A">
        <w:t>e</w:t>
      </w:r>
      <w:r>
        <w:t>rvices C</w:t>
      </w:r>
      <w:r w:rsidR="0088341A">
        <w:t xml:space="preserve">ommission Victoria, </w:t>
      </w:r>
      <w:r w:rsidR="0088341A" w:rsidRPr="00052302">
        <w:rPr>
          <w:rStyle w:val="AERtextitalic"/>
        </w:rPr>
        <w:t>Energy retailers comparative performance report—pricing</w:t>
      </w:r>
      <w:r w:rsidR="0088341A">
        <w:t>, p.4; AER analysis.</w:t>
      </w:r>
    </w:p>
    <w:p w:rsidR="0088341A" w:rsidRDefault="0088341A" w:rsidP="0088341A">
      <w:pPr>
        <w:pStyle w:val="AERtablesource"/>
      </w:pPr>
      <w:r>
        <w:t>(a)</w:t>
      </w:r>
      <w:r>
        <w:tab/>
        <w:t xml:space="preserve">The single rate business tariff is based on 12000 kWh peak consumption per year. This use is typical of a business that is closed on weekends. </w:t>
      </w:r>
    </w:p>
    <w:p w:rsidR="0088341A" w:rsidRDefault="0088341A" w:rsidP="0088341A">
      <w:pPr>
        <w:pStyle w:val="AERtablesource"/>
      </w:pPr>
      <w:r>
        <w:tab/>
        <w:t>The time-of-use business tariff is based on 25000 kWh peak and 15000 kWh off-peak consumption per year. Off-peak includes the whole weekend. This use is typical of a larger business that is open more than five days a week.</w:t>
      </w:r>
    </w:p>
    <w:p w:rsidR="0088341A" w:rsidRPr="00D35A40" w:rsidRDefault="0088341A" w:rsidP="0088341A">
      <w:pPr>
        <w:pStyle w:val="AERtablesource"/>
      </w:pPr>
      <w:r>
        <w:t>(b)</w:t>
      </w:r>
      <w:r>
        <w:tab/>
      </w:r>
      <w:r w:rsidRPr="007141BD">
        <w:t>The average annual bills reflect a weighted average of the market offers and standing of</w:t>
      </w:r>
      <w:r w:rsidR="0098143C">
        <w:t>fers as shown on the Victorian G</w:t>
      </w:r>
      <w:r w:rsidRPr="007141BD">
        <w:t xml:space="preserve">overnment's electricity and gas comparator website </w:t>
      </w:r>
      <w:r>
        <w:t xml:space="preserve">as </w:t>
      </w:r>
      <w:r w:rsidRPr="007141BD">
        <w:t>at 3 July 2013 (</w:t>
      </w:r>
      <w:hyperlink r:id="rId27" w:history="1">
        <w:r w:rsidRPr="007141BD">
          <w:rPr>
            <w:rStyle w:val="Hyperlink"/>
          </w:rPr>
          <w:t>http://yourchoice.vic.gov.au/</w:t>
        </w:r>
      </w:hyperlink>
      <w:r w:rsidRPr="007141BD">
        <w:t>). They also reflect the average offer</w:t>
      </w:r>
      <w:r>
        <w:t>s</w:t>
      </w:r>
      <w:r w:rsidRPr="007141BD">
        <w:t xml:space="preserve"> across all the distribution </w:t>
      </w:r>
      <w:r w:rsidR="0098143C">
        <w:t>zones in Victoria. Retailers that have fewer</w:t>
      </w:r>
      <w:r w:rsidRPr="007141BD">
        <w:t xml:space="preserve"> than 1000 customers in Victoria are not included </w:t>
      </w:r>
      <w:r>
        <w:t>in</w:t>
      </w:r>
      <w:r w:rsidRPr="007141BD">
        <w:t xml:space="preserve"> this analysis.</w:t>
      </w:r>
    </w:p>
    <w:p w:rsidR="0088341A" w:rsidRDefault="0088341A" w:rsidP="0088341A">
      <w:pPr>
        <w:pStyle w:val="Heading1"/>
        <w:numPr>
          <w:ilvl w:val="1"/>
          <w:numId w:val="20"/>
        </w:numPr>
      </w:pPr>
      <w:bookmarkStart w:id="48" w:name="_Toc365283244"/>
      <w:bookmarkStart w:id="49" w:name="_Toc365461984"/>
      <w:r>
        <w:lastRenderedPageBreak/>
        <w:t>Regulatory asset base</w:t>
      </w:r>
      <w:bookmarkEnd w:id="48"/>
      <w:bookmarkEnd w:id="49"/>
    </w:p>
    <w:p w:rsidR="0088341A" w:rsidRPr="0096633C" w:rsidRDefault="0088341A" w:rsidP="0088341A">
      <w:pPr>
        <w:pStyle w:val="AERbodytext"/>
        <w:numPr>
          <w:ilvl w:val="0"/>
          <w:numId w:val="1"/>
        </w:numPr>
      </w:pPr>
      <w:r w:rsidRPr="0096633C">
        <w:t xml:space="preserve">The </w:t>
      </w:r>
      <w:r>
        <w:t xml:space="preserve">RAB </w:t>
      </w:r>
      <w:r w:rsidRPr="0096633C">
        <w:t xml:space="preserve">is the value of </w:t>
      </w:r>
      <w:r>
        <w:t>SP AusNet's</w:t>
      </w:r>
      <w:r w:rsidRPr="0096633C">
        <w:t xml:space="preserve"> assets </w:t>
      </w:r>
      <w:r>
        <w:t xml:space="preserve">that are used to provide prescribed transmission services. These assets include </w:t>
      </w:r>
      <w:r w:rsidRPr="0096633C">
        <w:t xml:space="preserve">transmission </w:t>
      </w:r>
      <w:r>
        <w:t>lines</w:t>
      </w:r>
      <w:r w:rsidRPr="0096633C">
        <w:t>,</w:t>
      </w:r>
      <w:r w:rsidRPr="0096633C">
        <w:rPr>
          <w:rStyle w:val="AERbody"/>
        </w:rPr>
        <w:t xml:space="preserve"> </w:t>
      </w:r>
      <w:r>
        <w:rPr>
          <w:rStyle w:val="AERbody"/>
        </w:rPr>
        <w:t>substations</w:t>
      </w:r>
      <w:r w:rsidRPr="0096633C">
        <w:rPr>
          <w:rStyle w:val="AERbody"/>
        </w:rPr>
        <w:t xml:space="preserve">, IT systems, </w:t>
      </w:r>
      <w:r>
        <w:rPr>
          <w:rStyle w:val="AERbody"/>
        </w:rPr>
        <w:t>land</w:t>
      </w:r>
      <w:r w:rsidRPr="0096633C">
        <w:rPr>
          <w:rStyle w:val="AERbody"/>
        </w:rPr>
        <w:t xml:space="preserve"> and </w:t>
      </w:r>
      <w:r>
        <w:rPr>
          <w:rStyle w:val="AERbody"/>
        </w:rPr>
        <w:t>easement</w:t>
      </w:r>
      <w:r w:rsidRPr="0096633C">
        <w:rPr>
          <w:rStyle w:val="AERbody"/>
        </w:rPr>
        <w:t>, motor vehicles and buildings</w:t>
      </w:r>
      <w:r w:rsidRPr="0096633C">
        <w:t xml:space="preserve">. The </w:t>
      </w:r>
      <w:r>
        <w:t>RAB</w:t>
      </w:r>
      <w:r w:rsidRPr="0096633C">
        <w:t xml:space="preserve"> is the value on which </w:t>
      </w:r>
      <w:r>
        <w:t>SP AusNet earns a return on capital</w:t>
      </w:r>
      <w:r w:rsidRPr="0096633C">
        <w:t xml:space="preserve">. Further, </w:t>
      </w:r>
      <w:r>
        <w:t>SP AusNet</w:t>
      </w:r>
      <w:r w:rsidRPr="0096633C">
        <w:t xml:space="preserve"> earn</w:t>
      </w:r>
      <w:r>
        <w:t>s</w:t>
      </w:r>
      <w:r w:rsidRPr="0096633C">
        <w:t xml:space="preserve"> a depreciation allowance (or a return of capital) on assets in its </w:t>
      </w:r>
      <w:r>
        <w:t>RAB</w:t>
      </w:r>
      <w:r w:rsidRPr="0096633C">
        <w:t xml:space="preserve">. </w:t>
      </w:r>
      <w:r>
        <w:t>So</w:t>
      </w:r>
      <w:r w:rsidRPr="0096633C">
        <w:t xml:space="preserve">, the </w:t>
      </w:r>
      <w:r>
        <w:t>RAB</w:t>
      </w:r>
      <w:r w:rsidRPr="0096633C">
        <w:t xml:space="preserve"> is an important input to the return on capital and depreciation building blocks</w:t>
      </w:r>
      <w:r>
        <w:t>,</w:t>
      </w:r>
      <w:r w:rsidRPr="0096633C">
        <w:t xml:space="preserve"> and </w:t>
      </w:r>
      <w:r>
        <w:t>thus to</w:t>
      </w:r>
      <w:r w:rsidRPr="0096633C">
        <w:t xml:space="preserve"> the revenue requirement. </w:t>
      </w:r>
    </w:p>
    <w:p w:rsidR="0088341A" w:rsidRDefault="0088341A" w:rsidP="0088341A">
      <w:pPr>
        <w:pStyle w:val="AERbodytext"/>
        <w:numPr>
          <w:ilvl w:val="0"/>
          <w:numId w:val="1"/>
        </w:numPr>
      </w:pPr>
      <w:r w:rsidRPr="0096633C">
        <w:t xml:space="preserve">As part of this draft decision, </w:t>
      </w:r>
      <w:r>
        <w:t>we are</w:t>
      </w:r>
      <w:r w:rsidRPr="0096633C">
        <w:t xml:space="preserve"> required to assess </w:t>
      </w:r>
      <w:r>
        <w:t>SP AusNet's</w:t>
      </w:r>
      <w:r w:rsidRPr="0096633C">
        <w:t xml:space="preserve"> proposed opening value for the </w:t>
      </w:r>
      <w:r>
        <w:t>RAB</w:t>
      </w:r>
      <w:r w:rsidRPr="0096633C">
        <w:t xml:space="preserve"> for each year of the </w:t>
      </w:r>
      <w:r>
        <w:t>2008–14</w:t>
      </w:r>
      <w:r w:rsidRPr="0096633C">
        <w:t xml:space="preserve"> and </w:t>
      </w:r>
      <w:r>
        <w:t>2014–17</w:t>
      </w:r>
      <w:r w:rsidRPr="0096633C">
        <w:t xml:space="preserve"> </w:t>
      </w:r>
      <w:r>
        <w:t>regulatory control</w:t>
      </w:r>
      <w:r w:rsidRPr="0096633C">
        <w:t xml:space="preserve"> period</w:t>
      </w:r>
      <w:r>
        <w:t>s</w:t>
      </w:r>
      <w:r w:rsidRPr="0096633C">
        <w:t>.</w:t>
      </w:r>
      <w:r>
        <w:rPr>
          <w:rStyle w:val="FootnoteReference"/>
        </w:rPr>
        <w:footnoteReference w:id="34"/>
      </w:r>
      <w:r w:rsidRPr="0096633C">
        <w:t xml:space="preserve"> </w:t>
      </w:r>
      <w:r w:rsidR="0098143C">
        <w:t>Our</w:t>
      </w:r>
      <w:r>
        <w:t xml:space="preserve"> assessment  involved:</w:t>
      </w:r>
    </w:p>
    <w:p w:rsidR="0088341A" w:rsidRDefault="0088341A" w:rsidP="0088341A">
      <w:pPr>
        <w:pStyle w:val="AERbulletlistfirststyle"/>
      </w:pPr>
      <w:r>
        <w:t xml:space="preserve">rolling forward the opening RAB </w:t>
      </w:r>
      <w:r w:rsidRPr="00A949F3">
        <w:t xml:space="preserve">at 1 </w:t>
      </w:r>
      <w:r>
        <w:t>April</w:t>
      </w:r>
      <w:r w:rsidRPr="00A949F3">
        <w:t xml:space="preserve"> 2008 to determine the closing RAB at 3</w:t>
      </w:r>
      <w:r>
        <w:t>1</w:t>
      </w:r>
      <w:r w:rsidRPr="00A949F3">
        <w:t xml:space="preserve"> </w:t>
      </w:r>
      <w:r>
        <w:t>March</w:t>
      </w:r>
      <w:r w:rsidRPr="00A949F3">
        <w:t xml:space="preserve"> 201</w:t>
      </w:r>
      <w:r>
        <w:t>4</w:t>
      </w:r>
      <w:r w:rsidRPr="00EB3998">
        <w:rPr>
          <w:rStyle w:val="AERsuperscript"/>
        </w:rPr>
        <w:footnoteReference w:id="35"/>
      </w:r>
    </w:p>
    <w:p w:rsidR="0088341A" w:rsidRDefault="0088341A" w:rsidP="0088341A">
      <w:pPr>
        <w:pStyle w:val="AERbulletlistfirststyle"/>
      </w:pPr>
      <w:r>
        <w:t>u</w:t>
      </w:r>
      <w:r w:rsidRPr="0096633C">
        <w:t xml:space="preserve">sing </w:t>
      </w:r>
      <w:r>
        <w:t>our</w:t>
      </w:r>
      <w:r w:rsidRPr="0096633C">
        <w:t xml:space="preserve"> draft decision on forecast depreciation, capex, disposals and inflation for the 2</w:t>
      </w:r>
      <w:r>
        <w:t>014–17</w:t>
      </w:r>
      <w:r w:rsidRPr="0096633C">
        <w:t xml:space="preserve"> </w:t>
      </w:r>
      <w:r>
        <w:t>regulatory control</w:t>
      </w:r>
      <w:r w:rsidRPr="0096633C">
        <w:t xml:space="preserve"> period to roll forward </w:t>
      </w:r>
      <w:r>
        <w:t>SP AusNet's</w:t>
      </w:r>
      <w:r w:rsidRPr="0096633C">
        <w:t xml:space="preserve"> </w:t>
      </w:r>
      <w:r>
        <w:t>forecast RAB</w:t>
      </w:r>
      <w:r w:rsidRPr="0096633C">
        <w:t xml:space="preserve"> for each year of that period. </w:t>
      </w:r>
    </w:p>
    <w:p w:rsidR="0088341A" w:rsidRPr="00A40908" w:rsidRDefault="0088341A" w:rsidP="0088341A">
      <w:pPr>
        <w:pStyle w:val="AERbodytext"/>
        <w:numPr>
          <w:ilvl w:val="0"/>
          <w:numId w:val="1"/>
        </w:numPr>
      </w:pPr>
      <w:r>
        <w:t>Attachment 5 s</w:t>
      </w:r>
      <w:r w:rsidRPr="00A40908">
        <w:t xml:space="preserve">ets out the detailed reasons for our </w:t>
      </w:r>
      <w:r>
        <w:t>draft</w:t>
      </w:r>
      <w:r w:rsidRPr="00A40908">
        <w:t xml:space="preserve"> decision on </w:t>
      </w:r>
      <w:r>
        <w:t>SP AusNet</w:t>
      </w:r>
      <w:r w:rsidRPr="00A40908">
        <w:t xml:space="preserve">'s RAB. </w:t>
      </w:r>
    </w:p>
    <w:p w:rsidR="0088341A" w:rsidRDefault="0088341A" w:rsidP="0088341A">
      <w:pPr>
        <w:pStyle w:val="Heading2"/>
        <w:numPr>
          <w:ilvl w:val="2"/>
          <w:numId w:val="20"/>
        </w:numPr>
      </w:pPr>
      <w:bookmarkStart w:id="50" w:name="_Toc341686713"/>
      <w:bookmarkStart w:id="51" w:name="_Toc365283245"/>
      <w:r>
        <w:t>Draft decision</w:t>
      </w:r>
      <w:bookmarkEnd w:id="50"/>
      <w:bookmarkEnd w:id="51"/>
    </w:p>
    <w:p w:rsidR="0088341A" w:rsidRDefault="0088341A" w:rsidP="0088341A">
      <w:pPr>
        <w:pStyle w:val="AERbodytext"/>
        <w:numPr>
          <w:ilvl w:val="0"/>
          <w:numId w:val="1"/>
        </w:numPr>
      </w:pPr>
      <w:r>
        <w:rPr>
          <w:rStyle w:val="AERbody"/>
        </w:rPr>
        <w:t xml:space="preserve">We </w:t>
      </w:r>
      <w:r>
        <w:t>do not accept SP AusNet's proposed opening RAB of $2</w:t>
      </w:r>
      <w:r w:rsidRPr="00C913EA">
        <w:t xml:space="preserve">866 million at 1 April 2014 </w:t>
      </w:r>
      <w:r>
        <w:t xml:space="preserve">and forecast RAB for the 2014–17 regulatory control period. </w:t>
      </w:r>
      <w:r>
        <w:fldChar w:fldCharType="begin"/>
      </w:r>
      <w:r>
        <w:instrText xml:space="preserve"> REF _Ref361817663 \h </w:instrText>
      </w:r>
      <w:r>
        <w:fldChar w:fldCharType="separate"/>
      </w:r>
      <w:r w:rsidR="004F35AA">
        <w:t xml:space="preserve">Table </w:t>
      </w:r>
      <w:r w:rsidR="004F35AA">
        <w:rPr>
          <w:noProof/>
        </w:rPr>
        <w:t>4</w:t>
      </w:r>
      <w:r w:rsidR="004F35AA">
        <w:t>.</w:t>
      </w:r>
      <w:r w:rsidR="004F35AA">
        <w:rPr>
          <w:noProof/>
        </w:rPr>
        <w:t>1</w:t>
      </w:r>
      <w:r>
        <w:fldChar w:fldCharType="end"/>
      </w:r>
      <w:r>
        <w:t xml:space="preserve"> and </w:t>
      </w:r>
      <w:r>
        <w:fldChar w:fldCharType="begin"/>
      </w:r>
      <w:r>
        <w:instrText xml:space="preserve"> REF _Ref361738197 \h </w:instrText>
      </w:r>
      <w:r>
        <w:fldChar w:fldCharType="separate"/>
      </w:r>
      <w:r w:rsidR="004F35AA">
        <w:t xml:space="preserve">Table </w:t>
      </w:r>
      <w:r w:rsidR="004F35AA">
        <w:rPr>
          <w:noProof/>
        </w:rPr>
        <w:t>4</w:t>
      </w:r>
      <w:r w:rsidR="004F35AA">
        <w:t>.</w:t>
      </w:r>
      <w:r w:rsidR="004F35AA">
        <w:rPr>
          <w:noProof/>
        </w:rPr>
        <w:t>2</w:t>
      </w:r>
      <w:r>
        <w:fldChar w:fldCharType="end"/>
      </w:r>
      <w:r>
        <w:t xml:space="preserve"> set out</w:t>
      </w:r>
      <w:r w:rsidRPr="00A97DB0">
        <w:t xml:space="preserve"> </w:t>
      </w:r>
      <w:r>
        <w:t>our draft decisions on the roll forward of SP AusNet's RAB during the 2008–14 regulatory control period and the forecast RAB for the 2014–17 regulatory control period respectively.</w:t>
      </w:r>
    </w:p>
    <w:p w:rsidR="0088341A" w:rsidRDefault="0088341A" w:rsidP="00875391">
      <w:pPr>
        <w:pStyle w:val="Caption"/>
      </w:pPr>
      <w:bookmarkStart w:id="52" w:name="_Ref361817663"/>
      <w:r>
        <w:lastRenderedPageBreak/>
        <w:t xml:space="preserve">Table </w:t>
      </w:r>
      <w:fldSimple w:instr=" STYLEREF 1 \s ">
        <w:r w:rsidR="004F35AA">
          <w:rPr>
            <w:noProof/>
          </w:rPr>
          <w:t>4</w:t>
        </w:r>
      </w:fldSimple>
      <w:r w:rsidR="00C56A87">
        <w:t>.</w:t>
      </w:r>
      <w:fldSimple w:instr=" SEQ Table \* ARABIC \s 1 ">
        <w:r w:rsidR="004F35AA">
          <w:rPr>
            <w:noProof/>
          </w:rPr>
          <w:t>1</w:t>
        </w:r>
      </w:fldSimple>
      <w:bookmarkEnd w:id="52"/>
      <w:r>
        <w:tab/>
      </w:r>
      <w:r w:rsidRPr="00216CC0">
        <w:t xml:space="preserve">AER's draft decision on </w:t>
      </w:r>
      <w:r>
        <w:t>SP AusNet's RAB for 2008–14</w:t>
      </w:r>
      <w:r w:rsidRPr="00216CC0">
        <w:t xml:space="preserve"> </w:t>
      </w:r>
      <w:r>
        <w:t>($ million, nominal)</w:t>
      </w:r>
    </w:p>
    <w:tbl>
      <w:tblPr>
        <w:tblW w:w="5461" w:type="pct"/>
        <w:tblBorders>
          <w:bottom w:val="single" w:sz="4" w:space="0" w:color="365F91"/>
        </w:tblBorders>
        <w:tblLook w:val="01E0" w:firstRow="1" w:lastRow="1" w:firstColumn="1" w:lastColumn="1" w:noHBand="0" w:noVBand="0"/>
      </w:tblPr>
      <w:tblGrid>
        <w:gridCol w:w="3653"/>
        <w:gridCol w:w="991"/>
        <w:gridCol w:w="852"/>
        <w:gridCol w:w="850"/>
        <w:gridCol w:w="850"/>
        <w:gridCol w:w="993"/>
        <w:gridCol w:w="157"/>
        <w:gridCol w:w="896"/>
        <w:gridCol w:w="852"/>
      </w:tblGrid>
      <w:tr w:rsidR="0088341A" w:rsidRPr="00B13576" w:rsidTr="00A35D2F">
        <w:trPr>
          <w:gridAfter w:val="1"/>
          <w:wAfter w:w="422" w:type="pct"/>
          <w:trHeight w:val="526"/>
        </w:trPr>
        <w:tc>
          <w:tcPr>
            <w:tcW w:w="1809" w:type="pct"/>
            <w:shd w:val="clear" w:color="auto" w:fill="365F91"/>
            <w:vAlign w:val="center"/>
          </w:tcPr>
          <w:p w:rsidR="0088341A" w:rsidRPr="00B13576" w:rsidRDefault="0088341A" w:rsidP="00875391">
            <w:pPr>
              <w:pStyle w:val="AERbodytext"/>
              <w:keepNext/>
              <w:numPr>
                <w:ilvl w:val="0"/>
                <w:numId w:val="1"/>
              </w:numPr>
              <w:rPr>
                <w:b/>
                <w:color w:val="FFFFFF"/>
                <w:sz w:val="16"/>
              </w:rPr>
            </w:pPr>
          </w:p>
        </w:tc>
        <w:tc>
          <w:tcPr>
            <w:tcW w:w="491" w:type="pct"/>
            <w:shd w:val="clear" w:color="auto" w:fill="365F91"/>
            <w:vAlign w:val="center"/>
          </w:tcPr>
          <w:p w:rsidR="0088341A" w:rsidRPr="00B13576" w:rsidRDefault="0088341A" w:rsidP="00875391">
            <w:pPr>
              <w:pStyle w:val="AERtabletextright"/>
              <w:keepNext/>
              <w:rPr>
                <w:b/>
                <w:color w:val="FFFFFF"/>
              </w:rPr>
            </w:pPr>
            <w:r w:rsidRPr="00B13576">
              <w:rPr>
                <w:b/>
                <w:color w:val="FFFFFF"/>
              </w:rPr>
              <w:t>2008–09</w:t>
            </w:r>
          </w:p>
        </w:tc>
        <w:tc>
          <w:tcPr>
            <w:tcW w:w="422" w:type="pct"/>
            <w:shd w:val="clear" w:color="auto" w:fill="365F91"/>
            <w:vAlign w:val="center"/>
          </w:tcPr>
          <w:p w:rsidR="0088341A" w:rsidRPr="00B13576" w:rsidRDefault="0088341A" w:rsidP="00875391">
            <w:pPr>
              <w:pStyle w:val="AERtabletextright"/>
              <w:keepNext/>
              <w:rPr>
                <w:b/>
                <w:color w:val="FFFFFF"/>
              </w:rPr>
            </w:pPr>
            <w:r w:rsidRPr="00B13576">
              <w:rPr>
                <w:b/>
                <w:color w:val="FFFFFF"/>
              </w:rPr>
              <w:t>2009–10</w:t>
            </w:r>
          </w:p>
        </w:tc>
        <w:tc>
          <w:tcPr>
            <w:tcW w:w="421" w:type="pct"/>
            <w:shd w:val="clear" w:color="auto" w:fill="365F91"/>
            <w:vAlign w:val="center"/>
          </w:tcPr>
          <w:p w:rsidR="0088341A" w:rsidRPr="00B13576" w:rsidRDefault="0088341A" w:rsidP="00875391">
            <w:pPr>
              <w:pStyle w:val="AERtabletextright"/>
              <w:keepNext/>
              <w:rPr>
                <w:b/>
                <w:color w:val="FFFFFF"/>
              </w:rPr>
            </w:pPr>
            <w:r w:rsidRPr="00B13576">
              <w:rPr>
                <w:b/>
                <w:color w:val="FFFFFF"/>
              </w:rPr>
              <w:t>2010–11</w:t>
            </w:r>
          </w:p>
        </w:tc>
        <w:tc>
          <w:tcPr>
            <w:tcW w:w="421" w:type="pct"/>
            <w:shd w:val="clear" w:color="auto" w:fill="365F91"/>
            <w:vAlign w:val="center"/>
          </w:tcPr>
          <w:p w:rsidR="0088341A" w:rsidRPr="00B13576" w:rsidRDefault="0088341A" w:rsidP="00875391">
            <w:pPr>
              <w:pStyle w:val="AERtabletextright"/>
              <w:keepNext/>
              <w:rPr>
                <w:rStyle w:val="AERsuperscript"/>
                <w:b/>
                <w:color w:val="FFFFFF"/>
              </w:rPr>
            </w:pPr>
            <w:r w:rsidRPr="00B13576">
              <w:rPr>
                <w:b/>
                <w:color w:val="FFFFFF"/>
              </w:rPr>
              <w:t>2011–12</w:t>
            </w:r>
          </w:p>
        </w:tc>
        <w:tc>
          <w:tcPr>
            <w:tcW w:w="492" w:type="pct"/>
            <w:shd w:val="clear" w:color="auto" w:fill="365F91"/>
            <w:vAlign w:val="center"/>
          </w:tcPr>
          <w:p w:rsidR="0088341A" w:rsidRPr="00B13576" w:rsidRDefault="0088341A" w:rsidP="00875391">
            <w:pPr>
              <w:pStyle w:val="AERtabletextright"/>
              <w:keepNext/>
              <w:rPr>
                <w:b/>
                <w:color w:val="FFFFFF"/>
              </w:rPr>
            </w:pPr>
            <w:r w:rsidRPr="00B13576">
              <w:rPr>
                <w:b/>
                <w:color w:val="FFFFFF"/>
              </w:rPr>
              <w:t>2012–13</w:t>
            </w:r>
            <w:r w:rsidRPr="00B13576">
              <w:rPr>
                <w:rStyle w:val="AERsuperscript"/>
                <w:b/>
                <w:color w:val="FFFFFF"/>
              </w:rPr>
              <w:t>a</w:t>
            </w:r>
          </w:p>
        </w:tc>
        <w:tc>
          <w:tcPr>
            <w:tcW w:w="522" w:type="pct"/>
            <w:gridSpan w:val="2"/>
            <w:shd w:val="clear" w:color="auto" w:fill="365F91"/>
            <w:vAlign w:val="center"/>
          </w:tcPr>
          <w:p w:rsidR="0088341A" w:rsidRPr="00B13576" w:rsidRDefault="0088341A" w:rsidP="00875391">
            <w:pPr>
              <w:pStyle w:val="AERtabletextright"/>
              <w:keepNext/>
              <w:rPr>
                <w:b/>
                <w:color w:val="FFFFFF"/>
              </w:rPr>
            </w:pPr>
            <w:r w:rsidRPr="00B13576">
              <w:rPr>
                <w:b/>
                <w:color w:val="FFFFFF"/>
              </w:rPr>
              <w:t>2013–14</w:t>
            </w:r>
            <w:r w:rsidRPr="00B13576">
              <w:rPr>
                <w:rStyle w:val="AERsuperscript"/>
                <w:b/>
                <w:color w:val="FFFFFF"/>
              </w:rPr>
              <w:t>b</w:t>
            </w:r>
          </w:p>
        </w:tc>
      </w:tr>
      <w:tr w:rsidR="0088341A" w:rsidRPr="00B13576" w:rsidTr="00A35D2F">
        <w:trPr>
          <w:gridAfter w:val="1"/>
          <w:wAfter w:w="422" w:type="pct"/>
          <w:trHeight w:val="526"/>
        </w:trPr>
        <w:tc>
          <w:tcPr>
            <w:tcW w:w="1809" w:type="pct"/>
            <w:shd w:val="clear" w:color="auto" w:fill="auto"/>
            <w:vAlign w:val="center"/>
          </w:tcPr>
          <w:p w:rsidR="0088341A" w:rsidRPr="00001643" w:rsidRDefault="0088341A" w:rsidP="00875391">
            <w:pPr>
              <w:pStyle w:val="AERtabletextleft"/>
              <w:keepNext/>
            </w:pPr>
            <w:r w:rsidRPr="00001643">
              <w:t>Opening RAB</w:t>
            </w:r>
          </w:p>
        </w:tc>
        <w:tc>
          <w:tcPr>
            <w:tcW w:w="491" w:type="pct"/>
            <w:shd w:val="clear" w:color="auto" w:fill="auto"/>
            <w:vAlign w:val="bottom"/>
          </w:tcPr>
          <w:p w:rsidR="0088341A" w:rsidRPr="00A35D2F" w:rsidRDefault="0088341A" w:rsidP="00875391">
            <w:pPr>
              <w:pStyle w:val="AERtabletextright"/>
              <w:keepNext/>
            </w:pPr>
            <w:r w:rsidRPr="00F7102E">
              <w:t xml:space="preserve">    2191.2 </w:t>
            </w:r>
          </w:p>
        </w:tc>
        <w:tc>
          <w:tcPr>
            <w:tcW w:w="422" w:type="pct"/>
            <w:shd w:val="clear" w:color="auto" w:fill="auto"/>
            <w:vAlign w:val="bottom"/>
          </w:tcPr>
          <w:p w:rsidR="0088341A" w:rsidRPr="00A35D2F" w:rsidRDefault="0088341A" w:rsidP="00875391">
            <w:pPr>
              <w:pStyle w:val="AERtabletextright"/>
              <w:keepNext/>
            </w:pPr>
            <w:r w:rsidRPr="00F7102E">
              <w:t xml:space="preserve"> 2260.2 </w:t>
            </w:r>
          </w:p>
        </w:tc>
        <w:tc>
          <w:tcPr>
            <w:tcW w:w="421" w:type="pct"/>
            <w:shd w:val="clear" w:color="auto" w:fill="auto"/>
            <w:vAlign w:val="bottom"/>
          </w:tcPr>
          <w:p w:rsidR="0088341A" w:rsidRPr="00A35D2F" w:rsidRDefault="0088341A" w:rsidP="00875391">
            <w:pPr>
              <w:pStyle w:val="AERtabletextright"/>
              <w:keepNext/>
            </w:pPr>
            <w:r w:rsidRPr="00F7102E">
              <w:t xml:space="preserve"> 2309.8 </w:t>
            </w:r>
          </w:p>
        </w:tc>
        <w:tc>
          <w:tcPr>
            <w:tcW w:w="421" w:type="pct"/>
            <w:shd w:val="clear" w:color="auto" w:fill="auto"/>
            <w:vAlign w:val="bottom"/>
          </w:tcPr>
          <w:p w:rsidR="0088341A" w:rsidRPr="00A35D2F" w:rsidRDefault="0088341A" w:rsidP="00875391">
            <w:pPr>
              <w:pStyle w:val="AERtabletextright"/>
              <w:keepNext/>
            </w:pPr>
            <w:r w:rsidRPr="00F7102E">
              <w:t xml:space="preserve"> 2365.6 </w:t>
            </w:r>
          </w:p>
        </w:tc>
        <w:tc>
          <w:tcPr>
            <w:tcW w:w="570" w:type="pct"/>
            <w:gridSpan w:val="2"/>
            <w:shd w:val="clear" w:color="auto" w:fill="auto"/>
            <w:vAlign w:val="bottom"/>
          </w:tcPr>
          <w:p w:rsidR="0088341A" w:rsidRPr="00A35D2F" w:rsidRDefault="0088341A" w:rsidP="00875391">
            <w:pPr>
              <w:pStyle w:val="AERtabletextright"/>
              <w:keepNext/>
            </w:pPr>
            <w:r w:rsidRPr="00F7102E">
              <w:t xml:space="preserve"> </w:t>
            </w:r>
            <w:r w:rsidR="00F7102E" w:rsidRPr="00F7102E">
              <w:t xml:space="preserve">    </w:t>
            </w:r>
            <w:r w:rsidRPr="00F7102E">
              <w:t xml:space="preserve">2452.1 </w:t>
            </w:r>
          </w:p>
        </w:tc>
        <w:tc>
          <w:tcPr>
            <w:tcW w:w="444" w:type="pct"/>
            <w:shd w:val="clear" w:color="auto" w:fill="auto"/>
            <w:vAlign w:val="bottom"/>
          </w:tcPr>
          <w:p w:rsidR="0088341A" w:rsidRPr="00A35D2F" w:rsidRDefault="0088341A" w:rsidP="00875391">
            <w:pPr>
              <w:pStyle w:val="AERtabletextright"/>
              <w:keepNext/>
            </w:pPr>
            <w:r w:rsidRPr="00F7102E">
              <w:t xml:space="preserve"> 2550.0 </w:t>
            </w:r>
          </w:p>
        </w:tc>
      </w:tr>
      <w:tr w:rsidR="0088341A" w:rsidRPr="00B13576" w:rsidTr="00A35D2F">
        <w:trPr>
          <w:gridAfter w:val="1"/>
          <w:wAfter w:w="422" w:type="pct"/>
          <w:trHeight w:val="526"/>
        </w:trPr>
        <w:tc>
          <w:tcPr>
            <w:tcW w:w="1809" w:type="pct"/>
            <w:shd w:val="clear" w:color="auto" w:fill="DBE5F1"/>
            <w:vAlign w:val="center"/>
          </w:tcPr>
          <w:p w:rsidR="0088341A" w:rsidRPr="00001643" w:rsidRDefault="0088341A" w:rsidP="00875391">
            <w:pPr>
              <w:pStyle w:val="AERtabletextleft"/>
              <w:keepNext/>
            </w:pPr>
            <w:r w:rsidRPr="00001643">
              <w:t>Capital expenditure</w:t>
            </w:r>
            <w:r w:rsidRPr="00001643">
              <w:rPr>
                <w:rStyle w:val="AERsuperscript"/>
              </w:rPr>
              <w:t>c</w:t>
            </w:r>
          </w:p>
        </w:tc>
        <w:tc>
          <w:tcPr>
            <w:tcW w:w="491" w:type="pct"/>
            <w:shd w:val="clear" w:color="auto" w:fill="DBE5F1"/>
            <w:vAlign w:val="bottom"/>
          </w:tcPr>
          <w:p w:rsidR="0088341A" w:rsidRPr="00A35D2F" w:rsidRDefault="0088341A" w:rsidP="00875391">
            <w:pPr>
              <w:pStyle w:val="AERtabletextright"/>
              <w:keepNext/>
            </w:pPr>
            <w:r w:rsidRPr="00F7102E">
              <w:t xml:space="preserve">         95.4 </w:t>
            </w:r>
          </w:p>
        </w:tc>
        <w:tc>
          <w:tcPr>
            <w:tcW w:w="422" w:type="pct"/>
            <w:shd w:val="clear" w:color="auto" w:fill="DBE5F1"/>
            <w:vAlign w:val="bottom"/>
          </w:tcPr>
          <w:p w:rsidR="0088341A" w:rsidRPr="00A35D2F" w:rsidRDefault="0088341A" w:rsidP="00875391">
            <w:pPr>
              <w:pStyle w:val="AERtabletextright"/>
              <w:keepNext/>
            </w:pPr>
            <w:r w:rsidRPr="00F7102E">
              <w:t xml:space="preserve">  114.8 </w:t>
            </w:r>
          </w:p>
        </w:tc>
        <w:tc>
          <w:tcPr>
            <w:tcW w:w="421" w:type="pct"/>
            <w:shd w:val="clear" w:color="auto" w:fill="DBE5F1"/>
            <w:vAlign w:val="bottom"/>
          </w:tcPr>
          <w:p w:rsidR="0088341A" w:rsidRPr="00A35D2F" w:rsidRDefault="0088341A" w:rsidP="00875391">
            <w:pPr>
              <w:pStyle w:val="AERtabletextright"/>
              <w:keepNext/>
            </w:pPr>
            <w:r w:rsidRPr="00F7102E">
              <w:t xml:space="preserve">     113.4 </w:t>
            </w:r>
          </w:p>
        </w:tc>
        <w:tc>
          <w:tcPr>
            <w:tcW w:w="421" w:type="pct"/>
            <w:shd w:val="clear" w:color="auto" w:fill="DBE5F1"/>
            <w:vAlign w:val="bottom"/>
          </w:tcPr>
          <w:p w:rsidR="0088341A" w:rsidRPr="00A35D2F" w:rsidRDefault="0088341A" w:rsidP="00875391">
            <w:pPr>
              <w:pStyle w:val="AERtabletextright"/>
              <w:keepNext/>
            </w:pPr>
            <w:r w:rsidRPr="00F7102E">
              <w:t xml:space="preserve">     136.9 </w:t>
            </w:r>
          </w:p>
        </w:tc>
        <w:tc>
          <w:tcPr>
            <w:tcW w:w="570" w:type="pct"/>
            <w:gridSpan w:val="2"/>
            <w:shd w:val="clear" w:color="auto" w:fill="DBE5F1"/>
            <w:vAlign w:val="bottom"/>
          </w:tcPr>
          <w:p w:rsidR="0088341A" w:rsidRPr="00A35D2F" w:rsidRDefault="0088341A" w:rsidP="00875391">
            <w:pPr>
              <w:pStyle w:val="AERtabletextright"/>
              <w:keepNext/>
            </w:pPr>
            <w:r w:rsidRPr="00F7102E">
              <w:t xml:space="preserve">173.5 </w:t>
            </w:r>
          </w:p>
        </w:tc>
        <w:tc>
          <w:tcPr>
            <w:tcW w:w="444" w:type="pct"/>
            <w:shd w:val="clear" w:color="auto" w:fill="DBE5F1"/>
            <w:vAlign w:val="bottom"/>
          </w:tcPr>
          <w:p w:rsidR="0088341A" w:rsidRPr="00A35D2F" w:rsidRDefault="0088341A" w:rsidP="00875391">
            <w:pPr>
              <w:pStyle w:val="AERtabletextright"/>
              <w:keepNext/>
            </w:pPr>
            <w:r w:rsidRPr="00F7102E">
              <w:t xml:space="preserve">      141.2 </w:t>
            </w:r>
          </w:p>
        </w:tc>
      </w:tr>
      <w:tr w:rsidR="0088341A" w:rsidRPr="00B13576" w:rsidTr="00A35D2F">
        <w:trPr>
          <w:gridAfter w:val="1"/>
          <w:wAfter w:w="422" w:type="pct"/>
          <w:trHeight w:val="526"/>
        </w:trPr>
        <w:tc>
          <w:tcPr>
            <w:tcW w:w="1809" w:type="pct"/>
            <w:shd w:val="clear" w:color="auto" w:fill="auto"/>
            <w:vAlign w:val="center"/>
          </w:tcPr>
          <w:p w:rsidR="0088341A" w:rsidRPr="00215BA7" w:rsidRDefault="0088341A" w:rsidP="00875391">
            <w:pPr>
              <w:pStyle w:val="AERtabletextleft"/>
              <w:keepNext/>
            </w:pPr>
            <w:r w:rsidRPr="00215BA7">
              <w:t>CPI indexation on opening RAB</w:t>
            </w:r>
          </w:p>
        </w:tc>
        <w:tc>
          <w:tcPr>
            <w:tcW w:w="491" w:type="pct"/>
            <w:shd w:val="clear" w:color="auto" w:fill="auto"/>
            <w:vAlign w:val="bottom"/>
          </w:tcPr>
          <w:p w:rsidR="0088341A" w:rsidRPr="00A35D2F" w:rsidRDefault="0088341A" w:rsidP="00875391">
            <w:pPr>
              <w:pStyle w:val="AERtabletextright"/>
              <w:keepNext/>
            </w:pPr>
            <w:r w:rsidRPr="00F7102E">
              <w:t xml:space="preserve">         80.8 </w:t>
            </w:r>
          </w:p>
        </w:tc>
        <w:tc>
          <w:tcPr>
            <w:tcW w:w="422" w:type="pct"/>
            <w:shd w:val="clear" w:color="auto" w:fill="auto"/>
            <w:vAlign w:val="bottom"/>
          </w:tcPr>
          <w:p w:rsidR="0088341A" w:rsidRPr="00A35D2F" w:rsidRDefault="0088341A" w:rsidP="00875391">
            <w:pPr>
              <w:pStyle w:val="AERtabletextright"/>
              <w:keepNext/>
            </w:pPr>
            <w:r w:rsidRPr="00F7102E">
              <w:t xml:space="preserve">       47.7 </w:t>
            </w:r>
          </w:p>
        </w:tc>
        <w:tc>
          <w:tcPr>
            <w:tcW w:w="421" w:type="pct"/>
            <w:shd w:val="clear" w:color="auto" w:fill="auto"/>
            <w:vAlign w:val="bottom"/>
          </w:tcPr>
          <w:p w:rsidR="0088341A" w:rsidRPr="00A35D2F" w:rsidRDefault="0088341A" w:rsidP="00875391">
            <w:pPr>
              <w:pStyle w:val="AERtabletextright"/>
              <w:keepNext/>
            </w:pPr>
            <w:r w:rsidRPr="00F7102E">
              <w:t xml:space="preserve">       61.3 </w:t>
            </w:r>
          </w:p>
        </w:tc>
        <w:tc>
          <w:tcPr>
            <w:tcW w:w="421" w:type="pct"/>
            <w:shd w:val="clear" w:color="auto" w:fill="auto"/>
            <w:vAlign w:val="bottom"/>
          </w:tcPr>
          <w:p w:rsidR="0088341A" w:rsidRPr="00A35D2F" w:rsidRDefault="0088341A" w:rsidP="00875391">
            <w:pPr>
              <w:pStyle w:val="AERtabletextright"/>
              <w:keepNext/>
            </w:pPr>
            <w:r w:rsidRPr="00F7102E">
              <w:t xml:space="preserve">       73.4 </w:t>
            </w:r>
          </w:p>
        </w:tc>
        <w:tc>
          <w:tcPr>
            <w:tcW w:w="570" w:type="pct"/>
            <w:gridSpan w:val="2"/>
            <w:shd w:val="clear" w:color="auto" w:fill="auto"/>
            <w:vAlign w:val="bottom"/>
          </w:tcPr>
          <w:p w:rsidR="0088341A" w:rsidRPr="00A35D2F" w:rsidRDefault="0088341A" w:rsidP="00875391">
            <w:pPr>
              <w:pStyle w:val="AERtabletextright"/>
              <w:keepNext/>
            </w:pPr>
            <w:r w:rsidRPr="00F7102E">
              <w:t xml:space="preserve">54.1 </w:t>
            </w:r>
          </w:p>
        </w:tc>
        <w:tc>
          <w:tcPr>
            <w:tcW w:w="444" w:type="pct"/>
            <w:shd w:val="clear" w:color="auto" w:fill="auto"/>
            <w:vAlign w:val="bottom"/>
          </w:tcPr>
          <w:p w:rsidR="0088341A" w:rsidRPr="00A35D2F" w:rsidRDefault="0088341A" w:rsidP="00875391">
            <w:pPr>
              <w:pStyle w:val="AERtabletextright"/>
              <w:keepNext/>
            </w:pPr>
            <w:r w:rsidRPr="00F7102E">
              <w:t xml:space="preserve">        63.8 </w:t>
            </w:r>
          </w:p>
        </w:tc>
      </w:tr>
      <w:tr w:rsidR="0088341A" w:rsidRPr="00B13576" w:rsidTr="00A35D2F">
        <w:trPr>
          <w:gridAfter w:val="1"/>
          <w:wAfter w:w="422" w:type="pct"/>
          <w:trHeight w:val="526"/>
        </w:trPr>
        <w:tc>
          <w:tcPr>
            <w:tcW w:w="1809" w:type="pct"/>
            <w:shd w:val="clear" w:color="auto" w:fill="DBE5F1"/>
            <w:vAlign w:val="center"/>
          </w:tcPr>
          <w:p w:rsidR="0088341A" w:rsidRPr="00215BA7" w:rsidRDefault="0088341A" w:rsidP="00875391">
            <w:pPr>
              <w:pStyle w:val="AERtabletextleft"/>
              <w:keepNext/>
            </w:pPr>
            <w:r w:rsidRPr="00215BA7">
              <w:t>Straight-line depreciation</w:t>
            </w:r>
            <w:r w:rsidRPr="00215BA7">
              <w:rPr>
                <w:rStyle w:val="AERsuperscript"/>
              </w:rPr>
              <w:t>d</w:t>
            </w:r>
          </w:p>
        </w:tc>
        <w:tc>
          <w:tcPr>
            <w:tcW w:w="491" w:type="pct"/>
            <w:shd w:val="clear" w:color="auto" w:fill="DBE5F1"/>
            <w:vAlign w:val="bottom"/>
          </w:tcPr>
          <w:p w:rsidR="0088341A" w:rsidRPr="00A35D2F" w:rsidRDefault="0088341A" w:rsidP="00875391">
            <w:pPr>
              <w:pStyle w:val="AERtabletextright"/>
              <w:keepNext/>
            </w:pPr>
            <w:r w:rsidRPr="00F7102E">
              <w:rPr>
                <w:rFonts w:hint="eastAsia"/>
              </w:rPr>
              <w:t>–</w:t>
            </w:r>
            <w:r w:rsidRPr="00F7102E">
              <w:t xml:space="preserve">107.1 </w:t>
            </w:r>
          </w:p>
        </w:tc>
        <w:tc>
          <w:tcPr>
            <w:tcW w:w="422" w:type="pct"/>
            <w:shd w:val="clear" w:color="auto" w:fill="DBE5F1"/>
            <w:vAlign w:val="bottom"/>
          </w:tcPr>
          <w:p w:rsidR="0088341A" w:rsidRPr="00A35D2F" w:rsidRDefault="0088341A" w:rsidP="00875391">
            <w:pPr>
              <w:pStyle w:val="AERtabletextright"/>
              <w:keepNext/>
            </w:pPr>
            <w:r w:rsidRPr="00F7102E">
              <w:rPr>
                <w:rFonts w:hint="eastAsia"/>
              </w:rPr>
              <w:t>–</w:t>
            </w:r>
            <w:r w:rsidRPr="00F7102E">
              <w:t xml:space="preserve">112.9 </w:t>
            </w:r>
          </w:p>
        </w:tc>
        <w:tc>
          <w:tcPr>
            <w:tcW w:w="421" w:type="pct"/>
            <w:shd w:val="clear" w:color="auto" w:fill="DBE5F1"/>
            <w:vAlign w:val="bottom"/>
          </w:tcPr>
          <w:p w:rsidR="0088341A" w:rsidRPr="00A35D2F" w:rsidRDefault="0088341A" w:rsidP="00875391">
            <w:pPr>
              <w:pStyle w:val="AERtabletextright"/>
              <w:keepNext/>
            </w:pPr>
            <w:r w:rsidRPr="00F7102E">
              <w:rPr>
                <w:rFonts w:hint="eastAsia"/>
              </w:rPr>
              <w:t>–</w:t>
            </w:r>
            <w:r w:rsidRPr="00F7102E">
              <w:t xml:space="preserve">118.9 </w:t>
            </w:r>
          </w:p>
        </w:tc>
        <w:tc>
          <w:tcPr>
            <w:tcW w:w="421" w:type="pct"/>
            <w:shd w:val="clear" w:color="auto" w:fill="DBE5F1"/>
            <w:vAlign w:val="bottom"/>
          </w:tcPr>
          <w:p w:rsidR="0088341A" w:rsidRPr="00A35D2F" w:rsidRDefault="0088341A" w:rsidP="00875391">
            <w:pPr>
              <w:pStyle w:val="AERtabletextright"/>
              <w:keepNext/>
            </w:pPr>
            <w:r w:rsidRPr="00F7102E">
              <w:rPr>
                <w:rFonts w:hint="eastAsia"/>
              </w:rPr>
              <w:t>–</w:t>
            </w:r>
            <w:r w:rsidRPr="00F7102E">
              <w:t xml:space="preserve">123.8 </w:t>
            </w:r>
          </w:p>
        </w:tc>
        <w:tc>
          <w:tcPr>
            <w:tcW w:w="570" w:type="pct"/>
            <w:gridSpan w:val="2"/>
            <w:shd w:val="clear" w:color="auto" w:fill="DBE5F1"/>
            <w:vAlign w:val="bottom"/>
          </w:tcPr>
          <w:p w:rsidR="0088341A" w:rsidRPr="00A35D2F" w:rsidRDefault="0088341A" w:rsidP="00875391">
            <w:pPr>
              <w:pStyle w:val="AERtabletextright"/>
              <w:keepNext/>
            </w:pPr>
            <w:r w:rsidRPr="00F7102E">
              <w:rPr>
                <w:rFonts w:hint="eastAsia"/>
              </w:rPr>
              <w:t>–</w:t>
            </w:r>
            <w:r w:rsidRPr="00F7102E">
              <w:t xml:space="preserve">129.7 </w:t>
            </w:r>
          </w:p>
        </w:tc>
        <w:tc>
          <w:tcPr>
            <w:tcW w:w="444" w:type="pct"/>
            <w:shd w:val="clear" w:color="auto" w:fill="DBE5F1"/>
            <w:vAlign w:val="bottom"/>
          </w:tcPr>
          <w:p w:rsidR="0088341A" w:rsidRPr="00A35D2F" w:rsidRDefault="0088341A" w:rsidP="00875391">
            <w:pPr>
              <w:pStyle w:val="AERtabletextright"/>
              <w:keepNext/>
            </w:pPr>
            <w:r w:rsidRPr="00F7102E">
              <w:rPr>
                <w:rFonts w:hint="eastAsia"/>
              </w:rPr>
              <w:t>–</w:t>
            </w:r>
            <w:r w:rsidRPr="00F7102E">
              <w:t xml:space="preserve">129.2 </w:t>
            </w:r>
          </w:p>
        </w:tc>
      </w:tr>
      <w:tr w:rsidR="0088341A" w:rsidRPr="00B13576" w:rsidTr="00A35D2F">
        <w:trPr>
          <w:gridAfter w:val="1"/>
          <w:wAfter w:w="422" w:type="pct"/>
          <w:trHeight w:val="526"/>
        </w:trPr>
        <w:tc>
          <w:tcPr>
            <w:tcW w:w="1809" w:type="pct"/>
            <w:shd w:val="clear" w:color="auto" w:fill="auto"/>
            <w:vAlign w:val="center"/>
          </w:tcPr>
          <w:p w:rsidR="0088341A" w:rsidRPr="00215BA7" w:rsidRDefault="0088341A" w:rsidP="00875391">
            <w:pPr>
              <w:pStyle w:val="AERtabletextleft"/>
              <w:keepNext/>
            </w:pPr>
            <w:r w:rsidRPr="00215BA7">
              <w:t>Closing RAB as at 31 March</w:t>
            </w:r>
          </w:p>
        </w:tc>
        <w:tc>
          <w:tcPr>
            <w:tcW w:w="491" w:type="pct"/>
            <w:shd w:val="clear" w:color="auto" w:fill="auto"/>
            <w:vAlign w:val="bottom"/>
          </w:tcPr>
          <w:p w:rsidR="0088341A" w:rsidRPr="00A35D2F" w:rsidRDefault="0088341A" w:rsidP="00875391">
            <w:pPr>
              <w:pStyle w:val="AERtabletextright"/>
              <w:keepNext/>
            </w:pPr>
            <w:r w:rsidRPr="00F7102E">
              <w:t xml:space="preserve">    2260.2 </w:t>
            </w:r>
          </w:p>
        </w:tc>
        <w:tc>
          <w:tcPr>
            <w:tcW w:w="422" w:type="pct"/>
            <w:shd w:val="clear" w:color="auto" w:fill="auto"/>
            <w:vAlign w:val="bottom"/>
          </w:tcPr>
          <w:p w:rsidR="0088341A" w:rsidRPr="00A35D2F" w:rsidRDefault="0088341A" w:rsidP="00875391">
            <w:pPr>
              <w:pStyle w:val="AERtabletextright"/>
              <w:keepNext/>
            </w:pPr>
            <w:r w:rsidRPr="00F7102E">
              <w:t xml:space="preserve">  2309.8 </w:t>
            </w:r>
          </w:p>
        </w:tc>
        <w:tc>
          <w:tcPr>
            <w:tcW w:w="421" w:type="pct"/>
            <w:shd w:val="clear" w:color="auto" w:fill="auto"/>
            <w:vAlign w:val="bottom"/>
          </w:tcPr>
          <w:p w:rsidR="0088341A" w:rsidRPr="00A35D2F" w:rsidRDefault="0088341A" w:rsidP="00875391">
            <w:pPr>
              <w:pStyle w:val="AERtabletextright"/>
              <w:keepNext/>
            </w:pPr>
            <w:r w:rsidRPr="00F7102E">
              <w:t xml:space="preserve">  2365.6 </w:t>
            </w:r>
          </w:p>
        </w:tc>
        <w:tc>
          <w:tcPr>
            <w:tcW w:w="421" w:type="pct"/>
            <w:shd w:val="clear" w:color="auto" w:fill="auto"/>
            <w:vAlign w:val="bottom"/>
          </w:tcPr>
          <w:p w:rsidR="0088341A" w:rsidRPr="00A35D2F" w:rsidRDefault="0088341A" w:rsidP="00875391">
            <w:pPr>
              <w:pStyle w:val="AERtabletextright"/>
              <w:keepNext/>
            </w:pPr>
            <w:r w:rsidRPr="00F7102E">
              <w:t xml:space="preserve">  2452.1 </w:t>
            </w:r>
          </w:p>
        </w:tc>
        <w:tc>
          <w:tcPr>
            <w:tcW w:w="570" w:type="pct"/>
            <w:gridSpan w:val="2"/>
            <w:shd w:val="clear" w:color="auto" w:fill="auto"/>
            <w:vAlign w:val="bottom"/>
          </w:tcPr>
          <w:p w:rsidR="0088341A" w:rsidRPr="00A35D2F" w:rsidRDefault="0088341A" w:rsidP="00875391">
            <w:pPr>
              <w:pStyle w:val="AERtabletextright"/>
              <w:keepNext/>
            </w:pPr>
            <w:r w:rsidRPr="00F7102E">
              <w:t xml:space="preserve">2550.0 </w:t>
            </w:r>
          </w:p>
        </w:tc>
        <w:tc>
          <w:tcPr>
            <w:tcW w:w="444" w:type="pct"/>
            <w:shd w:val="clear" w:color="auto" w:fill="auto"/>
            <w:vAlign w:val="bottom"/>
          </w:tcPr>
          <w:p w:rsidR="0088341A" w:rsidRPr="00A35D2F" w:rsidRDefault="0088341A" w:rsidP="00875391">
            <w:pPr>
              <w:pStyle w:val="AERtabletextright"/>
              <w:keepNext/>
            </w:pPr>
            <w:r w:rsidRPr="00F7102E">
              <w:t xml:space="preserve">    2625.7 </w:t>
            </w:r>
          </w:p>
        </w:tc>
      </w:tr>
      <w:tr w:rsidR="0088341A" w:rsidRPr="00B13576" w:rsidTr="00A35D2F">
        <w:trPr>
          <w:gridAfter w:val="1"/>
          <w:wAfter w:w="422" w:type="pct"/>
          <w:trHeight w:val="526"/>
        </w:trPr>
        <w:tc>
          <w:tcPr>
            <w:tcW w:w="1809" w:type="pct"/>
            <w:shd w:val="clear" w:color="auto" w:fill="DBE5F1"/>
            <w:vAlign w:val="center"/>
          </w:tcPr>
          <w:p w:rsidR="0088341A" w:rsidRPr="00D70887" w:rsidRDefault="0088341A" w:rsidP="00875391">
            <w:pPr>
              <w:pStyle w:val="AERtabletextleft"/>
              <w:keepNext/>
            </w:pPr>
            <w:r w:rsidRPr="00EA0188">
              <w:t xml:space="preserve">Difference between </w:t>
            </w:r>
            <w:r w:rsidRPr="00D70887">
              <w:t xml:space="preserve">estimated and actual capex </w:t>
            </w:r>
            <w:r w:rsidRPr="00D70887">
              <w:br/>
              <w:t>(2007–08)</w:t>
            </w:r>
          </w:p>
        </w:tc>
        <w:tc>
          <w:tcPr>
            <w:tcW w:w="491" w:type="pct"/>
            <w:shd w:val="clear" w:color="auto" w:fill="DBE5F1"/>
            <w:vAlign w:val="center"/>
          </w:tcPr>
          <w:p w:rsidR="0088341A" w:rsidRPr="005E7DED" w:rsidRDefault="0088341A" w:rsidP="00875391">
            <w:pPr>
              <w:pStyle w:val="AERtabletextright"/>
              <w:keepNext/>
            </w:pPr>
          </w:p>
        </w:tc>
        <w:tc>
          <w:tcPr>
            <w:tcW w:w="422" w:type="pct"/>
            <w:shd w:val="clear" w:color="auto" w:fill="DBE5F1"/>
            <w:vAlign w:val="center"/>
          </w:tcPr>
          <w:p w:rsidR="0088341A" w:rsidRPr="005E7DED" w:rsidRDefault="0088341A" w:rsidP="00875391">
            <w:pPr>
              <w:pStyle w:val="AERtabletextright"/>
              <w:keepNext/>
            </w:pPr>
          </w:p>
        </w:tc>
        <w:tc>
          <w:tcPr>
            <w:tcW w:w="421" w:type="pct"/>
            <w:shd w:val="clear" w:color="auto" w:fill="DBE5F1"/>
            <w:vAlign w:val="center"/>
          </w:tcPr>
          <w:p w:rsidR="0088341A" w:rsidRPr="005E7DED" w:rsidRDefault="0088341A" w:rsidP="00875391">
            <w:pPr>
              <w:pStyle w:val="AERtabletextright"/>
              <w:keepNext/>
            </w:pPr>
          </w:p>
        </w:tc>
        <w:tc>
          <w:tcPr>
            <w:tcW w:w="421" w:type="pct"/>
            <w:shd w:val="clear" w:color="auto" w:fill="DBE5F1"/>
            <w:vAlign w:val="center"/>
          </w:tcPr>
          <w:p w:rsidR="0088341A" w:rsidRPr="005E7DED" w:rsidRDefault="0088341A" w:rsidP="00875391">
            <w:pPr>
              <w:pStyle w:val="AERtabletextright"/>
              <w:keepNext/>
            </w:pPr>
          </w:p>
        </w:tc>
        <w:tc>
          <w:tcPr>
            <w:tcW w:w="570" w:type="pct"/>
            <w:gridSpan w:val="2"/>
            <w:shd w:val="clear" w:color="auto" w:fill="DBE5F1"/>
            <w:vAlign w:val="center"/>
          </w:tcPr>
          <w:p w:rsidR="0088341A" w:rsidRPr="005E7DED" w:rsidRDefault="0088341A" w:rsidP="00875391">
            <w:pPr>
              <w:pStyle w:val="AERtabletextright"/>
              <w:keepNext/>
            </w:pPr>
          </w:p>
        </w:tc>
        <w:tc>
          <w:tcPr>
            <w:tcW w:w="444" w:type="pct"/>
            <w:shd w:val="clear" w:color="auto" w:fill="DBE5F1"/>
            <w:vAlign w:val="center"/>
          </w:tcPr>
          <w:p w:rsidR="0088341A" w:rsidRPr="005E7DED" w:rsidRDefault="0088341A" w:rsidP="00875391">
            <w:pPr>
              <w:pStyle w:val="AERtabletextright"/>
              <w:keepNext/>
            </w:pPr>
            <w:r w:rsidRPr="005E7DED">
              <w:t xml:space="preserve">          5.1 </w:t>
            </w:r>
          </w:p>
          <w:p w:rsidR="0088341A" w:rsidRPr="005E7DED" w:rsidRDefault="0088341A" w:rsidP="00875391">
            <w:pPr>
              <w:pStyle w:val="AERtabletextright"/>
              <w:keepNext/>
            </w:pPr>
          </w:p>
        </w:tc>
      </w:tr>
      <w:tr w:rsidR="0088341A" w:rsidRPr="00B13576" w:rsidTr="00A35D2F">
        <w:trPr>
          <w:gridAfter w:val="1"/>
          <w:wAfter w:w="422" w:type="pct"/>
          <w:trHeight w:val="526"/>
        </w:trPr>
        <w:tc>
          <w:tcPr>
            <w:tcW w:w="1809" w:type="pct"/>
            <w:shd w:val="clear" w:color="auto" w:fill="auto"/>
            <w:vAlign w:val="center"/>
          </w:tcPr>
          <w:p w:rsidR="0088341A" w:rsidRPr="00D70887" w:rsidRDefault="0088341A" w:rsidP="00875391">
            <w:pPr>
              <w:pStyle w:val="AERtabletextleft"/>
              <w:keepNext/>
            </w:pPr>
            <w:r w:rsidRPr="00EA0188">
              <w:t>Return on difference for 2007–08 capex</w:t>
            </w:r>
          </w:p>
        </w:tc>
        <w:tc>
          <w:tcPr>
            <w:tcW w:w="491" w:type="pct"/>
            <w:shd w:val="clear" w:color="auto" w:fill="auto"/>
            <w:vAlign w:val="center"/>
          </w:tcPr>
          <w:p w:rsidR="0088341A" w:rsidRPr="005E7DED" w:rsidRDefault="0088341A" w:rsidP="00875391">
            <w:pPr>
              <w:pStyle w:val="AERtabletextright"/>
              <w:keepNext/>
            </w:pPr>
          </w:p>
        </w:tc>
        <w:tc>
          <w:tcPr>
            <w:tcW w:w="422" w:type="pct"/>
            <w:shd w:val="clear" w:color="auto" w:fill="auto"/>
            <w:vAlign w:val="center"/>
          </w:tcPr>
          <w:p w:rsidR="0088341A" w:rsidRPr="005E7DED" w:rsidRDefault="0088341A" w:rsidP="00875391">
            <w:pPr>
              <w:pStyle w:val="AERtabletextright"/>
              <w:keepNext/>
            </w:pPr>
          </w:p>
        </w:tc>
        <w:tc>
          <w:tcPr>
            <w:tcW w:w="421" w:type="pct"/>
            <w:shd w:val="clear" w:color="auto" w:fill="auto"/>
            <w:vAlign w:val="center"/>
          </w:tcPr>
          <w:p w:rsidR="0088341A" w:rsidRPr="005E7DED" w:rsidRDefault="0088341A" w:rsidP="00875391">
            <w:pPr>
              <w:pStyle w:val="AERtabletextright"/>
              <w:keepNext/>
            </w:pPr>
          </w:p>
        </w:tc>
        <w:tc>
          <w:tcPr>
            <w:tcW w:w="421" w:type="pct"/>
            <w:shd w:val="clear" w:color="auto" w:fill="auto"/>
            <w:vAlign w:val="center"/>
          </w:tcPr>
          <w:p w:rsidR="0088341A" w:rsidRPr="005E7DED" w:rsidRDefault="0088341A" w:rsidP="00875391">
            <w:pPr>
              <w:pStyle w:val="AERtabletextright"/>
              <w:keepNext/>
            </w:pPr>
          </w:p>
        </w:tc>
        <w:tc>
          <w:tcPr>
            <w:tcW w:w="570" w:type="pct"/>
            <w:gridSpan w:val="2"/>
            <w:shd w:val="clear" w:color="auto" w:fill="auto"/>
            <w:vAlign w:val="center"/>
          </w:tcPr>
          <w:p w:rsidR="0088341A" w:rsidRPr="005E7DED" w:rsidRDefault="0088341A" w:rsidP="00875391">
            <w:pPr>
              <w:pStyle w:val="AERtabletextright"/>
              <w:keepNext/>
            </w:pPr>
          </w:p>
        </w:tc>
        <w:tc>
          <w:tcPr>
            <w:tcW w:w="444" w:type="pct"/>
            <w:shd w:val="clear" w:color="auto" w:fill="auto"/>
            <w:vAlign w:val="center"/>
          </w:tcPr>
          <w:p w:rsidR="0088341A" w:rsidRPr="005E7DED" w:rsidRDefault="0088341A" w:rsidP="00875391">
            <w:pPr>
              <w:pStyle w:val="AERtabletextright"/>
              <w:keepNext/>
            </w:pPr>
            <w:r w:rsidRPr="005E7DED">
              <w:t>3.9</w:t>
            </w:r>
          </w:p>
        </w:tc>
      </w:tr>
      <w:tr w:rsidR="0088341A" w:rsidRPr="00B13576" w:rsidTr="00A35D2F">
        <w:trPr>
          <w:gridAfter w:val="1"/>
          <w:wAfter w:w="422" w:type="pct"/>
          <w:trHeight w:val="526"/>
        </w:trPr>
        <w:tc>
          <w:tcPr>
            <w:tcW w:w="1809" w:type="pct"/>
            <w:shd w:val="clear" w:color="auto" w:fill="DBE5F1"/>
            <w:vAlign w:val="center"/>
          </w:tcPr>
          <w:p w:rsidR="0088341A" w:rsidRPr="00D70887" w:rsidRDefault="0088341A" w:rsidP="00875391">
            <w:pPr>
              <w:pStyle w:val="AERtabletextleft"/>
              <w:keepNext/>
            </w:pPr>
            <w:r w:rsidRPr="00EA0188">
              <w:t xml:space="preserve">Difference between </w:t>
            </w:r>
            <w:r w:rsidRPr="00D70887">
              <w:t>estimated and actual assets under construction (2007–08)</w:t>
            </w:r>
          </w:p>
        </w:tc>
        <w:tc>
          <w:tcPr>
            <w:tcW w:w="491" w:type="pct"/>
            <w:shd w:val="clear" w:color="auto" w:fill="DBE5F1"/>
            <w:vAlign w:val="center"/>
          </w:tcPr>
          <w:p w:rsidR="0088341A" w:rsidRPr="00E27780" w:rsidRDefault="0088341A" w:rsidP="00875391">
            <w:pPr>
              <w:pStyle w:val="AERtabletextright"/>
              <w:keepNext/>
            </w:pPr>
          </w:p>
        </w:tc>
        <w:tc>
          <w:tcPr>
            <w:tcW w:w="422" w:type="pct"/>
            <w:shd w:val="clear" w:color="auto" w:fill="DBE5F1"/>
            <w:vAlign w:val="center"/>
          </w:tcPr>
          <w:p w:rsidR="0088341A" w:rsidRPr="00E27780" w:rsidRDefault="0088341A" w:rsidP="00875391">
            <w:pPr>
              <w:pStyle w:val="AERtabletextright"/>
              <w:keepNext/>
            </w:pPr>
          </w:p>
        </w:tc>
        <w:tc>
          <w:tcPr>
            <w:tcW w:w="421" w:type="pct"/>
            <w:shd w:val="clear" w:color="auto" w:fill="DBE5F1"/>
            <w:vAlign w:val="center"/>
          </w:tcPr>
          <w:p w:rsidR="0088341A" w:rsidRPr="00E27780" w:rsidRDefault="0088341A" w:rsidP="00875391">
            <w:pPr>
              <w:pStyle w:val="AERtabletextright"/>
              <w:keepNext/>
            </w:pPr>
          </w:p>
        </w:tc>
        <w:tc>
          <w:tcPr>
            <w:tcW w:w="421" w:type="pct"/>
            <w:shd w:val="clear" w:color="auto" w:fill="DBE5F1"/>
            <w:vAlign w:val="center"/>
          </w:tcPr>
          <w:p w:rsidR="0088341A" w:rsidRPr="00E27780" w:rsidRDefault="0088341A" w:rsidP="00875391">
            <w:pPr>
              <w:pStyle w:val="AERtabletextright"/>
              <w:keepNext/>
            </w:pPr>
          </w:p>
        </w:tc>
        <w:tc>
          <w:tcPr>
            <w:tcW w:w="570" w:type="pct"/>
            <w:gridSpan w:val="2"/>
            <w:shd w:val="clear" w:color="auto" w:fill="DBE5F1"/>
            <w:vAlign w:val="center"/>
          </w:tcPr>
          <w:p w:rsidR="0088341A" w:rsidRPr="00B44F68" w:rsidRDefault="0088341A" w:rsidP="00875391">
            <w:pPr>
              <w:pStyle w:val="AERtabletextright"/>
              <w:keepNext/>
            </w:pPr>
          </w:p>
        </w:tc>
        <w:tc>
          <w:tcPr>
            <w:tcW w:w="444" w:type="pct"/>
            <w:shd w:val="clear" w:color="auto" w:fill="DBE5F1"/>
            <w:vAlign w:val="center"/>
          </w:tcPr>
          <w:p w:rsidR="0088341A" w:rsidRPr="00B44F68" w:rsidRDefault="0088341A" w:rsidP="00875391">
            <w:pPr>
              <w:pStyle w:val="AERtabletextright"/>
              <w:keepNext/>
            </w:pPr>
            <w:r>
              <w:t>22.2</w:t>
            </w:r>
          </w:p>
        </w:tc>
      </w:tr>
      <w:tr w:rsidR="0088341A" w:rsidRPr="00B13576" w:rsidTr="00A35D2F">
        <w:trPr>
          <w:gridAfter w:val="1"/>
          <w:wAfter w:w="422" w:type="pct"/>
          <w:trHeight w:val="526"/>
        </w:trPr>
        <w:tc>
          <w:tcPr>
            <w:tcW w:w="1809" w:type="pct"/>
            <w:shd w:val="clear" w:color="auto" w:fill="auto"/>
            <w:vAlign w:val="center"/>
          </w:tcPr>
          <w:p w:rsidR="0088341A" w:rsidRPr="00D70887" w:rsidRDefault="0088341A" w:rsidP="00875391">
            <w:pPr>
              <w:pStyle w:val="AERtabletextleft"/>
              <w:keepNext/>
            </w:pPr>
            <w:r w:rsidRPr="00EA0188">
              <w:t>Return on difference for 2007–08 assets under construction</w:t>
            </w:r>
          </w:p>
        </w:tc>
        <w:tc>
          <w:tcPr>
            <w:tcW w:w="491" w:type="pct"/>
            <w:shd w:val="clear" w:color="auto" w:fill="auto"/>
            <w:vAlign w:val="center"/>
          </w:tcPr>
          <w:p w:rsidR="0088341A" w:rsidRPr="00E27780" w:rsidRDefault="0088341A" w:rsidP="00875391">
            <w:pPr>
              <w:pStyle w:val="AERtabletextright"/>
              <w:keepNext/>
            </w:pPr>
          </w:p>
        </w:tc>
        <w:tc>
          <w:tcPr>
            <w:tcW w:w="422" w:type="pct"/>
            <w:shd w:val="clear" w:color="auto" w:fill="auto"/>
            <w:vAlign w:val="center"/>
          </w:tcPr>
          <w:p w:rsidR="0088341A" w:rsidRPr="00E27780" w:rsidRDefault="0088341A" w:rsidP="00875391">
            <w:pPr>
              <w:pStyle w:val="AERtabletextright"/>
              <w:keepNext/>
            </w:pPr>
          </w:p>
        </w:tc>
        <w:tc>
          <w:tcPr>
            <w:tcW w:w="421" w:type="pct"/>
            <w:shd w:val="clear" w:color="auto" w:fill="auto"/>
            <w:vAlign w:val="center"/>
          </w:tcPr>
          <w:p w:rsidR="0088341A" w:rsidRPr="00E27780" w:rsidRDefault="0088341A" w:rsidP="00875391">
            <w:pPr>
              <w:pStyle w:val="AERtabletextright"/>
              <w:keepNext/>
            </w:pPr>
          </w:p>
        </w:tc>
        <w:tc>
          <w:tcPr>
            <w:tcW w:w="421" w:type="pct"/>
            <w:shd w:val="clear" w:color="auto" w:fill="auto"/>
            <w:vAlign w:val="center"/>
          </w:tcPr>
          <w:p w:rsidR="0088341A" w:rsidRPr="00E27780" w:rsidRDefault="0088341A" w:rsidP="00875391">
            <w:pPr>
              <w:pStyle w:val="AERtabletextright"/>
              <w:keepNext/>
            </w:pPr>
          </w:p>
        </w:tc>
        <w:tc>
          <w:tcPr>
            <w:tcW w:w="570" w:type="pct"/>
            <w:gridSpan w:val="2"/>
            <w:shd w:val="clear" w:color="auto" w:fill="auto"/>
            <w:vAlign w:val="center"/>
          </w:tcPr>
          <w:p w:rsidR="0088341A" w:rsidRPr="00B44F68" w:rsidRDefault="0088341A" w:rsidP="00875391">
            <w:pPr>
              <w:pStyle w:val="AERtabletextright"/>
              <w:keepNext/>
            </w:pPr>
          </w:p>
        </w:tc>
        <w:tc>
          <w:tcPr>
            <w:tcW w:w="444" w:type="pct"/>
            <w:shd w:val="clear" w:color="auto" w:fill="auto"/>
            <w:vAlign w:val="center"/>
          </w:tcPr>
          <w:p w:rsidR="0088341A" w:rsidRPr="00B44F68" w:rsidRDefault="0088341A" w:rsidP="00875391">
            <w:pPr>
              <w:pStyle w:val="AERtabletextright"/>
              <w:keepNext/>
            </w:pPr>
            <w:r>
              <w:t>16.9</w:t>
            </w:r>
          </w:p>
        </w:tc>
      </w:tr>
      <w:tr w:rsidR="0088341A" w:rsidRPr="00103A18" w:rsidTr="00A35D2F">
        <w:trPr>
          <w:gridAfter w:val="1"/>
          <w:wAfter w:w="422" w:type="pct"/>
          <w:trHeight w:val="526"/>
        </w:trPr>
        <w:tc>
          <w:tcPr>
            <w:tcW w:w="1809" w:type="pct"/>
            <w:shd w:val="clear" w:color="auto" w:fill="DBE5F1"/>
            <w:vAlign w:val="center"/>
          </w:tcPr>
          <w:p w:rsidR="0088341A" w:rsidRPr="00D70887" w:rsidRDefault="0088341A" w:rsidP="00875391">
            <w:pPr>
              <w:pStyle w:val="AERtabletextleft"/>
              <w:keepNext/>
            </w:pPr>
            <w:r>
              <w:t xml:space="preserve">Difference between </w:t>
            </w:r>
            <w:r w:rsidRPr="00D70887">
              <w:t>estimated and actual Group 3 assets as at 1 April 2008</w:t>
            </w:r>
          </w:p>
        </w:tc>
        <w:tc>
          <w:tcPr>
            <w:tcW w:w="491" w:type="pct"/>
            <w:shd w:val="clear" w:color="auto" w:fill="DBE5F1"/>
            <w:vAlign w:val="center"/>
          </w:tcPr>
          <w:p w:rsidR="0088341A" w:rsidRPr="00E27780" w:rsidRDefault="0088341A" w:rsidP="00875391">
            <w:pPr>
              <w:pStyle w:val="AERtabletextright"/>
              <w:keepNext/>
            </w:pPr>
          </w:p>
        </w:tc>
        <w:tc>
          <w:tcPr>
            <w:tcW w:w="422" w:type="pct"/>
            <w:shd w:val="clear" w:color="auto" w:fill="DBE5F1"/>
            <w:vAlign w:val="center"/>
          </w:tcPr>
          <w:p w:rsidR="0088341A" w:rsidRPr="00E27780" w:rsidRDefault="0088341A" w:rsidP="00875391">
            <w:pPr>
              <w:pStyle w:val="AERtabletextright"/>
              <w:keepNext/>
            </w:pPr>
          </w:p>
        </w:tc>
        <w:tc>
          <w:tcPr>
            <w:tcW w:w="421" w:type="pct"/>
            <w:shd w:val="clear" w:color="auto" w:fill="DBE5F1"/>
            <w:vAlign w:val="center"/>
          </w:tcPr>
          <w:p w:rsidR="0088341A" w:rsidRPr="00E27780" w:rsidRDefault="0088341A" w:rsidP="00875391">
            <w:pPr>
              <w:pStyle w:val="AERtabletextright"/>
              <w:keepNext/>
            </w:pPr>
          </w:p>
        </w:tc>
        <w:tc>
          <w:tcPr>
            <w:tcW w:w="421" w:type="pct"/>
            <w:shd w:val="clear" w:color="auto" w:fill="DBE5F1"/>
            <w:vAlign w:val="center"/>
          </w:tcPr>
          <w:p w:rsidR="0088341A" w:rsidRPr="00E27780" w:rsidRDefault="0088341A" w:rsidP="00875391">
            <w:pPr>
              <w:pStyle w:val="AERtabletextright"/>
              <w:keepNext/>
            </w:pPr>
          </w:p>
        </w:tc>
        <w:tc>
          <w:tcPr>
            <w:tcW w:w="570" w:type="pct"/>
            <w:gridSpan w:val="2"/>
            <w:shd w:val="clear" w:color="auto" w:fill="DBE5F1"/>
            <w:vAlign w:val="center"/>
          </w:tcPr>
          <w:p w:rsidR="0088341A" w:rsidRPr="00B44F68" w:rsidRDefault="0088341A" w:rsidP="00875391">
            <w:pPr>
              <w:pStyle w:val="AERtabletextright"/>
              <w:keepNext/>
            </w:pPr>
          </w:p>
        </w:tc>
        <w:tc>
          <w:tcPr>
            <w:tcW w:w="444" w:type="pct"/>
            <w:shd w:val="clear" w:color="auto" w:fill="DBE5F1"/>
            <w:vAlign w:val="center"/>
          </w:tcPr>
          <w:p w:rsidR="0088341A" w:rsidRPr="00B44F68" w:rsidRDefault="0088341A" w:rsidP="00875391">
            <w:pPr>
              <w:pStyle w:val="AERtabletextright"/>
              <w:keepNext/>
            </w:pPr>
            <w:r>
              <w:t>0.7</w:t>
            </w:r>
          </w:p>
        </w:tc>
      </w:tr>
      <w:tr w:rsidR="0088341A" w:rsidRPr="00103A18" w:rsidTr="00A35D2F">
        <w:trPr>
          <w:gridAfter w:val="1"/>
          <w:wAfter w:w="422" w:type="pct"/>
          <w:trHeight w:val="526"/>
        </w:trPr>
        <w:tc>
          <w:tcPr>
            <w:tcW w:w="1809" w:type="pct"/>
            <w:shd w:val="clear" w:color="auto" w:fill="auto"/>
            <w:vAlign w:val="center"/>
          </w:tcPr>
          <w:p w:rsidR="0088341A" w:rsidRPr="00D70887" w:rsidRDefault="0088341A" w:rsidP="00875391">
            <w:pPr>
              <w:pStyle w:val="AERtabletextleft"/>
              <w:keepNext/>
            </w:pPr>
            <w:r>
              <w:t>Return on difference for Group 3 assets</w:t>
            </w:r>
            <w:r w:rsidRPr="00D70887">
              <w:t xml:space="preserve"> as at 1 April 2008</w:t>
            </w:r>
          </w:p>
        </w:tc>
        <w:tc>
          <w:tcPr>
            <w:tcW w:w="491" w:type="pct"/>
            <w:shd w:val="clear" w:color="auto" w:fill="auto"/>
            <w:vAlign w:val="center"/>
          </w:tcPr>
          <w:p w:rsidR="0088341A" w:rsidRPr="00E27780" w:rsidRDefault="0088341A" w:rsidP="00875391">
            <w:pPr>
              <w:pStyle w:val="AERtabletextright"/>
              <w:keepNext/>
            </w:pPr>
          </w:p>
        </w:tc>
        <w:tc>
          <w:tcPr>
            <w:tcW w:w="422" w:type="pct"/>
            <w:shd w:val="clear" w:color="auto" w:fill="auto"/>
            <w:vAlign w:val="center"/>
          </w:tcPr>
          <w:p w:rsidR="0088341A" w:rsidRPr="00E27780" w:rsidRDefault="0088341A" w:rsidP="00875391">
            <w:pPr>
              <w:pStyle w:val="AERtabletextright"/>
              <w:keepNext/>
            </w:pPr>
          </w:p>
        </w:tc>
        <w:tc>
          <w:tcPr>
            <w:tcW w:w="421" w:type="pct"/>
            <w:shd w:val="clear" w:color="auto" w:fill="auto"/>
            <w:vAlign w:val="center"/>
          </w:tcPr>
          <w:p w:rsidR="0088341A" w:rsidRPr="00E27780" w:rsidRDefault="0088341A" w:rsidP="00875391">
            <w:pPr>
              <w:pStyle w:val="AERtabletextright"/>
              <w:keepNext/>
            </w:pPr>
          </w:p>
        </w:tc>
        <w:tc>
          <w:tcPr>
            <w:tcW w:w="421" w:type="pct"/>
            <w:shd w:val="clear" w:color="auto" w:fill="auto"/>
            <w:vAlign w:val="center"/>
          </w:tcPr>
          <w:p w:rsidR="0088341A" w:rsidRPr="00E27780" w:rsidRDefault="0088341A" w:rsidP="00875391">
            <w:pPr>
              <w:pStyle w:val="AERtabletextright"/>
              <w:keepNext/>
            </w:pPr>
          </w:p>
        </w:tc>
        <w:tc>
          <w:tcPr>
            <w:tcW w:w="570" w:type="pct"/>
            <w:gridSpan w:val="2"/>
            <w:shd w:val="clear" w:color="auto" w:fill="auto"/>
            <w:vAlign w:val="center"/>
          </w:tcPr>
          <w:p w:rsidR="0088341A" w:rsidRPr="00B44F68" w:rsidRDefault="0088341A" w:rsidP="00875391">
            <w:pPr>
              <w:pStyle w:val="AERtabletextright"/>
              <w:keepNext/>
            </w:pPr>
          </w:p>
        </w:tc>
        <w:tc>
          <w:tcPr>
            <w:tcW w:w="444" w:type="pct"/>
            <w:shd w:val="clear" w:color="auto" w:fill="auto"/>
            <w:vAlign w:val="center"/>
          </w:tcPr>
          <w:p w:rsidR="0088341A" w:rsidRPr="00B44F68" w:rsidRDefault="0088341A" w:rsidP="00875391">
            <w:pPr>
              <w:pStyle w:val="AERtabletextright"/>
              <w:keepNext/>
            </w:pPr>
            <w:r>
              <w:t>0.5</w:t>
            </w:r>
          </w:p>
        </w:tc>
      </w:tr>
      <w:tr w:rsidR="0088341A" w:rsidRPr="004365DA" w:rsidTr="00A35D2F">
        <w:trPr>
          <w:gridAfter w:val="1"/>
          <w:wAfter w:w="422" w:type="pct"/>
          <w:trHeight w:val="526"/>
        </w:trPr>
        <w:tc>
          <w:tcPr>
            <w:tcW w:w="1809" w:type="pct"/>
            <w:shd w:val="clear" w:color="auto" w:fill="DBE5F1"/>
            <w:vAlign w:val="center"/>
          </w:tcPr>
          <w:p w:rsidR="0088341A" w:rsidRPr="00D70887" w:rsidRDefault="0088341A" w:rsidP="00875391">
            <w:pPr>
              <w:pStyle w:val="AERtabletextleft"/>
              <w:keepNext/>
            </w:pPr>
            <w:r>
              <w:t>Group 3 assets as at 1 April 2014</w:t>
            </w:r>
          </w:p>
        </w:tc>
        <w:tc>
          <w:tcPr>
            <w:tcW w:w="491" w:type="pct"/>
            <w:shd w:val="clear" w:color="auto" w:fill="DBE5F1"/>
            <w:vAlign w:val="center"/>
          </w:tcPr>
          <w:p w:rsidR="0088341A" w:rsidRPr="00E27780" w:rsidRDefault="0088341A" w:rsidP="00875391">
            <w:pPr>
              <w:pStyle w:val="AERtabletextright"/>
              <w:keepNext/>
            </w:pPr>
          </w:p>
        </w:tc>
        <w:tc>
          <w:tcPr>
            <w:tcW w:w="422" w:type="pct"/>
            <w:shd w:val="clear" w:color="auto" w:fill="DBE5F1"/>
            <w:vAlign w:val="center"/>
          </w:tcPr>
          <w:p w:rsidR="0088341A" w:rsidRPr="00E27780" w:rsidRDefault="0088341A" w:rsidP="00875391">
            <w:pPr>
              <w:pStyle w:val="AERtabletextright"/>
              <w:keepNext/>
            </w:pPr>
          </w:p>
        </w:tc>
        <w:tc>
          <w:tcPr>
            <w:tcW w:w="421" w:type="pct"/>
            <w:shd w:val="clear" w:color="auto" w:fill="DBE5F1"/>
            <w:vAlign w:val="center"/>
          </w:tcPr>
          <w:p w:rsidR="0088341A" w:rsidRPr="00E27780" w:rsidRDefault="0088341A" w:rsidP="00875391">
            <w:pPr>
              <w:pStyle w:val="AERtabletextright"/>
              <w:keepNext/>
            </w:pPr>
          </w:p>
        </w:tc>
        <w:tc>
          <w:tcPr>
            <w:tcW w:w="421" w:type="pct"/>
            <w:shd w:val="clear" w:color="auto" w:fill="DBE5F1"/>
            <w:vAlign w:val="center"/>
          </w:tcPr>
          <w:p w:rsidR="0088341A" w:rsidRPr="00E27780" w:rsidRDefault="0088341A" w:rsidP="00875391">
            <w:pPr>
              <w:pStyle w:val="AERtabletextright"/>
              <w:keepNext/>
            </w:pPr>
          </w:p>
        </w:tc>
        <w:tc>
          <w:tcPr>
            <w:tcW w:w="570" w:type="pct"/>
            <w:gridSpan w:val="2"/>
            <w:shd w:val="clear" w:color="auto" w:fill="DBE5F1"/>
            <w:vAlign w:val="center"/>
          </w:tcPr>
          <w:p w:rsidR="0088341A" w:rsidRPr="00B44F68" w:rsidRDefault="0088341A" w:rsidP="00875391">
            <w:pPr>
              <w:pStyle w:val="AERtabletextright"/>
              <w:keepNext/>
            </w:pPr>
          </w:p>
        </w:tc>
        <w:tc>
          <w:tcPr>
            <w:tcW w:w="444" w:type="pct"/>
            <w:shd w:val="clear" w:color="auto" w:fill="DBE5F1"/>
            <w:vAlign w:val="center"/>
          </w:tcPr>
          <w:p w:rsidR="0088341A" w:rsidRPr="00D70887" w:rsidRDefault="0088341A" w:rsidP="00875391">
            <w:pPr>
              <w:pStyle w:val="AERtabletextright"/>
              <w:keepNext/>
            </w:pPr>
            <w:r>
              <w:t>144.4</w:t>
            </w:r>
          </w:p>
        </w:tc>
      </w:tr>
      <w:tr w:rsidR="0088341A" w:rsidRPr="004365DA" w:rsidTr="00A35D2F">
        <w:trPr>
          <w:trHeight w:val="526"/>
        </w:trPr>
        <w:tc>
          <w:tcPr>
            <w:tcW w:w="1809" w:type="pct"/>
            <w:shd w:val="clear" w:color="auto" w:fill="auto"/>
            <w:vAlign w:val="center"/>
          </w:tcPr>
          <w:p w:rsidR="0088341A" w:rsidRPr="00D70887" w:rsidRDefault="0088341A" w:rsidP="00875391">
            <w:pPr>
              <w:pStyle w:val="AERtabletextleft"/>
              <w:keepNext/>
            </w:pPr>
            <w:r>
              <w:t>Equity raising costs (</w:t>
            </w:r>
            <w:r w:rsidRPr="00D70887">
              <w:t>2003–08)</w:t>
            </w:r>
          </w:p>
        </w:tc>
        <w:tc>
          <w:tcPr>
            <w:tcW w:w="491" w:type="pct"/>
            <w:shd w:val="clear" w:color="auto" w:fill="auto"/>
            <w:vAlign w:val="center"/>
          </w:tcPr>
          <w:p w:rsidR="0088341A" w:rsidRPr="00E27780" w:rsidRDefault="0088341A" w:rsidP="00875391">
            <w:pPr>
              <w:pStyle w:val="AERtabletextright"/>
              <w:keepNext/>
            </w:pPr>
          </w:p>
        </w:tc>
        <w:tc>
          <w:tcPr>
            <w:tcW w:w="422" w:type="pct"/>
            <w:shd w:val="clear" w:color="auto" w:fill="auto"/>
            <w:vAlign w:val="center"/>
          </w:tcPr>
          <w:p w:rsidR="0088341A" w:rsidRPr="00E27780" w:rsidRDefault="0088341A" w:rsidP="00875391">
            <w:pPr>
              <w:pStyle w:val="AERtabletextright"/>
              <w:keepNext/>
            </w:pPr>
          </w:p>
        </w:tc>
        <w:tc>
          <w:tcPr>
            <w:tcW w:w="421" w:type="pct"/>
            <w:shd w:val="clear" w:color="auto" w:fill="auto"/>
            <w:vAlign w:val="center"/>
          </w:tcPr>
          <w:p w:rsidR="0088341A" w:rsidRPr="00E27780" w:rsidRDefault="0088341A" w:rsidP="00875391">
            <w:pPr>
              <w:pStyle w:val="AERtabletextright"/>
              <w:keepNext/>
            </w:pPr>
          </w:p>
        </w:tc>
        <w:tc>
          <w:tcPr>
            <w:tcW w:w="421" w:type="pct"/>
            <w:shd w:val="clear" w:color="auto" w:fill="auto"/>
            <w:vAlign w:val="center"/>
          </w:tcPr>
          <w:p w:rsidR="0088341A" w:rsidRPr="00E27780" w:rsidRDefault="0088341A" w:rsidP="00875391">
            <w:pPr>
              <w:pStyle w:val="AERtabletextright"/>
              <w:keepNext/>
            </w:pPr>
          </w:p>
        </w:tc>
        <w:tc>
          <w:tcPr>
            <w:tcW w:w="570" w:type="pct"/>
            <w:gridSpan w:val="2"/>
            <w:shd w:val="clear" w:color="auto" w:fill="auto"/>
            <w:vAlign w:val="center"/>
          </w:tcPr>
          <w:p w:rsidR="0088341A" w:rsidRPr="00B44F68" w:rsidRDefault="0088341A" w:rsidP="00875391">
            <w:pPr>
              <w:pStyle w:val="AERtabletextright"/>
              <w:keepNext/>
            </w:pPr>
          </w:p>
        </w:tc>
        <w:tc>
          <w:tcPr>
            <w:tcW w:w="444" w:type="pct"/>
            <w:shd w:val="clear" w:color="auto" w:fill="auto"/>
            <w:vAlign w:val="center"/>
          </w:tcPr>
          <w:p w:rsidR="0088341A" w:rsidRPr="00D70887" w:rsidRDefault="0088341A" w:rsidP="00875391">
            <w:pPr>
              <w:pStyle w:val="AERtabletextright"/>
              <w:keepNext/>
            </w:pPr>
            <w:r>
              <w:t>53.4</w:t>
            </w:r>
          </w:p>
        </w:tc>
        <w:tc>
          <w:tcPr>
            <w:tcW w:w="422" w:type="pct"/>
            <w:shd w:val="clear" w:color="auto" w:fill="auto"/>
            <w:vAlign w:val="center"/>
          </w:tcPr>
          <w:p w:rsidR="0088341A" w:rsidRPr="00B13576" w:rsidRDefault="0088341A" w:rsidP="00875391">
            <w:pPr>
              <w:keepNext/>
              <w:spacing w:before="120"/>
              <w:rPr>
                <w:sz w:val="16"/>
              </w:rPr>
            </w:pPr>
          </w:p>
        </w:tc>
      </w:tr>
      <w:tr w:rsidR="0088341A" w:rsidRPr="00B13576" w:rsidTr="00A35D2F">
        <w:trPr>
          <w:gridAfter w:val="1"/>
          <w:wAfter w:w="422" w:type="pct"/>
          <w:trHeight w:val="526"/>
        </w:trPr>
        <w:tc>
          <w:tcPr>
            <w:tcW w:w="1809" w:type="pct"/>
            <w:shd w:val="clear" w:color="auto" w:fill="DBE5F1"/>
            <w:vAlign w:val="center"/>
          </w:tcPr>
          <w:p w:rsidR="0088341A" w:rsidRPr="00D70887" w:rsidRDefault="0088341A" w:rsidP="00875391">
            <w:pPr>
              <w:pStyle w:val="AERtabletextleft"/>
              <w:keepNext/>
            </w:pPr>
            <w:r w:rsidRPr="00EA0188">
              <w:t xml:space="preserve">Opening RAB as at 1 </w:t>
            </w:r>
            <w:r w:rsidRPr="00D70887">
              <w:t>April 2014</w:t>
            </w:r>
          </w:p>
        </w:tc>
        <w:tc>
          <w:tcPr>
            <w:tcW w:w="491" w:type="pct"/>
            <w:shd w:val="clear" w:color="auto" w:fill="DBE5F1"/>
            <w:vAlign w:val="center"/>
          </w:tcPr>
          <w:p w:rsidR="0088341A" w:rsidRPr="00E27780" w:rsidRDefault="0088341A" w:rsidP="00875391">
            <w:pPr>
              <w:pStyle w:val="AERtabletextright"/>
              <w:keepNext/>
            </w:pPr>
          </w:p>
        </w:tc>
        <w:tc>
          <w:tcPr>
            <w:tcW w:w="422" w:type="pct"/>
            <w:shd w:val="clear" w:color="auto" w:fill="DBE5F1"/>
            <w:vAlign w:val="center"/>
          </w:tcPr>
          <w:p w:rsidR="0088341A" w:rsidRPr="00E27780" w:rsidRDefault="0088341A" w:rsidP="00875391">
            <w:pPr>
              <w:pStyle w:val="AERtabletextright"/>
              <w:keepNext/>
            </w:pPr>
          </w:p>
        </w:tc>
        <w:tc>
          <w:tcPr>
            <w:tcW w:w="421" w:type="pct"/>
            <w:shd w:val="clear" w:color="auto" w:fill="DBE5F1"/>
            <w:vAlign w:val="center"/>
          </w:tcPr>
          <w:p w:rsidR="0088341A" w:rsidRPr="00E27780" w:rsidRDefault="0088341A" w:rsidP="00875391">
            <w:pPr>
              <w:pStyle w:val="AERtabletextright"/>
              <w:keepNext/>
            </w:pPr>
          </w:p>
        </w:tc>
        <w:tc>
          <w:tcPr>
            <w:tcW w:w="421" w:type="pct"/>
            <w:shd w:val="clear" w:color="auto" w:fill="DBE5F1"/>
            <w:vAlign w:val="center"/>
          </w:tcPr>
          <w:p w:rsidR="0088341A" w:rsidRPr="00E27780" w:rsidRDefault="0088341A" w:rsidP="00875391">
            <w:pPr>
              <w:pStyle w:val="AERtabletextright"/>
              <w:keepNext/>
            </w:pPr>
          </w:p>
        </w:tc>
        <w:tc>
          <w:tcPr>
            <w:tcW w:w="570" w:type="pct"/>
            <w:gridSpan w:val="2"/>
            <w:shd w:val="clear" w:color="auto" w:fill="DBE5F1"/>
            <w:vAlign w:val="center"/>
          </w:tcPr>
          <w:p w:rsidR="0088341A" w:rsidRPr="00B44F68" w:rsidRDefault="0088341A" w:rsidP="00875391">
            <w:pPr>
              <w:pStyle w:val="AERtabletextright"/>
              <w:keepNext/>
            </w:pPr>
          </w:p>
        </w:tc>
        <w:tc>
          <w:tcPr>
            <w:tcW w:w="444" w:type="pct"/>
            <w:shd w:val="clear" w:color="auto" w:fill="DBE5F1"/>
            <w:vAlign w:val="center"/>
          </w:tcPr>
          <w:p w:rsidR="0088341A" w:rsidRPr="00B44F68" w:rsidRDefault="0088341A" w:rsidP="00875391">
            <w:pPr>
              <w:pStyle w:val="AERtabletextright"/>
              <w:keepNext/>
            </w:pPr>
            <w:r>
              <w:t>2872.8</w:t>
            </w:r>
          </w:p>
        </w:tc>
      </w:tr>
    </w:tbl>
    <w:p w:rsidR="0088341A" w:rsidRPr="003273C1" w:rsidRDefault="0088341A" w:rsidP="00875391">
      <w:pPr>
        <w:pStyle w:val="AERtablesource"/>
        <w:keepNext/>
      </w:pPr>
      <w:r>
        <w:t>Source:</w:t>
      </w:r>
      <w:r>
        <w:tab/>
        <w:t>AER analysis.</w:t>
      </w:r>
    </w:p>
    <w:p w:rsidR="0088341A" w:rsidRPr="004768B6" w:rsidRDefault="0088341A" w:rsidP="00875391">
      <w:pPr>
        <w:pStyle w:val="AERtablesource"/>
        <w:keepNext/>
      </w:pPr>
      <w:r w:rsidRPr="004768B6">
        <w:t>(a)</w:t>
      </w:r>
      <w:r w:rsidRPr="004768B6">
        <w:tab/>
        <w:t xml:space="preserve">Based on estimated capex. </w:t>
      </w:r>
      <w:r>
        <w:t>We will update t</w:t>
      </w:r>
      <w:r w:rsidRPr="004768B6">
        <w:t xml:space="preserve">he </w:t>
      </w:r>
      <w:r>
        <w:t>RAB</w:t>
      </w:r>
      <w:r w:rsidRPr="004768B6">
        <w:t xml:space="preserve"> roll forward for actual capex at the time of </w:t>
      </w:r>
      <w:r>
        <w:t>the</w:t>
      </w:r>
      <w:r w:rsidRPr="004768B6">
        <w:t xml:space="preserve"> final decision.</w:t>
      </w:r>
    </w:p>
    <w:p w:rsidR="0088341A" w:rsidRPr="004768B6" w:rsidRDefault="0088341A" w:rsidP="00875391">
      <w:pPr>
        <w:pStyle w:val="AERtablesource"/>
        <w:keepNext/>
      </w:pPr>
      <w:r w:rsidRPr="004768B6">
        <w:t>(b)</w:t>
      </w:r>
      <w:r w:rsidRPr="004768B6">
        <w:tab/>
        <w:t xml:space="preserve">Based on estimated capex and forecast inflation. </w:t>
      </w:r>
      <w:r>
        <w:t>We will update t</w:t>
      </w:r>
      <w:r w:rsidRPr="004768B6">
        <w:t xml:space="preserve">he </w:t>
      </w:r>
      <w:r>
        <w:t>RAB</w:t>
      </w:r>
      <w:r w:rsidRPr="004768B6">
        <w:t xml:space="preserve"> roll forward for actual </w:t>
      </w:r>
      <w:r>
        <w:t>consumer price index (</w:t>
      </w:r>
      <w:r w:rsidRPr="004768B6">
        <w:t>CPI</w:t>
      </w:r>
      <w:r>
        <w:t>)</w:t>
      </w:r>
      <w:r w:rsidRPr="004768B6">
        <w:t xml:space="preserve"> at the time of </w:t>
      </w:r>
      <w:r>
        <w:t xml:space="preserve">the </w:t>
      </w:r>
      <w:r w:rsidRPr="004768B6">
        <w:t xml:space="preserve">final decision. However, </w:t>
      </w:r>
      <w:r>
        <w:t>we will</w:t>
      </w:r>
      <w:r w:rsidRPr="004768B6">
        <w:t xml:space="preserve"> update for actual capex at the next reset.</w:t>
      </w:r>
    </w:p>
    <w:p w:rsidR="0088341A" w:rsidRPr="004768B6" w:rsidRDefault="0088341A" w:rsidP="00875391">
      <w:pPr>
        <w:pStyle w:val="AERtablesource"/>
        <w:keepNext/>
      </w:pPr>
      <w:r w:rsidRPr="004768B6">
        <w:t xml:space="preserve">(c) </w:t>
      </w:r>
      <w:r w:rsidRPr="004768B6">
        <w:tab/>
        <w:t xml:space="preserve">As incurred, net of disposals, and adjusted for actual CPI. </w:t>
      </w:r>
    </w:p>
    <w:p w:rsidR="0088341A" w:rsidRDefault="0088341A" w:rsidP="00875391">
      <w:pPr>
        <w:pStyle w:val="AERtablesource"/>
        <w:keepNext/>
      </w:pPr>
      <w:r w:rsidRPr="004768B6">
        <w:t>(d)</w:t>
      </w:r>
      <w:r w:rsidRPr="004768B6">
        <w:tab/>
        <w:t>Adjusted for actual CPI.</w:t>
      </w:r>
      <w:r>
        <w:t xml:space="preserve"> Based on as-commissioned capex.</w:t>
      </w:r>
    </w:p>
    <w:p w:rsidR="00875391" w:rsidRPr="00875391" w:rsidRDefault="00875391" w:rsidP="00875391">
      <w:pPr>
        <w:pStyle w:val="AERbodytext"/>
      </w:pPr>
    </w:p>
    <w:p w:rsidR="0088341A" w:rsidRPr="00737B8D" w:rsidRDefault="0088341A" w:rsidP="00875391">
      <w:pPr>
        <w:pStyle w:val="Caption"/>
      </w:pPr>
      <w:bookmarkStart w:id="53" w:name="_Ref361738197"/>
      <w:r>
        <w:lastRenderedPageBreak/>
        <w:t xml:space="preserve">Table </w:t>
      </w:r>
      <w:fldSimple w:instr=" STYLEREF 1 \s ">
        <w:r w:rsidR="004F35AA">
          <w:rPr>
            <w:noProof/>
          </w:rPr>
          <w:t>4</w:t>
        </w:r>
      </w:fldSimple>
      <w:r w:rsidR="00C56A87">
        <w:t>.</w:t>
      </w:r>
      <w:fldSimple w:instr=" SEQ Table \* ARABIC \s 1 ">
        <w:r w:rsidR="004F35AA">
          <w:rPr>
            <w:noProof/>
          </w:rPr>
          <w:t>2</w:t>
        </w:r>
      </w:fldSimple>
      <w:bookmarkEnd w:id="53"/>
      <w:r w:rsidRPr="00737B8D">
        <w:tab/>
      </w:r>
      <w:r w:rsidRPr="009A7902">
        <w:t xml:space="preserve">AER's draft decision on </w:t>
      </w:r>
      <w:r>
        <w:t>SP AusNet's RAB for the 2014–17</w:t>
      </w:r>
      <w:r w:rsidRPr="009A7902">
        <w:t xml:space="preserve"> regulatory control period ($ million, nominal)</w:t>
      </w:r>
    </w:p>
    <w:tbl>
      <w:tblPr>
        <w:tblW w:w="5000" w:type="pct"/>
        <w:tblBorders>
          <w:bottom w:val="single" w:sz="4" w:space="0" w:color="365F91"/>
        </w:tblBorders>
        <w:tblLook w:val="01E0" w:firstRow="1" w:lastRow="1" w:firstColumn="1" w:lastColumn="1" w:noHBand="0" w:noVBand="0"/>
      </w:tblPr>
      <w:tblGrid>
        <w:gridCol w:w="4819"/>
        <w:gridCol w:w="1475"/>
        <w:gridCol w:w="1475"/>
        <w:gridCol w:w="1473"/>
      </w:tblGrid>
      <w:tr w:rsidR="0088341A" w:rsidRPr="00E404D2" w:rsidTr="00501137">
        <w:trPr>
          <w:trHeight w:val="529"/>
        </w:trPr>
        <w:tc>
          <w:tcPr>
            <w:tcW w:w="2607" w:type="pct"/>
            <w:shd w:val="clear" w:color="auto" w:fill="365F91"/>
            <w:vAlign w:val="center"/>
          </w:tcPr>
          <w:p w:rsidR="0088341A" w:rsidRPr="00B13576" w:rsidRDefault="0088341A" w:rsidP="00875391">
            <w:pPr>
              <w:pStyle w:val="AERtabletextright"/>
              <w:keepNext/>
              <w:rPr>
                <w:b/>
                <w:color w:val="FFFFFF"/>
              </w:rPr>
            </w:pPr>
          </w:p>
        </w:tc>
        <w:tc>
          <w:tcPr>
            <w:tcW w:w="798" w:type="pct"/>
            <w:shd w:val="clear" w:color="auto" w:fill="365F91"/>
            <w:vAlign w:val="center"/>
          </w:tcPr>
          <w:p w:rsidR="0088341A" w:rsidRPr="00B13576" w:rsidRDefault="0088341A" w:rsidP="00875391">
            <w:pPr>
              <w:pStyle w:val="AERtabletextright"/>
              <w:keepNext/>
              <w:rPr>
                <w:b/>
                <w:color w:val="FFFFFF"/>
              </w:rPr>
            </w:pPr>
            <w:r w:rsidRPr="00B13576">
              <w:rPr>
                <w:b/>
                <w:color w:val="FFFFFF"/>
              </w:rPr>
              <w:t>2014–15</w:t>
            </w:r>
          </w:p>
        </w:tc>
        <w:tc>
          <w:tcPr>
            <w:tcW w:w="798" w:type="pct"/>
            <w:shd w:val="clear" w:color="auto" w:fill="365F91"/>
            <w:vAlign w:val="center"/>
          </w:tcPr>
          <w:p w:rsidR="0088341A" w:rsidRPr="00B13576" w:rsidRDefault="0088341A" w:rsidP="00875391">
            <w:pPr>
              <w:pStyle w:val="AERtabletextright"/>
              <w:keepNext/>
              <w:rPr>
                <w:b/>
                <w:color w:val="FFFFFF"/>
              </w:rPr>
            </w:pPr>
            <w:r w:rsidRPr="00B13576">
              <w:rPr>
                <w:b/>
                <w:color w:val="FFFFFF"/>
              </w:rPr>
              <w:t>2015–16</w:t>
            </w:r>
          </w:p>
        </w:tc>
        <w:tc>
          <w:tcPr>
            <w:tcW w:w="797" w:type="pct"/>
            <w:shd w:val="clear" w:color="auto" w:fill="365F91"/>
            <w:vAlign w:val="center"/>
          </w:tcPr>
          <w:p w:rsidR="0088341A" w:rsidRPr="00B13576" w:rsidRDefault="0088341A" w:rsidP="00875391">
            <w:pPr>
              <w:pStyle w:val="AERtabletextright"/>
              <w:keepNext/>
              <w:rPr>
                <w:b/>
                <w:color w:val="FFFFFF"/>
              </w:rPr>
            </w:pPr>
            <w:r w:rsidRPr="00B13576">
              <w:rPr>
                <w:b/>
                <w:color w:val="FFFFFF"/>
              </w:rPr>
              <w:t>2016–17</w:t>
            </w:r>
          </w:p>
        </w:tc>
      </w:tr>
      <w:tr w:rsidR="0088341A" w:rsidRPr="000B73AB" w:rsidTr="00501137">
        <w:trPr>
          <w:trHeight w:val="529"/>
        </w:trPr>
        <w:tc>
          <w:tcPr>
            <w:tcW w:w="2607" w:type="pct"/>
            <w:shd w:val="clear" w:color="auto" w:fill="auto"/>
            <w:vAlign w:val="center"/>
          </w:tcPr>
          <w:p w:rsidR="0088341A" w:rsidRPr="00D64903" w:rsidRDefault="0088341A" w:rsidP="00875391">
            <w:pPr>
              <w:pStyle w:val="AERtabletextleft"/>
              <w:keepNext/>
            </w:pPr>
            <w:r w:rsidRPr="00D64903">
              <w:t>Opening RAB as at 1 April 2014</w:t>
            </w:r>
          </w:p>
        </w:tc>
        <w:tc>
          <w:tcPr>
            <w:tcW w:w="798" w:type="pct"/>
            <w:shd w:val="clear" w:color="auto" w:fill="auto"/>
            <w:vAlign w:val="bottom"/>
          </w:tcPr>
          <w:p w:rsidR="0088341A" w:rsidRPr="00D64903" w:rsidRDefault="0088341A" w:rsidP="00875391">
            <w:pPr>
              <w:pStyle w:val="AERtabletextright"/>
              <w:keepNext/>
            </w:pPr>
            <w:r w:rsidRPr="00D64903">
              <w:t xml:space="preserve">    2872.8 </w:t>
            </w:r>
          </w:p>
        </w:tc>
        <w:tc>
          <w:tcPr>
            <w:tcW w:w="798" w:type="pct"/>
            <w:shd w:val="clear" w:color="auto" w:fill="auto"/>
            <w:vAlign w:val="bottom"/>
          </w:tcPr>
          <w:p w:rsidR="0088341A" w:rsidRPr="00D64903" w:rsidRDefault="0088341A" w:rsidP="00875391">
            <w:pPr>
              <w:pStyle w:val="AERtabletextright"/>
              <w:keepNext/>
              <w:rPr>
                <w:b/>
                <w:bCs/>
                <w:color w:val="E36C0A"/>
              </w:rPr>
            </w:pPr>
            <w:r w:rsidRPr="00D64903">
              <w:t xml:space="preserve">    292</w:t>
            </w:r>
            <w:r w:rsidR="00F7102E">
              <w:t>5</w:t>
            </w:r>
            <w:r w:rsidRPr="00D64903">
              <w:t>.</w:t>
            </w:r>
            <w:r w:rsidR="00F7102E">
              <w:t>9</w:t>
            </w:r>
            <w:r w:rsidRPr="00D64903">
              <w:t xml:space="preserve"> </w:t>
            </w:r>
          </w:p>
        </w:tc>
        <w:tc>
          <w:tcPr>
            <w:tcW w:w="797" w:type="pct"/>
            <w:shd w:val="clear" w:color="auto" w:fill="auto"/>
            <w:vAlign w:val="bottom"/>
          </w:tcPr>
          <w:p w:rsidR="0088341A" w:rsidRPr="00D64903" w:rsidRDefault="0088341A" w:rsidP="00875391">
            <w:pPr>
              <w:pStyle w:val="AERtabletextright"/>
              <w:keepNext/>
              <w:rPr>
                <w:b/>
                <w:bCs/>
                <w:color w:val="E36C0A"/>
              </w:rPr>
            </w:pPr>
            <w:r w:rsidRPr="00D64903">
              <w:t xml:space="preserve">    29</w:t>
            </w:r>
            <w:r>
              <w:t>82</w:t>
            </w:r>
            <w:r w:rsidRPr="00D64903">
              <w:t>.</w:t>
            </w:r>
            <w:r w:rsidR="00F7102E">
              <w:t>2</w:t>
            </w:r>
            <w:r w:rsidRPr="00D64903">
              <w:t xml:space="preserve"> </w:t>
            </w:r>
          </w:p>
        </w:tc>
      </w:tr>
      <w:tr w:rsidR="0088341A" w:rsidRPr="000B73AB" w:rsidTr="00501137">
        <w:trPr>
          <w:trHeight w:val="529"/>
        </w:trPr>
        <w:tc>
          <w:tcPr>
            <w:tcW w:w="2607" w:type="pct"/>
            <w:shd w:val="clear" w:color="auto" w:fill="DBE5F1"/>
            <w:vAlign w:val="center"/>
          </w:tcPr>
          <w:p w:rsidR="0088341A" w:rsidRPr="00D64903" w:rsidRDefault="0088341A" w:rsidP="00875391">
            <w:pPr>
              <w:pStyle w:val="AERtabletextleft"/>
              <w:keepNext/>
            </w:pPr>
            <w:r w:rsidRPr="00D64903">
              <w:t>Capital expenditure</w:t>
            </w:r>
            <w:r w:rsidRPr="00D64903">
              <w:rPr>
                <w:rStyle w:val="AERsuperscript"/>
              </w:rPr>
              <w:t>a</w:t>
            </w:r>
          </w:p>
        </w:tc>
        <w:tc>
          <w:tcPr>
            <w:tcW w:w="798" w:type="pct"/>
            <w:shd w:val="clear" w:color="auto" w:fill="DBE5F1"/>
            <w:vAlign w:val="bottom"/>
          </w:tcPr>
          <w:p w:rsidR="0088341A" w:rsidRPr="00D64903" w:rsidRDefault="0088341A" w:rsidP="00875391">
            <w:pPr>
              <w:pStyle w:val="AERtabletextright"/>
              <w:keepNext/>
            </w:pPr>
            <w:r>
              <w:t xml:space="preserve">       128.8</w:t>
            </w:r>
            <w:r w:rsidRPr="00D64903">
              <w:t xml:space="preserve"> </w:t>
            </w:r>
          </w:p>
        </w:tc>
        <w:tc>
          <w:tcPr>
            <w:tcW w:w="798" w:type="pct"/>
            <w:shd w:val="clear" w:color="auto" w:fill="DBE5F1"/>
            <w:vAlign w:val="bottom"/>
          </w:tcPr>
          <w:p w:rsidR="0088341A" w:rsidRPr="00D64903" w:rsidRDefault="0088341A" w:rsidP="00875391">
            <w:pPr>
              <w:pStyle w:val="AERtabletextright"/>
              <w:keepNext/>
            </w:pPr>
            <w:r w:rsidRPr="00D64903">
              <w:t xml:space="preserve">       13</w:t>
            </w:r>
            <w:r>
              <w:t>6</w:t>
            </w:r>
            <w:r w:rsidRPr="00D64903">
              <w:t>.</w:t>
            </w:r>
            <w:r>
              <w:t>4</w:t>
            </w:r>
            <w:r w:rsidRPr="00D64903">
              <w:t xml:space="preserve"> </w:t>
            </w:r>
          </w:p>
        </w:tc>
        <w:tc>
          <w:tcPr>
            <w:tcW w:w="797" w:type="pct"/>
            <w:shd w:val="clear" w:color="auto" w:fill="DBE5F1"/>
            <w:vAlign w:val="bottom"/>
          </w:tcPr>
          <w:p w:rsidR="0088341A" w:rsidRPr="00D64903" w:rsidRDefault="0088341A" w:rsidP="00875391">
            <w:pPr>
              <w:pStyle w:val="AERtabletextright"/>
              <w:keepNext/>
            </w:pPr>
            <w:r>
              <w:t xml:space="preserve">       160</w:t>
            </w:r>
            <w:r w:rsidRPr="00D64903">
              <w:t>.</w:t>
            </w:r>
            <w:r>
              <w:t>5</w:t>
            </w:r>
            <w:r w:rsidRPr="00D64903">
              <w:t xml:space="preserve"> </w:t>
            </w:r>
          </w:p>
        </w:tc>
      </w:tr>
      <w:tr w:rsidR="0088341A" w:rsidRPr="000B73AB" w:rsidTr="00501137">
        <w:trPr>
          <w:trHeight w:val="529"/>
        </w:trPr>
        <w:tc>
          <w:tcPr>
            <w:tcW w:w="2607" w:type="pct"/>
            <w:shd w:val="clear" w:color="auto" w:fill="auto"/>
            <w:vAlign w:val="center"/>
          </w:tcPr>
          <w:p w:rsidR="0088341A" w:rsidRPr="00D64903" w:rsidRDefault="0088341A" w:rsidP="00875391">
            <w:pPr>
              <w:pStyle w:val="AERtabletextleft"/>
              <w:keepNext/>
            </w:pPr>
            <w:r w:rsidRPr="00D64903">
              <w:t>Inflation indexation on opening RAB</w:t>
            </w:r>
          </w:p>
        </w:tc>
        <w:tc>
          <w:tcPr>
            <w:tcW w:w="798" w:type="pct"/>
            <w:shd w:val="clear" w:color="auto" w:fill="auto"/>
            <w:vAlign w:val="bottom"/>
          </w:tcPr>
          <w:p w:rsidR="0088341A" w:rsidRPr="00D64903" w:rsidRDefault="0088341A" w:rsidP="00875391">
            <w:pPr>
              <w:pStyle w:val="AERtabletextright"/>
              <w:keepNext/>
            </w:pPr>
            <w:r w:rsidRPr="00D64903">
              <w:t xml:space="preserve">         71.8 </w:t>
            </w:r>
          </w:p>
        </w:tc>
        <w:tc>
          <w:tcPr>
            <w:tcW w:w="798" w:type="pct"/>
            <w:shd w:val="clear" w:color="auto" w:fill="auto"/>
            <w:vAlign w:val="bottom"/>
          </w:tcPr>
          <w:p w:rsidR="0088341A" w:rsidRPr="00D64903" w:rsidRDefault="0088341A" w:rsidP="00875391">
            <w:pPr>
              <w:pStyle w:val="AERtabletextright"/>
              <w:keepNext/>
            </w:pPr>
            <w:r w:rsidRPr="00D64903">
              <w:t xml:space="preserve">         73.</w:t>
            </w:r>
            <w:r>
              <w:t>1</w:t>
            </w:r>
            <w:r w:rsidRPr="00D64903">
              <w:t xml:space="preserve"> </w:t>
            </w:r>
          </w:p>
        </w:tc>
        <w:tc>
          <w:tcPr>
            <w:tcW w:w="797" w:type="pct"/>
            <w:shd w:val="clear" w:color="auto" w:fill="auto"/>
            <w:vAlign w:val="bottom"/>
          </w:tcPr>
          <w:p w:rsidR="0088341A" w:rsidRPr="00D64903" w:rsidRDefault="0088341A" w:rsidP="00875391">
            <w:pPr>
              <w:pStyle w:val="AERtabletextright"/>
              <w:keepNext/>
            </w:pPr>
            <w:r>
              <w:t xml:space="preserve">         74.6</w:t>
            </w:r>
            <w:r w:rsidRPr="00D64903">
              <w:t xml:space="preserve"> </w:t>
            </w:r>
          </w:p>
        </w:tc>
      </w:tr>
      <w:tr w:rsidR="0088341A" w:rsidRPr="000B73AB" w:rsidTr="00501137">
        <w:trPr>
          <w:trHeight w:val="529"/>
        </w:trPr>
        <w:tc>
          <w:tcPr>
            <w:tcW w:w="2607" w:type="pct"/>
            <w:shd w:val="clear" w:color="auto" w:fill="DBE5F1"/>
            <w:vAlign w:val="center"/>
          </w:tcPr>
          <w:p w:rsidR="0088341A" w:rsidRPr="00D64903" w:rsidRDefault="0088341A" w:rsidP="00875391">
            <w:pPr>
              <w:pStyle w:val="AERtabletextleft"/>
              <w:keepNext/>
            </w:pPr>
            <w:r w:rsidRPr="00D64903">
              <w:t>Straight-line depreciation</w:t>
            </w:r>
            <w:r w:rsidRPr="00D64903">
              <w:rPr>
                <w:rStyle w:val="AERsuperscript"/>
              </w:rPr>
              <w:t>b</w:t>
            </w:r>
          </w:p>
        </w:tc>
        <w:tc>
          <w:tcPr>
            <w:tcW w:w="798" w:type="pct"/>
            <w:shd w:val="clear" w:color="auto" w:fill="DBE5F1"/>
            <w:vAlign w:val="bottom"/>
          </w:tcPr>
          <w:p w:rsidR="0088341A" w:rsidRPr="00D64903" w:rsidRDefault="0088341A" w:rsidP="00875391">
            <w:pPr>
              <w:pStyle w:val="AERtabletextright"/>
              <w:keepNext/>
            </w:pPr>
            <w:r>
              <w:t>–</w:t>
            </w:r>
            <w:r w:rsidRPr="00D64903">
              <w:t xml:space="preserve">147.4 </w:t>
            </w:r>
          </w:p>
        </w:tc>
        <w:tc>
          <w:tcPr>
            <w:tcW w:w="798" w:type="pct"/>
            <w:shd w:val="clear" w:color="auto" w:fill="DBE5F1"/>
            <w:vAlign w:val="bottom"/>
          </w:tcPr>
          <w:p w:rsidR="0088341A" w:rsidRPr="00D64903" w:rsidRDefault="0088341A" w:rsidP="00875391">
            <w:pPr>
              <w:pStyle w:val="AERtabletextright"/>
              <w:keepNext/>
            </w:pPr>
            <w:r>
              <w:t>–</w:t>
            </w:r>
            <w:r w:rsidRPr="00D64903">
              <w:t xml:space="preserve">153.2 </w:t>
            </w:r>
          </w:p>
        </w:tc>
        <w:tc>
          <w:tcPr>
            <w:tcW w:w="797" w:type="pct"/>
            <w:shd w:val="clear" w:color="auto" w:fill="DBE5F1"/>
            <w:vAlign w:val="bottom"/>
          </w:tcPr>
          <w:p w:rsidR="0088341A" w:rsidRPr="00D64903" w:rsidRDefault="0088341A" w:rsidP="00875391">
            <w:pPr>
              <w:pStyle w:val="AERtabletextright"/>
              <w:keepNext/>
            </w:pPr>
            <w:r>
              <w:t>–</w:t>
            </w:r>
            <w:r w:rsidRPr="00D64903">
              <w:t xml:space="preserve">160.1 </w:t>
            </w:r>
          </w:p>
        </w:tc>
      </w:tr>
      <w:tr w:rsidR="0088341A" w:rsidRPr="000B73AB" w:rsidTr="00501137">
        <w:trPr>
          <w:trHeight w:val="529"/>
        </w:trPr>
        <w:tc>
          <w:tcPr>
            <w:tcW w:w="2607" w:type="pct"/>
            <w:shd w:val="clear" w:color="auto" w:fill="auto"/>
            <w:vAlign w:val="center"/>
          </w:tcPr>
          <w:p w:rsidR="0088341A" w:rsidRPr="00D64903" w:rsidRDefault="0088341A" w:rsidP="00875391">
            <w:pPr>
              <w:pStyle w:val="AERtabletextleft"/>
              <w:keepNext/>
            </w:pPr>
            <w:r w:rsidRPr="00D64903">
              <w:t>Closing RAB</w:t>
            </w:r>
          </w:p>
        </w:tc>
        <w:tc>
          <w:tcPr>
            <w:tcW w:w="798" w:type="pct"/>
            <w:shd w:val="clear" w:color="auto" w:fill="auto"/>
            <w:vAlign w:val="bottom"/>
          </w:tcPr>
          <w:p w:rsidR="0088341A" w:rsidRPr="00D64903" w:rsidRDefault="0088341A" w:rsidP="00875391">
            <w:pPr>
              <w:pStyle w:val="AERtabletextright"/>
              <w:keepNext/>
              <w:rPr>
                <w:b/>
                <w:bCs/>
                <w:color w:val="E36C0A"/>
              </w:rPr>
            </w:pPr>
            <w:r w:rsidRPr="00D64903">
              <w:t xml:space="preserve">    292</w:t>
            </w:r>
            <w:r w:rsidR="00F7102E">
              <w:t>5</w:t>
            </w:r>
            <w:r>
              <w:t>.</w:t>
            </w:r>
            <w:r w:rsidR="00F7102E">
              <w:t>9</w:t>
            </w:r>
            <w:r w:rsidRPr="00D64903">
              <w:t xml:space="preserve"> </w:t>
            </w:r>
          </w:p>
        </w:tc>
        <w:tc>
          <w:tcPr>
            <w:tcW w:w="798" w:type="pct"/>
            <w:shd w:val="clear" w:color="auto" w:fill="auto"/>
            <w:vAlign w:val="bottom"/>
          </w:tcPr>
          <w:p w:rsidR="0088341A" w:rsidRPr="00D64903" w:rsidRDefault="0088341A" w:rsidP="00875391">
            <w:pPr>
              <w:pStyle w:val="AERtabletextright"/>
              <w:keepNext/>
              <w:rPr>
                <w:b/>
                <w:bCs/>
                <w:color w:val="E36C0A"/>
              </w:rPr>
            </w:pPr>
            <w:r w:rsidRPr="00D64903">
              <w:t xml:space="preserve">    </w:t>
            </w:r>
            <w:r>
              <w:t>2982.</w:t>
            </w:r>
            <w:r w:rsidR="00F7102E">
              <w:t>2</w:t>
            </w:r>
            <w:r w:rsidRPr="00D64903">
              <w:t xml:space="preserve"> </w:t>
            </w:r>
          </w:p>
        </w:tc>
        <w:tc>
          <w:tcPr>
            <w:tcW w:w="797" w:type="pct"/>
            <w:shd w:val="clear" w:color="auto" w:fill="auto"/>
            <w:vAlign w:val="bottom"/>
          </w:tcPr>
          <w:p w:rsidR="0088341A" w:rsidRPr="00D64903" w:rsidRDefault="0088341A" w:rsidP="00875391">
            <w:pPr>
              <w:pStyle w:val="AERtabletextright"/>
              <w:keepNext/>
              <w:rPr>
                <w:b/>
                <w:bCs/>
                <w:color w:val="E36C0A"/>
              </w:rPr>
            </w:pPr>
            <w:r w:rsidRPr="00D64903">
              <w:t xml:space="preserve">    30</w:t>
            </w:r>
            <w:r>
              <w:t>57</w:t>
            </w:r>
            <w:r w:rsidRPr="00D64903">
              <w:t>.</w:t>
            </w:r>
            <w:r w:rsidR="00F7102E">
              <w:t>2</w:t>
            </w:r>
            <w:r w:rsidRPr="00D64903">
              <w:t xml:space="preserve"> </w:t>
            </w:r>
          </w:p>
        </w:tc>
      </w:tr>
    </w:tbl>
    <w:p w:rsidR="0088341A" w:rsidRPr="003273C1" w:rsidRDefault="0088341A" w:rsidP="00875391">
      <w:pPr>
        <w:pStyle w:val="AERtablesource"/>
        <w:keepNext/>
      </w:pPr>
      <w:r>
        <w:t>Source:</w:t>
      </w:r>
      <w:r>
        <w:tab/>
        <w:t>AER analysis.</w:t>
      </w:r>
    </w:p>
    <w:p w:rsidR="0088341A" w:rsidRDefault="0088341A" w:rsidP="00875391">
      <w:pPr>
        <w:pStyle w:val="AERtablesource"/>
        <w:keepNext/>
      </w:pPr>
      <w:r>
        <w:t xml:space="preserve">(a) </w:t>
      </w:r>
      <w:r>
        <w:tab/>
        <w:t>As incurred, and net of disposals. In accordance with the timing assumptions of the post-tax revenue model (PTRM), the forecast capex includes a half-WACC allowance to compensate for the six month period before capex is added to the RAB for revenue modelling.</w:t>
      </w:r>
    </w:p>
    <w:p w:rsidR="0088341A" w:rsidRDefault="0088341A" w:rsidP="00875391">
      <w:pPr>
        <w:pStyle w:val="AERtablesource"/>
        <w:keepNext/>
      </w:pPr>
      <w:r>
        <w:t>(b)</w:t>
      </w:r>
      <w:r>
        <w:tab/>
        <w:t>Based on as-commissioned capex.</w:t>
      </w:r>
    </w:p>
    <w:p w:rsidR="0088341A" w:rsidRDefault="0088341A" w:rsidP="0088341A">
      <w:pPr>
        <w:pStyle w:val="Heading2"/>
        <w:numPr>
          <w:ilvl w:val="2"/>
          <w:numId w:val="20"/>
        </w:numPr>
      </w:pPr>
      <w:bookmarkStart w:id="54" w:name="_Toc341686714"/>
      <w:bookmarkStart w:id="55" w:name="_Toc365283246"/>
      <w:r w:rsidRPr="009237D4">
        <w:t>Summary of analysis and reasons</w:t>
      </w:r>
      <w:bookmarkEnd w:id="54"/>
      <w:bookmarkEnd w:id="55"/>
    </w:p>
    <w:p w:rsidR="0088341A" w:rsidRPr="00C913EA" w:rsidRDefault="0088341A" w:rsidP="0088341A">
      <w:pPr>
        <w:pStyle w:val="AERbodytext"/>
        <w:numPr>
          <w:ilvl w:val="0"/>
          <w:numId w:val="1"/>
        </w:numPr>
      </w:pPr>
      <w:r>
        <w:t>We do not accept SP AusNet's proposed opening RAB of $2</w:t>
      </w:r>
      <w:r w:rsidR="0098143C">
        <w:t xml:space="preserve">866 million </w:t>
      </w:r>
      <w:r w:rsidRPr="00C913EA">
        <w:t>at 1 April 2014</w:t>
      </w:r>
      <w:r>
        <w:t>.</w:t>
      </w:r>
      <w:r w:rsidRPr="00C913EA">
        <w:t xml:space="preserve"> </w:t>
      </w:r>
      <w:r>
        <w:t>I</w:t>
      </w:r>
      <w:r w:rsidRPr="00C913EA">
        <w:t>nstead</w:t>
      </w:r>
      <w:r>
        <w:t>, we</w:t>
      </w:r>
      <w:r w:rsidRPr="00C913EA">
        <w:t xml:space="preserve"> determine</w:t>
      </w:r>
      <w:r>
        <w:t>d</w:t>
      </w:r>
      <w:r w:rsidRPr="00C913EA">
        <w:t xml:space="preserve"> an opening RAB of $2873 million</w:t>
      </w:r>
      <w:r>
        <w:t xml:space="preserve"> as follows</w:t>
      </w:r>
      <w:r w:rsidRPr="00C913EA">
        <w:t xml:space="preserve">: </w:t>
      </w:r>
    </w:p>
    <w:p w:rsidR="0088341A" w:rsidRPr="00C913EA" w:rsidRDefault="0088341A" w:rsidP="0088341A">
      <w:pPr>
        <w:pStyle w:val="AERbulletlistfirststyle"/>
      </w:pPr>
      <w:r w:rsidRPr="00C913EA">
        <w:t>We made several amendments to</w:t>
      </w:r>
      <w:r>
        <w:t xml:space="preserve"> </w:t>
      </w:r>
      <w:r w:rsidRPr="00C913EA">
        <w:t>SP AusNet</w:t>
      </w:r>
      <w:r>
        <w:t>'s</w:t>
      </w:r>
      <w:r w:rsidRPr="00C913EA">
        <w:t xml:space="preserve"> proposed roll forward model (RFM)</w:t>
      </w:r>
      <w:r>
        <w:t xml:space="preserve"> to correct</w:t>
      </w:r>
      <w:r w:rsidRPr="00C913EA">
        <w:t xml:space="preserve"> input</w:t>
      </w:r>
      <w:r>
        <w:t xml:space="preserve"> errors</w:t>
      </w:r>
      <w:r w:rsidRPr="00C913EA">
        <w:t>. These amendments reduced the proposed openin</w:t>
      </w:r>
      <w:r>
        <w:t xml:space="preserve">g RAB at 1 April 2014 by about $46.3 </w:t>
      </w:r>
      <w:r w:rsidRPr="00C913EA">
        <w:t>million.</w:t>
      </w:r>
    </w:p>
    <w:p w:rsidR="0088341A" w:rsidRDefault="0088341A" w:rsidP="0088341A">
      <w:pPr>
        <w:pStyle w:val="AERbulletlistfirststyle"/>
      </w:pPr>
      <w:r w:rsidRPr="00C913EA">
        <w:t xml:space="preserve">We included $53.4 million </w:t>
      </w:r>
      <w:r w:rsidR="00A030D7">
        <w:t>in</w:t>
      </w:r>
      <w:r w:rsidR="00A030D7" w:rsidRPr="00C913EA">
        <w:t xml:space="preserve"> </w:t>
      </w:r>
      <w:r w:rsidRPr="00C913EA">
        <w:t xml:space="preserve">SP AusNet's opening RAB </w:t>
      </w:r>
      <w:r>
        <w:t>to provide for</w:t>
      </w:r>
      <w:r w:rsidRPr="00C913EA">
        <w:t xml:space="preserve"> equity raising costs allowance associated with its opening RAB at 1 January 2003 and capex incurred over the 2003–08 regulatory control period. The </w:t>
      </w:r>
      <w:r>
        <w:t>Australian Competition and Consumer Commission (ACCC) 2002 revenue cap decision provided for equity raising costs as</w:t>
      </w:r>
      <w:r w:rsidRPr="00C913EA">
        <w:t xml:space="preserve"> an allowance in perpetuity for opex.</w:t>
      </w:r>
      <w:r w:rsidRPr="00C913EA">
        <w:rPr>
          <w:rStyle w:val="FootnoteReference"/>
        </w:rPr>
        <w:footnoteReference w:id="36"/>
      </w:r>
      <w:r w:rsidRPr="00C913EA">
        <w:t xml:space="preserve"> We converted the allowance from perpetuity to an amount for capitalisation in the RAB. This </w:t>
      </w:r>
      <w:r>
        <w:t xml:space="preserve">approach </w:t>
      </w:r>
      <w:r w:rsidRPr="00C913EA">
        <w:t xml:space="preserve">will improve transparency and </w:t>
      </w:r>
      <w:r>
        <w:t>help</w:t>
      </w:r>
      <w:r w:rsidRPr="00C913EA">
        <w:t xml:space="preserve"> administration. </w:t>
      </w:r>
    </w:p>
    <w:p w:rsidR="0088341A" w:rsidRDefault="0088341A" w:rsidP="0088341A">
      <w:pPr>
        <w:pStyle w:val="AERbodytext"/>
        <w:numPr>
          <w:ilvl w:val="0"/>
          <w:numId w:val="1"/>
        </w:numPr>
      </w:pPr>
      <w:r>
        <w:t xml:space="preserve">We forecast SP AusNet's closing RAB will be $3057 million at </w:t>
      </w:r>
      <w:r w:rsidRPr="0072793E">
        <w:t>3</w:t>
      </w:r>
      <w:r>
        <w:t>1</w:t>
      </w:r>
      <w:r w:rsidRPr="0072793E">
        <w:t xml:space="preserve"> March 2017</w:t>
      </w:r>
      <w:r>
        <w:t>, which represents a 5.8 per cent reduction on the TNSP's proposed amount. The main reasons for this reduction are our adjustments to:</w:t>
      </w:r>
    </w:p>
    <w:p w:rsidR="0088341A" w:rsidRDefault="0088341A" w:rsidP="0088341A">
      <w:pPr>
        <w:pStyle w:val="AERbulletlistfirststyle"/>
      </w:pPr>
      <w:r>
        <w:t>forecast capex (attachment 2)</w:t>
      </w:r>
    </w:p>
    <w:p w:rsidR="0088341A" w:rsidRDefault="0098143C" w:rsidP="0088341A">
      <w:pPr>
        <w:pStyle w:val="AERbulletlistfirststyle"/>
      </w:pPr>
      <w:r>
        <w:t>the opening RAB</w:t>
      </w:r>
      <w:r w:rsidR="0088341A">
        <w:t xml:space="preserve"> at 1 April 2014 (attachment 5)</w:t>
      </w:r>
    </w:p>
    <w:p w:rsidR="0088341A" w:rsidRDefault="0088341A" w:rsidP="0088341A">
      <w:pPr>
        <w:pStyle w:val="AERbulletlistfirststyle"/>
      </w:pPr>
      <w:r>
        <w:t xml:space="preserve">forecast depreciation (attachment 6). </w:t>
      </w:r>
    </w:p>
    <w:p w:rsidR="0088341A" w:rsidRDefault="0088341A" w:rsidP="0088341A">
      <w:pPr>
        <w:pStyle w:val="Heading1"/>
        <w:numPr>
          <w:ilvl w:val="1"/>
          <w:numId w:val="20"/>
        </w:numPr>
      </w:pPr>
      <w:bookmarkStart w:id="56" w:name="_Toc365283247"/>
      <w:bookmarkStart w:id="57" w:name="_Toc365461985"/>
      <w:r>
        <w:lastRenderedPageBreak/>
        <w:t>Return on capital</w:t>
      </w:r>
      <w:bookmarkEnd w:id="56"/>
      <w:bookmarkEnd w:id="57"/>
    </w:p>
    <w:p w:rsidR="0088341A" w:rsidRPr="005A3D8F" w:rsidRDefault="0088341A" w:rsidP="0088341A">
      <w:pPr>
        <w:pStyle w:val="AERbodytext"/>
        <w:numPr>
          <w:ilvl w:val="0"/>
          <w:numId w:val="1"/>
        </w:numPr>
      </w:pPr>
      <w:r w:rsidRPr="005A3D8F">
        <w:t xml:space="preserve">As part of </w:t>
      </w:r>
      <w:r>
        <w:t>determining</w:t>
      </w:r>
      <w:r w:rsidRPr="005A3D8F">
        <w:t xml:space="preserve"> the annual building block revenue requirement for a</w:t>
      </w:r>
      <w:r>
        <w:t xml:space="preserve"> TNSP</w:t>
      </w:r>
      <w:r w:rsidRPr="005A3D8F">
        <w:t xml:space="preserve">, </w:t>
      </w:r>
      <w:r>
        <w:t xml:space="preserve">we </w:t>
      </w:r>
      <w:r w:rsidR="0098143C">
        <w:t>must</w:t>
      </w:r>
      <w:r w:rsidRPr="005A3D8F">
        <w:t xml:space="preserve"> </w:t>
      </w:r>
      <w:r>
        <w:t>decide</w:t>
      </w:r>
      <w:r w:rsidRPr="005A3D8F">
        <w:t xml:space="preserve"> the return on capital building block.</w:t>
      </w:r>
      <w:r w:rsidRPr="005A3D8F">
        <w:rPr>
          <w:rStyle w:val="FootnoteReference"/>
        </w:rPr>
        <w:footnoteReference w:id="37"/>
      </w:r>
      <w:r w:rsidRPr="005A3D8F">
        <w:t xml:space="preserve"> The return on capital building block</w:t>
      </w:r>
      <w:r w:rsidRPr="005A3D8F" w:rsidDel="00D03207">
        <w:t xml:space="preserve"> </w:t>
      </w:r>
      <w:r w:rsidRPr="005A3D8F">
        <w:t>is calculated as t</w:t>
      </w:r>
      <w:r>
        <w:t>he product of the cost of capital (or rate of return</w:t>
      </w:r>
      <w:r w:rsidRPr="005A3D8F">
        <w:t xml:space="preserve">) and the value of the </w:t>
      </w:r>
      <w:r>
        <w:t xml:space="preserve">RAB. Our draft decision on SP AusNet's RAB is set out in section 4 of this overview and attachment 5. This section discusses the cost of capital element of the return on capital building block. </w:t>
      </w:r>
    </w:p>
    <w:p w:rsidR="0088341A" w:rsidRPr="00E37A20" w:rsidRDefault="0088341A" w:rsidP="0088341A">
      <w:pPr>
        <w:pStyle w:val="AERbodytext"/>
        <w:numPr>
          <w:ilvl w:val="0"/>
          <w:numId w:val="1"/>
        </w:numPr>
      </w:pPr>
      <w:r>
        <w:t>As noted in section 1.2,</w:t>
      </w:r>
      <w:r w:rsidRPr="00A442FB">
        <w:t xml:space="preserve"> transitional arrangements provide that an ol</w:t>
      </w:r>
      <w:r w:rsidR="0098143C">
        <w:t>der version of the NER (version </w:t>
      </w:r>
      <w:r w:rsidRPr="00A442FB">
        <w:t>52) continues to apply to SP AusNet on an interim basis</w:t>
      </w:r>
      <w:r>
        <w:t>. Under this version of</w:t>
      </w:r>
      <w:r w:rsidRPr="005A3D8F">
        <w:t xml:space="preserve"> the </w:t>
      </w:r>
      <w:r>
        <w:t xml:space="preserve">NER, the key parameters used to calculate the cost of capital must be consistent with </w:t>
      </w:r>
      <w:r w:rsidR="0098143C">
        <w:t>our</w:t>
      </w:r>
      <w:r>
        <w:t xml:space="preserve"> 2009 WACC review.</w:t>
      </w:r>
      <w:r>
        <w:rPr>
          <w:rStyle w:val="FootnoteReference"/>
        </w:rPr>
        <w:footnoteReference w:id="38"/>
      </w:r>
      <w:r>
        <w:t xml:space="preserve"> Attachment 4 sets out our</w:t>
      </w:r>
      <w:r w:rsidRPr="00A0423F">
        <w:t xml:space="preserve"> detailed reasons for </w:t>
      </w:r>
      <w:r>
        <w:t>our</w:t>
      </w:r>
      <w:r w:rsidRPr="00A0423F">
        <w:t xml:space="preserve"> </w:t>
      </w:r>
      <w:r>
        <w:t xml:space="preserve">draft </w:t>
      </w:r>
      <w:r w:rsidRPr="00A0423F">
        <w:t>dec</w:t>
      </w:r>
      <w:r>
        <w:t xml:space="preserve">ision on the cost of capital. </w:t>
      </w:r>
    </w:p>
    <w:p w:rsidR="0088341A" w:rsidRPr="00DA1409" w:rsidRDefault="0088341A" w:rsidP="0088341A">
      <w:pPr>
        <w:pStyle w:val="Heading2"/>
        <w:numPr>
          <w:ilvl w:val="2"/>
          <w:numId w:val="20"/>
        </w:numPr>
      </w:pPr>
      <w:bookmarkStart w:id="58" w:name="_Toc341686716"/>
      <w:bookmarkStart w:id="59" w:name="_Toc365283248"/>
      <w:r w:rsidRPr="00DA1409">
        <w:t>Draft decision</w:t>
      </w:r>
      <w:bookmarkEnd w:id="58"/>
      <w:bookmarkEnd w:id="59"/>
    </w:p>
    <w:p w:rsidR="0088341A" w:rsidRDefault="0088341A" w:rsidP="0088341A">
      <w:pPr>
        <w:pStyle w:val="AERbodytext"/>
        <w:numPr>
          <w:ilvl w:val="0"/>
          <w:numId w:val="1"/>
        </w:numPr>
      </w:pPr>
      <w:r>
        <w:t xml:space="preserve">We accept SP AusNet's proposed </w:t>
      </w:r>
      <w:r w:rsidRPr="005A3D8F">
        <w:t xml:space="preserve">method for determining the WACC, including </w:t>
      </w:r>
      <w:r w:rsidR="0098143C">
        <w:t>the</w:t>
      </w:r>
      <w:r w:rsidRPr="005A3D8F">
        <w:t xml:space="preserve"> proposed averaging period.</w:t>
      </w:r>
      <w:r w:rsidRPr="005A3D8F">
        <w:rPr>
          <w:rStyle w:val="FootnoteReference"/>
        </w:rPr>
        <w:footnoteReference w:id="39"/>
      </w:r>
      <w:r w:rsidRPr="005A3D8F">
        <w:t xml:space="preserve"> However, </w:t>
      </w:r>
      <w:r>
        <w:t>for this draft decision, we</w:t>
      </w:r>
      <w:r w:rsidRPr="005A3D8F">
        <w:t xml:space="preserve"> determine an indicative WACC of</w:t>
      </w:r>
      <w:r>
        <w:t xml:space="preserve"> 7.43</w:t>
      </w:r>
      <w:r w:rsidRPr="005A3D8F">
        <w:t xml:space="preserve"> per cent.</w:t>
      </w:r>
      <w:r>
        <w:t xml:space="preserve"> Our</w:t>
      </w:r>
      <w:r w:rsidRPr="005A3D8F">
        <w:t xml:space="preserve"> draft decision reflects market based parameters—the nominal risk free rate and the debt risk premium (DRP)—estimated over an indicative averaging period.</w:t>
      </w:r>
      <w:r w:rsidRPr="005A3D8F">
        <w:rPr>
          <w:rStyle w:val="FootnoteReference"/>
        </w:rPr>
        <w:footnoteReference w:id="40"/>
      </w:r>
      <w:r w:rsidRPr="005A3D8F">
        <w:t xml:space="preserve"> </w:t>
      </w:r>
      <w:r w:rsidRPr="00C07A44">
        <w:t xml:space="preserve">We will update these parameters for </w:t>
      </w:r>
      <w:r>
        <w:t>our</w:t>
      </w:r>
      <w:r w:rsidRPr="00C07A44">
        <w:t xml:space="preserve"> final decision, based on the </w:t>
      </w:r>
      <w:r>
        <w:t xml:space="preserve">accepted </w:t>
      </w:r>
      <w:r w:rsidRPr="00C07A44">
        <w:t xml:space="preserve">averaging period. </w:t>
      </w:r>
      <w:r>
        <w:fldChar w:fldCharType="begin"/>
      </w:r>
      <w:r>
        <w:instrText xml:space="preserve"> REF _Ref361214981 \h </w:instrText>
      </w:r>
      <w:r>
        <w:fldChar w:fldCharType="separate"/>
      </w:r>
      <w:r w:rsidR="004F35AA" w:rsidRPr="007C5F76">
        <w:t xml:space="preserve">Table </w:t>
      </w:r>
      <w:r w:rsidR="004F35AA">
        <w:rPr>
          <w:noProof/>
        </w:rPr>
        <w:t>5</w:t>
      </w:r>
      <w:r w:rsidR="004F35AA">
        <w:t>.</w:t>
      </w:r>
      <w:r w:rsidR="004F35AA">
        <w:rPr>
          <w:noProof/>
        </w:rPr>
        <w:t>1</w:t>
      </w:r>
      <w:r>
        <w:fldChar w:fldCharType="end"/>
      </w:r>
      <w:r>
        <w:t xml:space="preserve"> sets out the individual WACC parameters and subsequent (indicative) WACC we determined compared with SP AusNet's proposal. </w:t>
      </w:r>
    </w:p>
    <w:p w:rsidR="0088341A" w:rsidRPr="007C5F76" w:rsidRDefault="0088341A" w:rsidP="0088341A">
      <w:pPr>
        <w:pStyle w:val="Caption"/>
      </w:pPr>
      <w:bookmarkStart w:id="60" w:name="_Ref361214981"/>
      <w:r w:rsidRPr="007C5F76">
        <w:t xml:space="preserve">Table </w:t>
      </w:r>
      <w:fldSimple w:instr=" STYLEREF 1 \s ">
        <w:r w:rsidR="004F35AA">
          <w:rPr>
            <w:noProof/>
          </w:rPr>
          <w:t>5</w:t>
        </w:r>
      </w:fldSimple>
      <w:r w:rsidR="00C56A87">
        <w:t>.</w:t>
      </w:r>
      <w:fldSimple w:instr=" SEQ Table \* ARABIC \s 1 ">
        <w:r w:rsidR="004F35AA">
          <w:rPr>
            <w:noProof/>
          </w:rPr>
          <w:t>1</w:t>
        </w:r>
      </w:fldSimple>
      <w:bookmarkEnd w:id="60"/>
      <w:r w:rsidRPr="007C5F76">
        <w:tab/>
        <w:t>AER</w:t>
      </w:r>
      <w:r>
        <w:t>'s draft decision on WACC parameters</w:t>
      </w:r>
    </w:p>
    <w:tbl>
      <w:tblPr>
        <w:tblW w:w="0" w:type="auto"/>
        <w:tblBorders>
          <w:bottom w:val="single" w:sz="4" w:space="0" w:color="365F91"/>
        </w:tblBorders>
        <w:tblLook w:val="04A0" w:firstRow="1" w:lastRow="0" w:firstColumn="1" w:lastColumn="0" w:noHBand="0" w:noVBand="1"/>
      </w:tblPr>
      <w:tblGrid>
        <w:gridCol w:w="3192"/>
        <w:gridCol w:w="2886"/>
        <w:gridCol w:w="3164"/>
      </w:tblGrid>
      <w:tr w:rsidR="0088341A" w:rsidTr="00501137">
        <w:tc>
          <w:tcPr>
            <w:tcW w:w="3192" w:type="dxa"/>
            <w:shd w:val="clear" w:color="auto" w:fill="365F91"/>
            <w:vAlign w:val="center"/>
          </w:tcPr>
          <w:p w:rsidR="0088341A" w:rsidRPr="007567D8" w:rsidRDefault="0088341A" w:rsidP="00501137">
            <w:pPr>
              <w:pStyle w:val="AERbodytext"/>
              <w:numPr>
                <w:ilvl w:val="0"/>
                <w:numId w:val="1"/>
              </w:numPr>
              <w:spacing w:before="120"/>
              <w:rPr>
                <w:b/>
                <w:color w:val="FFFFFF"/>
                <w:sz w:val="16"/>
              </w:rPr>
            </w:pPr>
            <w:r w:rsidRPr="007567D8">
              <w:rPr>
                <w:b/>
                <w:color w:val="FFFFFF"/>
                <w:sz w:val="16"/>
              </w:rPr>
              <w:t>Parameter</w:t>
            </w:r>
          </w:p>
        </w:tc>
        <w:tc>
          <w:tcPr>
            <w:tcW w:w="2886" w:type="dxa"/>
            <w:shd w:val="clear" w:color="auto" w:fill="365F91"/>
            <w:vAlign w:val="center"/>
          </w:tcPr>
          <w:p w:rsidR="0088341A" w:rsidRPr="007567D8" w:rsidRDefault="0088341A" w:rsidP="0098143C">
            <w:pPr>
              <w:pStyle w:val="AERbodytext"/>
              <w:numPr>
                <w:ilvl w:val="0"/>
                <w:numId w:val="1"/>
              </w:numPr>
              <w:spacing w:before="120"/>
              <w:jc w:val="right"/>
              <w:rPr>
                <w:b/>
                <w:color w:val="FFFFFF"/>
                <w:sz w:val="16"/>
              </w:rPr>
            </w:pPr>
            <w:r w:rsidRPr="007567D8">
              <w:rPr>
                <w:b/>
                <w:color w:val="FFFFFF"/>
                <w:sz w:val="16"/>
              </w:rPr>
              <w:t>SP AusNet</w:t>
            </w:r>
            <w:r w:rsidR="0098143C">
              <w:rPr>
                <w:b/>
                <w:color w:val="FFFFFF"/>
                <w:sz w:val="16"/>
              </w:rPr>
              <w:t>’s</w:t>
            </w:r>
            <w:r w:rsidRPr="007567D8">
              <w:rPr>
                <w:b/>
                <w:color w:val="FFFFFF"/>
                <w:sz w:val="16"/>
              </w:rPr>
              <w:t xml:space="preserve"> proposal</w:t>
            </w:r>
          </w:p>
        </w:tc>
        <w:tc>
          <w:tcPr>
            <w:tcW w:w="3164" w:type="dxa"/>
            <w:shd w:val="clear" w:color="auto" w:fill="365F91"/>
            <w:vAlign w:val="center"/>
          </w:tcPr>
          <w:p w:rsidR="0088341A" w:rsidRPr="007567D8" w:rsidRDefault="0088341A" w:rsidP="0098143C">
            <w:pPr>
              <w:pStyle w:val="AERbodytext"/>
              <w:numPr>
                <w:ilvl w:val="0"/>
                <w:numId w:val="1"/>
              </w:numPr>
              <w:spacing w:before="120"/>
              <w:jc w:val="right"/>
              <w:rPr>
                <w:b/>
                <w:color w:val="FFFFFF"/>
                <w:sz w:val="16"/>
              </w:rPr>
            </w:pPr>
            <w:r w:rsidRPr="007567D8">
              <w:rPr>
                <w:b/>
                <w:color w:val="FFFFFF"/>
                <w:sz w:val="16"/>
              </w:rPr>
              <w:t>AER</w:t>
            </w:r>
            <w:r w:rsidR="0098143C">
              <w:rPr>
                <w:b/>
                <w:color w:val="FFFFFF"/>
                <w:sz w:val="16"/>
              </w:rPr>
              <w:t>’s</w:t>
            </w:r>
            <w:r w:rsidRPr="007567D8">
              <w:rPr>
                <w:b/>
                <w:color w:val="FFFFFF"/>
                <w:sz w:val="16"/>
              </w:rPr>
              <w:t xml:space="preserve"> draft decision</w:t>
            </w:r>
          </w:p>
        </w:tc>
      </w:tr>
      <w:tr w:rsidR="0088341A" w:rsidTr="00501137">
        <w:tc>
          <w:tcPr>
            <w:tcW w:w="3192" w:type="dxa"/>
            <w:shd w:val="clear" w:color="auto" w:fill="auto"/>
            <w:vAlign w:val="center"/>
          </w:tcPr>
          <w:p w:rsidR="0088341A" w:rsidRPr="00035EF5" w:rsidRDefault="0088341A" w:rsidP="00501137">
            <w:pPr>
              <w:pStyle w:val="AERtabletextleft"/>
            </w:pPr>
            <w:r w:rsidRPr="00035EF5">
              <w:t>Nominal risk free rate</w:t>
            </w:r>
          </w:p>
        </w:tc>
        <w:tc>
          <w:tcPr>
            <w:tcW w:w="2886" w:type="dxa"/>
            <w:shd w:val="clear" w:color="auto" w:fill="auto"/>
            <w:vAlign w:val="center"/>
          </w:tcPr>
          <w:p w:rsidR="0088341A" w:rsidRPr="00BD4CF5" w:rsidRDefault="0088341A" w:rsidP="00501137">
            <w:pPr>
              <w:pStyle w:val="AERtabletextright"/>
            </w:pPr>
            <w:r>
              <w:t>3.14%</w:t>
            </w:r>
          </w:p>
        </w:tc>
        <w:tc>
          <w:tcPr>
            <w:tcW w:w="3164" w:type="dxa"/>
            <w:shd w:val="clear" w:color="auto" w:fill="auto"/>
            <w:vAlign w:val="center"/>
          </w:tcPr>
          <w:p w:rsidR="0088341A" w:rsidRPr="00130B75" w:rsidRDefault="0088341A" w:rsidP="00501137">
            <w:pPr>
              <w:pStyle w:val="AERtabletextright"/>
            </w:pPr>
            <w:r>
              <w:t>3.54</w:t>
            </w:r>
            <w:r w:rsidRPr="00130B75">
              <w:t>%</w:t>
            </w:r>
          </w:p>
        </w:tc>
      </w:tr>
      <w:tr w:rsidR="0088341A" w:rsidTr="00501137">
        <w:tc>
          <w:tcPr>
            <w:tcW w:w="3192" w:type="dxa"/>
            <w:shd w:val="clear" w:color="auto" w:fill="DBE5F1"/>
            <w:vAlign w:val="center"/>
          </w:tcPr>
          <w:p w:rsidR="0088341A" w:rsidRPr="00035EF5" w:rsidRDefault="0088341A" w:rsidP="00501137">
            <w:pPr>
              <w:pStyle w:val="AERtabletextleft"/>
            </w:pPr>
            <w:r w:rsidRPr="00035EF5">
              <w:t>Equity beta</w:t>
            </w:r>
          </w:p>
        </w:tc>
        <w:tc>
          <w:tcPr>
            <w:tcW w:w="2886" w:type="dxa"/>
            <w:shd w:val="clear" w:color="auto" w:fill="DBE5F1"/>
            <w:vAlign w:val="center"/>
          </w:tcPr>
          <w:p w:rsidR="0088341A" w:rsidRPr="00BD4CF5" w:rsidRDefault="0088341A" w:rsidP="00501137">
            <w:pPr>
              <w:pStyle w:val="AERtabletextright"/>
            </w:pPr>
            <w:r w:rsidRPr="00BD4CF5">
              <w:t>0.80</w:t>
            </w:r>
          </w:p>
        </w:tc>
        <w:tc>
          <w:tcPr>
            <w:tcW w:w="3164" w:type="dxa"/>
            <w:shd w:val="clear" w:color="auto" w:fill="DBE5F1"/>
            <w:vAlign w:val="center"/>
          </w:tcPr>
          <w:p w:rsidR="0088341A" w:rsidRPr="00035EF5" w:rsidRDefault="0088341A" w:rsidP="00501137">
            <w:pPr>
              <w:pStyle w:val="AERtabletextright"/>
            </w:pPr>
            <w:r w:rsidRPr="00035EF5">
              <w:t>0.80</w:t>
            </w:r>
          </w:p>
        </w:tc>
      </w:tr>
      <w:tr w:rsidR="0088341A" w:rsidTr="00501137">
        <w:tc>
          <w:tcPr>
            <w:tcW w:w="3192" w:type="dxa"/>
            <w:shd w:val="clear" w:color="auto" w:fill="auto"/>
            <w:vAlign w:val="center"/>
          </w:tcPr>
          <w:p w:rsidR="0088341A" w:rsidRPr="00035EF5" w:rsidRDefault="0088341A" w:rsidP="00501137">
            <w:pPr>
              <w:pStyle w:val="AERtabletextleft"/>
            </w:pPr>
            <w:r w:rsidRPr="00035EF5">
              <w:t>Market risk premium</w:t>
            </w:r>
          </w:p>
        </w:tc>
        <w:tc>
          <w:tcPr>
            <w:tcW w:w="2886" w:type="dxa"/>
            <w:shd w:val="clear" w:color="auto" w:fill="auto"/>
            <w:vAlign w:val="center"/>
          </w:tcPr>
          <w:p w:rsidR="0088341A" w:rsidRPr="00BD4CF5" w:rsidRDefault="0088341A" w:rsidP="00501137">
            <w:pPr>
              <w:pStyle w:val="AERtabletextright"/>
            </w:pPr>
            <w:r w:rsidRPr="00BD4CF5">
              <w:t>6.50%</w:t>
            </w:r>
          </w:p>
        </w:tc>
        <w:tc>
          <w:tcPr>
            <w:tcW w:w="3164" w:type="dxa"/>
            <w:shd w:val="clear" w:color="auto" w:fill="auto"/>
            <w:vAlign w:val="center"/>
          </w:tcPr>
          <w:p w:rsidR="0088341A" w:rsidRPr="00130B75" w:rsidRDefault="0088341A" w:rsidP="00501137">
            <w:pPr>
              <w:pStyle w:val="AERtabletextright"/>
            </w:pPr>
            <w:r w:rsidRPr="00035EF5">
              <w:t>6.50</w:t>
            </w:r>
            <w:r w:rsidRPr="00130B75">
              <w:t>%</w:t>
            </w:r>
          </w:p>
        </w:tc>
      </w:tr>
      <w:tr w:rsidR="0088341A" w:rsidTr="00501137">
        <w:tc>
          <w:tcPr>
            <w:tcW w:w="3192" w:type="dxa"/>
            <w:shd w:val="clear" w:color="auto" w:fill="DBE5F1"/>
            <w:vAlign w:val="center"/>
          </w:tcPr>
          <w:p w:rsidR="0088341A" w:rsidRPr="00130B75" w:rsidRDefault="0088341A" w:rsidP="00501137">
            <w:pPr>
              <w:pStyle w:val="AERtabletextleft"/>
            </w:pPr>
            <w:r w:rsidRPr="00035EF5">
              <w:t>Debt risk premiu</w:t>
            </w:r>
            <w:r w:rsidRPr="00130B75">
              <w:t>m</w:t>
            </w:r>
          </w:p>
        </w:tc>
        <w:tc>
          <w:tcPr>
            <w:tcW w:w="2886" w:type="dxa"/>
            <w:shd w:val="clear" w:color="auto" w:fill="DBE5F1"/>
            <w:vAlign w:val="center"/>
          </w:tcPr>
          <w:p w:rsidR="0088341A" w:rsidRPr="00BD4CF5" w:rsidRDefault="0088341A" w:rsidP="00501137">
            <w:pPr>
              <w:pStyle w:val="AERtabletextright"/>
            </w:pPr>
            <w:r>
              <w:t>3.28</w:t>
            </w:r>
            <w:r w:rsidRPr="00BD4CF5">
              <w:t>%</w:t>
            </w:r>
          </w:p>
        </w:tc>
        <w:tc>
          <w:tcPr>
            <w:tcW w:w="3164" w:type="dxa"/>
            <w:shd w:val="clear" w:color="auto" w:fill="DBE5F1"/>
            <w:vAlign w:val="center"/>
          </w:tcPr>
          <w:p w:rsidR="0088341A" w:rsidRPr="00130B75" w:rsidRDefault="0088341A" w:rsidP="00501137">
            <w:pPr>
              <w:pStyle w:val="AERtabletextright"/>
            </w:pPr>
            <w:r>
              <w:t>3.00%</w:t>
            </w:r>
          </w:p>
        </w:tc>
      </w:tr>
      <w:tr w:rsidR="0088341A" w:rsidTr="00501137">
        <w:tc>
          <w:tcPr>
            <w:tcW w:w="3192" w:type="dxa"/>
            <w:shd w:val="clear" w:color="auto" w:fill="auto"/>
            <w:vAlign w:val="center"/>
          </w:tcPr>
          <w:p w:rsidR="0088341A" w:rsidRPr="00035EF5" w:rsidRDefault="0088341A" w:rsidP="00501137">
            <w:pPr>
              <w:pStyle w:val="AERtabletextleft"/>
            </w:pPr>
            <w:r w:rsidRPr="00035EF5">
              <w:t>Gearing level</w:t>
            </w:r>
          </w:p>
        </w:tc>
        <w:tc>
          <w:tcPr>
            <w:tcW w:w="2886" w:type="dxa"/>
            <w:shd w:val="clear" w:color="auto" w:fill="auto"/>
            <w:vAlign w:val="center"/>
          </w:tcPr>
          <w:p w:rsidR="0088341A" w:rsidRPr="00BD4CF5" w:rsidRDefault="0088341A" w:rsidP="00501137">
            <w:pPr>
              <w:pStyle w:val="AERtabletextright"/>
            </w:pPr>
            <w:r w:rsidRPr="00BD4CF5">
              <w:t>60%</w:t>
            </w:r>
          </w:p>
        </w:tc>
        <w:tc>
          <w:tcPr>
            <w:tcW w:w="3164" w:type="dxa"/>
            <w:shd w:val="clear" w:color="auto" w:fill="auto"/>
            <w:vAlign w:val="center"/>
          </w:tcPr>
          <w:p w:rsidR="0088341A" w:rsidRPr="00035EF5" w:rsidRDefault="0088341A" w:rsidP="00501137">
            <w:pPr>
              <w:pStyle w:val="AERtabletextright"/>
            </w:pPr>
            <w:r w:rsidRPr="00035EF5">
              <w:t>60%</w:t>
            </w:r>
          </w:p>
        </w:tc>
      </w:tr>
      <w:tr w:rsidR="0088341A" w:rsidTr="00501137">
        <w:tc>
          <w:tcPr>
            <w:tcW w:w="3192" w:type="dxa"/>
            <w:shd w:val="clear" w:color="auto" w:fill="DBE5F1"/>
            <w:vAlign w:val="center"/>
          </w:tcPr>
          <w:p w:rsidR="0088341A" w:rsidRPr="00035EF5" w:rsidRDefault="0088341A" w:rsidP="00501137">
            <w:pPr>
              <w:pStyle w:val="AERtabletextleft"/>
            </w:pPr>
            <w:r w:rsidRPr="00035EF5">
              <w:t>Inflation forecast</w:t>
            </w:r>
          </w:p>
        </w:tc>
        <w:tc>
          <w:tcPr>
            <w:tcW w:w="2886" w:type="dxa"/>
            <w:shd w:val="clear" w:color="auto" w:fill="DBE5F1"/>
            <w:vAlign w:val="center"/>
          </w:tcPr>
          <w:p w:rsidR="0088341A" w:rsidRPr="00BD4CF5" w:rsidRDefault="0088341A" w:rsidP="00501137">
            <w:pPr>
              <w:pStyle w:val="AERtabletextright"/>
            </w:pPr>
            <w:r>
              <w:t>2.50</w:t>
            </w:r>
            <w:r w:rsidRPr="00BD4CF5">
              <w:t>%</w:t>
            </w:r>
          </w:p>
        </w:tc>
        <w:tc>
          <w:tcPr>
            <w:tcW w:w="3164" w:type="dxa"/>
            <w:shd w:val="clear" w:color="auto" w:fill="DBE5F1"/>
            <w:vAlign w:val="center"/>
          </w:tcPr>
          <w:p w:rsidR="0088341A" w:rsidRPr="00130B75" w:rsidRDefault="0088341A" w:rsidP="00501137">
            <w:pPr>
              <w:pStyle w:val="AERtabletextright"/>
            </w:pPr>
            <w:r>
              <w:t>2.50%</w:t>
            </w:r>
          </w:p>
        </w:tc>
      </w:tr>
      <w:tr w:rsidR="0088341A" w:rsidTr="00501137">
        <w:tc>
          <w:tcPr>
            <w:tcW w:w="3192" w:type="dxa"/>
            <w:shd w:val="clear" w:color="auto" w:fill="auto"/>
            <w:vAlign w:val="center"/>
          </w:tcPr>
          <w:p w:rsidR="0088341A" w:rsidRPr="00035EF5" w:rsidRDefault="0088341A" w:rsidP="00501137">
            <w:pPr>
              <w:pStyle w:val="AERtabletextleft"/>
            </w:pPr>
            <w:r w:rsidRPr="00035EF5">
              <w:t>Gamma</w:t>
            </w:r>
          </w:p>
        </w:tc>
        <w:tc>
          <w:tcPr>
            <w:tcW w:w="2886" w:type="dxa"/>
            <w:shd w:val="clear" w:color="auto" w:fill="auto"/>
            <w:vAlign w:val="center"/>
          </w:tcPr>
          <w:p w:rsidR="0088341A" w:rsidRPr="00BD4CF5" w:rsidRDefault="0088341A" w:rsidP="00501137">
            <w:pPr>
              <w:pStyle w:val="AERtabletextright"/>
            </w:pPr>
            <w:r w:rsidRPr="00BD4CF5">
              <w:t>0.65</w:t>
            </w:r>
          </w:p>
        </w:tc>
        <w:tc>
          <w:tcPr>
            <w:tcW w:w="3164" w:type="dxa"/>
            <w:shd w:val="clear" w:color="auto" w:fill="auto"/>
            <w:vAlign w:val="center"/>
          </w:tcPr>
          <w:p w:rsidR="0088341A" w:rsidRPr="00035EF5" w:rsidRDefault="0088341A" w:rsidP="00501137">
            <w:pPr>
              <w:pStyle w:val="AERtabletextright"/>
            </w:pPr>
            <w:r w:rsidRPr="00035EF5">
              <w:t>0.65</w:t>
            </w:r>
          </w:p>
        </w:tc>
      </w:tr>
      <w:tr w:rsidR="0088341A" w:rsidTr="00501137">
        <w:tc>
          <w:tcPr>
            <w:tcW w:w="3192" w:type="dxa"/>
            <w:shd w:val="clear" w:color="auto" w:fill="DBE5F1"/>
            <w:vAlign w:val="center"/>
          </w:tcPr>
          <w:p w:rsidR="0088341A" w:rsidRPr="00035EF5" w:rsidRDefault="0088341A" w:rsidP="00501137">
            <w:pPr>
              <w:pStyle w:val="AERtabletextleft"/>
            </w:pPr>
            <w:r w:rsidRPr="00035EF5">
              <w:t>Nominal post-tax cost of equity</w:t>
            </w:r>
          </w:p>
        </w:tc>
        <w:tc>
          <w:tcPr>
            <w:tcW w:w="2886" w:type="dxa"/>
            <w:shd w:val="clear" w:color="auto" w:fill="DBE5F1"/>
            <w:vAlign w:val="center"/>
          </w:tcPr>
          <w:p w:rsidR="0088341A" w:rsidRPr="00BD4CF5" w:rsidRDefault="0088341A" w:rsidP="00501137">
            <w:pPr>
              <w:pStyle w:val="AERtabletextright"/>
            </w:pPr>
            <w:r>
              <w:t>8.34</w:t>
            </w:r>
            <w:r w:rsidRPr="00BD4CF5">
              <w:t>%</w:t>
            </w:r>
          </w:p>
        </w:tc>
        <w:tc>
          <w:tcPr>
            <w:tcW w:w="3164" w:type="dxa"/>
            <w:shd w:val="clear" w:color="auto" w:fill="DBE5F1"/>
            <w:vAlign w:val="center"/>
          </w:tcPr>
          <w:p w:rsidR="0088341A" w:rsidRPr="00130B75" w:rsidRDefault="0088341A" w:rsidP="00501137">
            <w:pPr>
              <w:pStyle w:val="AERtabletextright"/>
            </w:pPr>
            <w:r>
              <w:t>8.74</w:t>
            </w:r>
            <w:r w:rsidRPr="00130B75">
              <w:t>%</w:t>
            </w:r>
          </w:p>
        </w:tc>
      </w:tr>
      <w:tr w:rsidR="0088341A" w:rsidTr="00501137">
        <w:tc>
          <w:tcPr>
            <w:tcW w:w="3192" w:type="dxa"/>
            <w:shd w:val="clear" w:color="auto" w:fill="auto"/>
            <w:vAlign w:val="center"/>
          </w:tcPr>
          <w:p w:rsidR="0088341A" w:rsidRPr="00130B75" w:rsidRDefault="0088341A" w:rsidP="00501137">
            <w:pPr>
              <w:pStyle w:val="AERtabletextleft"/>
            </w:pPr>
            <w:r w:rsidRPr="00035EF5">
              <w:t>Nominal p</w:t>
            </w:r>
            <w:r w:rsidRPr="00130B75">
              <w:t>re-tax cost of debt</w:t>
            </w:r>
          </w:p>
        </w:tc>
        <w:tc>
          <w:tcPr>
            <w:tcW w:w="2886" w:type="dxa"/>
            <w:shd w:val="clear" w:color="auto" w:fill="auto"/>
            <w:vAlign w:val="center"/>
          </w:tcPr>
          <w:p w:rsidR="0088341A" w:rsidRPr="00BD4CF5" w:rsidRDefault="0088341A" w:rsidP="00501137">
            <w:pPr>
              <w:pStyle w:val="AERtabletextright"/>
            </w:pPr>
            <w:r>
              <w:t>6.42</w:t>
            </w:r>
            <w:r w:rsidRPr="00BD4CF5">
              <w:t>%</w:t>
            </w:r>
          </w:p>
        </w:tc>
        <w:tc>
          <w:tcPr>
            <w:tcW w:w="3164" w:type="dxa"/>
            <w:shd w:val="clear" w:color="auto" w:fill="auto"/>
            <w:vAlign w:val="center"/>
          </w:tcPr>
          <w:p w:rsidR="0088341A" w:rsidRPr="00130B75" w:rsidRDefault="0088341A" w:rsidP="00501137">
            <w:pPr>
              <w:pStyle w:val="AERtabletextright"/>
            </w:pPr>
            <w:r>
              <w:t>6.55</w:t>
            </w:r>
            <w:r w:rsidRPr="00130B75">
              <w:t>%</w:t>
            </w:r>
          </w:p>
        </w:tc>
      </w:tr>
      <w:tr w:rsidR="0088341A" w:rsidTr="00501137">
        <w:tc>
          <w:tcPr>
            <w:tcW w:w="3192" w:type="dxa"/>
            <w:shd w:val="clear" w:color="auto" w:fill="DBE5F1"/>
            <w:vAlign w:val="center"/>
          </w:tcPr>
          <w:p w:rsidR="0088341A" w:rsidRPr="00035EF5" w:rsidRDefault="0088341A" w:rsidP="00501137">
            <w:pPr>
              <w:pStyle w:val="AERtabletextleft"/>
            </w:pPr>
            <w:r w:rsidRPr="00035EF5">
              <w:t>Nominal vanilla WACC</w:t>
            </w:r>
          </w:p>
        </w:tc>
        <w:tc>
          <w:tcPr>
            <w:tcW w:w="2886" w:type="dxa"/>
            <w:shd w:val="clear" w:color="auto" w:fill="DBE5F1"/>
            <w:vAlign w:val="center"/>
          </w:tcPr>
          <w:p w:rsidR="0088341A" w:rsidRPr="00BD4CF5" w:rsidRDefault="0088341A" w:rsidP="00501137">
            <w:pPr>
              <w:pStyle w:val="AERtabletextright"/>
            </w:pPr>
            <w:r>
              <w:t>7.19</w:t>
            </w:r>
            <w:r w:rsidRPr="00BD4CF5">
              <w:t>%</w:t>
            </w:r>
          </w:p>
        </w:tc>
        <w:tc>
          <w:tcPr>
            <w:tcW w:w="3164" w:type="dxa"/>
            <w:shd w:val="clear" w:color="auto" w:fill="DBE5F1"/>
            <w:vAlign w:val="center"/>
          </w:tcPr>
          <w:p w:rsidR="0088341A" w:rsidRPr="00130B75" w:rsidRDefault="0088341A" w:rsidP="00501137">
            <w:pPr>
              <w:pStyle w:val="AERtabletextright"/>
            </w:pPr>
            <w:r>
              <w:t>7.43</w:t>
            </w:r>
            <w:r w:rsidRPr="00130B75">
              <w:t>%</w:t>
            </w:r>
          </w:p>
        </w:tc>
      </w:tr>
    </w:tbl>
    <w:p w:rsidR="0088341A" w:rsidRPr="002D6DEC" w:rsidRDefault="0088341A" w:rsidP="0088341A">
      <w:pPr>
        <w:pStyle w:val="AERtablesource"/>
      </w:pPr>
      <w:r>
        <w:t>Source:</w:t>
      </w:r>
      <w:r>
        <w:tab/>
        <w:t>AER analysis.</w:t>
      </w:r>
    </w:p>
    <w:p w:rsidR="0088341A" w:rsidRDefault="0088341A" w:rsidP="0088341A">
      <w:pPr>
        <w:pStyle w:val="Heading2"/>
        <w:numPr>
          <w:ilvl w:val="2"/>
          <w:numId w:val="20"/>
        </w:numPr>
      </w:pPr>
      <w:bookmarkStart w:id="61" w:name="_Toc341686717"/>
      <w:bookmarkStart w:id="62" w:name="_Toc365283249"/>
      <w:r w:rsidRPr="00943BD8">
        <w:lastRenderedPageBreak/>
        <w:t>Summary of analysis and reasons</w:t>
      </w:r>
      <w:bookmarkEnd w:id="61"/>
      <w:bookmarkEnd w:id="62"/>
    </w:p>
    <w:p w:rsidR="0088341A" w:rsidRPr="00EB136B" w:rsidRDefault="0088341A" w:rsidP="0088341A">
      <w:pPr>
        <w:pStyle w:val="AERbodytext"/>
        <w:numPr>
          <w:ilvl w:val="0"/>
          <w:numId w:val="1"/>
        </w:numPr>
      </w:pPr>
      <w:r>
        <w:t xml:space="preserve">SP AusNet's </w:t>
      </w:r>
      <w:r w:rsidRPr="005A3D8F">
        <w:t>proposed method for determining the WACC adopted the values, method</w:t>
      </w:r>
      <w:r>
        <w:t>s</w:t>
      </w:r>
      <w:r w:rsidRPr="005A3D8F">
        <w:t xml:space="preserve"> and</w:t>
      </w:r>
      <w:r w:rsidR="0098143C">
        <w:t xml:space="preserve"> credit rating determined in our</w:t>
      </w:r>
      <w:r w:rsidRPr="005A3D8F">
        <w:t xml:space="preserve"> </w:t>
      </w:r>
      <w:r>
        <w:t xml:space="preserve">2009 </w:t>
      </w:r>
      <w:r w:rsidRPr="005A3D8F">
        <w:t xml:space="preserve">WACC review—specifically, the equity beta, the </w:t>
      </w:r>
      <w:r>
        <w:t>market risk premium</w:t>
      </w:r>
      <w:r w:rsidRPr="005A3D8F">
        <w:t>, the level of gearing and the value of the assumed utilisation of imputation credits (gamma).</w:t>
      </w:r>
      <w:r w:rsidRPr="005A3D8F">
        <w:rPr>
          <w:rStyle w:val="FootnoteReference"/>
        </w:rPr>
        <w:footnoteReference w:id="41"/>
      </w:r>
      <w:r w:rsidRPr="005A3D8F">
        <w:t xml:space="preserve"> </w:t>
      </w:r>
      <w:r>
        <w:t>Therefore, we accept</w:t>
      </w:r>
      <w:r w:rsidRPr="005A3D8F">
        <w:t xml:space="preserve"> </w:t>
      </w:r>
      <w:r>
        <w:t>SP Aus</w:t>
      </w:r>
      <w:r w:rsidRPr="005A3D8F">
        <w:t xml:space="preserve">Net’s proposed values for these </w:t>
      </w:r>
      <w:r w:rsidRPr="00244753">
        <w:t>parameters</w:t>
      </w:r>
      <w:r>
        <w:t xml:space="preserve">. </w:t>
      </w:r>
      <w:r w:rsidRPr="005A3D8F">
        <w:t xml:space="preserve">In establishing the WACC, </w:t>
      </w:r>
      <w:r w:rsidRPr="00EB136B">
        <w:t>we also accept SP AusNet’s proposed method for determining the DRP, the nominal risk free rate and inflation forecasts.</w:t>
      </w:r>
    </w:p>
    <w:p w:rsidR="0088341A" w:rsidRPr="009E5E0C" w:rsidRDefault="0088341A" w:rsidP="0088341A">
      <w:pPr>
        <w:pStyle w:val="HeadingBoldBlue"/>
      </w:pPr>
      <w:r>
        <w:t>Parameters determined in the WACC review</w:t>
      </w:r>
    </w:p>
    <w:p w:rsidR="0088341A" w:rsidRPr="005A3D8F" w:rsidRDefault="0088341A" w:rsidP="0088341A">
      <w:pPr>
        <w:pStyle w:val="AERbodytext"/>
        <w:numPr>
          <w:ilvl w:val="0"/>
          <w:numId w:val="1"/>
        </w:numPr>
      </w:pPr>
      <w:r>
        <w:t xml:space="preserve">Under the transitional arrangements, </w:t>
      </w:r>
      <w:r w:rsidRPr="00A442FB">
        <w:t xml:space="preserve">an older version of the NER (version 52) </w:t>
      </w:r>
      <w:r>
        <w:t>will</w:t>
      </w:r>
      <w:r w:rsidRPr="00A442FB">
        <w:t xml:space="preserve"> apply to SP AusNet</w:t>
      </w:r>
      <w:r>
        <w:t>'s 2014–17 transmission determination. Based on this version of</w:t>
      </w:r>
      <w:r w:rsidRPr="005A3D8F">
        <w:t xml:space="preserve"> the </w:t>
      </w:r>
      <w:r>
        <w:t>NER, we are</w:t>
      </w:r>
      <w:r w:rsidRPr="00404939">
        <w:t xml:space="preserve"> </w:t>
      </w:r>
      <w:r w:rsidRPr="005A3D8F">
        <w:t>require</w:t>
      </w:r>
      <w:r>
        <w:t xml:space="preserve">d </w:t>
      </w:r>
      <w:r w:rsidRPr="005A3D8F">
        <w:t xml:space="preserve">to apply a rate of return </w:t>
      </w:r>
      <w:r>
        <w:t>using</w:t>
      </w:r>
      <w:r w:rsidRPr="005A3D8F">
        <w:t xml:space="preserve"> the nominal vanilla WACC formulation</w:t>
      </w:r>
      <w:r w:rsidRPr="005A3D8F">
        <w:rPr>
          <w:rStyle w:val="FootnoteReference"/>
        </w:rPr>
        <w:footnoteReference w:id="42"/>
      </w:r>
      <w:r>
        <w:t xml:space="preserve"> and </w:t>
      </w:r>
      <w:r w:rsidRPr="005A3D8F">
        <w:t>adopt</w:t>
      </w:r>
      <w:r>
        <w:t>ing</w:t>
      </w:r>
      <w:r w:rsidRPr="005A3D8F">
        <w:t xml:space="preserve"> the parameter values, methods and credit rating determined in the </w:t>
      </w:r>
      <w:r>
        <w:t xml:space="preserve">2009 </w:t>
      </w:r>
      <w:r w:rsidRPr="005A3D8F">
        <w:t>WACC review.</w:t>
      </w:r>
      <w:r w:rsidRPr="005A3D8F">
        <w:rPr>
          <w:rStyle w:val="FootnoteReference"/>
        </w:rPr>
        <w:footnoteReference w:id="43"/>
      </w:r>
    </w:p>
    <w:p w:rsidR="0088341A" w:rsidRDefault="0088341A" w:rsidP="0088341A">
      <w:pPr>
        <w:pStyle w:val="AERbodytext"/>
        <w:numPr>
          <w:ilvl w:val="0"/>
          <w:numId w:val="1"/>
        </w:numPr>
      </w:pPr>
      <w:r>
        <w:t>Consistent with the transitional arrangements</w:t>
      </w:r>
      <w:r w:rsidRPr="00E37A20">
        <w:t xml:space="preserve">, </w:t>
      </w:r>
      <w:r>
        <w:t>SP AusNet</w:t>
      </w:r>
      <w:r w:rsidRPr="005A3D8F">
        <w:t xml:space="preserve"> proposed </w:t>
      </w:r>
      <w:r>
        <w:t xml:space="preserve">to </w:t>
      </w:r>
      <w:r w:rsidRPr="005A3D8F">
        <w:t>adopt the values, method</w:t>
      </w:r>
      <w:r>
        <w:t>s</w:t>
      </w:r>
      <w:r w:rsidRPr="005A3D8F">
        <w:t xml:space="preserve"> and credit rating determined in the </w:t>
      </w:r>
      <w:r>
        <w:t xml:space="preserve">2009 </w:t>
      </w:r>
      <w:r w:rsidRPr="005A3D8F">
        <w:t>WACC review</w:t>
      </w:r>
      <w:r w:rsidR="0098143C">
        <w:t>, so</w:t>
      </w:r>
      <w:r>
        <w:t xml:space="preserve"> we </w:t>
      </w:r>
      <w:r w:rsidRPr="005A3D8F">
        <w:t xml:space="preserve">accept </w:t>
      </w:r>
      <w:r>
        <w:t>SP AusNet's</w:t>
      </w:r>
      <w:r w:rsidRPr="005A3D8F">
        <w:t xml:space="preserve"> propos</w:t>
      </w:r>
      <w:r w:rsidR="0098143C">
        <w:t xml:space="preserve">al </w:t>
      </w:r>
      <w:r w:rsidRPr="005A3D8F">
        <w:t xml:space="preserve">for these </w:t>
      </w:r>
      <w:r>
        <w:t xml:space="preserve">WACC </w:t>
      </w:r>
      <w:r w:rsidRPr="005A3D8F">
        <w:t>parameters</w:t>
      </w:r>
      <w:r>
        <w:t>.</w:t>
      </w:r>
    </w:p>
    <w:p w:rsidR="0088341A" w:rsidRPr="002F303B" w:rsidRDefault="0088341A" w:rsidP="0088341A">
      <w:pPr>
        <w:pStyle w:val="HeadingBoldBlue"/>
      </w:pPr>
      <w:r w:rsidRPr="002F303B">
        <w:t>Debt risk premium</w:t>
      </w:r>
    </w:p>
    <w:p w:rsidR="0088341A" w:rsidRDefault="0088341A" w:rsidP="0088341A">
      <w:pPr>
        <w:pStyle w:val="AERbodytext"/>
        <w:numPr>
          <w:ilvl w:val="0"/>
          <w:numId w:val="1"/>
        </w:numPr>
      </w:pPr>
      <w:bookmarkStart w:id="63" w:name="_Ref363144536"/>
      <w:r>
        <w:t xml:space="preserve">We accept SP AusNet's proposed </w:t>
      </w:r>
      <w:r w:rsidRPr="005A3D8F">
        <w:t xml:space="preserve">method for determining the DRP. </w:t>
      </w:r>
      <w:r>
        <w:t>However</w:t>
      </w:r>
      <w:r w:rsidRPr="005A3D8F">
        <w:t>,</w:t>
      </w:r>
      <w:r>
        <w:t xml:space="preserve"> in applying the proposed method, we</w:t>
      </w:r>
      <w:r w:rsidRPr="005A3D8F">
        <w:t xml:space="preserve"> updated </w:t>
      </w:r>
      <w:r>
        <w:t>SP AusNet's</w:t>
      </w:r>
      <w:r w:rsidRPr="005A3D8F">
        <w:t xml:space="preserve"> DRP </w:t>
      </w:r>
      <w:r w:rsidRPr="00910326">
        <w:t xml:space="preserve">to </w:t>
      </w:r>
      <w:r>
        <w:t>3 </w:t>
      </w:r>
      <w:r w:rsidRPr="00910326">
        <w:t xml:space="preserve">per cent, </w:t>
      </w:r>
      <w:r w:rsidRPr="005A3D8F">
        <w:t>reflect</w:t>
      </w:r>
      <w:r>
        <w:t>ing</w:t>
      </w:r>
      <w:r w:rsidRPr="005A3D8F">
        <w:t xml:space="preserve"> the indicative averaging period used throughout this draft decision.</w:t>
      </w:r>
      <w:r>
        <w:t xml:space="preserve"> We</w:t>
      </w:r>
      <w:r w:rsidRPr="005A3D8F">
        <w:t xml:space="preserve"> will</w:t>
      </w:r>
      <w:r>
        <w:t xml:space="preserve"> again update the DRP for our</w:t>
      </w:r>
      <w:r w:rsidRPr="005A3D8F">
        <w:t xml:space="preserve"> final decision, based on </w:t>
      </w:r>
      <w:r>
        <w:t>the</w:t>
      </w:r>
      <w:r w:rsidRPr="005A3D8F">
        <w:t xml:space="preserve"> </w:t>
      </w:r>
      <w:r>
        <w:t>accepted</w:t>
      </w:r>
      <w:r w:rsidRPr="005A3D8F">
        <w:t xml:space="preserve"> averaging period.</w:t>
      </w:r>
      <w:r>
        <w:t xml:space="preserve"> </w:t>
      </w:r>
    </w:p>
    <w:p w:rsidR="0088341A" w:rsidRDefault="0088341A" w:rsidP="0088341A">
      <w:pPr>
        <w:pStyle w:val="AERbodytext"/>
        <w:numPr>
          <w:ilvl w:val="0"/>
          <w:numId w:val="1"/>
        </w:numPr>
      </w:pPr>
      <w:r>
        <w:t>We</w:t>
      </w:r>
      <w:r w:rsidRPr="00E37A20">
        <w:t xml:space="preserve"> </w:t>
      </w:r>
      <w:r>
        <w:t>acknowledge the Energy Users Coalition of Victoria (EUCV) and Energy Users Association of Australia's (EUAA) concerns with the use of the Bloomberg fair value curve to determine the DRP.</w:t>
      </w:r>
      <w:r>
        <w:rPr>
          <w:rStyle w:val="FootnoteReference"/>
        </w:rPr>
        <w:footnoteReference w:id="44"/>
      </w:r>
      <w:r>
        <w:t xml:space="preserve"> Notwithstanding these concerns, we are mindful of</w:t>
      </w:r>
      <w:r w:rsidRPr="005A3D8F">
        <w:t xml:space="preserve"> the Australian Competition Tribunal’s recommendation to undertake a public consultation process before selecting an alternative DRP method.</w:t>
      </w:r>
      <w:r w:rsidRPr="005A3D8F">
        <w:rPr>
          <w:rStyle w:val="FootnoteReference"/>
        </w:rPr>
        <w:footnoteReference w:id="45"/>
      </w:r>
      <w:r w:rsidRPr="005A3D8F">
        <w:t xml:space="preserve"> </w:t>
      </w:r>
      <w:r>
        <w:t xml:space="preserve">We are </w:t>
      </w:r>
      <w:r w:rsidR="0098143C">
        <w:t xml:space="preserve">currently </w:t>
      </w:r>
      <w:r>
        <w:t>developing the rate of return guidelines.</w:t>
      </w:r>
      <w:r>
        <w:rPr>
          <w:rStyle w:val="FootnoteReference"/>
        </w:rPr>
        <w:footnoteReference w:id="46"/>
      </w:r>
      <w:r>
        <w:t xml:space="preserve"> This process provides us an opportunity to develop and consult on both our method to estimating the return on debt and how to implement t</w:t>
      </w:r>
      <w:r w:rsidR="0098143C">
        <w:t>hat method. The outcomes of the</w:t>
      </w:r>
      <w:r>
        <w:t xml:space="preserve"> guideline</w:t>
      </w:r>
      <w:r w:rsidR="0098143C">
        <w:t>s will inform the next revenue reset for SP </w:t>
      </w:r>
      <w:r>
        <w:t>AusNet before 1 July 2017. Therefore, for</w:t>
      </w:r>
      <w:r w:rsidRPr="00E37A20">
        <w:t xml:space="preserve"> this decision, </w:t>
      </w:r>
      <w:r>
        <w:t>we have</w:t>
      </w:r>
      <w:r w:rsidRPr="00E37A20">
        <w:t xml:space="preserve"> maintained </w:t>
      </w:r>
      <w:r>
        <w:t xml:space="preserve">our practice of </w:t>
      </w:r>
      <w:r w:rsidRPr="00E37A20">
        <w:t>adopti</w:t>
      </w:r>
      <w:r>
        <w:t>ng</w:t>
      </w:r>
      <w:r w:rsidRPr="00E37A20">
        <w:t xml:space="preserve"> the extrapolated Bloomberg BBB fair value curve</w:t>
      </w:r>
      <w:r>
        <w:t xml:space="preserve"> to estimate the DRP</w:t>
      </w:r>
      <w:r w:rsidRPr="00E37A20">
        <w:t xml:space="preserve">. </w:t>
      </w:r>
    </w:p>
    <w:p w:rsidR="0088341A" w:rsidRDefault="0088341A" w:rsidP="0088341A">
      <w:pPr>
        <w:pStyle w:val="HeadingBoldBlue"/>
      </w:pPr>
      <w:r w:rsidRPr="002F303B">
        <w:t>Nominal risk free rate</w:t>
      </w:r>
      <w:bookmarkEnd w:id="63"/>
    </w:p>
    <w:p w:rsidR="0088341A" w:rsidRDefault="0088341A" w:rsidP="0088341A">
      <w:pPr>
        <w:pStyle w:val="AERbodytext"/>
        <w:numPr>
          <w:ilvl w:val="0"/>
          <w:numId w:val="1"/>
        </w:numPr>
        <w:rPr>
          <w:rStyle w:val="AERbody"/>
        </w:rPr>
      </w:pPr>
      <w:r>
        <w:t>We accept SP AusNet's</w:t>
      </w:r>
      <w:r w:rsidRPr="009F126C">
        <w:t xml:space="preserve"> </w:t>
      </w:r>
      <w:r w:rsidRPr="005A3D8F">
        <w:t>proposed averaging period to calculate the nominal risk free rate</w:t>
      </w:r>
      <w:r w:rsidR="0098143C">
        <w:t xml:space="preserve"> because</w:t>
      </w:r>
      <w:r>
        <w:t xml:space="preserve"> it satisfies the requirements set out in the NER and </w:t>
      </w:r>
      <w:r w:rsidR="0098143C">
        <w:t xml:space="preserve">the </w:t>
      </w:r>
      <w:r>
        <w:t>WACC review</w:t>
      </w:r>
      <w:r w:rsidRPr="005A3D8F">
        <w:t xml:space="preserve">. </w:t>
      </w:r>
      <w:r>
        <w:t>We also accept</w:t>
      </w:r>
      <w:r w:rsidRPr="005A3D8F">
        <w:t xml:space="preserve"> </w:t>
      </w:r>
      <w:r>
        <w:t>SP AusNet's</w:t>
      </w:r>
      <w:r w:rsidRPr="005A3D8F">
        <w:t xml:space="preserve"> request to keep</w:t>
      </w:r>
      <w:r w:rsidRPr="005A3D8F">
        <w:rPr>
          <w:rStyle w:val="AERbody"/>
        </w:rPr>
        <w:t xml:space="preserve"> the averaging period confidential until the expiration of that period.</w:t>
      </w:r>
      <w:r w:rsidRPr="005A3D8F">
        <w:rPr>
          <w:rStyle w:val="FootnoteReference"/>
        </w:rPr>
        <w:footnoteReference w:id="47"/>
      </w:r>
      <w:r w:rsidRPr="005A3D8F">
        <w:rPr>
          <w:rStyle w:val="AERbody"/>
        </w:rPr>
        <w:t xml:space="preserve"> </w:t>
      </w:r>
      <w:r w:rsidR="0098143C">
        <w:rPr>
          <w:rStyle w:val="AERbody"/>
        </w:rPr>
        <w:t xml:space="preserve">The WACC review stated we will </w:t>
      </w:r>
      <w:r>
        <w:rPr>
          <w:rStyle w:val="AERbody"/>
        </w:rPr>
        <w:t xml:space="preserve">accept </w:t>
      </w:r>
      <w:r w:rsidR="0098143C">
        <w:rPr>
          <w:rStyle w:val="AERbody"/>
        </w:rPr>
        <w:t xml:space="preserve">only </w:t>
      </w:r>
      <w:r>
        <w:rPr>
          <w:rStyle w:val="AERbody"/>
        </w:rPr>
        <w:t xml:space="preserve">an averaging period commencing as close as reasonably possible to </w:t>
      </w:r>
      <w:r>
        <w:rPr>
          <w:rStyle w:val="AERbody"/>
        </w:rPr>
        <w:lastRenderedPageBreak/>
        <w:t>the start of the TNSP's regulatory control period. In the WACC review, we also consider</w:t>
      </w:r>
      <w:r w:rsidR="0098143C">
        <w:rPr>
          <w:rStyle w:val="AERbody"/>
        </w:rPr>
        <w:t>ed</w:t>
      </w:r>
      <w:r>
        <w:rPr>
          <w:rStyle w:val="AERbody"/>
        </w:rPr>
        <w:t xml:space="preserve"> an averaging period between 10 and 40 business days to be reasonable.</w:t>
      </w:r>
      <w:r>
        <w:rPr>
          <w:rStyle w:val="FootnoteReference"/>
        </w:rPr>
        <w:footnoteReference w:id="48"/>
      </w:r>
      <w:r>
        <w:rPr>
          <w:rStyle w:val="AERbody"/>
        </w:rPr>
        <w:t xml:space="preserve"> We consider SP AusNet's </w:t>
      </w:r>
      <w:r w:rsidRPr="00B31E44">
        <w:rPr>
          <w:rStyle w:val="AERbody"/>
        </w:rPr>
        <w:t>proposed averaging period</w:t>
      </w:r>
      <w:r>
        <w:rPr>
          <w:rStyle w:val="AERbody"/>
        </w:rPr>
        <w:t xml:space="preserve"> satisfies these requirements. </w:t>
      </w:r>
    </w:p>
    <w:p w:rsidR="0088341A" w:rsidRDefault="0088341A" w:rsidP="0088341A">
      <w:pPr>
        <w:pStyle w:val="AERbodytext"/>
        <w:numPr>
          <w:ilvl w:val="0"/>
          <w:numId w:val="1"/>
        </w:numPr>
      </w:pPr>
      <w:r>
        <w:t xml:space="preserve">The EUAA raised </w:t>
      </w:r>
      <w:r w:rsidR="0098143C">
        <w:t>concerns about</w:t>
      </w:r>
      <w:r>
        <w:t xml:space="preserve"> the confidential nature of the averaging pe</w:t>
      </w:r>
      <w:r w:rsidR="0098143C">
        <w:t xml:space="preserve">riod proposed by SP AusNet </w:t>
      </w:r>
      <w:r>
        <w:t>to estimate the risk free rate (and the DRP). The NER allows us to accept SP AusNet's request to keep its averaging period confidential but only until the agreed period expires.</w:t>
      </w:r>
      <w:r>
        <w:rPr>
          <w:rStyle w:val="FootnoteReference"/>
        </w:rPr>
        <w:footnoteReference w:id="49"/>
      </w:r>
      <w:r>
        <w:t xml:space="preserve"> In agreeing to accept SP AusNet's request, we had regard to the requirement that the propose</w:t>
      </w:r>
      <w:r w:rsidR="0098143C">
        <w:t>d averaging period be agreed in advance of the period</w:t>
      </w:r>
      <w:r>
        <w:t xml:space="preserve">. We consider this </w:t>
      </w:r>
      <w:r w:rsidR="0098143C">
        <w:t xml:space="preserve">approach </w:t>
      </w:r>
      <w:r>
        <w:t>minimises the ability for networks to select an averaging period that will result in a systematic bias. We also consider that, should SP AusNet</w:t>
      </w:r>
      <w:r w:rsidRPr="00B9076C">
        <w:t xml:space="preserve"> </w:t>
      </w:r>
      <w:r>
        <w:t xml:space="preserve">seek to refinance </w:t>
      </w:r>
      <w:r w:rsidRPr="00B9076C">
        <w:t xml:space="preserve">or engage in </w:t>
      </w:r>
      <w:r>
        <w:t>hedging transactions</w:t>
      </w:r>
      <w:r w:rsidRPr="00B9076C">
        <w:t xml:space="preserve"> during the averaging period</w:t>
      </w:r>
      <w:r>
        <w:t>, disclosing this period to market participants may lead to higher financing costs.</w:t>
      </w:r>
      <w:r>
        <w:rPr>
          <w:rStyle w:val="FootnoteReference"/>
        </w:rPr>
        <w:footnoteReference w:id="50"/>
      </w:r>
      <w:r w:rsidR="009D25D9">
        <w:t xml:space="preserve"> Such an</w:t>
      </w:r>
      <w:r>
        <w:t xml:space="preserve"> increase in cost</w:t>
      </w:r>
      <w:r w:rsidR="009D25D9">
        <w:t xml:space="preserve">s is unlikely to be in the long </w:t>
      </w:r>
      <w:r>
        <w:t xml:space="preserve">term interests of consumers. </w:t>
      </w:r>
    </w:p>
    <w:p w:rsidR="0088341A" w:rsidRPr="005E1D2F" w:rsidRDefault="0088341A" w:rsidP="0088341A">
      <w:pPr>
        <w:pStyle w:val="HeadingBoldBlue"/>
      </w:pPr>
      <w:r w:rsidRPr="005E1D2F">
        <w:t>Expected inflation rate</w:t>
      </w:r>
    </w:p>
    <w:p w:rsidR="0088341A" w:rsidRPr="00B31E44" w:rsidRDefault="0088341A" w:rsidP="0088341A">
      <w:pPr>
        <w:pStyle w:val="AERbodytext"/>
        <w:numPr>
          <w:ilvl w:val="0"/>
          <w:numId w:val="1"/>
        </w:numPr>
        <w:rPr>
          <w:rStyle w:val="AERbody"/>
        </w:rPr>
      </w:pPr>
      <w:r w:rsidRPr="00B97AFB">
        <w:t>We agree with SP AusNet's proposed method for determining the annual inflation forecast based on an average of the Reserve Bank of Australia's (RBA) short term inflation forecasts and the mid-point of the RBA's inflation targeting band. This approach is consistent with what we have previously adopted.</w:t>
      </w:r>
      <w:r>
        <w:t xml:space="preserve"> H</w:t>
      </w:r>
      <w:r w:rsidRPr="0005308A">
        <w:t xml:space="preserve">owever, </w:t>
      </w:r>
      <w:r>
        <w:t xml:space="preserve">we used the </w:t>
      </w:r>
      <w:r w:rsidRPr="00F94DCB">
        <w:t>latest RBA forecasts</w:t>
      </w:r>
      <w:r>
        <w:t xml:space="preserve"> to develop an update to the annual inflation estimate for this draft decision</w:t>
      </w:r>
      <w:r w:rsidRPr="0005308A">
        <w:t>.</w:t>
      </w:r>
      <w:r>
        <w:t xml:space="preserve"> </w:t>
      </w:r>
      <w:r w:rsidRPr="00B97AFB">
        <w:t xml:space="preserve"> The RBA published a range of 2.0–3.0 per cent </w:t>
      </w:r>
      <w:r>
        <w:t>for</w:t>
      </w:r>
      <w:r w:rsidRPr="00B97AFB">
        <w:t xml:space="preserve"> its December 2014 inflation forec</w:t>
      </w:r>
      <w:r w:rsidR="009D25D9">
        <w:t xml:space="preserve">ast. We </w:t>
      </w:r>
      <w:r w:rsidRPr="00B97AFB">
        <w:t>selected the mid-point of 2.5 per cent for this</w:t>
      </w:r>
      <w:r>
        <w:t xml:space="preserve"> draft</w:t>
      </w:r>
      <w:r w:rsidRPr="00B97AFB">
        <w:t xml:space="preserve"> decision. </w:t>
      </w:r>
      <w:r w:rsidRPr="00B97AFB">
        <w:rPr>
          <w:rStyle w:val="AERbody"/>
        </w:rPr>
        <w:t xml:space="preserve">We expect the RBA to publish a December 2015 inflation forecast </w:t>
      </w:r>
      <w:r w:rsidR="009D25D9">
        <w:rPr>
          <w:rStyle w:val="AERbody"/>
        </w:rPr>
        <w:t>before</w:t>
      </w:r>
      <w:r w:rsidRPr="00B97AFB">
        <w:rPr>
          <w:rStyle w:val="AERbody"/>
        </w:rPr>
        <w:t xml:space="preserve"> our final decision</w:t>
      </w:r>
      <w:r w:rsidR="009D25D9">
        <w:rPr>
          <w:rStyle w:val="AERbody"/>
        </w:rPr>
        <w:t>, and</w:t>
      </w:r>
      <w:r>
        <w:rPr>
          <w:rStyle w:val="AERbody"/>
        </w:rPr>
        <w:t xml:space="preserve"> we will update the value of </w:t>
      </w:r>
      <w:r w:rsidR="009D25D9">
        <w:rPr>
          <w:rStyle w:val="AERbody"/>
        </w:rPr>
        <w:t xml:space="preserve">the </w:t>
      </w:r>
      <w:r>
        <w:rPr>
          <w:rStyle w:val="AERbody"/>
        </w:rPr>
        <w:t xml:space="preserve">expected inflation rate </w:t>
      </w:r>
      <w:r w:rsidRPr="00B97AFB">
        <w:rPr>
          <w:rStyle w:val="AERbody"/>
        </w:rPr>
        <w:t>accordingly</w:t>
      </w:r>
      <w:r>
        <w:rPr>
          <w:rStyle w:val="AERbody"/>
        </w:rPr>
        <w:t xml:space="preserve"> in the final decision</w:t>
      </w:r>
      <w:r w:rsidRPr="00B97AFB">
        <w:rPr>
          <w:rStyle w:val="AERbody"/>
        </w:rPr>
        <w:t xml:space="preserve">. </w:t>
      </w:r>
    </w:p>
    <w:p w:rsidR="0088341A" w:rsidRDefault="0088341A" w:rsidP="0088341A">
      <w:pPr>
        <w:pStyle w:val="AERbodytext"/>
        <w:numPr>
          <w:ilvl w:val="0"/>
          <w:numId w:val="1"/>
        </w:numPr>
        <w:rPr>
          <w:rStyle w:val="AERbody"/>
        </w:rPr>
      </w:pPr>
    </w:p>
    <w:p w:rsidR="0088341A" w:rsidRDefault="0088341A" w:rsidP="0088341A">
      <w:pPr>
        <w:pStyle w:val="AERbodytext"/>
        <w:numPr>
          <w:ilvl w:val="0"/>
          <w:numId w:val="0"/>
        </w:numPr>
      </w:pPr>
    </w:p>
    <w:p w:rsidR="0088341A" w:rsidRDefault="0088341A" w:rsidP="0088341A">
      <w:pPr>
        <w:pStyle w:val="Heading1"/>
        <w:numPr>
          <w:ilvl w:val="1"/>
          <w:numId w:val="20"/>
        </w:numPr>
      </w:pPr>
      <w:bookmarkStart w:id="64" w:name="_Toc365283250"/>
      <w:bookmarkStart w:id="65" w:name="_Toc365461986"/>
      <w:r>
        <w:lastRenderedPageBreak/>
        <w:t>Regulatory depreciation</w:t>
      </w:r>
      <w:bookmarkEnd w:id="64"/>
      <w:bookmarkEnd w:id="65"/>
    </w:p>
    <w:p w:rsidR="0088341A" w:rsidRDefault="0088341A" w:rsidP="0088341A">
      <w:pPr>
        <w:pStyle w:val="AERbodytext"/>
        <w:numPr>
          <w:ilvl w:val="0"/>
          <w:numId w:val="1"/>
        </w:numPr>
      </w:pPr>
      <w:r>
        <w:t>We are required to decide on SP AusNet's indexation of the RAB and depreciation building blocks over the 2014–17 regulatory control period.</w:t>
      </w:r>
      <w:r>
        <w:rPr>
          <w:rStyle w:val="FootnoteReference"/>
        </w:rPr>
        <w:footnoteReference w:id="51"/>
      </w:r>
      <w:r>
        <w:t xml:space="preserve"> We use regulatory depreciation to model the nominal asset values over the regulatory control period, and set the depreciation allowance in the annual building block revenue requirement. The regulatory</w:t>
      </w:r>
      <w:r w:rsidRPr="007635D8">
        <w:t xml:space="preserve"> </w:t>
      </w:r>
      <w:r w:rsidRPr="00446E00">
        <w:t xml:space="preserve">depreciation </w:t>
      </w:r>
      <w:r>
        <w:t xml:space="preserve">allowance (or return of capital) is </w:t>
      </w:r>
      <w:r w:rsidRPr="00446E00">
        <w:t xml:space="preserve">the </w:t>
      </w:r>
      <w:r>
        <w:t>net total</w:t>
      </w:r>
      <w:r w:rsidRPr="00446E00">
        <w:t xml:space="preserve"> of the </w:t>
      </w:r>
      <w:r>
        <w:t xml:space="preserve">straight-line </w:t>
      </w:r>
      <w:r w:rsidRPr="00446E00">
        <w:t>depreciation</w:t>
      </w:r>
      <w:r>
        <w:t xml:space="preserve"> </w:t>
      </w:r>
      <w:r w:rsidRPr="00446E00">
        <w:t>(</w:t>
      </w:r>
      <w:r>
        <w:t>negative</w:t>
      </w:r>
      <w:r w:rsidRPr="00446E00">
        <w:t xml:space="preserve">) </w:t>
      </w:r>
      <w:r>
        <w:t xml:space="preserve">amount </w:t>
      </w:r>
      <w:r w:rsidRPr="00446E00">
        <w:t>and the</w:t>
      </w:r>
      <w:r>
        <w:t xml:space="preserve"> (positive)</w:t>
      </w:r>
      <w:r w:rsidRPr="00446E00">
        <w:t xml:space="preserve"> </w:t>
      </w:r>
      <w:r>
        <w:t xml:space="preserve">amount from </w:t>
      </w:r>
      <w:r w:rsidRPr="00446E00">
        <w:t xml:space="preserve">indexation </w:t>
      </w:r>
      <w:r>
        <w:t>of</w:t>
      </w:r>
      <w:r w:rsidRPr="00446E00">
        <w:t xml:space="preserve"> the </w:t>
      </w:r>
      <w:r>
        <w:t>RAB.</w:t>
      </w:r>
    </w:p>
    <w:p w:rsidR="0088341A" w:rsidRDefault="0088341A" w:rsidP="0088341A">
      <w:pPr>
        <w:pStyle w:val="AERbodytext"/>
        <w:numPr>
          <w:ilvl w:val="0"/>
          <w:numId w:val="1"/>
        </w:numPr>
      </w:pPr>
      <w:r>
        <w:t>SP AusNet is required to submit a proposed depreciation schedule for its RAB in its revenue proposal.</w:t>
      </w:r>
      <w:r>
        <w:rPr>
          <w:rStyle w:val="FootnoteReference"/>
        </w:rPr>
        <w:footnoteReference w:id="52"/>
      </w:r>
      <w:r>
        <w:t xml:space="preserve"> The depreciation schedule sets out the basis on which the RAB is to be depreciated for determining a regulatory depreciation allowance. We must assess whether the proposed depreciation schedule complies with the NER requirements. </w:t>
      </w:r>
    </w:p>
    <w:p w:rsidR="0088341A" w:rsidRPr="005B1DAC" w:rsidRDefault="0088341A" w:rsidP="0088341A">
      <w:pPr>
        <w:pStyle w:val="AERbodytext"/>
        <w:numPr>
          <w:ilvl w:val="0"/>
          <w:numId w:val="1"/>
        </w:numPr>
      </w:pPr>
      <w:r>
        <w:t xml:space="preserve">Attachment 6 sets out the detailed reasons for our draft decision on SP AusNet's regulatory depreciation allowance and depreciation schedule. </w:t>
      </w:r>
    </w:p>
    <w:p w:rsidR="0088341A" w:rsidRPr="00EF4807" w:rsidRDefault="0088341A" w:rsidP="0088341A">
      <w:pPr>
        <w:pStyle w:val="Heading2"/>
        <w:numPr>
          <w:ilvl w:val="2"/>
          <w:numId w:val="20"/>
        </w:numPr>
      </w:pPr>
      <w:bookmarkStart w:id="66" w:name="_Toc341686719"/>
      <w:bookmarkStart w:id="67" w:name="_Toc365283251"/>
      <w:r w:rsidRPr="00EF4807">
        <w:t>Draft decision</w:t>
      </w:r>
      <w:bookmarkEnd w:id="66"/>
      <w:bookmarkEnd w:id="67"/>
    </w:p>
    <w:p w:rsidR="0088341A" w:rsidRDefault="0088341A" w:rsidP="0088341A">
      <w:pPr>
        <w:pStyle w:val="AERbodytext"/>
        <w:numPr>
          <w:ilvl w:val="0"/>
          <w:numId w:val="1"/>
        </w:numPr>
      </w:pPr>
      <w:r>
        <w:t xml:space="preserve">We do not accept SP AusNet's proposed depreciation allowance of $239.1 million ($ nominal). </w:t>
      </w:r>
      <w:r>
        <w:fldChar w:fldCharType="begin"/>
      </w:r>
      <w:r>
        <w:instrText xml:space="preserve"> REF _Ref337729252 \h </w:instrText>
      </w:r>
      <w:r>
        <w:fldChar w:fldCharType="separate"/>
      </w:r>
      <w:r w:rsidR="004F35AA">
        <w:t xml:space="preserve">Table </w:t>
      </w:r>
      <w:r w:rsidR="004F35AA">
        <w:rPr>
          <w:noProof/>
        </w:rPr>
        <w:t>6</w:t>
      </w:r>
      <w:r w:rsidR="004F35AA">
        <w:t>.</w:t>
      </w:r>
      <w:r w:rsidR="004F35AA">
        <w:rPr>
          <w:noProof/>
        </w:rPr>
        <w:t>1</w:t>
      </w:r>
      <w:r>
        <w:fldChar w:fldCharType="end"/>
      </w:r>
      <w:r>
        <w:t xml:space="preserve"> sets out our draft decision on SP AusNet's depreciation allowance for the 2014–17 regulatory control period. </w:t>
      </w:r>
    </w:p>
    <w:p w:rsidR="0088341A" w:rsidRDefault="0088341A" w:rsidP="0088341A">
      <w:pPr>
        <w:pStyle w:val="Caption"/>
      </w:pPr>
      <w:bookmarkStart w:id="68" w:name="_Ref337729252"/>
      <w:r>
        <w:t xml:space="preserve">Table </w:t>
      </w:r>
      <w:fldSimple w:instr=" STYLEREF 1 \s ">
        <w:r w:rsidR="004F35AA">
          <w:rPr>
            <w:noProof/>
          </w:rPr>
          <w:t>6</w:t>
        </w:r>
      </w:fldSimple>
      <w:r w:rsidR="00C56A87">
        <w:t>.</w:t>
      </w:r>
      <w:fldSimple w:instr=" SEQ Table \* ARABIC \s 1 ">
        <w:r w:rsidR="004F35AA">
          <w:rPr>
            <w:noProof/>
          </w:rPr>
          <w:t>1</w:t>
        </w:r>
      </w:fldSimple>
      <w:bookmarkEnd w:id="68"/>
      <w:r w:rsidRPr="002E217D">
        <w:tab/>
        <w:t xml:space="preserve">AER's draft decision on </w:t>
      </w:r>
      <w:r>
        <w:t>SP AusNet's</w:t>
      </w:r>
      <w:r w:rsidRPr="002E217D">
        <w:t xml:space="preserve"> depreciation allowance for the </w:t>
      </w:r>
      <w:r>
        <w:t>2014–17</w:t>
      </w:r>
      <w:r w:rsidRPr="002E217D">
        <w:t xml:space="preserve"> regulatory control period ($ million, nominal)</w:t>
      </w:r>
    </w:p>
    <w:tbl>
      <w:tblPr>
        <w:tblW w:w="9260" w:type="dxa"/>
        <w:tblBorders>
          <w:bottom w:val="single" w:sz="4" w:space="0" w:color="365F91"/>
        </w:tblBorders>
        <w:tblLayout w:type="fixed"/>
        <w:tblLook w:val="01E0" w:firstRow="1" w:lastRow="1" w:firstColumn="1" w:lastColumn="1" w:noHBand="0" w:noVBand="0"/>
      </w:tblPr>
      <w:tblGrid>
        <w:gridCol w:w="3517"/>
        <w:gridCol w:w="1525"/>
        <w:gridCol w:w="1333"/>
        <w:gridCol w:w="1333"/>
        <w:gridCol w:w="1552"/>
      </w:tblGrid>
      <w:tr w:rsidR="0088341A" w:rsidRPr="005E709D" w:rsidTr="00501137">
        <w:trPr>
          <w:trHeight w:val="537"/>
        </w:trPr>
        <w:tc>
          <w:tcPr>
            <w:tcW w:w="3517" w:type="dxa"/>
            <w:shd w:val="clear" w:color="auto" w:fill="365F91"/>
            <w:vAlign w:val="center"/>
          </w:tcPr>
          <w:p w:rsidR="0088341A" w:rsidRPr="00403610" w:rsidRDefault="0088341A" w:rsidP="00501137">
            <w:pPr>
              <w:pStyle w:val="AERbodytext"/>
              <w:numPr>
                <w:ilvl w:val="0"/>
                <w:numId w:val="1"/>
              </w:numPr>
              <w:spacing w:before="120"/>
              <w:rPr>
                <w:b/>
                <w:color w:val="FFFFFF"/>
                <w:sz w:val="16"/>
              </w:rPr>
            </w:pPr>
          </w:p>
        </w:tc>
        <w:tc>
          <w:tcPr>
            <w:tcW w:w="1525" w:type="dxa"/>
            <w:shd w:val="clear" w:color="auto" w:fill="365F91"/>
            <w:vAlign w:val="center"/>
          </w:tcPr>
          <w:p w:rsidR="0088341A" w:rsidRPr="00403610" w:rsidRDefault="0088341A" w:rsidP="00501137">
            <w:pPr>
              <w:pStyle w:val="AERtabletextright"/>
              <w:rPr>
                <w:b/>
                <w:color w:val="FFFFFF"/>
              </w:rPr>
            </w:pPr>
            <w:r w:rsidRPr="00403610">
              <w:rPr>
                <w:b/>
                <w:color w:val="FFFFFF"/>
              </w:rPr>
              <w:t>2014–15</w:t>
            </w:r>
          </w:p>
        </w:tc>
        <w:tc>
          <w:tcPr>
            <w:tcW w:w="1333" w:type="dxa"/>
            <w:shd w:val="clear" w:color="auto" w:fill="365F91"/>
            <w:vAlign w:val="center"/>
          </w:tcPr>
          <w:p w:rsidR="0088341A" w:rsidRPr="00403610" w:rsidRDefault="0088341A" w:rsidP="00501137">
            <w:pPr>
              <w:pStyle w:val="AERtabletextright"/>
              <w:rPr>
                <w:b/>
                <w:color w:val="FFFFFF"/>
              </w:rPr>
            </w:pPr>
            <w:r w:rsidRPr="00403610">
              <w:rPr>
                <w:b/>
                <w:color w:val="FFFFFF"/>
              </w:rPr>
              <w:t>2015–16</w:t>
            </w:r>
          </w:p>
        </w:tc>
        <w:tc>
          <w:tcPr>
            <w:tcW w:w="1333" w:type="dxa"/>
            <w:shd w:val="clear" w:color="auto" w:fill="365F91"/>
            <w:vAlign w:val="center"/>
          </w:tcPr>
          <w:p w:rsidR="0088341A" w:rsidRPr="00403610" w:rsidRDefault="0088341A" w:rsidP="00501137">
            <w:pPr>
              <w:pStyle w:val="AERtabletextright"/>
              <w:rPr>
                <w:b/>
                <w:color w:val="FFFFFF"/>
              </w:rPr>
            </w:pPr>
            <w:r w:rsidRPr="00403610">
              <w:rPr>
                <w:b/>
                <w:color w:val="FFFFFF"/>
              </w:rPr>
              <w:t>2016–17</w:t>
            </w:r>
          </w:p>
        </w:tc>
        <w:tc>
          <w:tcPr>
            <w:tcW w:w="1552" w:type="dxa"/>
            <w:shd w:val="clear" w:color="auto" w:fill="365F91"/>
            <w:vAlign w:val="center"/>
          </w:tcPr>
          <w:p w:rsidR="0088341A" w:rsidRPr="00403610" w:rsidRDefault="0088341A" w:rsidP="00501137">
            <w:pPr>
              <w:pStyle w:val="AERtabletextright"/>
              <w:rPr>
                <w:b/>
                <w:color w:val="FFFFFF"/>
              </w:rPr>
            </w:pPr>
            <w:r w:rsidRPr="00403610">
              <w:rPr>
                <w:b/>
                <w:color w:val="FFFFFF"/>
              </w:rPr>
              <w:t>Total</w:t>
            </w:r>
          </w:p>
        </w:tc>
      </w:tr>
      <w:tr w:rsidR="0088341A" w:rsidRPr="005E709D" w:rsidTr="00501137">
        <w:trPr>
          <w:trHeight w:val="437"/>
        </w:trPr>
        <w:tc>
          <w:tcPr>
            <w:tcW w:w="3517" w:type="dxa"/>
            <w:shd w:val="clear" w:color="auto" w:fill="auto"/>
            <w:vAlign w:val="center"/>
          </w:tcPr>
          <w:p w:rsidR="0088341A" w:rsidRPr="00E363D3" w:rsidRDefault="0088341A" w:rsidP="00501137">
            <w:pPr>
              <w:pStyle w:val="AERtabletextleft"/>
            </w:pPr>
            <w:r w:rsidRPr="00CC73F9">
              <w:t>Straight-line depreciation</w:t>
            </w:r>
          </w:p>
        </w:tc>
        <w:tc>
          <w:tcPr>
            <w:tcW w:w="1525" w:type="dxa"/>
            <w:shd w:val="clear" w:color="auto" w:fill="auto"/>
            <w:vAlign w:val="center"/>
          </w:tcPr>
          <w:p w:rsidR="0088341A" w:rsidRPr="00D64903" w:rsidRDefault="0088341A" w:rsidP="00501137">
            <w:pPr>
              <w:pStyle w:val="AERtabletextright"/>
            </w:pPr>
            <w:r w:rsidRPr="00D64903">
              <w:t xml:space="preserve">147.4 </w:t>
            </w:r>
          </w:p>
        </w:tc>
        <w:tc>
          <w:tcPr>
            <w:tcW w:w="1333" w:type="dxa"/>
            <w:shd w:val="clear" w:color="auto" w:fill="auto"/>
            <w:vAlign w:val="center"/>
          </w:tcPr>
          <w:p w:rsidR="0088341A" w:rsidRPr="00D64903" w:rsidRDefault="0088341A" w:rsidP="00501137">
            <w:pPr>
              <w:pStyle w:val="AERtabletextright"/>
            </w:pPr>
            <w:r w:rsidRPr="00D64903">
              <w:t xml:space="preserve">153.2 </w:t>
            </w:r>
          </w:p>
        </w:tc>
        <w:tc>
          <w:tcPr>
            <w:tcW w:w="1333" w:type="dxa"/>
            <w:shd w:val="clear" w:color="auto" w:fill="auto"/>
            <w:vAlign w:val="center"/>
          </w:tcPr>
          <w:p w:rsidR="0088341A" w:rsidRPr="00D64903" w:rsidRDefault="0088341A" w:rsidP="00501137">
            <w:pPr>
              <w:pStyle w:val="AERtabletextright"/>
            </w:pPr>
            <w:r w:rsidRPr="00D64903">
              <w:t xml:space="preserve">160.1 </w:t>
            </w:r>
          </w:p>
        </w:tc>
        <w:tc>
          <w:tcPr>
            <w:tcW w:w="1552" w:type="dxa"/>
            <w:shd w:val="clear" w:color="auto" w:fill="auto"/>
            <w:vAlign w:val="center"/>
          </w:tcPr>
          <w:p w:rsidR="0088341A" w:rsidRPr="00E363D3" w:rsidRDefault="0088341A" w:rsidP="00501137">
            <w:pPr>
              <w:pStyle w:val="AERtabletextright"/>
            </w:pPr>
            <w:r>
              <w:t>460.7</w:t>
            </w:r>
          </w:p>
        </w:tc>
      </w:tr>
      <w:tr w:rsidR="0088341A" w:rsidRPr="005E709D" w:rsidTr="00501137">
        <w:trPr>
          <w:trHeight w:val="672"/>
        </w:trPr>
        <w:tc>
          <w:tcPr>
            <w:tcW w:w="3517" w:type="dxa"/>
            <w:shd w:val="clear" w:color="auto" w:fill="DBE5F1"/>
            <w:vAlign w:val="center"/>
          </w:tcPr>
          <w:p w:rsidR="0088341A" w:rsidRPr="00E363D3" w:rsidRDefault="0088341A" w:rsidP="00501137">
            <w:pPr>
              <w:pStyle w:val="AERtabletextleft"/>
            </w:pPr>
            <w:r w:rsidRPr="00CC73F9">
              <w:rPr>
                <w:rStyle w:val="AERtextitalic"/>
              </w:rPr>
              <w:t>Less</w:t>
            </w:r>
            <w:r w:rsidRPr="00E363D3">
              <w:t>: inflation indexation on opening RAB</w:t>
            </w:r>
          </w:p>
        </w:tc>
        <w:tc>
          <w:tcPr>
            <w:tcW w:w="1525" w:type="dxa"/>
            <w:shd w:val="clear" w:color="auto" w:fill="DBE5F1"/>
            <w:vAlign w:val="center"/>
          </w:tcPr>
          <w:p w:rsidR="0088341A" w:rsidRPr="008B4AA8" w:rsidRDefault="0088341A" w:rsidP="00501137">
            <w:pPr>
              <w:pStyle w:val="AERtabletextright"/>
            </w:pPr>
            <w:r w:rsidRPr="008B4AA8">
              <w:t>71.8</w:t>
            </w:r>
          </w:p>
        </w:tc>
        <w:tc>
          <w:tcPr>
            <w:tcW w:w="1333" w:type="dxa"/>
            <w:shd w:val="clear" w:color="auto" w:fill="DBE5F1"/>
            <w:vAlign w:val="center"/>
          </w:tcPr>
          <w:p w:rsidR="0088341A" w:rsidRPr="008B4AA8" w:rsidRDefault="0088341A" w:rsidP="00501137">
            <w:pPr>
              <w:pStyle w:val="AERtabletextright"/>
            </w:pPr>
            <w:r w:rsidRPr="008B4AA8">
              <w:t>73.</w:t>
            </w:r>
            <w:r>
              <w:t>1</w:t>
            </w:r>
            <w:r w:rsidRPr="008B4AA8">
              <w:t xml:space="preserve"> </w:t>
            </w:r>
          </w:p>
        </w:tc>
        <w:tc>
          <w:tcPr>
            <w:tcW w:w="1333" w:type="dxa"/>
            <w:shd w:val="clear" w:color="auto" w:fill="DBE5F1"/>
            <w:vAlign w:val="center"/>
          </w:tcPr>
          <w:p w:rsidR="0088341A" w:rsidRPr="008B4AA8" w:rsidRDefault="0088341A" w:rsidP="00501137">
            <w:pPr>
              <w:pStyle w:val="AERtabletextright"/>
            </w:pPr>
            <w:r>
              <w:t>74.6</w:t>
            </w:r>
            <w:r w:rsidRPr="008B4AA8">
              <w:t xml:space="preserve"> </w:t>
            </w:r>
          </w:p>
        </w:tc>
        <w:tc>
          <w:tcPr>
            <w:tcW w:w="1552" w:type="dxa"/>
            <w:shd w:val="clear" w:color="auto" w:fill="DBE5F1"/>
            <w:vAlign w:val="center"/>
          </w:tcPr>
          <w:p w:rsidR="0088341A" w:rsidRPr="008B4AA8" w:rsidRDefault="0088341A" w:rsidP="00501137">
            <w:pPr>
              <w:pStyle w:val="AERtabletextright"/>
            </w:pPr>
            <w:r w:rsidRPr="008B4AA8">
              <w:t>219.5</w:t>
            </w:r>
          </w:p>
        </w:tc>
      </w:tr>
      <w:tr w:rsidR="0088341A" w:rsidRPr="005E709D" w:rsidTr="00501137">
        <w:trPr>
          <w:trHeight w:val="448"/>
        </w:trPr>
        <w:tc>
          <w:tcPr>
            <w:tcW w:w="3517" w:type="dxa"/>
            <w:shd w:val="clear" w:color="auto" w:fill="auto"/>
            <w:vAlign w:val="center"/>
          </w:tcPr>
          <w:p w:rsidR="0088341A" w:rsidRPr="008B4AA8" w:rsidRDefault="0088341A" w:rsidP="00501137">
            <w:pPr>
              <w:pStyle w:val="AERtabletextleft"/>
            </w:pPr>
            <w:r w:rsidRPr="008B4AA8">
              <w:t>Regulatory depreciation</w:t>
            </w:r>
          </w:p>
        </w:tc>
        <w:tc>
          <w:tcPr>
            <w:tcW w:w="1525" w:type="dxa"/>
            <w:shd w:val="clear" w:color="auto" w:fill="auto"/>
            <w:vAlign w:val="center"/>
          </w:tcPr>
          <w:p w:rsidR="0088341A" w:rsidRPr="008B4AA8" w:rsidRDefault="0088341A" w:rsidP="00501137">
            <w:pPr>
              <w:pStyle w:val="AERtabletextright"/>
            </w:pPr>
            <w:r w:rsidRPr="008B4AA8">
              <w:t xml:space="preserve">       75.6 </w:t>
            </w:r>
          </w:p>
        </w:tc>
        <w:tc>
          <w:tcPr>
            <w:tcW w:w="1333" w:type="dxa"/>
            <w:shd w:val="clear" w:color="auto" w:fill="auto"/>
            <w:vAlign w:val="center"/>
          </w:tcPr>
          <w:p w:rsidR="0088341A" w:rsidRPr="008B4AA8" w:rsidRDefault="0088341A" w:rsidP="00501137">
            <w:pPr>
              <w:pStyle w:val="AERtabletextright"/>
            </w:pPr>
            <w:r w:rsidRPr="008B4AA8">
              <w:t xml:space="preserve">       80.0 </w:t>
            </w:r>
          </w:p>
        </w:tc>
        <w:tc>
          <w:tcPr>
            <w:tcW w:w="1333" w:type="dxa"/>
            <w:shd w:val="clear" w:color="auto" w:fill="auto"/>
            <w:vAlign w:val="center"/>
          </w:tcPr>
          <w:p w:rsidR="0088341A" w:rsidRPr="008B4AA8" w:rsidRDefault="0088341A" w:rsidP="00501137">
            <w:pPr>
              <w:pStyle w:val="AERtabletextright"/>
            </w:pPr>
            <w:r>
              <w:t xml:space="preserve">       85.5</w:t>
            </w:r>
            <w:r w:rsidRPr="008B4AA8">
              <w:t xml:space="preserve"> </w:t>
            </w:r>
          </w:p>
        </w:tc>
        <w:tc>
          <w:tcPr>
            <w:tcW w:w="1552" w:type="dxa"/>
            <w:shd w:val="clear" w:color="auto" w:fill="auto"/>
            <w:vAlign w:val="center"/>
          </w:tcPr>
          <w:p w:rsidR="0088341A" w:rsidRPr="008B4AA8" w:rsidRDefault="0088341A" w:rsidP="00501137">
            <w:pPr>
              <w:pStyle w:val="AERtabletextright"/>
            </w:pPr>
            <w:r>
              <w:t>241.2</w:t>
            </w:r>
          </w:p>
        </w:tc>
      </w:tr>
    </w:tbl>
    <w:p w:rsidR="0088341A" w:rsidRPr="005E06AC" w:rsidRDefault="0088341A" w:rsidP="0088341A">
      <w:pPr>
        <w:pStyle w:val="AERtablesource"/>
      </w:pPr>
      <w:r w:rsidRPr="005E06AC">
        <w:t>Source:</w:t>
      </w:r>
      <w:r w:rsidRPr="005E06AC">
        <w:tab/>
      </w:r>
      <w:r>
        <w:t>AER analysis.</w:t>
      </w:r>
    </w:p>
    <w:p w:rsidR="0088341A" w:rsidRPr="00EF4807" w:rsidRDefault="0088341A" w:rsidP="0088341A">
      <w:pPr>
        <w:pStyle w:val="Heading2"/>
        <w:numPr>
          <w:ilvl w:val="2"/>
          <w:numId w:val="20"/>
        </w:numPr>
      </w:pPr>
      <w:bookmarkStart w:id="69" w:name="_Toc341686720"/>
      <w:bookmarkStart w:id="70" w:name="_Toc365283252"/>
      <w:r w:rsidRPr="00EF4807">
        <w:t>Summary of analysis and reasons</w:t>
      </w:r>
      <w:bookmarkEnd w:id="69"/>
      <w:bookmarkEnd w:id="70"/>
    </w:p>
    <w:p w:rsidR="0088341A" w:rsidRPr="00534BFA" w:rsidRDefault="0088341A" w:rsidP="0088341A">
      <w:pPr>
        <w:pStyle w:val="AERbodytext"/>
        <w:numPr>
          <w:ilvl w:val="0"/>
          <w:numId w:val="1"/>
        </w:numPr>
      </w:pPr>
      <w:r>
        <w:t xml:space="preserve">We accept SP AusNet's proposal to use the straight-line method for calculating the regulatory depreciation allowance as set out in the post-tax revenue model (PTRM). However, we increased the proposed allowance to $241.2 million from $239.1 million. Our draft decision reflects our determination on SP AusNet's forecast capex and </w:t>
      </w:r>
      <w:r w:rsidRPr="00322D86">
        <w:t>the opening RAB</w:t>
      </w:r>
      <w:r>
        <w:t xml:space="preserve"> as at 1 April 2014.</w:t>
      </w:r>
      <w:r w:rsidRPr="00534BFA">
        <w:t xml:space="preserve"> </w:t>
      </w:r>
      <w:r>
        <w:t>It also reflects the</w:t>
      </w:r>
      <w:r w:rsidRPr="00534BFA">
        <w:t xml:space="preserve"> adjustments </w:t>
      </w:r>
      <w:r>
        <w:t xml:space="preserve">we made </w:t>
      </w:r>
      <w:r w:rsidRPr="00534BFA">
        <w:t>to the CPI adjusted WACC values in SP AusNet's depreciation model.</w:t>
      </w:r>
    </w:p>
    <w:p w:rsidR="0088341A" w:rsidRDefault="0088341A" w:rsidP="0088341A">
      <w:pPr>
        <w:pStyle w:val="AERbodytext"/>
        <w:numPr>
          <w:ilvl w:val="0"/>
          <w:numId w:val="0"/>
        </w:numPr>
      </w:pPr>
      <w:r>
        <w:t xml:space="preserve">Also, we accept </w:t>
      </w:r>
      <w:r w:rsidRPr="00DD68D3">
        <w:t>SP AusNet's proposed standard asset lives</w:t>
      </w:r>
      <w:r>
        <w:t xml:space="preserve"> for calculating the straight-line depreciation for new assets. In addition to the proposed lives, we established a standard asset life of 28 years for amortising SP AusNet's equity raising costs allowance associated with the ACCC's revenue cap decision for the 2003–08 regulatory control period.</w:t>
      </w:r>
    </w:p>
    <w:p w:rsidR="0088341A" w:rsidRDefault="0088341A" w:rsidP="0088341A">
      <w:pPr>
        <w:pStyle w:val="Heading1"/>
        <w:numPr>
          <w:ilvl w:val="1"/>
          <w:numId w:val="20"/>
        </w:numPr>
      </w:pPr>
      <w:bookmarkStart w:id="71" w:name="_Toc365283253"/>
      <w:bookmarkStart w:id="72" w:name="_Toc365461987"/>
      <w:r>
        <w:lastRenderedPageBreak/>
        <w:t>Capital expenditure</w:t>
      </w:r>
      <w:bookmarkEnd w:id="71"/>
      <w:bookmarkEnd w:id="72"/>
    </w:p>
    <w:p w:rsidR="0088341A" w:rsidRDefault="0088341A" w:rsidP="0088341A">
      <w:pPr>
        <w:pStyle w:val="AERbodytext"/>
        <w:numPr>
          <w:ilvl w:val="0"/>
          <w:numId w:val="1"/>
        </w:numPr>
      </w:pPr>
      <w:r>
        <w:t xml:space="preserve">Forecast capex is the forecast expenditure to fund new assets and replace or refurbish existing assets that a network business is likely to require during a regulatory control period for the efficient operation of the network. As well as assessing </w:t>
      </w:r>
      <w:r w:rsidR="009D25D9">
        <w:t xml:space="preserve">SP AusNet’s </w:t>
      </w:r>
      <w:r>
        <w:t xml:space="preserve">forecast capex, we reviewed </w:t>
      </w:r>
      <w:r w:rsidR="009D25D9">
        <w:t xml:space="preserve">its </w:t>
      </w:r>
      <w:r>
        <w:t xml:space="preserve">actual capex during the </w:t>
      </w:r>
      <w:r w:rsidR="009D25D9">
        <w:t>2008–14</w:t>
      </w:r>
      <w:r>
        <w:t xml:space="preserve"> regulatory control period. We used the final approved forecast capex in conjunction with the opening RAB, rate of return and depreciation to determine the return on capital building block.</w:t>
      </w:r>
    </w:p>
    <w:p w:rsidR="0088341A" w:rsidRDefault="0088341A" w:rsidP="0088341A">
      <w:pPr>
        <w:pStyle w:val="AERbodytext"/>
        <w:numPr>
          <w:ilvl w:val="0"/>
          <w:numId w:val="1"/>
        </w:numPr>
      </w:pPr>
      <w:r>
        <w:t>We must accept SP AusNet's forecast capex if we are satisfied it reasonably reflects the capex criteria.</w:t>
      </w:r>
      <w:r>
        <w:rPr>
          <w:rStyle w:val="FootnoteReference"/>
        </w:rPr>
        <w:footnoteReference w:id="53"/>
      </w:r>
      <w:r>
        <w:t xml:space="preserve"> Otherwise, we must not accept SP AusNet's forecast capex and we must substitute our own.</w:t>
      </w:r>
      <w:r>
        <w:rPr>
          <w:rStyle w:val="FootnoteReference"/>
        </w:rPr>
        <w:footnoteReference w:id="54"/>
      </w:r>
      <w:r>
        <w:t xml:space="preserve"> Attachment 2 sets out the detailed reasons for our draft decision on SP AusNet's forecast capex.</w:t>
      </w:r>
    </w:p>
    <w:p w:rsidR="0088341A" w:rsidRDefault="0088341A" w:rsidP="0088341A">
      <w:pPr>
        <w:pStyle w:val="Heading2"/>
        <w:numPr>
          <w:ilvl w:val="2"/>
          <w:numId w:val="20"/>
        </w:numPr>
      </w:pPr>
      <w:bookmarkStart w:id="73" w:name="_Toc365283254"/>
      <w:r>
        <w:t>Draft decision</w:t>
      </w:r>
      <w:bookmarkEnd w:id="73"/>
    </w:p>
    <w:p w:rsidR="0088341A" w:rsidRDefault="0088341A" w:rsidP="0088341A">
      <w:pPr>
        <w:pStyle w:val="AERbodytext"/>
        <w:numPr>
          <w:ilvl w:val="0"/>
          <w:numId w:val="1"/>
        </w:numPr>
      </w:pPr>
      <w:r>
        <w:t>We do not accept SP AusNet's total forecast capex of $564.2 million ($2013–14).</w:t>
      </w:r>
      <w:r>
        <w:rPr>
          <w:rStyle w:val="FootnoteReference"/>
        </w:rPr>
        <w:footnoteReference w:id="55"/>
      </w:r>
      <w:r>
        <w:t xml:space="preserve"> Instead, we forecast the capex requirements at $396.</w:t>
      </w:r>
      <w:r w:rsidR="008072D8">
        <w:t>2</w:t>
      </w:r>
      <w:r>
        <w:t xml:space="preserve"> million ($2013–14), which is 30 per cent less than SP AusNet's forecast. </w:t>
      </w:r>
      <w:r>
        <w:fldChar w:fldCharType="begin"/>
      </w:r>
      <w:r>
        <w:instrText xml:space="preserve"> REF _Ref362615936 \h </w:instrText>
      </w:r>
      <w:r>
        <w:fldChar w:fldCharType="separate"/>
      </w:r>
      <w:r w:rsidR="004F35AA">
        <w:t xml:space="preserve">Table </w:t>
      </w:r>
      <w:r w:rsidR="004F35AA">
        <w:rPr>
          <w:noProof/>
        </w:rPr>
        <w:t>7</w:t>
      </w:r>
      <w:r w:rsidR="004F35AA">
        <w:t>.</w:t>
      </w:r>
      <w:r w:rsidR="004F35AA">
        <w:rPr>
          <w:noProof/>
        </w:rPr>
        <w:t>1</w:t>
      </w:r>
      <w:r>
        <w:fldChar w:fldCharType="end"/>
      </w:r>
      <w:r>
        <w:t xml:space="preserve"> shows our draft decision compared with SP AusNet's total forecast capex.</w:t>
      </w:r>
    </w:p>
    <w:p w:rsidR="0088341A" w:rsidRDefault="0088341A" w:rsidP="0088341A">
      <w:pPr>
        <w:pStyle w:val="Caption"/>
      </w:pPr>
      <w:bookmarkStart w:id="74" w:name="_Ref362615936"/>
      <w:r>
        <w:t xml:space="preserve">Table </w:t>
      </w:r>
      <w:fldSimple w:instr=" STYLEREF 1 \s ">
        <w:r w:rsidR="004F35AA">
          <w:rPr>
            <w:noProof/>
          </w:rPr>
          <w:t>7</w:t>
        </w:r>
      </w:fldSimple>
      <w:r w:rsidR="00C56A87">
        <w:t>.</w:t>
      </w:r>
      <w:fldSimple w:instr=" SEQ Table \* ARABIC \s 1 ">
        <w:r w:rsidR="004F35AA">
          <w:rPr>
            <w:noProof/>
          </w:rPr>
          <w:t>1</w:t>
        </w:r>
      </w:fldSimple>
      <w:bookmarkEnd w:id="74"/>
      <w:r>
        <w:tab/>
        <w:t>AER's draft decision capex and SP AusNet's forecast capex ($ million, 2013–14)</w:t>
      </w:r>
    </w:p>
    <w:tbl>
      <w:tblPr>
        <w:tblW w:w="0" w:type="auto"/>
        <w:tblBorders>
          <w:bottom w:val="single" w:sz="4" w:space="0" w:color="365F91"/>
        </w:tblBorders>
        <w:tblLayout w:type="fixed"/>
        <w:tblLook w:val="04A0" w:firstRow="1" w:lastRow="0" w:firstColumn="1" w:lastColumn="0" w:noHBand="0" w:noVBand="1"/>
      </w:tblPr>
      <w:tblGrid>
        <w:gridCol w:w="2235"/>
        <w:gridCol w:w="1167"/>
        <w:gridCol w:w="1168"/>
        <w:gridCol w:w="1168"/>
        <w:gridCol w:w="1168"/>
        <w:gridCol w:w="1168"/>
        <w:gridCol w:w="1168"/>
      </w:tblGrid>
      <w:tr w:rsidR="0088341A" w:rsidRPr="00E41C6B" w:rsidTr="00501137">
        <w:tc>
          <w:tcPr>
            <w:tcW w:w="2235" w:type="dxa"/>
            <w:shd w:val="clear" w:color="auto" w:fill="365F91"/>
            <w:vAlign w:val="center"/>
          </w:tcPr>
          <w:p w:rsidR="0088341A" w:rsidRPr="00CF0EAF" w:rsidRDefault="0088341A" w:rsidP="0088341A">
            <w:pPr>
              <w:numPr>
                <w:ilvl w:val="0"/>
                <w:numId w:val="14"/>
              </w:numPr>
              <w:spacing w:before="120"/>
              <w:rPr>
                <w:b/>
                <w:color w:val="FFFFFF"/>
                <w:sz w:val="16"/>
              </w:rPr>
            </w:pPr>
            <w:r w:rsidRPr="00CF0EAF">
              <w:rPr>
                <w:b/>
                <w:color w:val="FFFFFF"/>
                <w:sz w:val="16"/>
              </w:rPr>
              <w:t>Category</w:t>
            </w:r>
          </w:p>
        </w:tc>
        <w:tc>
          <w:tcPr>
            <w:tcW w:w="1167" w:type="dxa"/>
            <w:shd w:val="clear" w:color="auto" w:fill="365F91"/>
            <w:vAlign w:val="center"/>
          </w:tcPr>
          <w:p w:rsidR="0088341A" w:rsidRPr="00CF0EAF" w:rsidRDefault="0088341A" w:rsidP="00501137">
            <w:pPr>
              <w:pStyle w:val="AERtabletextright"/>
              <w:rPr>
                <w:b/>
                <w:color w:val="FFFFFF"/>
              </w:rPr>
            </w:pPr>
            <w:r w:rsidRPr="00CF0EAF">
              <w:rPr>
                <w:b/>
                <w:color w:val="FFFFFF"/>
              </w:rPr>
              <w:t>2014–15</w:t>
            </w:r>
          </w:p>
        </w:tc>
        <w:tc>
          <w:tcPr>
            <w:tcW w:w="1168" w:type="dxa"/>
            <w:shd w:val="clear" w:color="auto" w:fill="365F91"/>
            <w:vAlign w:val="center"/>
          </w:tcPr>
          <w:p w:rsidR="0088341A" w:rsidRPr="00CF0EAF" w:rsidRDefault="0088341A" w:rsidP="00501137">
            <w:pPr>
              <w:pStyle w:val="AERtabletextright"/>
              <w:rPr>
                <w:b/>
                <w:color w:val="FFFFFF"/>
              </w:rPr>
            </w:pPr>
            <w:r w:rsidRPr="00CF0EAF">
              <w:rPr>
                <w:b/>
                <w:color w:val="FFFFFF"/>
              </w:rPr>
              <w:t>2015–16</w:t>
            </w:r>
          </w:p>
        </w:tc>
        <w:tc>
          <w:tcPr>
            <w:tcW w:w="1168" w:type="dxa"/>
            <w:shd w:val="clear" w:color="auto" w:fill="365F91"/>
            <w:vAlign w:val="center"/>
          </w:tcPr>
          <w:p w:rsidR="0088341A" w:rsidRPr="00CF0EAF" w:rsidRDefault="0088341A" w:rsidP="00501137">
            <w:pPr>
              <w:pStyle w:val="AERtabletextright"/>
              <w:rPr>
                <w:b/>
                <w:color w:val="FFFFFF"/>
              </w:rPr>
            </w:pPr>
            <w:r w:rsidRPr="00CF0EAF">
              <w:rPr>
                <w:b/>
                <w:color w:val="FFFFFF"/>
              </w:rPr>
              <w:t>2016–17</w:t>
            </w:r>
          </w:p>
        </w:tc>
        <w:tc>
          <w:tcPr>
            <w:tcW w:w="1168" w:type="dxa"/>
            <w:shd w:val="clear" w:color="auto" w:fill="365F91"/>
            <w:vAlign w:val="center"/>
          </w:tcPr>
          <w:p w:rsidR="0088341A" w:rsidRPr="00CF0EAF" w:rsidRDefault="0088341A" w:rsidP="00501137">
            <w:pPr>
              <w:pStyle w:val="AERtabletextright"/>
              <w:rPr>
                <w:b/>
                <w:color w:val="FFFFFF"/>
              </w:rPr>
            </w:pPr>
            <w:r w:rsidRPr="00CF0EAF">
              <w:rPr>
                <w:b/>
                <w:color w:val="FFFFFF"/>
              </w:rPr>
              <w:t>Total</w:t>
            </w:r>
          </w:p>
        </w:tc>
        <w:tc>
          <w:tcPr>
            <w:tcW w:w="1168" w:type="dxa"/>
            <w:shd w:val="clear" w:color="auto" w:fill="365F91"/>
            <w:vAlign w:val="center"/>
          </w:tcPr>
          <w:p w:rsidR="0088341A" w:rsidRPr="00CF0EAF" w:rsidRDefault="0088341A" w:rsidP="00501137">
            <w:pPr>
              <w:pStyle w:val="AERtabletextright"/>
              <w:rPr>
                <w:b/>
                <w:color w:val="FFFFFF"/>
              </w:rPr>
            </w:pPr>
            <w:r w:rsidRPr="00CF0EAF">
              <w:rPr>
                <w:b/>
                <w:color w:val="FFFFFF"/>
              </w:rPr>
              <w:t>SP  AusNet</w:t>
            </w:r>
          </w:p>
        </w:tc>
        <w:tc>
          <w:tcPr>
            <w:tcW w:w="1168" w:type="dxa"/>
            <w:shd w:val="clear" w:color="auto" w:fill="365F91"/>
            <w:vAlign w:val="center"/>
          </w:tcPr>
          <w:p w:rsidR="0088341A" w:rsidRPr="00CF0EAF" w:rsidRDefault="0088341A" w:rsidP="00501137">
            <w:pPr>
              <w:pStyle w:val="AERtabletextright"/>
              <w:rPr>
                <w:b/>
                <w:color w:val="FFFFFF"/>
              </w:rPr>
            </w:pPr>
            <w:r w:rsidRPr="00CF0EAF">
              <w:rPr>
                <w:b/>
                <w:color w:val="FFFFFF"/>
              </w:rPr>
              <w:t>Difference</w:t>
            </w:r>
          </w:p>
        </w:tc>
      </w:tr>
      <w:tr w:rsidR="0088341A" w:rsidRPr="00E41C6B" w:rsidTr="00501137">
        <w:tc>
          <w:tcPr>
            <w:tcW w:w="2235" w:type="dxa"/>
            <w:shd w:val="clear" w:color="auto" w:fill="auto"/>
            <w:vAlign w:val="center"/>
          </w:tcPr>
          <w:p w:rsidR="0088341A" w:rsidRPr="00CF0EAF" w:rsidRDefault="0088341A" w:rsidP="0088341A">
            <w:pPr>
              <w:numPr>
                <w:ilvl w:val="0"/>
                <w:numId w:val="14"/>
              </w:numPr>
              <w:spacing w:before="120"/>
              <w:rPr>
                <w:sz w:val="16"/>
              </w:rPr>
            </w:pPr>
            <w:r w:rsidRPr="00CF0EAF">
              <w:rPr>
                <w:sz w:val="16"/>
              </w:rPr>
              <w:t>Major stations:</w:t>
            </w:r>
          </w:p>
        </w:tc>
        <w:tc>
          <w:tcPr>
            <w:tcW w:w="1167" w:type="dxa"/>
            <w:shd w:val="clear" w:color="auto" w:fill="auto"/>
            <w:vAlign w:val="center"/>
          </w:tcPr>
          <w:p w:rsidR="0088341A" w:rsidRPr="00E41C6B" w:rsidRDefault="0088341A" w:rsidP="00501137">
            <w:pPr>
              <w:pStyle w:val="AERtabletextright"/>
            </w:pPr>
          </w:p>
        </w:tc>
        <w:tc>
          <w:tcPr>
            <w:tcW w:w="1168" w:type="dxa"/>
            <w:shd w:val="clear" w:color="auto" w:fill="auto"/>
            <w:vAlign w:val="center"/>
          </w:tcPr>
          <w:p w:rsidR="0088341A" w:rsidRPr="00E41C6B" w:rsidRDefault="0088341A" w:rsidP="00501137">
            <w:pPr>
              <w:pStyle w:val="AERtabletextright"/>
            </w:pPr>
          </w:p>
        </w:tc>
        <w:tc>
          <w:tcPr>
            <w:tcW w:w="1168" w:type="dxa"/>
            <w:shd w:val="clear" w:color="auto" w:fill="auto"/>
            <w:vAlign w:val="center"/>
          </w:tcPr>
          <w:p w:rsidR="0088341A" w:rsidRPr="00E41C6B" w:rsidRDefault="0088341A" w:rsidP="00501137">
            <w:pPr>
              <w:pStyle w:val="AERtabletextright"/>
            </w:pPr>
          </w:p>
        </w:tc>
        <w:tc>
          <w:tcPr>
            <w:tcW w:w="1168" w:type="dxa"/>
            <w:shd w:val="clear" w:color="auto" w:fill="auto"/>
            <w:vAlign w:val="center"/>
          </w:tcPr>
          <w:p w:rsidR="0088341A" w:rsidRPr="00E41C6B" w:rsidRDefault="0088341A" w:rsidP="00501137">
            <w:pPr>
              <w:pStyle w:val="AERtabletextright"/>
            </w:pPr>
          </w:p>
        </w:tc>
        <w:tc>
          <w:tcPr>
            <w:tcW w:w="1168" w:type="dxa"/>
            <w:shd w:val="clear" w:color="auto" w:fill="auto"/>
            <w:vAlign w:val="center"/>
          </w:tcPr>
          <w:p w:rsidR="0088341A" w:rsidRPr="00E41C6B" w:rsidRDefault="0088341A" w:rsidP="00501137">
            <w:pPr>
              <w:pStyle w:val="AERtabletextright"/>
            </w:pPr>
          </w:p>
        </w:tc>
        <w:tc>
          <w:tcPr>
            <w:tcW w:w="1168" w:type="dxa"/>
            <w:shd w:val="clear" w:color="auto" w:fill="auto"/>
            <w:vAlign w:val="center"/>
          </w:tcPr>
          <w:p w:rsidR="0088341A" w:rsidRPr="00E41C6B" w:rsidRDefault="0088341A" w:rsidP="00501137">
            <w:pPr>
              <w:pStyle w:val="AERtabletextright"/>
            </w:pPr>
          </w:p>
        </w:tc>
      </w:tr>
      <w:tr w:rsidR="0088341A" w:rsidRPr="00E41C6B" w:rsidTr="00501137">
        <w:tc>
          <w:tcPr>
            <w:tcW w:w="2235" w:type="dxa"/>
            <w:shd w:val="clear" w:color="auto" w:fill="DBE5F1"/>
            <w:vAlign w:val="center"/>
          </w:tcPr>
          <w:p w:rsidR="0088341A" w:rsidRPr="00CF0EAF" w:rsidRDefault="0088341A" w:rsidP="0088341A">
            <w:pPr>
              <w:numPr>
                <w:ilvl w:val="0"/>
                <w:numId w:val="14"/>
              </w:numPr>
              <w:spacing w:before="120"/>
              <w:rPr>
                <w:sz w:val="16"/>
              </w:rPr>
            </w:pPr>
            <w:r w:rsidRPr="00CF0EAF">
              <w:rPr>
                <w:sz w:val="16"/>
              </w:rPr>
              <w:t xml:space="preserve">   Richmond</w:t>
            </w:r>
          </w:p>
        </w:tc>
        <w:tc>
          <w:tcPr>
            <w:tcW w:w="1167" w:type="dxa"/>
            <w:shd w:val="clear" w:color="auto" w:fill="DBE5F1"/>
            <w:vAlign w:val="center"/>
          </w:tcPr>
          <w:p w:rsidR="0088341A" w:rsidRPr="00E41C6B" w:rsidRDefault="0088341A" w:rsidP="00501137">
            <w:pPr>
              <w:pStyle w:val="AERtabletextright"/>
            </w:pPr>
            <w:r w:rsidRPr="00E41C6B">
              <w:t>31.</w:t>
            </w:r>
            <w:r>
              <w:t>4</w:t>
            </w:r>
          </w:p>
        </w:tc>
        <w:tc>
          <w:tcPr>
            <w:tcW w:w="1168" w:type="dxa"/>
            <w:shd w:val="clear" w:color="auto" w:fill="DBE5F1"/>
            <w:vAlign w:val="center"/>
          </w:tcPr>
          <w:p w:rsidR="0088341A" w:rsidRPr="00E41C6B" w:rsidRDefault="0088341A" w:rsidP="00501137">
            <w:pPr>
              <w:pStyle w:val="AERtabletextright"/>
            </w:pPr>
            <w:r w:rsidRPr="00E41C6B">
              <w:t>22.</w:t>
            </w:r>
            <w:r>
              <w:t>2</w:t>
            </w:r>
          </w:p>
        </w:tc>
        <w:tc>
          <w:tcPr>
            <w:tcW w:w="1168" w:type="dxa"/>
            <w:shd w:val="clear" w:color="auto" w:fill="DBE5F1"/>
            <w:vAlign w:val="center"/>
          </w:tcPr>
          <w:p w:rsidR="0088341A" w:rsidRPr="00E41C6B" w:rsidRDefault="0088341A" w:rsidP="00501137">
            <w:pPr>
              <w:pStyle w:val="AERtabletextright"/>
            </w:pPr>
            <w:r w:rsidRPr="00E41C6B">
              <w:t>24.</w:t>
            </w:r>
            <w:r>
              <w:t>0</w:t>
            </w:r>
          </w:p>
        </w:tc>
        <w:tc>
          <w:tcPr>
            <w:tcW w:w="1168" w:type="dxa"/>
            <w:shd w:val="clear" w:color="auto" w:fill="DBE5F1"/>
            <w:vAlign w:val="center"/>
          </w:tcPr>
          <w:p w:rsidR="0088341A" w:rsidRPr="00E41C6B" w:rsidRDefault="0088341A" w:rsidP="00501137">
            <w:pPr>
              <w:pStyle w:val="AERtabletextright"/>
            </w:pPr>
            <w:r w:rsidRPr="00E41C6B">
              <w:t>77.</w:t>
            </w:r>
            <w:r>
              <w:t>6</w:t>
            </w:r>
          </w:p>
        </w:tc>
        <w:tc>
          <w:tcPr>
            <w:tcW w:w="1168" w:type="dxa"/>
            <w:shd w:val="clear" w:color="auto" w:fill="DBE5F1"/>
            <w:vAlign w:val="center"/>
          </w:tcPr>
          <w:p w:rsidR="0088341A" w:rsidRPr="00E41C6B" w:rsidRDefault="0088341A" w:rsidP="00501137">
            <w:pPr>
              <w:pStyle w:val="AERtabletextright"/>
            </w:pPr>
            <w:r w:rsidRPr="00E41C6B">
              <w:t>79.5</w:t>
            </w:r>
          </w:p>
        </w:tc>
        <w:tc>
          <w:tcPr>
            <w:tcW w:w="1168" w:type="dxa"/>
            <w:shd w:val="clear" w:color="auto" w:fill="DBE5F1"/>
            <w:vAlign w:val="center"/>
          </w:tcPr>
          <w:p w:rsidR="0088341A" w:rsidRPr="00E41C6B" w:rsidRDefault="0088341A" w:rsidP="008072D8">
            <w:pPr>
              <w:pStyle w:val="AERtabletextright"/>
            </w:pPr>
            <w:r>
              <w:t>–</w:t>
            </w:r>
            <w:r w:rsidRPr="00E41C6B">
              <w:t>1.</w:t>
            </w:r>
            <w:r w:rsidR="008072D8">
              <w:t>9</w:t>
            </w:r>
          </w:p>
        </w:tc>
      </w:tr>
      <w:tr w:rsidR="0088341A" w:rsidRPr="00E41C6B" w:rsidTr="00501137">
        <w:tc>
          <w:tcPr>
            <w:tcW w:w="2235" w:type="dxa"/>
            <w:shd w:val="clear" w:color="auto" w:fill="auto"/>
            <w:vAlign w:val="center"/>
          </w:tcPr>
          <w:p w:rsidR="0088341A" w:rsidRPr="00CF0EAF" w:rsidRDefault="0088341A" w:rsidP="0088341A">
            <w:pPr>
              <w:numPr>
                <w:ilvl w:val="0"/>
                <w:numId w:val="14"/>
              </w:numPr>
              <w:spacing w:before="120"/>
              <w:rPr>
                <w:sz w:val="16"/>
              </w:rPr>
            </w:pPr>
            <w:r w:rsidRPr="00CF0EAF">
              <w:rPr>
                <w:sz w:val="16"/>
              </w:rPr>
              <w:t xml:space="preserve">   West Melbourne</w:t>
            </w:r>
          </w:p>
        </w:tc>
        <w:tc>
          <w:tcPr>
            <w:tcW w:w="1167" w:type="dxa"/>
            <w:shd w:val="clear" w:color="auto" w:fill="auto"/>
            <w:vAlign w:val="center"/>
          </w:tcPr>
          <w:p w:rsidR="0088341A" w:rsidRPr="00E41C6B" w:rsidRDefault="0088341A" w:rsidP="00501137">
            <w:pPr>
              <w:pStyle w:val="AERtabletextright"/>
            </w:pPr>
            <w:r w:rsidRPr="00E41C6B">
              <w:t>nil</w:t>
            </w:r>
          </w:p>
        </w:tc>
        <w:tc>
          <w:tcPr>
            <w:tcW w:w="1168" w:type="dxa"/>
            <w:shd w:val="clear" w:color="auto" w:fill="auto"/>
            <w:vAlign w:val="center"/>
          </w:tcPr>
          <w:p w:rsidR="0088341A" w:rsidRPr="00E41C6B" w:rsidRDefault="0088341A" w:rsidP="00501137">
            <w:pPr>
              <w:pStyle w:val="AERtabletextright"/>
            </w:pPr>
            <w:r w:rsidRPr="00E41C6B">
              <w:t>nil</w:t>
            </w:r>
          </w:p>
        </w:tc>
        <w:tc>
          <w:tcPr>
            <w:tcW w:w="1168" w:type="dxa"/>
            <w:shd w:val="clear" w:color="auto" w:fill="auto"/>
            <w:vAlign w:val="center"/>
          </w:tcPr>
          <w:p w:rsidR="0088341A" w:rsidRPr="00E41C6B" w:rsidRDefault="0088341A" w:rsidP="00501137">
            <w:pPr>
              <w:pStyle w:val="AERtabletextright"/>
            </w:pPr>
            <w:r w:rsidRPr="00E41C6B">
              <w:t>nil</w:t>
            </w:r>
          </w:p>
        </w:tc>
        <w:tc>
          <w:tcPr>
            <w:tcW w:w="1168" w:type="dxa"/>
            <w:shd w:val="clear" w:color="auto" w:fill="auto"/>
            <w:vAlign w:val="center"/>
          </w:tcPr>
          <w:p w:rsidR="0088341A" w:rsidRPr="00E41C6B" w:rsidRDefault="0088341A" w:rsidP="00501137">
            <w:pPr>
              <w:pStyle w:val="AERtabletextright"/>
            </w:pPr>
            <w:r w:rsidRPr="00E41C6B">
              <w:t>nil</w:t>
            </w:r>
          </w:p>
        </w:tc>
        <w:tc>
          <w:tcPr>
            <w:tcW w:w="1168" w:type="dxa"/>
            <w:shd w:val="clear" w:color="auto" w:fill="auto"/>
            <w:vAlign w:val="center"/>
          </w:tcPr>
          <w:p w:rsidR="0088341A" w:rsidRPr="00E41C6B" w:rsidRDefault="0088341A" w:rsidP="00501137">
            <w:pPr>
              <w:pStyle w:val="AERtabletextright"/>
            </w:pPr>
            <w:r w:rsidRPr="00E41C6B">
              <w:t>106.4</w:t>
            </w:r>
          </w:p>
        </w:tc>
        <w:tc>
          <w:tcPr>
            <w:tcW w:w="1168" w:type="dxa"/>
            <w:shd w:val="clear" w:color="auto" w:fill="auto"/>
            <w:vAlign w:val="center"/>
          </w:tcPr>
          <w:p w:rsidR="0088341A" w:rsidRPr="00E41C6B" w:rsidRDefault="0088341A" w:rsidP="00501137">
            <w:pPr>
              <w:pStyle w:val="AERtabletextright"/>
            </w:pPr>
            <w:r>
              <w:t>–</w:t>
            </w:r>
            <w:r w:rsidRPr="00E41C6B">
              <w:t>106.4</w:t>
            </w:r>
          </w:p>
        </w:tc>
      </w:tr>
      <w:tr w:rsidR="0088341A" w:rsidRPr="00E41C6B" w:rsidTr="00501137">
        <w:tc>
          <w:tcPr>
            <w:tcW w:w="2235" w:type="dxa"/>
            <w:shd w:val="clear" w:color="auto" w:fill="DBE5F1"/>
            <w:vAlign w:val="center"/>
          </w:tcPr>
          <w:p w:rsidR="0088341A" w:rsidRPr="00CF0EAF" w:rsidRDefault="0088341A" w:rsidP="0088341A">
            <w:pPr>
              <w:numPr>
                <w:ilvl w:val="0"/>
                <w:numId w:val="14"/>
              </w:numPr>
              <w:spacing w:before="120"/>
              <w:rPr>
                <w:sz w:val="16"/>
              </w:rPr>
            </w:pPr>
            <w:r w:rsidRPr="00CF0EAF">
              <w:rPr>
                <w:sz w:val="16"/>
              </w:rPr>
              <w:t xml:space="preserve">   Other stations</w:t>
            </w:r>
          </w:p>
        </w:tc>
        <w:tc>
          <w:tcPr>
            <w:tcW w:w="1167" w:type="dxa"/>
            <w:shd w:val="clear" w:color="auto" w:fill="DBE5F1"/>
            <w:vAlign w:val="center"/>
          </w:tcPr>
          <w:p w:rsidR="0088341A" w:rsidRPr="00E41C6B" w:rsidRDefault="0088341A" w:rsidP="00501137">
            <w:pPr>
              <w:pStyle w:val="AERtabletextright"/>
            </w:pPr>
            <w:r w:rsidRPr="00E41C6B">
              <w:t>29.</w:t>
            </w:r>
            <w:r>
              <w:t>9</w:t>
            </w:r>
          </w:p>
        </w:tc>
        <w:tc>
          <w:tcPr>
            <w:tcW w:w="1168" w:type="dxa"/>
            <w:shd w:val="clear" w:color="auto" w:fill="DBE5F1"/>
            <w:vAlign w:val="center"/>
          </w:tcPr>
          <w:p w:rsidR="0088341A" w:rsidRPr="00E41C6B" w:rsidRDefault="0088341A" w:rsidP="00501137">
            <w:pPr>
              <w:pStyle w:val="AERtabletextright"/>
            </w:pPr>
            <w:r>
              <w:t>44.3</w:t>
            </w:r>
          </w:p>
        </w:tc>
        <w:tc>
          <w:tcPr>
            <w:tcW w:w="1168" w:type="dxa"/>
            <w:shd w:val="clear" w:color="auto" w:fill="DBE5F1"/>
            <w:vAlign w:val="center"/>
          </w:tcPr>
          <w:p w:rsidR="0088341A" w:rsidRPr="00E41C6B" w:rsidRDefault="0088341A" w:rsidP="00501137">
            <w:pPr>
              <w:pStyle w:val="AERtabletextright"/>
            </w:pPr>
            <w:r>
              <w:t>58.8</w:t>
            </w:r>
          </w:p>
        </w:tc>
        <w:tc>
          <w:tcPr>
            <w:tcW w:w="1168" w:type="dxa"/>
            <w:shd w:val="clear" w:color="auto" w:fill="DBE5F1"/>
            <w:vAlign w:val="center"/>
          </w:tcPr>
          <w:p w:rsidR="0088341A" w:rsidRPr="00E41C6B" w:rsidRDefault="0088341A" w:rsidP="008072D8">
            <w:pPr>
              <w:pStyle w:val="AERtabletextright"/>
            </w:pPr>
            <w:r>
              <w:t>13</w:t>
            </w:r>
            <w:r w:rsidR="008072D8">
              <w:t>2.9</w:t>
            </w:r>
          </w:p>
        </w:tc>
        <w:tc>
          <w:tcPr>
            <w:tcW w:w="1168" w:type="dxa"/>
            <w:shd w:val="clear" w:color="auto" w:fill="DBE5F1"/>
            <w:vAlign w:val="center"/>
          </w:tcPr>
          <w:p w:rsidR="0088341A" w:rsidRPr="00E41C6B" w:rsidRDefault="0088341A" w:rsidP="00501137">
            <w:pPr>
              <w:pStyle w:val="AERtabletextright"/>
            </w:pPr>
            <w:r w:rsidRPr="00E41C6B">
              <w:t>149.8</w:t>
            </w:r>
          </w:p>
        </w:tc>
        <w:tc>
          <w:tcPr>
            <w:tcW w:w="1168" w:type="dxa"/>
            <w:shd w:val="clear" w:color="auto" w:fill="DBE5F1"/>
            <w:vAlign w:val="center"/>
          </w:tcPr>
          <w:p w:rsidR="0088341A" w:rsidRPr="00E41C6B" w:rsidRDefault="0088341A" w:rsidP="008072D8">
            <w:pPr>
              <w:pStyle w:val="AERtabletextright"/>
            </w:pPr>
            <w:r>
              <w:t>–16.</w:t>
            </w:r>
            <w:r w:rsidR="008072D8">
              <w:t>9</w:t>
            </w:r>
          </w:p>
        </w:tc>
      </w:tr>
      <w:tr w:rsidR="0088341A" w:rsidRPr="00E41C6B" w:rsidTr="00501137">
        <w:tc>
          <w:tcPr>
            <w:tcW w:w="2235" w:type="dxa"/>
            <w:shd w:val="clear" w:color="auto" w:fill="auto"/>
            <w:vAlign w:val="center"/>
          </w:tcPr>
          <w:p w:rsidR="0088341A" w:rsidRPr="00CF0EAF" w:rsidRDefault="0088341A" w:rsidP="0088341A">
            <w:pPr>
              <w:numPr>
                <w:ilvl w:val="0"/>
                <w:numId w:val="14"/>
              </w:numPr>
              <w:spacing w:before="120"/>
              <w:rPr>
                <w:sz w:val="16"/>
              </w:rPr>
            </w:pPr>
            <w:r w:rsidRPr="00CF0EAF">
              <w:rPr>
                <w:sz w:val="16"/>
              </w:rPr>
              <w:t xml:space="preserve">Total major stations </w:t>
            </w:r>
          </w:p>
        </w:tc>
        <w:tc>
          <w:tcPr>
            <w:tcW w:w="1167" w:type="dxa"/>
            <w:shd w:val="clear" w:color="auto" w:fill="auto"/>
            <w:vAlign w:val="center"/>
          </w:tcPr>
          <w:p w:rsidR="0088341A" w:rsidRPr="00E41C6B" w:rsidRDefault="0088341A" w:rsidP="00501137">
            <w:pPr>
              <w:pStyle w:val="AERtabletextright"/>
            </w:pPr>
            <w:r w:rsidRPr="00E41C6B">
              <w:t>61.3</w:t>
            </w:r>
          </w:p>
        </w:tc>
        <w:tc>
          <w:tcPr>
            <w:tcW w:w="1168" w:type="dxa"/>
            <w:shd w:val="clear" w:color="auto" w:fill="auto"/>
            <w:vAlign w:val="center"/>
          </w:tcPr>
          <w:p w:rsidR="0088341A" w:rsidRPr="00E41C6B" w:rsidRDefault="0088341A" w:rsidP="008072D8">
            <w:pPr>
              <w:pStyle w:val="AERtabletextright"/>
            </w:pPr>
            <w:r>
              <w:t>66.</w:t>
            </w:r>
            <w:r w:rsidR="008072D8">
              <w:t>5</w:t>
            </w:r>
          </w:p>
        </w:tc>
        <w:tc>
          <w:tcPr>
            <w:tcW w:w="1168" w:type="dxa"/>
            <w:shd w:val="clear" w:color="auto" w:fill="auto"/>
            <w:vAlign w:val="center"/>
          </w:tcPr>
          <w:p w:rsidR="0088341A" w:rsidRPr="00E41C6B" w:rsidRDefault="0088341A" w:rsidP="00501137">
            <w:pPr>
              <w:pStyle w:val="AERtabletextright"/>
            </w:pPr>
            <w:r>
              <w:t>82.7</w:t>
            </w:r>
          </w:p>
        </w:tc>
        <w:tc>
          <w:tcPr>
            <w:tcW w:w="1168" w:type="dxa"/>
            <w:shd w:val="clear" w:color="auto" w:fill="auto"/>
            <w:vAlign w:val="center"/>
          </w:tcPr>
          <w:p w:rsidR="0088341A" w:rsidRPr="00E41C6B" w:rsidRDefault="0088341A" w:rsidP="00501137">
            <w:pPr>
              <w:pStyle w:val="AERtabletextright"/>
            </w:pPr>
            <w:r>
              <w:t>210.6</w:t>
            </w:r>
          </w:p>
        </w:tc>
        <w:tc>
          <w:tcPr>
            <w:tcW w:w="1168" w:type="dxa"/>
            <w:shd w:val="clear" w:color="auto" w:fill="auto"/>
            <w:vAlign w:val="center"/>
          </w:tcPr>
          <w:p w:rsidR="0088341A" w:rsidRPr="00E41C6B" w:rsidRDefault="0088341A" w:rsidP="00501137">
            <w:pPr>
              <w:pStyle w:val="AERtabletextright"/>
            </w:pPr>
            <w:r w:rsidRPr="00E41C6B">
              <w:t>335.7</w:t>
            </w:r>
          </w:p>
        </w:tc>
        <w:tc>
          <w:tcPr>
            <w:tcW w:w="1168" w:type="dxa"/>
            <w:shd w:val="clear" w:color="auto" w:fill="auto"/>
            <w:vAlign w:val="center"/>
          </w:tcPr>
          <w:p w:rsidR="0088341A" w:rsidRPr="00E41C6B" w:rsidRDefault="0088341A" w:rsidP="00501137">
            <w:pPr>
              <w:pStyle w:val="AERtabletextright"/>
            </w:pPr>
            <w:r>
              <w:t>–125.1</w:t>
            </w:r>
          </w:p>
        </w:tc>
      </w:tr>
      <w:tr w:rsidR="0088341A" w:rsidRPr="00E41C6B" w:rsidTr="00501137">
        <w:tc>
          <w:tcPr>
            <w:tcW w:w="2235" w:type="dxa"/>
            <w:shd w:val="clear" w:color="auto" w:fill="DBE5F1"/>
            <w:vAlign w:val="center"/>
          </w:tcPr>
          <w:p w:rsidR="0088341A" w:rsidRPr="00CF0EAF" w:rsidRDefault="0088341A" w:rsidP="0088341A">
            <w:pPr>
              <w:numPr>
                <w:ilvl w:val="0"/>
                <w:numId w:val="14"/>
              </w:numPr>
              <w:spacing w:before="120"/>
              <w:rPr>
                <w:sz w:val="16"/>
              </w:rPr>
            </w:pPr>
            <w:r w:rsidRPr="00CF0EAF">
              <w:rPr>
                <w:sz w:val="16"/>
              </w:rPr>
              <w:t>Asset replacement</w:t>
            </w:r>
          </w:p>
        </w:tc>
        <w:tc>
          <w:tcPr>
            <w:tcW w:w="1167" w:type="dxa"/>
            <w:shd w:val="clear" w:color="auto" w:fill="DBE5F1"/>
            <w:vAlign w:val="center"/>
          </w:tcPr>
          <w:p w:rsidR="0088341A" w:rsidRPr="00E41C6B" w:rsidRDefault="0088341A" w:rsidP="00501137">
            <w:pPr>
              <w:pStyle w:val="AERtabletextright"/>
            </w:pPr>
            <w:r>
              <w:t>32.9</w:t>
            </w:r>
          </w:p>
        </w:tc>
        <w:tc>
          <w:tcPr>
            <w:tcW w:w="1168" w:type="dxa"/>
            <w:shd w:val="clear" w:color="auto" w:fill="DBE5F1"/>
            <w:vAlign w:val="center"/>
          </w:tcPr>
          <w:p w:rsidR="0088341A" w:rsidRPr="00E41C6B" w:rsidRDefault="0088341A" w:rsidP="00501137">
            <w:pPr>
              <w:pStyle w:val="AERtabletextright"/>
            </w:pPr>
            <w:r w:rsidRPr="00E41C6B">
              <w:t>33.</w:t>
            </w:r>
            <w:r>
              <w:t>0</w:t>
            </w:r>
          </w:p>
        </w:tc>
        <w:tc>
          <w:tcPr>
            <w:tcW w:w="1168" w:type="dxa"/>
            <w:shd w:val="clear" w:color="auto" w:fill="DBE5F1"/>
            <w:vAlign w:val="center"/>
          </w:tcPr>
          <w:p w:rsidR="0088341A" w:rsidRPr="00E41C6B" w:rsidRDefault="0088341A" w:rsidP="00501137">
            <w:pPr>
              <w:pStyle w:val="AERtabletextright"/>
            </w:pPr>
            <w:r w:rsidRPr="00E41C6B">
              <w:t>37.</w:t>
            </w:r>
            <w:r>
              <w:t>4</w:t>
            </w:r>
          </w:p>
        </w:tc>
        <w:tc>
          <w:tcPr>
            <w:tcW w:w="1168" w:type="dxa"/>
            <w:shd w:val="clear" w:color="auto" w:fill="DBE5F1"/>
            <w:vAlign w:val="center"/>
          </w:tcPr>
          <w:p w:rsidR="0088341A" w:rsidRPr="00E41C6B" w:rsidRDefault="0088341A" w:rsidP="008072D8">
            <w:pPr>
              <w:pStyle w:val="AERtabletextright"/>
            </w:pPr>
            <w:r w:rsidRPr="00E41C6B">
              <w:t>103.</w:t>
            </w:r>
            <w:r w:rsidR="008072D8">
              <w:t>3</w:t>
            </w:r>
          </w:p>
        </w:tc>
        <w:tc>
          <w:tcPr>
            <w:tcW w:w="1168" w:type="dxa"/>
            <w:shd w:val="clear" w:color="auto" w:fill="DBE5F1"/>
            <w:vAlign w:val="center"/>
          </w:tcPr>
          <w:p w:rsidR="0088341A" w:rsidRPr="00E41C6B" w:rsidRDefault="0088341A" w:rsidP="00501137">
            <w:pPr>
              <w:pStyle w:val="AERtabletextright"/>
            </w:pPr>
            <w:r w:rsidRPr="00E41C6B">
              <w:t>121.1</w:t>
            </w:r>
          </w:p>
        </w:tc>
        <w:tc>
          <w:tcPr>
            <w:tcW w:w="1168" w:type="dxa"/>
            <w:shd w:val="clear" w:color="auto" w:fill="DBE5F1"/>
            <w:vAlign w:val="center"/>
          </w:tcPr>
          <w:p w:rsidR="0088341A" w:rsidRPr="00E41C6B" w:rsidRDefault="0088341A" w:rsidP="00501137">
            <w:pPr>
              <w:pStyle w:val="AERtabletextright"/>
            </w:pPr>
            <w:r>
              <w:t>–</w:t>
            </w:r>
            <w:r w:rsidRPr="00E41C6B">
              <w:t>17.</w:t>
            </w:r>
            <w:r>
              <w:t>7</w:t>
            </w:r>
          </w:p>
        </w:tc>
      </w:tr>
      <w:tr w:rsidR="0088341A" w:rsidRPr="00E41C6B" w:rsidTr="00501137">
        <w:tc>
          <w:tcPr>
            <w:tcW w:w="2235" w:type="dxa"/>
            <w:shd w:val="clear" w:color="auto" w:fill="auto"/>
            <w:vAlign w:val="center"/>
          </w:tcPr>
          <w:p w:rsidR="0088341A" w:rsidRPr="00CF0EAF" w:rsidRDefault="0088341A" w:rsidP="0088341A">
            <w:pPr>
              <w:numPr>
                <w:ilvl w:val="0"/>
                <w:numId w:val="14"/>
              </w:numPr>
              <w:spacing w:before="120"/>
              <w:rPr>
                <w:sz w:val="16"/>
              </w:rPr>
            </w:pPr>
            <w:r w:rsidRPr="00CF0EAF">
              <w:rPr>
                <w:sz w:val="16"/>
              </w:rPr>
              <w:t>Safety and compliance</w:t>
            </w:r>
          </w:p>
        </w:tc>
        <w:tc>
          <w:tcPr>
            <w:tcW w:w="1167" w:type="dxa"/>
            <w:shd w:val="clear" w:color="auto" w:fill="auto"/>
            <w:vAlign w:val="center"/>
          </w:tcPr>
          <w:p w:rsidR="0088341A" w:rsidRPr="00E41C6B" w:rsidRDefault="0088341A" w:rsidP="00501137">
            <w:pPr>
              <w:pStyle w:val="AERtabletextright"/>
            </w:pPr>
            <w:r>
              <w:t>13.9</w:t>
            </w:r>
          </w:p>
        </w:tc>
        <w:tc>
          <w:tcPr>
            <w:tcW w:w="1168" w:type="dxa"/>
            <w:shd w:val="clear" w:color="auto" w:fill="auto"/>
            <w:vAlign w:val="center"/>
          </w:tcPr>
          <w:p w:rsidR="0088341A" w:rsidRPr="00E41C6B" w:rsidRDefault="0088341A" w:rsidP="00501137">
            <w:pPr>
              <w:pStyle w:val="AERtabletextright"/>
            </w:pPr>
            <w:r w:rsidRPr="00E41C6B">
              <w:t>12.</w:t>
            </w:r>
            <w:r>
              <w:t>6</w:t>
            </w:r>
          </w:p>
        </w:tc>
        <w:tc>
          <w:tcPr>
            <w:tcW w:w="1168" w:type="dxa"/>
            <w:shd w:val="clear" w:color="auto" w:fill="auto"/>
            <w:vAlign w:val="center"/>
          </w:tcPr>
          <w:p w:rsidR="0088341A" w:rsidRPr="00E41C6B" w:rsidRDefault="0088341A" w:rsidP="00501137">
            <w:pPr>
              <w:pStyle w:val="AERtabletextright"/>
            </w:pPr>
            <w:r w:rsidRPr="00E41C6B">
              <w:t>11.</w:t>
            </w:r>
            <w:r>
              <w:t>4</w:t>
            </w:r>
          </w:p>
        </w:tc>
        <w:tc>
          <w:tcPr>
            <w:tcW w:w="1168" w:type="dxa"/>
            <w:shd w:val="clear" w:color="auto" w:fill="auto"/>
            <w:vAlign w:val="center"/>
          </w:tcPr>
          <w:p w:rsidR="0088341A" w:rsidRPr="00E41C6B" w:rsidRDefault="0088341A" w:rsidP="00501137">
            <w:pPr>
              <w:pStyle w:val="AERtabletextright"/>
            </w:pPr>
            <w:r w:rsidRPr="00E41C6B">
              <w:t>38.</w:t>
            </w:r>
            <w:r>
              <w:t>0</w:t>
            </w:r>
          </w:p>
        </w:tc>
        <w:tc>
          <w:tcPr>
            <w:tcW w:w="1168" w:type="dxa"/>
            <w:shd w:val="clear" w:color="auto" w:fill="auto"/>
            <w:vAlign w:val="center"/>
          </w:tcPr>
          <w:p w:rsidR="0088341A" w:rsidRPr="00E41C6B" w:rsidRDefault="0088341A" w:rsidP="00501137">
            <w:pPr>
              <w:pStyle w:val="AERtabletextright"/>
            </w:pPr>
            <w:r w:rsidRPr="00E41C6B">
              <w:t>44.7</w:t>
            </w:r>
          </w:p>
        </w:tc>
        <w:tc>
          <w:tcPr>
            <w:tcW w:w="1168" w:type="dxa"/>
            <w:shd w:val="clear" w:color="auto" w:fill="auto"/>
            <w:vAlign w:val="center"/>
          </w:tcPr>
          <w:p w:rsidR="0088341A" w:rsidRPr="00E41C6B" w:rsidRDefault="0088341A" w:rsidP="00D422B0">
            <w:pPr>
              <w:pStyle w:val="AERtabletextright"/>
            </w:pPr>
            <w:r>
              <w:t>–</w:t>
            </w:r>
            <w:r w:rsidRPr="00E41C6B">
              <w:t>6.</w:t>
            </w:r>
            <w:r w:rsidR="00D422B0">
              <w:t>8</w:t>
            </w:r>
          </w:p>
        </w:tc>
      </w:tr>
      <w:tr w:rsidR="0088341A" w:rsidRPr="00E41C6B" w:rsidTr="00501137">
        <w:tc>
          <w:tcPr>
            <w:tcW w:w="2235" w:type="dxa"/>
            <w:shd w:val="clear" w:color="auto" w:fill="DBE5F1"/>
            <w:vAlign w:val="center"/>
          </w:tcPr>
          <w:p w:rsidR="0088341A" w:rsidRPr="00CF0EAF" w:rsidRDefault="0088341A" w:rsidP="0088341A">
            <w:pPr>
              <w:numPr>
                <w:ilvl w:val="0"/>
                <w:numId w:val="14"/>
              </w:numPr>
              <w:spacing w:before="120"/>
              <w:rPr>
                <w:sz w:val="16"/>
              </w:rPr>
            </w:pPr>
            <w:r w:rsidRPr="00CF0EAF">
              <w:rPr>
                <w:sz w:val="16"/>
              </w:rPr>
              <w:t>Non-system</w:t>
            </w:r>
          </w:p>
        </w:tc>
        <w:tc>
          <w:tcPr>
            <w:tcW w:w="1167" w:type="dxa"/>
            <w:shd w:val="clear" w:color="auto" w:fill="DBE5F1"/>
            <w:vAlign w:val="center"/>
          </w:tcPr>
          <w:p w:rsidR="0088341A" w:rsidRPr="00E41C6B" w:rsidRDefault="0088341A" w:rsidP="008072D8">
            <w:pPr>
              <w:pStyle w:val="AERtabletextright"/>
            </w:pPr>
            <w:r w:rsidRPr="00E41C6B">
              <w:t>1</w:t>
            </w:r>
            <w:r w:rsidR="008072D8">
              <w:t>4.9</w:t>
            </w:r>
          </w:p>
        </w:tc>
        <w:tc>
          <w:tcPr>
            <w:tcW w:w="1168" w:type="dxa"/>
            <w:shd w:val="clear" w:color="auto" w:fill="DBE5F1"/>
            <w:vAlign w:val="center"/>
          </w:tcPr>
          <w:p w:rsidR="0088341A" w:rsidRPr="00E41C6B" w:rsidRDefault="0088341A" w:rsidP="008072D8">
            <w:pPr>
              <w:pStyle w:val="AERtabletextright"/>
            </w:pPr>
            <w:r>
              <w:t>1</w:t>
            </w:r>
            <w:r w:rsidR="008072D8">
              <w:t>4.9</w:t>
            </w:r>
          </w:p>
        </w:tc>
        <w:tc>
          <w:tcPr>
            <w:tcW w:w="1168" w:type="dxa"/>
            <w:shd w:val="clear" w:color="auto" w:fill="DBE5F1"/>
            <w:vAlign w:val="center"/>
          </w:tcPr>
          <w:p w:rsidR="0088341A" w:rsidRPr="00E41C6B" w:rsidRDefault="0088341A" w:rsidP="00501137">
            <w:pPr>
              <w:pStyle w:val="AERtabletextright"/>
            </w:pPr>
            <w:r w:rsidRPr="00E41C6B">
              <w:t>14.4</w:t>
            </w:r>
          </w:p>
        </w:tc>
        <w:tc>
          <w:tcPr>
            <w:tcW w:w="1168" w:type="dxa"/>
            <w:shd w:val="clear" w:color="auto" w:fill="DBE5F1"/>
            <w:vAlign w:val="center"/>
          </w:tcPr>
          <w:p w:rsidR="0088341A" w:rsidRPr="00E41C6B" w:rsidRDefault="0088341A" w:rsidP="00501137">
            <w:pPr>
              <w:pStyle w:val="AERtabletextright"/>
            </w:pPr>
            <w:r w:rsidRPr="00E41C6B">
              <w:t>44.</w:t>
            </w:r>
            <w:r>
              <w:t>3</w:t>
            </w:r>
          </w:p>
        </w:tc>
        <w:tc>
          <w:tcPr>
            <w:tcW w:w="1168" w:type="dxa"/>
            <w:shd w:val="clear" w:color="auto" w:fill="DBE5F1"/>
            <w:vAlign w:val="center"/>
          </w:tcPr>
          <w:p w:rsidR="0088341A" w:rsidRPr="00E41C6B" w:rsidRDefault="0088341A" w:rsidP="00501137">
            <w:pPr>
              <w:pStyle w:val="AERtabletextright"/>
            </w:pPr>
            <w:r w:rsidRPr="00E41C6B">
              <w:t>62.7</w:t>
            </w:r>
          </w:p>
        </w:tc>
        <w:tc>
          <w:tcPr>
            <w:tcW w:w="1168" w:type="dxa"/>
            <w:shd w:val="clear" w:color="auto" w:fill="DBE5F1"/>
            <w:vAlign w:val="center"/>
          </w:tcPr>
          <w:p w:rsidR="0088341A" w:rsidRPr="00E41C6B" w:rsidRDefault="0088341A" w:rsidP="008072D8">
            <w:pPr>
              <w:pStyle w:val="AERtabletextright"/>
            </w:pPr>
            <w:r>
              <w:t>–</w:t>
            </w:r>
            <w:r w:rsidRPr="00E41C6B">
              <w:t>18.</w:t>
            </w:r>
            <w:r w:rsidR="008072D8">
              <w:t>4</w:t>
            </w:r>
          </w:p>
        </w:tc>
      </w:tr>
      <w:tr w:rsidR="0088341A" w:rsidRPr="009E166E" w:rsidTr="00501137">
        <w:tc>
          <w:tcPr>
            <w:tcW w:w="2235" w:type="dxa"/>
            <w:shd w:val="clear" w:color="auto" w:fill="auto"/>
            <w:vAlign w:val="center"/>
          </w:tcPr>
          <w:p w:rsidR="0088341A" w:rsidRPr="009E166E" w:rsidRDefault="0088341A" w:rsidP="0088341A">
            <w:pPr>
              <w:numPr>
                <w:ilvl w:val="0"/>
                <w:numId w:val="14"/>
              </w:numPr>
              <w:spacing w:before="120"/>
              <w:rPr>
                <w:rStyle w:val="AERtextbold"/>
              </w:rPr>
            </w:pPr>
            <w:r w:rsidRPr="009E166E">
              <w:rPr>
                <w:rStyle w:val="AERtextbold"/>
              </w:rPr>
              <w:t>Total</w:t>
            </w:r>
          </w:p>
        </w:tc>
        <w:tc>
          <w:tcPr>
            <w:tcW w:w="1167" w:type="dxa"/>
            <w:shd w:val="clear" w:color="auto" w:fill="auto"/>
            <w:vAlign w:val="center"/>
          </w:tcPr>
          <w:p w:rsidR="0088341A" w:rsidRPr="009E166E" w:rsidRDefault="0088341A" w:rsidP="00501137">
            <w:pPr>
              <w:pStyle w:val="AERtabletextright"/>
              <w:rPr>
                <w:rStyle w:val="AERtextbold"/>
              </w:rPr>
            </w:pPr>
            <w:r w:rsidRPr="009E166E">
              <w:rPr>
                <w:rStyle w:val="AERtextbold"/>
              </w:rPr>
              <w:t>123.1</w:t>
            </w:r>
          </w:p>
        </w:tc>
        <w:tc>
          <w:tcPr>
            <w:tcW w:w="1168" w:type="dxa"/>
            <w:shd w:val="clear" w:color="auto" w:fill="auto"/>
            <w:vAlign w:val="center"/>
          </w:tcPr>
          <w:p w:rsidR="0088341A" w:rsidRPr="009E166E" w:rsidRDefault="0088341A" w:rsidP="00D422B0">
            <w:pPr>
              <w:pStyle w:val="AERtabletextright"/>
              <w:rPr>
                <w:rStyle w:val="AERtextbold"/>
              </w:rPr>
            </w:pPr>
            <w:r w:rsidRPr="009E166E">
              <w:rPr>
                <w:rStyle w:val="AERtextbold"/>
              </w:rPr>
              <w:t>127.</w:t>
            </w:r>
            <w:r w:rsidR="00D422B0" w:rsidRPr="009E166E">
              <w:rPr>
                <w:rStyle w:val="AERtextbold"/>
              </w:rPr>
              <w:t>1</w:t>
            </w:r>
          </w:p>
        </w:tc>
        <w:tc>
          <w:tcPr>
            <w:tcW w:w="1168" w:type="dxa"/>
            <w:shd w:val="clear" w:color="auto" w:fill="auto"/>
            <w:vAlign w:val="center"/>
          </w:tcPr>
          <w:p w:rsidR="0088341A" w:rsidRPr="009E166E" w:rsidRDefault="0088341A" w:rsidP="00501137">
            <w:pPr>
              <w:pStyle w:val="AERtabletextright"/>
              <w:rPr>
                <w:rStyle w:val="AERtextbold"/>
              </w:rPr>
            </w:pPr>
            <w:r w:rsidRPr="009E166E">
              <w:rPr>
                <w:rStyle w:val="AERtextbold"/>
              </w:rPr>
              <w:t>146.0</w:t>
            </w:r>
          </w:p>
        </w:tc>
        <w:tc>
          <w:tcPr>
            <w:tcW w:w="1168" w:type="dxa"/>
            <w:shd w:val="clear" w:color="auto" w:fill="auto"/>
            <w:vAlign w:val="center"/>
          </w:tcPr>
          <w:p w:rsidR="0088341A" w:rsidRPr="009E166E" w:rsidRDefault="0088341A" w:rsidP="008072D8">
            <w:pPr>
              <w:pStyle w:val="AERtabletextright"/>
              <w:rPr>
                <w:rStyle w:val="AERtextbold"/>
              </w:rPr>
            </w:pPr>
            <w:r w:rsidRPr="009E166E">
              <w:rPr>
                <w:rStyle w:val="AERtextbold"/>
              </w:rPr>
              <w:t>396.</w:t>
            </w:r>
            <w:r w:rsidR="008072D8" w:rsidRPr="009E166E">
              <w:rPr>
                <w:rStyle w:val="AERtextbold"/>
              </w:rPr>
              <w:t>2</w:t>
            </w:r>
          </w:p>
        </w:tc>
        <w:tc>
          <w:tcPr>
            <w:tcW w:w="1168" w:type="dxa"/>
            <w:shd w:val="clear" w:color="auto" w:fill="auto"/>
            <w:vAlign w:val="center"/>
          </w:tcPr>
          <w:p w:rsidR="0088341A" w:rsidRPr="009E166E" w:rsidRDefault="0088341A" w:rsidP="00501137">
            <w:pPr>
              <w:pStyle w:val="AERtabletextright"/>
              <w:rPr>
                <w:rStyle w:val="AERtextbold"/>
              </w:rPr>
            </w:pPr>
            <w:r w:rsidRPr="009E166E">
              <w:rPr>
                <w:rStyle w:val="AERtextbold"/>
              </w:rPr>
              <w:t>564.2</w:t>
            </w:r>
          </w:p>
        </w:tc>
        <w:tc>
          <w:tcPr>
            <w:tcW w:w="1168" w:type="dxa"/>
            <w:shd w:val="clear" w:color="auto" w:fill="auto"/>
            <w:vAlign w:val="center"/>
          </w:tcPr>
          <w:p w:rsidR="0088341A" w:rsidRPr="009E166E" w:rsidRDefault="0088341A" w:rsidP="008072D8">
            <w:pPr>
              <w:pStyle w:val="AERtabletextright"/>
              <w:rPr>
                <w:rStyle w:val="AERtextbold"/>
              </w:rPr>
            </w:pPr>
            <w:r w:rsidRPr="009E166E">
              <w:rPr>
                <w:rStyle w:val="AERtextbold"/>
              </w:rPr>
              <w:t>–16</w:t>
            </w:r>
            <w:r w:rsidR="008072D8" w:rsidRPr="009E166E">
              <w:rPr>
                <w:rStyle w:val="AERtextbold"/>
              </w:rPr>
              <w:t>8.0</w:t>
            </w:r>
          </w:p>
        </w:tc>
      </w:tr>
    </w:tbl>
    <w:p w:rsidR="0088341A" w:rsidRDefault="0088341A" w:rsidP="0088341A">
      <w:pPr>
        <w:pStyle w:val="AERtablesource"/>
      </w:pPr>
      <w:r>
        <w:t>Source:</w:t>
      </w:r>
      <w:r>
        <w:tab/>
        <w:t xml:space="preserve">SP AusNet, </w:t>
      </w:r>
      <w:r w:rsidRPr="000F18CD">
        <w:rPr>
          <w:rStyle w:val="AERtextitalic"/>
        </w:rPr>
        <w:t>Revenue proposal</w:t>
      </w:r>
      <w:r>
        <w:t>, p. 84; AER analysis.</w:t>
      </w:r>
      <w:r w:rsidR="00217618">
        <w:t xml:space="preserve"> Numbers may not add due to rounding.</w:t>
      </w:r>
    </w:p>
    <w:p w:rsidR="0088341A" w:rsidRDefault="0088341A" w:rsidP="0088341A">
      <w:pPr>
        <w:pStyle w:val="Heading2"/>
        <w:numPr>
          <w:ilvl w:val="2"/>
          <w:numId w:val="20"/>
        </w:numPr>
      </w:pPr>
      <w:bookmarkStart w:id="75" w:name="_Toc365283255"/>
      <w:r>
        <w:lastRenderedPageBreak/>
        <w:t>Summary of analysis and reasons</w:t>
      </w:r>
      <w:bookmarkEnd w:id="75"/>
    </w:p>
    <w:p w:rsidR="0088341A" w:rsidRDefault="0088341A" w:rsidP="0088341A">
      <w:pPr>
        <w:pStyle w:val="AERbodytext"/>
        <w:numPr>
          <w:ilvl w:val="0"/>
          <w:numId w:val="1"/>
        </w:numPr>
      </w:pPr>
      <w:r>
        <w:t>W</w:t>
      </w:r>
      <w:r w:rsidRPr="002F3FD1">
        <w:t xml:space="preserve">e do not accept </w:t>
      </w:r>
      <w:r>
        <w:t xml:space="preserve">SP AusNet's </w:t>
      </w:r>
      <w:r w:rsidRPr="002F3FD1">
        <w:t xml:space="preserve">proposed total forecast capex </w:t>
      </w:r>
      <w:r>
        <w:t xml:space="preserve">because it does not reasonably satisfy the requirements of the NER and </w:t>
      </w:r>
      <w:r w:rsidR="009D25D9">
        <w:t>National Electricity Objective (</w:t>
      </w:r>
      <w:r>
        <w:t>NEO</w:t>
      </w:r>
      <w:r w:rsidR="009D25D9">
        <w:t>)</w:t>
      </w:r>
      <w:r>
        <w:t xml:space="preserve"> for the reasons outlined in attachment 2.</w:t>
      </w:r>
      <w:r>
        <w:rPr>
          <w:rStyle w:val="FootnoteReference"/>
        </w:rPr>
        <w:footnoteReference w:id="56"/>
      </w:r>
      <w:r>
        <w:t xml:space="preserve"> We consider SP AusNet</w:t>
      </w:r>
      <w:r w:rsidR="009D25D9">
        <w:t>’s</w:t>
      </w:r>
      <w:r>
        <w:t xml:space="preserve"> proposed forecast capex </w:t>
      </w:r>
      <w:r w:rsidR="00D422B0">
        <w:t xml:space="preserve">is </w:t>
      </w:r>
      <w:r>
        <w:t>above its reasonable requirements. The following findings led to this determination:</w:t>
      </w:r>
    </w:p>
    <w:p w:rsidR="0088341A" w:rsidRDefault="0088341A" w:rsidP="0088341A">
      <w:pPr>
        <w:pStyle w:val="AERbulletlistfirststyle"/>
      </w:pPr>
      <w:r>
        <w:t>SP AusNet's proposed real cost escalators do not reasonably reflect a realistic expectation of cost inputs required to achieve the capex objectives.</w:t>
      </w:r>
    </w:p>
    <w:p w:rsidR="0088341A" w:rsidRDefault="0088341A" w:rsidP="0088341A">
      <w:pPr>
        <w:pStyle w:val="AERbulletlistfirststyle"/>
      </w:pPr>
      <w:r>
        <w:t xml:space="preserve">In its cost estimation of capex projects and programs of work, SP AusNet did not adequately account for prudent changes that we expect that it would make. </w:t>
      </w:r>
    </w:p>
    <w:p w:rsidR="0088341A" w:rsidRDefault="0088341A" w:rsidP="0088341A">
      <w:pPr>
        <w:pStyle w:val="AERbulletlistfirststyle"/>
      </w:pPr>
      <w:r>
        <w:t>We did not allow any forecast capex for rebuilding the West Melbourne terminal station (WMTS) because new developments in July 2013 make the timing and cost of the project so uncertain that a reasonable capex forecast is not possible.</w:t>
      </w:r>
    </w:p>
    <w:p w:rsidR="0088341A" w:rsidRDefault="0088341A" w:rsidP="0088341A">
      <w:pPr>
        <w:pStyle w:val="AERbulletlistfirststyle"/>
      </w:pPr>
      <w:r>
        <w:t xml:space="preserve">SP AusNet did not adequately demonstrate and quantify the benefits of SP AusNet's proposed strategic information technology (IT) capex. </w:t>
      </w:r>
    </w:p>
    <w:p w:rsidR="0088341A" w:rsidRDefault="0088341A" w:rsidP="0088341A">
      <w:pPr>
        <w:pStyle w:val="Heading2"/>
        <w:numPr>
          <w:ilvl w:val="2"/>
          <w:numId w:val="20"/>
        </w:numPr>
      </w:pPr>
      <w:bookmarkStart w:id="76" w:name="_Toc365283256"/>
      <w:r>
        <w:t>Comparison of historical and forecast capex</w:t>
      </w:r>
      <w:bookmarkEnd w:id="76"/>
    </w:p>
    <w:p w:rsidR="0088341A" w:rsidRPr="00C53AD5" w:rsidRDefault="0088341A" w:rsidP="0088341A">
      <w:pPr>
        <w:numPr>
          <w:ilvl w:val="0"/>
          <w:numId w:val="14"/>
        </w:numPr>
      </w:pPr>
      <w:r>
        <w:fldChar w:fldCharType="begin"/>
      </w:r>
      <w:r>
        <w:instrText xml:space="preserve"> REF _Ref362614513 \h </w:instrText>
      </w:r>
      <w:r>
        <w:fldChar w:fldCharType="separate"/>
      </w:r>
      <w:r w:rsidR="004F35AA">
        <w:t xml:space="preserve">Figure </w:t>
      </w:r>
      <w:r w:rsidR="004F35AA">
        <w:rPr>
          <w:noProof/>
        </w:rPr>
        <w:t>7</w:t>
      </w:r>
      <w:r w:rsidR="004F35AA">
        <w:t>.</w:t>
      </w:r>
      <w:r w:rsidR="004F35AA">
        <w:rPr>
          <w:noProof/>
        </w:rPr>
        <w:t>1</w:t>
      </w:r>
      <w:r>
        <w:fldChar w:fldCharType="end"/>
      </w:r>
      <w:r>
        <w:t xml:space="preserve"> </w:t>
      </w:r>
      <w:r w:rsidRPr="00F51E56">
        <w:t xml:space="preserve">compares SP AusNet's actual and expected capex by category for the 2008–14 regulatory control period with </w:t>
      </w:r>
      <w:r w:rsidR="00D422B0">
        <w:t>its</w:t>
      </w:r>
      <w:r w:rsidRPr="00F51E56">
        <w:t xml:space="preserve"> forecast capex for the 2014–17 regulatory control period. </w:t>
      </w:r>
      <w:r>
        <w:t xml:space="preserve">It </w:t>
      </w:r>
      <w:r w:rsidRPr="00F51E56">
        <w:t xml:space="preserve">shows the capex that we allowed for the 2008–14 regulatory control period and our draft decision on forecast capex for the 2014–17 regulatory control period. Overall, SP AusNet expects it will underspend its capex allowance by $120.5 million in the 2008–14 regulatory control period. </w:t>
      </w:r>
      <w:r>
        <w:t>On average</w:t>
      </w:r>
      <w:r w:rsidR="009D25D9">
        <w:t>,</w:t>
      </w:r>
      <w:r>
        <w:t xml:space="preserve"> its</w:t>
      </w:r>
      <w:r w:rsidRPr="00C53AD5">
        <w:t xml:space="preserve"> forecast capex</w:t>
      </w:r>
      <w:r>
        <w:t xml:space="preserve"> for 2014–17</w:t>
      </w:r>
      <w:r w:rsidRPr="00C53AD5">
        <w:t xml:space="preserve"> is 43 per cent higher </w:t>
      </w:r>
      <w:r>
        <w:t xml:space="preserve">per year </w:t>
      </w:r>
      <w:r w:rsidRPr="00C53AD5">
        <w:t>than</w:t>
      </w:r>
      <w:r>
        <w:t xml:space="preserve"> its</w:t>
      </w:r>
      <w:r w:rsidRPr="00C53AD5">
        <w:t xml:space="preserve"> actual and expected capex in 2008–14</w:t>
      </w:r>
      <w:r>
        <w:t>.</w:t>
      </w:r>
    </w:p>
    <w:p w:rsidR="0088341A" w:rsidRDefault="0088341A" w:rsidP="0088341A">
      <w:pPr>
        <w:pStyle w:val="Caption"/>
        <w:keepLines/>
      </w:pPr>
      <w:bookmarkStart w:id="77" w:name="_Ref362614513"/>
      <w:r>
        <w:lastRenderedPageBreak/>
        <w:t xml:space="preserve">Figure </w:t>
      </w:r>
      <w:fldSimple w:instr=" STYLEREF 1 \s ">
        <w:r w:rsidR="004F35AA">
          <w:rPr>
            <w:noProof/>
          </w:rPr>
          <w:t>7</w:t>
        </w:r>
      </w:fldSimple>
      <w:r w:rsidR="00C56A87">
        <w:t>.</w:t>
      </w:r>
      <w:fldSimple w:instr=" SEQ Figure \* ARABIC \s 1 ">
        <w:r w:rsidR="004F35AA">
          <w:rPr>
            <w:noProof/>
          </w:rPr>
          <w:t>1</w:t>
        </w:r>
      </w:fldSimple>
      <w:bookmarkEnd w:id="77"/>
      <w:r>
        <w:tab/>
        <w:t>Comparison of SP AusNet's past and forecast capex ($ million, 2013–14)</w:t>
      </w:r>
    </w:p>
    <w:p w:rsidR="0088341A" w:rsidRPr="00F51E56" w:rsidRDefault="0088341A" w:rsidP="0088341A">
      <w:pPr>
        <w:pStyle w:val="AERbodytext"/>
        <w:keepNext/>
        <w:keepLines/>
        <w:numPr>
          <w:ilvl w:val="0"/>
          <w:numId w:val="1"/>
        </w:numPr>
      </w:pPr>
      <w:r>
        <w:rPr>
          <w:noProof/>
          <w:lang w:eastAsia="en-AU"/>
        </w:rPr>
        <w:drawing>
          <wp:inline distT="0" distB="0" distL="0" distR="0" wp14:anchorId="0027239B" wp14:editId="788DA7B4">
            <wp:extent cx="5039995" cy="3042920"/>
            <wp:effectExtent l="0" t="0" r="8255"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9995" cy="3042920"/>
                    </a:xfrm>
                    <a:prstGeom prst="rect">
                      <a:avLst/>
                    </a:prstGeom>
                    <a:noFill/>
                    <a:ln>
                      <a:noFill/>
                    </a:ln>
                  </pic:spPr>
                </pic:pic>
              </a:graphicData>
            </a:graphic>
          </wp:inline>
        </w:drawing>
      </w:r>
      <w:r>
        <w:rPr>
          <w:noProof/>
          <w:lang w:eastAsia="en-AU"/>
        </w:rPr>
        <mc:AlternateContent>
          <mc:Choice Requires="wps">
            <w:drawing>
              <wp:anchor distT="0" distB="0" distL="114300" distR="114300" simplePos="0" relativeHeight="251676672" behindDoc="0" locked="0" layoutInCell="1" allowOverlap="1" wp14:anchorId="6D679FA6" wp14:editId="3B6483BD">
                <wp:simplePos x="0" y="0"/>
                <wp:positionH relativeFrom="column">
                  <wp:posOffset>2730500</wp:posOffset>
                </wp:positionH>
                <wp:positionV relativeFrom="paragraph">
                  <wp:posOffset>188595</wp:posOffset>
                </wp:positionV>
                <wp:extent cx="887095" cy="283845"/>
                <wp:effectExtent l="0" t="0" r="1905" b="381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166E" w:rsidRDefault="009E166E" w:rsidP="0088341A">
                            <w:pPr>
                              <w:pStyle w:val="AERtablesource"/>
                            </w:pPr>
                            <w:r>
                              <w:t>Current RCP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5" o:spid="_x0000_s1041" type="#_x0000_t202" style="position:absolute;left:0;text-align:left;margin-left:215pt;margin-top:14.85pt;width:69.85pt;height:22.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" stroked="f">
                <v:textbox>
                  <w:txbxContent>
                    <w:p w:rsidR="009E166E" w:rsidRDefault="009E166E" w:rsidP="0088341A">
                      <w:pPr>
                        <w:pStyle w:val="AERtablesource"/>
                      </w:pPr>
                      <w:r>
                        <w:t>Current RCP</w:t>
                      </w:r>
                    </w:p>
                  </w:txbxContent>
                </v:textbox>
              </v:shape>
            </w:pict>
          </mc:Fallback>
        </mc:AlternateContent>
      </w:r>
      <w:r>
        <w:rPr>
          <w:noProof/>
          <w:lang w:eastAsia="en-AU"/>
        </w:rPr>
        <mc:AlternateContent>
          <mc:Choice Requires="wps">
            <w:drawing>
              <wp:anchor distT="0" distB="0" distL="114300" distR="114300" simplePos="0" relativeHeight="251677696" behindDoc="0" locked="0" layoutInCell="1" allowOverlap="1" wp14:anchorId="1A1EBACF" wp14:editId="27F1662D">
                <wp:simplePos x="0" y="0"/>
                <wp:positionH relativeFrom="column">
                  <wp:posOffset>4103370</wp:posOffset>
                </wp:positionH>
                <wp:positionV relativeFrom="paragraph">
                  <wp:posOffset>188595</wp:posOffset>
                </wp:positionV>
                <wp:extent cx="815340" cy="283845"/>
                <wp:effectExtent l="0" t="0" r="0" b="381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166E" w:rsidRDefault="009E166E" w:rsidP="0088341A">
                            <w:pPr>
                              <w:pStyle w:val="AERtablesource"/>
                            </w:pPr>
                            <w:r>
                              <w:t>Next RCP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042" type="#_x0000_t202" style="position:absolute;left:0;text-align:left;margin-left:323.1pt;margin-top:14.85pt;width:64.2pt;height:22.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" stroked="f">
                <v:textbox>
                  <w:txbxContent>
                    <w:p w:rsidR="009E166E" w:rsidRDefault="009E166E" w:rsidP="0088341A">
                      <w:pPr>
                        <w:pStyle w:val="AERtablesource"/>
                      </w:pPr>
                      <w:r>
                        <w:t>Next RCP</w:t>
                      </w:r>
                    </w:p>
                  </w:txbxContent>
                </v:textbox>
              </v:shape>
            </w:pict>
          </mc:Fallback>
        </mc:AlternateContent>
      </w:r>
      <w:r>
        <w:rPr>
          <w:noProof/>
          <w:lang w:eastAsia="en-AU"/>
        </w:rPr>
        <mc:AlternateContent>
          <mc:Choice Requires="wps">
            <w:drawing>
              <wp:anchor distT="0" distB="0" distL="114300" distR="114300" simplePos="0" relativeHeight="251674624" behindDoc="0" locked="0" layoutInCell="1" allowOverlap="1" wp14:anchorId="72E9910E" wp14:editId="056EB595">
                <wp:simplePos x="0" y="0"/>
                <wp:positionH relativeFrom="column">
                  <wp:posOffset>4031615</wp:posOffset>
                </wp:positionH>
                <wp:positionV relativeFrom="paragraph">
                  <wp:posOffset>104140</wp:posOffset>
                </wp:positionV>
                <wp:extent cx="0" cy="2051685"/>
                <wp:effectExtent l="12065" t="8890" r="6985" b="635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16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3" o:spid="_x0000_s1026" type="#_x0000_t32" style="position:absolute;margin-left:317.45pt;margin-top:8.2pt;width:0;height:161.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">
                <v:stroke dashstyle="dash"/>
              </v:shape>
            </w:pict>
          </mc:Fallback>
        </mc:AlternateContent>
      </w:r>
      <w:r>
        <w:rPr>
          <w:noProof/>
          <w:lang w:eastAsia="en-AU"/>
        </w:rPr>
        <mc:AlternateContent>
          <mc:Choice Requires="wps">
            <w:drawing>
              <wp:anchor distT="0" distB="0" distL="114300" distR="114300" simplePos="0" relativeHeight="251675648" behindDoc="0" locked="0" layoutInCell="1" allowOverlap="1" wp14:anchorId="0338D366" wp14:editId="3612A15C">
                <wp:simplePos x="0" y="0"/>
                <wp:positionH relativeFrom="column">
                  <wp:posOffset>1184275</wp:posOffset>
                </wp:positionH>
                <wp:positionV relativeFrom="paragraph">
                  <wp:posOffset>188595</wp:posOffset>
                </wp:positionV>
                <wp:extent cx="887095" cy="283845"/>
                <wp:effectExtent l="3175" t="0" r="0" b="381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166E" w:rsidRDefault="009E166E" w:rsidP="0088341A">
                            <w:pPr>
                              <w:pStyle w:val="AERtablesource"/>
                            </w:pPr>
                            <w:r>
                              <w:t>Previous RCP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2" o:spid="_x0000_s1043" type="#_x0000_t202" style="position:absolute;left:0;text-align:left;margin-left:93.25pt;margin-top:14.85pt;width:69.85pt;height:22.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" stroked="f">
                <v:textbox>
                  <w:txbxContent>
                    <w:p w:rsidR="009E166E" w:rsidRDefault="009E166E" w:rsidP="0088341A">
                      <w:pPr>
                        <w:pStyle w:val="AERtablesource"/>
                      </w:pPr>
                      <w:r>
                        <w:t>Previous RCP</w:t>
                      </w:r>
                    </w:p>
                  </w:txbxContent>
                </v:textbox>
              </v:shape>
            </w:pict>
          </mc:Fallback>
        </mc:AlternateContent>
      </w:r>
      <w:r>
        <w:rPr>
          <w:noProof/>
          <w:lang w:eastAsia="en-AU"/>
        </w:rPr>
        <mc:AlternateContent>
          <mc:Choice Requires="wps">
            <w:drawing>
              <wp:anchor distT="0" distB="0" distL="114300" distR="114300" simplePos="0" relativeHeight="251673600" behindDoc="0" locked="0" layoutInCell="1" allowOverlap="1" wp14:anchorId="03C50DD6" wp14:editId="39B072D4">
                <wp:simplePos x="0" y="0"/>
                <wp:positionH relativeFrom="column">
                  <wp:posOffset>2298065</wp:posOffset>
                </wp:positionH>
                <wp:positionV relativeFrom="paragraph">
                  <wp:posOffset>104140</wp:posOffset>
                </wp:positionV>
                <wp:extent cx="7620" cy="2051685"/>
                <wp:effectExtent l="12065" t="8890" r="8890" b="635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0516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1" o:spid="_x0000_s1026" type="#_x0000_t32" style="position:absolute;margin-left:180.95pt;margin-top:8.2pt;width:.6pt;height:161.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">
                <v:stroke dashstyle="dash"/>
              </v:shape>
            </w:pict>
          </mc:Fallback>
        </mc:AlternateContent>
      </w:r>
    </w:p>
    <w:p w:rsidR="0088341A" w:rsidRDefault="0088341A" w:rsidP="0088341A">
      <w:pPr>
        <w:pStyle w:val="AERtablesource"/>
        <w:keepNext/>
        <w:keepLines/>
      </w:pPr>
      <w:r>
        <w:t>Source:</w:t>
      </w:r>
      <w:r>
        <w:tab/>
        <w:t xml:space="preserve">SP AusNet, </w:t>
      </w:r>
      <w:r w:rsidRPr="000F18CD">
        <w:rPr>
          <w:rStyle w:val="AERtextitalic"/>
        </w:rPr>
        <w:t>Revenue proposal</w:t>
      </w:r>
      <w:r>
        <w:t>, pp. 51 and 84; SP AusNet</w:t>
      </w:r>
      <w:r w:rsidR="00CA7B13">
        <w:t xml:space="preserve">, </w:t>
      </w:r>
      <w:r w:rsidR="005537A8" w:rsidRPr="00A35D2F">
        <w:rPr>
          <w:rStyle w:val="AERtextitalic"/>
        </w:rPr>
        <w:t xml:space="preserve">Response to information request </w:t>
      </w:r>
      <w:r w:rsidR="005D1B67">
        <w:rPr>
          <w:rStyle w:val="AERtextitalic"/>
        </w:rPr>
        <w:t>AER</w:t>
      </w:r>
      <w:r w:rsidR="00DC724F">
        <w:rPr>
          <w:rStyle w:val="AERtextitalic"/>
        </w:rPr>
        <w:t xml:space="preserve"> RP </w:t>
      </w:r>
      <w:r w:rsidR="00D25A95">
        <w:rPr>
          <w:rStyle w:val="AERtextitalic"/>
        </w:rPr>
        <w:t>0</w:t>
      </w:r>
      <w:r w:rsidR="005D1B67">
        <w:rPr>
          <w:rStyle w:val="AERtextitalic"/>
        </w:rPr>
        <w:t>23</w:t>
      </w:r>
      <w:r w:rsidR="00D25A95">
        <w:rPr>
          <w:rStyle w:val="AERtextitalic"/>
        </w:rPr>
        <w:t xml:space="preserve">, </w:t>
      </w:r>
      <w:r w:rsidR="007E5823">
        <w:rPr>
          <w:rStyle w:val="AERtextitalic"/>
        </w:rPr>
        <w:t>time series opex and capex</w:t>
      </w:r>
      <w:r>
        <w:t xml:space="preserve">, </w:t>
      </w:r>
      <w:r w:rsidR="005D1B67">
        <w:t>28 May 2013</w:t>
      </w:r>
      <w:r w:rsidR="007E5823">
        <w:t xml:space="preserve"> [confidential]</w:t>
      </w:r>
      <w:r>
        <w:t xml:space="preserve">; </w:t>
      </w:r>
      <w:r w:rsidR="005D1B67">
        <w:t xml:space="preserve">AER, </w:t>
      </w:r>
      <w:r w:rsidR="005D1B67" w:rsidRPr="005D1B67">
        <w:rPr>
          <w:rStyle w:val="AERtextitalic"/>
        </w:rPr>
        <w:t>Final decision Victorian transmission network revenue caps 2003–2008</w:t>
      </w:r>
      <w:r w:rsidR="005D1B67">
        <w:t>, 11 December 2002</w:t>
      </w:r>
      <w:r w:rsidR="001F74BF">
        <w:t>, p. 64</w:t>
      </w:r>
      <w:r w:rsidR="005D1B67">
        <w:t xml:space="preserve">; </w:t>
      </w:r>
      <w:r>
        <w:t>AER analysis.</w:t>
      </w:r>
      <w:r w:rsidR="009D25D9">
        <w:t xml:space="preserve"> </w:t>
      </w:r>
    </w:p>
    <w:p w:rsidR="00B22BC8" w:rsidRDefault="00B22BC8" w:rsidP="00B22BC8">
      <w:pPr>
        <w:pStyle w:val="AERtablesource"/>
        <w:keepNext/>
        <w:keepLines/>
      </w:pPr>
      <w:r>
        <w:t>Note:</w:t>
      </w:r>
      <w:r>
        <w:tab/>
        <w:t>Years 2003–04 to 2011–12 are actual capex, while years 2012–13 and 2013–14 are expected capex.</w:t>
      </w:r>
    </w:p>
    <w:p w:rsidR="00050CCA" w:rsidRPr="00050CCA" w:rsidRDefault="00050CCA" w:rsidP="00050CCA">
      <w:pPr>
        <w:pStyle w:val="AERtablesource"/>
      </w:pPr>
      <w:r>
        <w:tab/>
        <w:t>RCP = regulatory control period.</w:t>
      </w:r>
    </w:p>
    <w:p w:rsidR="0088341A" w:rsidRPr="00A907E9" w:rsidRDefault="0088341A" w:rsidP="0088341A">
      <w:pPr>
        <w:pStyle w:val="Heading3"/>
        <w:numPr>
          <w:ilvl w:val="3"/>
          <w:numId w:val="20"/>
        </w:numPr>
      </w:pPr>
      <w:r w:rsidRPr="00A907E9">
        <w:t>Real cost escalation</w:t>
      </w:r>
    </w:p>
    <w:p w:rsidR="0088341A" w:rsidRPr="00E930D1" w:rsidRDefault="0088341A" w:rsidP="0088341A">
      <w:pPr>
        <w:pStyle w:val="AERbodytext"/>
        <w:numPr>
          <w:ilvl w:val="0"/>
          <w:numId w:val="1"/>
        </w:numPr>
      </w:pPr>
      <w:r w:rsidRPr="00E930D1">
        <w:t xml:space="preserve">We </w:t>
      </w:r>
      <w:r>
        <w:t>consider</w:t>
      </w:r>
      <w:r w:rsidRPr="00E930D1">
        <w:t xml:space="preserve"> SP AusNet's proposed real cost escalators</w:t>
      </w:r>
      <w:r>
        <w:t xml:space="preserve"> are overstated. They do not</w:t>
      </w:r>
      <w:r w:rsidRPr="00E930D1">
        <w:t xml:space="preserve"> reasonably reflect a realistic expectation of the cost inputs required to achieve the capex objectives over the 2014–17 regulatory control period. </w:t>
      </w:r>
      <w:r>
        <w:t>So,</w:t>
      </w:r>
      <w:r w:rsidRPr="00E930D1">
        <w:t xml:space="preserve"> we determined substitute escalators</w:t>
      </w:r>
      <w:r>
        <w:t>,</w:t>
      </w:r>
      <w:r w:rsidRPr="00E930D1">
        <w:t xml:space="preserve"> which reflect </w:t>
      </w:r>
      <w:r>
        <w:t>the following</w:t>
      </w:r>
      <w:r w:rsidRPr="00E930D1">
        <w:t xml:space="preserve"> considerations:</w:t>
      </w:r>
    </w:p>
    <w:p w:rsidR="0088341A" w:rsidRPr="00E930D1" w:rsidRDefault="0088341A" w:rsidP="0088341A">
      <w:pPr>
        <w:pStyle w:val="AERbulletlistfirststyle"/>
      </w:pPr>
      <w:r>
        <w:t>L</w:t>
      </w:r>
      <w:r w:rsidRPr="00E930D1">
        <w:t>abour cost forecasts developed by</w:t>
      </w:r>
      <w:r>
        <w:t xml:space="preserve"> our consultants,</w:t>
      </w:r>
      <w:r w:rsidRPr="00E930D1">
        <w:t xml:space="preserve"> Deloitte Access Economics (DAE)</w:t>
      </w:r>
      <w:r>
        <w:t xml:space="preserve">, </w:t>
      </w:r>
      <w:r w:rsidRPr="00E930D1">
        <w:t>reasonably reflect a realistic expectation of the cost inputs required to achieve the capex objectives</w:t>
      </w:r>
      <w:r>
        <w:t>.</w:t>
      </w:r>
    </w:p>
    <w:p w:rsidR="0088341A" w:rsidRPr="00E930D1" w:rsidRDefault="0088341A" w:rsidP="0088341A">
      <w:pPr>
        <w:pStyle w:val="AERbulletlistfirststyle"/>
      </w:pPr>
      <w:r>
        <w:t>T</w:t>
      </w:r>
      <w:r w:rsidRPr="00E930D1">
        <w:t>he inclusion of labour inputs in the material escalators double counts SP AusNet's forecast labour cost requirements</w:t>
      </w:r>
      <w:r>
        <w:t>.</w:t>
      </w:r>
    </w:p>
    <w:p w:rsidR="0088341A" w:rsidRDefault="0088341A" w:rsidP="0088341A">
      <w:pPr>
        <w:pStyle w:val="AERbulletlistfirststyle"/>
      </w:pPr>
      <w:r>
        <w:t xml:space="preserve">SP AusNet should update its </w:t>
      </w:r>
      <w:r w:rsidRPr="00E930D1">
        <w:t xml:space="preserve">forecast inputs for material escalation and exchange rates to reflect </w:t>
      </w:r>
      <w:r>
        <w:t xml:space="preserve">the </w:t>
      </w:r>
      <w:r w:rsidRPr="00E930D1">
        <w:t>most recent data.</w:t>
      </w:r>
    </w:p>
    <w:p w:rsidR="0088341A" w:rsidRPr="00D0250A" w:rsidRDefault="0088341A" w:rsidP="0088341A">
      <w:pPr>
        <w:pStyle w:val="AERbodytext"/>
        <w:numPr>
          <w:ilvl w:val="0"/>
          <w:numId w:val="1"/>
        </w:numPr>
      </w:pPr>
      <w:r>
        <w:t xml:space="preserve">Attachment 1 contains </w:t>
      </w:r>
      <w:r w:rsidRPr="00D0250A">
        <w:t xml:space="preserve">our assessment of SP AusNet's proposed real cost escalators. </w:t>
      </w:r>
      <w:r w:rsidR="00875391">
        <w:fldChar w:fldCharType="begin"/>
      </w:r>
      <w:r w:rsidR="00875391">
        <w:instrText xml:space="preserve"> REF _Ref365302094 \h </w:instrText>
      </w:r>
      <w:r w:rsidR="00875391">
        <w:fldChar w:fldCharType="separate"/>
      </w:r>
      <w:r w:rsidR="004F35AA">
        <w:t xml:space="preserve">Table </w:t>
      </w:r>
      <w:r w:rsidR="004F35AA">
        <w:rPr>
          <w:noProof/>
        </w:rPr>
        <w:t>7</w:t>
      </w:r>
      <w:r w:rsidR="004F35AA">
        <w:t>.</w:t>
      </w:r>
      <w:r w:rsidR="004F35AA">
        <w:rPr>
          <w:noProof/>
        </w:rPr>
        <w:t>2</w:t>
      </w:r>
      <w:r w:rsidR="00875391">
        <w:fldChar w:fldCharType="end"/>
      </w:r>
      <w:r w:rsidR="00875391">
        <w:t xml:space="preserve"> </w:t>
      </w:r>
      <w:r w:rsidRPr="00D0250A">
        <w:t xml:space="preserve">shows the impact of our real cost escalators on SP AusNet's forecast capex. </w:t>
      </w:r>
    </w:p>
    <w:p w:rsidR="0088341A" w:rsidRDefault="0088341A" w:rsidP="0088341A">
      <w:pPr>
        <w:pStyle w:val="Caption"/>
        <w:keepLines/>
      </w:pPr>
      <w:bookmarkStart w:id="78" w:name="_Ref365302094"/>
      <w:r>
        <w:lastRenderedPageBreak/>
        <w:t xml:space="preserve">Table </w:t>
      </w:r>
      <w:fldSimple w:instr=" STYLEREF 1 \s ">
        <w:r w:rsidR="004F35AA">
          <w:rPr>
            <w:noProof/>
          </w:rPr>
          <w:t>7</w:t>
        </w:r>
      </w:fldSimple>
      <w:r w:rsidR="00C56A87">
        <w:t>.</w:t>
      </w:r>
      <w:fldSimple w:instr=" SEQ Table \* ARABIC \s 1 ">
        <w:r w:rsidR="004F35AA">
          <w:rPr>
            <w:noProof/>
          </w:rPr>
          <w:t>2</w:t>
        </w:r>
      </w:fldSimple>
      <w:bookmarkEnd w:id="78"/>
      <w:r>
        <w:tab/>
        <w:t>Impact of the AER's real cost escalators ($ million, 2013–14)</w:t>
      </w:r>
    </w:p>
    <w:tbl>
      <w:tblPr>
        <w:tblW w:w="0" w:type="auto"/>
        <w:tblBorders>
          <w:bottom w:val="single" w:sz="4" w:space="0" w:color="365F91"/>
        </w:tblBorders>
        <w:tblLook w:val="04A0" w:firstRow="1" w:lastRow="0" w:firstColumn="1" w:lastColumn="0" w:noHBand="0" w:noVBand="1"/>
      </w:tblPr>
      <w:tblGrid>
        <w:gridCol w:w="1848"/>
        <w:gridCol w:w="1848"/>
        <w:gridCol w:w="1848"/>
        <w:gridCol w:w="1849"/>
        <w:gridCol w:w="1849"/>
      </w:tblGrid>
      <w:tr w:rsidR="0088341A" w:rsidTr="00501137">
        <w:tc>
          <w:tcPr>
            <w:tcW w:w="1848" w:type="dxa"/>
            <w:shd w:val="clear" w:color="auto" w:fill="365F91"/>
            <w:vAlign w:val="center"/>
          </w:tcPr>
          <w:p w:rsidR="0088341A" w:rsidRPr="00CF0EAF" w:rsidRDefault="0088341A" w:rsidP="00501137">
            <w:pPr>
              <w:pStyle w:val="AERbodytext"/>
              <w:keepNext/>
              <w:keepLines/>
              <w:numPr>
                <w:ilvl w:val="0"/>
                <w:numId w:val="1"/>
              </w:numPr>
              <w:spacing w:before="120"/>
              <w:rPr>
                <w:b/>
                <w:color w:val="FFFFFF"/>
                <w:sz w:val="16"/>
              </w:rPr>
            </w:pPr>
          </w:p>
        </w:tc>
        <w:tc>
          <w:tcPr>
            <w:tcW w:w="1848" w:type="dxa"/>
            <w:shd w:val="clear" w:color="auto" w:fill="365F91"/>
            <w:vAlign w:val="center"/>
          </w:tcPr>
          <w:p w:rsidR="0088341A" w:rsidRPr="00CF0EAF" w:rsidRDefault="0088341A" w:rsidP="00501137">
            <w:pPr>
              <w:pStyle w:val="AERtabletextright"/>
              <w:keepNext/>
              <w:keepLines/>
              <w:rPr>
                <w:b/>
                <w:color w:val="FFFFFF"/>
              </w:rPr>
            </w:pPr>
            <w:r w:rsidRPr="00CF0EAF">
              <w:rPr>
                <w:b/>
                <w:color w:val="FFFFFF"/>
              </w:rPr>
              <w:t>2014–15</w:t>
            </w:r>
          </w:p>
        </w:tc>
        <w:tc>
          <w:tcPr>
            <w:tcW w:w="1848" w:type="dxa"/>
            <w:shd w:val="clear" w:color="auto" w:fill="365F91"/>
            <w:vAlign w:val="center"/>
          </w:tcPr>
          <w:p w:rsidR="0088341A" w:rsidRPr="00CF0EAF" w:rsidRDefault="0088341A" w:rsidP="00501137">
            <w:pPr>
              <w:pStyle w:val="AERtabletextright"/>
              <w:keepNext/>
              <w:keepLines/>
              <w:rPr>
                <w:b/>
                <w:color w:val="FFFFFF"/>
              </w:rPr>
            </w:pPr>
            <w:r w:rsidRPr="00CF0EAF">
              <w:rPr>
                <w:b/>
                <w:color w:val="FFFFFF"/>
              </w:rPr>
              <w:t>2015–16</w:t>
            </w:r>
          </w:p>
        </w:tc>
        <w:tc>
          <w:tcPr>
            <w:tcW w:w="1849" w:type="dxa"/>
            <w:shd w:val="clear" w:color="auto" w:fill="365F91"/>
            <w:vAlign w:val="center"/>
          </w:tcPr>
          <w:p w:rsidR="0088341A" w:rsidRPr="00CF0EAF" w:rsidRDefault="0088341A" w:rsidP="00501137">
            <w:pPr>
              <w:pStyle w:val="AERtabletextright"/>
              <w:keepNext/>
              <w:keepLines/>
              <w:rPr>
                <w:b/>
                <w:color w:val="FFFFFF"/>
              </w:rPr>
            </w:pPr>
            <w:r w:rsidRPr="00CF0EAF">
              <w:rPr>
                <w:b/>
                <w:color w:val="FFFFFF"/>
              </w:rPr>
              <w:t>2016–17</w:t>
            </w:r>
          </w:p>
        </w:tc>
        <w:tc>
          <w:tcPr>
            <w:tcW w:w="1849" w:type="dxa"/>
            <w:shd w:val="clear" w:color="auto" w:fill="365F91"/>
            <w:vAlign w:val="center"/>
          </w:tcPr>
          <w:p w:rsidR="0088341A" w:rsidRPr="00CF0EAF" w:rsidRDefault="0088341A" w:rsidP="00501137">
            <w:pPr>
              <w:pStyle w:val="AERtabletextright"/>
              <w:keepNext/>
              <w:keepLines/>
              <w:rPr>
                <w:b/>
                <w:color w:val="FFFFFF"/>
              </w:rPr>
            </w:pPr>
            <w:r w:rsidRPr="00CF0EAF">
              <w:rPr>
                <w:b/>
                <w:color w:val="FFFFFF"/>
              </w:rPr>
              <w:t>Total</w:t>
            </w:r>
          </w:p>
        </w:tc>
      </w:tr>
      <w:tr w:rsidR="0088341A" w:rsidTr="00501137">
        <w:tc>
          <w:tcPr>
            <w:tcW w:w="1848" w:type="dxa"/>
            <w:shd w:val="clear" w:color="auto" w:fill="auto"/>
            <w:vAlign w:val="center"/>
          </w:tcPr>
          <w:p w:rsidR="0088341A" w:rsidRPr="00CF0EAF" w:rsidRDefault="0088341A" w:rsidP="00501137">
            <w:pPr>
              <w:pStyle w:val="AERbodytext"/>
              <w:keepNext/>
              <w:keepLines/>
              <w:numPr>
                <w:ilvl w:val="0"/>
                <w:numId w:val="1"/>
              </w:numPr>
              <w:spacing w:before="120"/>
              <w:rPr>
                <w:sz w:val="16"/>
              </w:rPr>
            </w:pPr>
            <w:r w:rsidRPr="00CF0EAF">
              <w:rPr>
                <w:sz w:val="16"/>
              </w:rPr>
              <w:t>SP AusNet</w:t>
            </w:r>
            <w:r w:rsidR="009D25D9">
              <w:rPr>
                <w:sz w:val="16"/>
              </w:rPr>
              <w:t>’s</w:t>
            </w:r>
            <w:r w:rsidRPr="00CF0EAF">
              <w:rPr>
                <w:sz w:val="16"/>
              </w:rPr>
              <w:t xml:space="preserve"> proposal</w:t>
            </w:r>
          </w:p>
        </w:tc>
        <w:tc>
          <w:tcPr>
            <w:tcW w:w="1848" w:type="dxa"/>
            <w:shd w:val="clear" w:color="auto" w:fill="auto"/>
            <w:vAlign w:val="center"/>
          </w:tcPr>
          <w:p w:rsidR="0088341A" w:rsidRDefault="0088341A" w:rsidP="00501137">
            <w:pPr>
              <w:pStyle w:val="AERtabletextright"/>
              <w:keepNext/>
              <w:keepLines/>
            </w:pPr>
            <w:r>
              <w:t>4.7</w:t>
            </w:r>
          </w:p>
        </w:tc>
        <w:tc>
          <w:tcPr>
            <w:tcW w:w="1848" w:type="dxa"/>
            <w:shd w:val="clear" w:color="auto" w:fill="auto"/>
            <w:vAlign w:val="center"/>
          </w:tcPr>
          <w:p w:rsidR="0088341A" w:rsidRDefault="0088341A" w:rsidP="00501137">
            <w:pPr>
              <w:pStyle w:val="AERtabletextright"/>
              <w:keepNext/>
              <w:keepLines/>
            </w:pPr>
            <w:r>
              <w:t>7.2</w:t>
            </w:r>
          </w:p>
        </w:tc>
        <w:tc>
          <w:tcPr>
            <w:tcW w:w="1849" w:type="dxa"/>
            <w:shd w:val="clear" w:color="auto" w:fill="auto"/>
            <w:vAlign w:val="center"/>
          </w:tcPr>
          <w:p w:rsidR="0088341A" w:rsidRDefault="0088341A" w:rsidP="00501137">
            <w:pPr>
              <w:pStyle w:val="AERtabletextright"/>
              <w:keepNext/>
              <w:keepLines/>
            </w:pPr>
            <w:r>
              <w:t>10.2</w:t>
            </w:r>
          </w:p>
        </w:tc>
        <w:tc>
          <w:tcPr>
            <w:tcW w:w="1849" w:type="dxa"/>
            <w:shd w:val="clear" w:color="auto" w:fill="auto"/>
            <w:vAlign w:val="center"/>
          </w:tcPr>
          <w:p w:rsidR="0088341A" w:rsidRDefault="0088341A" w:rsidP="00501137">
            <w:pPr>
              <w:pStyle w:val="AERtabletextright"/>
              <w:keepNext/>
              <w:keepLines/>
            </w:pPr>
            <w:r>
              <w:t>22.1</w:t>
            </w:r>
          </w:p>
        </w:tc>
      </w:tr>
      <w:tr w:rsidR="0088341A" w:rsidTr="00501137">
        <w:tc>
          <w:tcPr>
            <w:tcW w:w="1848" w:type="dxa"/>
            <w:shd w:val="clear" w:color="auto" w:fill="DBE5F1"/>
            <w:vAlign w:val="center"/>
          </w:tcPr>
          <w:p w:rsidR="0088341A" w:rsidRPr="00CF0EAF" w:rsidRDefault="009D25D9" w:rsidP="00501137">
            <w:pPr>
              <w:pStyle w:val="AERbodytext"/>
              <w:keepNext/>
              <w:keepLines/>
              <w:numPr>
                <w:ilvl w:val="0"/>
                <w:numId w:val="1"/>
              </w:numPr>
              <w:spacing w:before="120"/>
              <w:rPr>
                <w:sz w:val="16"/>
              </w:rPr>
            </w:pPr>
            <w:r>
              <w:rPr>
                <w:sz w:val="16"/>
              </w:rPr>
              <w:t>AER’s d</w:t>
            </w:r>
            <w:r w:rsidR="0088341A" w:rsidRPr="00CF0EAF">
              <w:rPr>
                <w:sz w:val="16"/>
              </w:rPr>
              <w:t>raft decision</w:t>
            </w:r>
          </w:p>
        </w:tc>
        <w:tc>
          <w:tcPr>
            <w:tcW w:w="1848" w:type="dxa"/>
            <w:shd w:val="clear" w:color="auto" w:fill="DBE5F1"/>
            <w:vAlign w:val="center"/>
          </w:tcPr>
          <w:p w:rsidR="0088341A" w:rsidRDefault="0088341A" w:rsidP="008072D8">
            <w:pPr>
              <w:pStyle w:val="AERtabletextright"/>
              <w:keepNext/>
              <w:keepLines/>
            </w:pPr>
            <w:r>
              <w:t>1.</w:t>
            </w:r>
            <w:r w:rsidR="008072D8">
              <w:t>5</w:t>
            </w:r>
          </w:p>
        </w:tc>
        <w:tc>
          <w:tcPr>
            <w:tcW w:w="1848" w:type="dxa"/>
            <w:shd w:val="clear" w:color="auto" w:fill="DBE5F1"/>
            <w:vAlign w:val="center"/>
          </w:tcPr>
          <w:p w:rsidR="0088341A" w:rsidRDefault="0088341A" w:rsidP="00501137">
            <w:pPr>
              <w:pStyle w:val="AERtabletextright"/>
              <w:keepNext/>
              <w:keepLines/>
            </w:pPr>
            <w:r>
              <w:t>2.8</w:t>
            </w:r>
          </w:p>
        </w:tc>
        <w:tc>
          <w:tcPr>
            <w:tcW w:w="1849" w:type="dxa"/>
            <w:shd w:val="clear" w:color="auto" w:fill="DBE5F1"/>
            <w:vAlign w:val="center"/>
          </w:tcPr>
          <w:p w:rsidR="0088341A" w:rsidRDefault="0088341A" w:rsidP="00501137">
            <w:pPr>
              <w:pStyle w:val="AERtabletextright"/>
              <w:keepNext/>
              <w:keepLines/>
            </w:pPr>
            <w:r>
              <w:t>4.4</w:t>
            </w:r>
          </w:p>
        </w:tc>
        <w:tc>
          <w:tcPr>
            <w:tcW w:w="1849" w:type="dxa"/>
            <w:shd w:val="clear" w:color="auto" w:fill="DBE5F1"/>
            <w:vAlign w:val="center"/>
          </w:tcPr>
          <w:p w:rsidR="0088341A" w:rsidRDefault="0088341A" w:rsidP="008072D8">
            <w:pPr>
              <w:pStyle w:val="AERtabletextright"/>
              <w:keepNext/>
              <w:keepLines/>
            </w:pPr>
            <w:r>
              <w:t>8.</w:t>
            </w:r>
            <w:r w:rsidR="008072D8">
              <w:t>6</w:t>
            </w:r>
          </w:p>
        </w:tc>
      </w:tr>
      <w:tr w:rsidR="0088341A" w:rsidTr="00501137">
        <w:tc>
          <w:tcPr>
            <w:tcW w:w="1848" w:type="dxa"/>
            <w:shd w:val="clear" w:color="auto" w:fill="auto"/>
            <w:vAlign w:val="center"/>
          </w:tcPr>
          <w:p w:rsidR="0088341A" w:rsidRPr="00CF0EAF" w:rsidRDefault="0088341A" w:rsidP="00501137">
            <w:pPr>
              <w:pStyle w:val="AERbodytext"/>
              <w:keepNext/>
              <w:keepLines/>
              <w:numPr>
                <w:ilvl w:val="0"/>
                <w:numId w:val="1"/>
              </w:numPr>
              <w:spacing w:before="120"/>
              <w:rPr>
                <w:sz w:val="16"/>
              </w:rPr>
            </w:pPr>
            <w:r w:rsidRPr="00CF0EAF">
              <w:rPr>
                <w:sz w:val="16"/>
              </w:rPr>
              <w:t>Difference</w:t>
            </w:r>
          </w:p>
        </w:tc>
        <w:tc>
          <w:tcPr>
            <w:tcW w:w="1848" w:type="dxa"/>
            <w:shd w:val="clear" w:color="auto" w:fill="auto"/>
            <w:vAlign w:val="center"/>
          </w:tcPr>
          <w:p w:rsidR="0088341A" w:rsidRDefault="0088341A" w:rsidP="008072D8">
            <w:pPr>
              <w:pStyle w:val="AERtabletextright"/>
              <w:keepNext/>
              <w:keepLines/>
            </w:pPr>
            <w:r>
              <w:t>3.</w:t>
            </w:r>
            <w:r w:rsidR="008072D8">
              <w:t>2</w:t>
            </w:r>
          </w:p>
        </w:tc>
        <w:tc>
          <w:tcPr>
            <w:tcW w:w="1848" w:type="dxa"/>
            <w:shd w:val="clear" w:color="auto" w:fill="auto"/>
            <w:vAlign w:val="center"/>
          </w:tcPr>
          <w:p w:rsidR="0088341A" w:rsidRDefault="0088341A" w:rsidP="00501137">
            <w:pPr>
              <w:pStyle w:val="AERtabletextright"/>
              <w:keepNext/>
              <w:keepLines/>
            </w:pPr>
            <w:r>
              <w:t>4.4</w:t>
            </w:r>
          </w:p>
        </w:tc>
        <w:tc>
          <w:tcPr>
            <w:tcW w:w="1849" w:type="dxa"/>
            <w:shd w:val="clear" w:color="auto" w:fill="auto"/>
            <w:vAlign w:val="center"/>
          </w:tcPr>
          <w:p w:rsidR="0088341A" w:rsidRDefault="0088341A" w:rsidP="00501137">
            <w:pPr>
              <w:pStyle w:val="AERtabletextright"/>
              <w:keepNext/>
              <w:keepLines/>
            </w:pPr>
            <w:r>
              <w:t>5.9</w:t>
            </w:r>
          </w:p>
        </w:tc>
        <w:tc>
          <w:tcPr>
            <w:tcW w:w="1849" w:type="dxa"/>
            <w:shd w:val="clear" w:color="auto" w:fill="auto"/>
            <w:vAlign w:val="center"/>
          </w:tcPr>
          <w:p w:rsidR="0088341A" w:rsidRDefault="0088341A" w:rsidP="008072D8">
            <w:pPr>
              <w:pStyle w:val="AERtabletextright"/>
              <w:keepNext/>
              <w:keepLines/>
            </w:pPr>
            <w:r>
              <w:t>13.</w:t>
            </w:r>
            <w:r w:rsidR="008072D8">
              <w:t>5</w:t>
            </w:r>
          </w:p>
        </w:tc>
      </w:tr>
    </w:tbl>
    <w:p w:rsidR="0088341A" w:rsidRDefault="0088341A" w:rsidP="0088341A">
      <w:pPr>
        <w:pStyle w:val="AERtablesource"/>
        <w:keepNext/>
        <w:keepLines/>
      </w:pPr>
      <w:r>
        <w:t>Source:</w:t>
      </w:r>
      <w:r>
        <w:tab/>
        <w:t>AER analysis.</w:t>
      </w:r>
      <w:r w:rsidR="005D1B67">
        <w:t xml:space="preserve"> Numbers may not add due to rounding.</w:t>
      </w:r>
    </w:p>
    <w:p w:rsidR="0088341A" w:rsidRPr="00A907E9" w:rsidRDefault="0088341A" w:rsidP="0088341A">
      <w:pPr>
        <w:pStyle w:val="Heading3"/>
        <w:numPr>
          <w:ilvl w:val="3"/>
          <w:numId w:val="20"/>
        </w:numPr>
      </w:pPr>
      <w:r w:rsidRPr="00A907E9">
        <w:t>Prudency and cost estimation adjustments</w:t>
      </w:r>
    </w:p>
    <w:p w:rsidR="0088341A" w:rsidRDefault="0088341A" w:rsidP="0088341A">
      <w:pPr>
        <w:pStyle w:val="AERbodytext"/>
        <w:numPr>
          <w:ilvl w:val="0"/>
          <w:numId w:val="1"/>
        </w:numPr>
      </w:pPr>
      <w:r>
        <w:t>We reviewed SP AusNet's asset management framework and generally consider SP AusNet has good management policies and procedures. Nevertheless, we reduced SP AusNet's forecast capex by $30.4 million to account for prudent changes that we expect SP AusNet will make to its capex program during the 2014–17 regulatory control period, and to remove an over-estimation bias. We consider SP AusNet's forecast does not adequately account for its commitm</w:t>
      </w:r>
      <w:r w:rsidR="009D25D9">
        <w:t>ent to continuous improvement in</w:t>
      </w:r>
      <w:r>
        <w:t xml:space="preserve"> the delivery of its capex program. </w:t>
      </w:r>
    </w:p>
    <w:p w:rsidR="0088341A" w:rsidRPr="00D0250A" w:rsidRDefault="0088341A" w:rsidP="0088341A">
      <w:pPr>
        <w:pStyle w:val="AERbodytext"/>
        <w:numPr>
          <w:ilvl w:val="0"/>
          <w:numId w:val="1"/>
        </w:numPr>
      </w:pPr>
      <w:r w:rsidRPr="00894B02">
        <w:t>We consider SP AusNet's asset manageme</w:t>
      </w:r>
      <w:r w:rsidR="009D25D9">
        <w:t>nt framework will lead</w:t>
      </w:r>
      <w:r>
        <w:t xml:space="preserve"> the TNSP to find</w:t>
      </w:r>
      <w:r w:rsidRPr="00894B02">
        <w:t xml:space="preserve"> economies and </w:t>
      </w:r>
      <w:r>
        <w:t>make</w:t>
      </w:r>
      <w:r w:rsidRPr="00894B02">
        <w:t xml:space="preserve"> prudent change</w:t>
      </w:r>
      <w:r>
        <w:t>s to certain projects during 2014–17</w:t>
      </w:r>
      <w:r w:rsidRPr="00894B02">
        <w:t>.</w:t>
      </w:r>
      <w:r>
        <w:t xml:space="preserve"> That is,</w:t>
      </w:r>
      <w:r w:rsidRPr="00894B02">
        <w:t xml:space="preserve"> SP AusNet should be able</w:t>
      </w:r>
      <w:r>
        <w:t xml:space="preserve"> to</w:t>
      </w:r>
      <w:r w:rsidRPr="00894B02">
        <w:t xml:space="preserve"> identify projects </w:t>
      </w:r>
      <w:r>
        <w:t xml:space="preserve">that it could prudently defer, or </w:t>
      </w:r>
      <w:r w:rsidRPr="00894B02">
        <w:t xml:space="preserve">for which it would be prudent to change the scope, optimise the design and specification, </w:t>
      </w:r>
      <w:r>
        <w:t xml:space="preserve">and/or </w:t>
      </w:r>
      <w:r w:rsidRPr="00894B02">
        <w:t xml:space="preserve">integrate with other </w:t>
      </w:r>
      <w:r>
        <w:t>projects. We consider that in developing a portfolio of capex projects that make up the total capex forecast, SP AusNet should consider these prudent adjustments. To account for these p</w:t>
      </w:r>
      <w:r w:rsidR="009D25D9">
        <w:t xml:space="preserve">ortfolio level outcomes we </w:t>
      </w:r>
      <w:r>
        <w:t>applied a prudency adjustment.</w:t>
      </w:r>
    </w:p>
    <w:p w:rsidR="0088341A" w:rsidRPr="004A07FF" w:rsidRDefault="0088341A" w:rsidP="0088341A">
      <w:pPr>
        <w:pStyle w:val="AERbodytext"/>
        <w:numPr>
          <w:ilvl w:val="0"/>
          <w:numId w:val="1"/>
        </w:numPr>
      </w:pPr>
      <w:r>
        <w:t>Supporting our draft decision to make prudency cost estimation adjustments is EMCa's review of SP AusNet's historical capex in the 2008–14 regulatory control period. EMCa reviewed 57 projects, of which it classified 14 as site-specific projects and the remaining 43 as programs of work. On average, EMCa found SP AusNet spent 11.7 per cent less than it proposed on site-specific projects and 12.6 per cent less on programs of works. In its review, EMCa found the reason for this underspend was a combination of prudent changes to the scope of some projects, an optimisation of the engineering design and specification, and the prudent deferral of some projects.</w:t>
      </w:r>
      <w:r w:rsidRPr="000E388A">
        <w:rPr>
          <w:rStyle w:val="FootnoteReference"/>
        </w:rPr>
        <w:footnoteReference w:id="57"/>
      </w:r>
      <w:r>
        <w:t xml:space="preserve"> In addition, it found part of the underspend was due to an over-estimation bias of 1.4 per cent. Having assessed EMCa’s advice, we agree on the scope of other prudency adjustments and have reduced SP AusNet's forecast capex by these percentages. </w:t>
      </w:r>
      <w:r>
        <w:fldChar w:fldCharType="begin"/>
      </w:r>
      <w:r>
        <w:instrText xml:space="preserve"> REF _Ref362615664 \h </w:instrText>
      </w:r>
      <w:r>
        <w:fldChar w:fldCharType="separate"/>
      </w:r>
      <w:r w:rsidR="004F35AA">
        <w:t xml:space="preserve">Table </w:t>
      </w:r>
      <w:r w:rsidR="004F35AA">
        <w:rPr>
          <w:noProof/>
        </w:rPr>
        <w:t>7</w:t>
      </w:r>
      <w:r w:rsidR="004F35AA">
        <w:t>.</w:t>
      </w:r>
      <w:r w:rsidR="004F35AA">
        <w:rPr>
          <w:noProof/>
        </w:rPr>
        <w:t>3</w:t>
      </w:r>
      <w:r>
        <w:fldChar w:fldCharType="end"/>
      </w:r>
      <w:r>
        <w:t xml:space="preserve"> </w:t>
      </w:r>
      <w:r w:rsidRPr="004A07FF">
        <w:t xml:space="preserve">shows the effect of each of the prudency and cost estimation factors on SP AusNet's forecast capex. </w:t>
      </w:r>
      <w:r>
        <w:t xml:space="preserve">This adjustment to SP AusNet's forecast capex is reflected in the total reduction in capex in </w:t>
      </w:r>
      <w:r>
        <w:fldChar w:fldCharType="begin"/>
      </w:r>
      <w:r>
        <w:instrText xml:space="preserve"> REF _Ref362615664 \h </w:instrText>
      </w:r>
      <w:r>
        <w:fldChar w:fldCharType="separate"/>
      </w:r>
      <w:r w:rsidR="004F35AA">
        <w:t xml:space="preserve">Table </w:t>
      </w:r>
      <w:r w:rsidR="004F35AA">
        <w:rPr>
          <w:noProof/>
        </w:rPr>
        <w:t>7</w:t>
      </w:r>
      <w:r w:rsidR="004F35AA">
        <w:t>.</w:t>
      </w:r>
      <w:r w:rsidR="004F35AA">
        <w:rPr>
          <w:noProof/>
        </w:rPr>
        <w:t>3</w:t>
      </w:r>
      <w:r>
        <w:fldChar w:fldCharType="end"/>
      </w:r>
      <w:r>
        <w:t>.</w:t>
      </w:r>
    </w:p>
    <w:p w:rsidR="0088341A" w:rsidRPr="004A07FF" w:rsidRDefault="0088341A" w:rsidP="0088341A">
      <w:pPr>
        <w:pStyle w:val="Caption"/>
        <w:keepLines/>
      </w:pPr>
      <w:bookmarkStart w:id="79" w:name="_Ref362615664"/>
      <w:r>
        <w:lastRenderedPageBreak/>
        <w:t xml:space="preserve">Table </w:t>
      </w:r>
      <w:fldSimple w:instr=" STYLEREF 1 \s ">
        <w:r w:rsidR="004F35AA">
          <w:rPr>
            <w:noProof/>
          </w:rPr>
          <w:t>7</w:t>
        </w:r>
      </w:fldSimple>
      <w:r w:rsidR="00C56A87">
        <w:t>.</w:t>
      </w:r>
      <w:fldSimple w:instr=" SEQ Table \* ARABIC \s 1 ">
        <w:r w:rsidR="004F35AA">
          <w:rPr>
            <w:noProof/>
          </w:rPr>
          <w:t>3</w:t>
        </w:r>
      </w:fldSimple>
      <w:bookmarkEnd w:id="79"/>
      <w:r>
        <w:tab/>
      </w:r>
      <w:r w:rsidRPr="004A07FF">
        <w:t>Effect of prudency and cost estimation factors on SP AusNet's forecast capex ($ million, 2013–14)</w:t>
      </w:r>
    </w:p>
    <w:tbl>
      <w:tblPr>
        <w:tblW w:w="0" w:type="auto"/>
        <w:tblBorders>
          <w:bottom w:val="single" w:sz="4" w:space="0" w:color="365F91"/>
        </w:tblBorders>
        <w:tblLook w:val="04A0" w:firstRow="1" w:lastRow="0" w:firstColumn="1" w:lastColumn="0" w:noHBand="0" w:noVBand="1"/>
      </w:tblPr>
      <w:tblGrid>
        <w:gridCol w:w="2091"/>
        <w:gridCol w:w="1191"/>
        <w:gridCol w:w="1192"/>
        <w:gridCol w:w="1192"/>
        <w:gridCol w:w="1192"/>
        <w:gridCol w:w="1192"/>
        <w:gridCol w:w="1192"/>
      </w:tblGrid>
      <w:tr w:rsidR="0088341A" w:rsidRPr="004A07FF" w:rsidTr="00501137">
        <w:tc>
          <w:tcPr>
            <w:tcW w:w="2091" w:type="dxa"/>
            <w:shd w:val="clear" w:color="auto" w:fill="365F91"/>
            <w:vAlign w:val="center"/>
          </w:tcPr>
          <w:p w:rsidR="0088341A" w:rsidRPr="00EE4468" w:rsidRDefault="0088341A" w:rsidP="00501137">
            <w:pPr>
              <w:pStyle w:val="AERtabletextleft"/>
              <w:keepNext/>
              <w:keepLines/>
              <w:rPr>
                <w:b/>
                <w:color w:val="FFFFFF"/>
              </w:rPr>
            </w:pPr>
          </w:p>
        </w:tc>
        <w:tc>
          <w:tcPr>
            <w:tcW w:w="1191" w:type="dxa"/>
            <w:shd w:val="clear" w:color="auto" w:fill="365F91"/>
            <w:vAlign w:val="center"/>
          </w:tcPr>
          <w:p w:rsidR="0088341A" w:rsidRPr="00EE4468" w:rsidRDefault="0088341A" w:rsidP="00501137">
            <w:pPr>
              <w:pStyle w:val="AERtabletextright"/>
              <w:keepNext/>
              <w:keepLines/>
              <w:rPr>
                <w:b/>
                <w:color w:val="FFFFFF"/>
              </w:rPr>
            </w:pPr>
            <w:r w:rsidRPr="00EE4468">
              <w:rPr>
                <w:b/>
                <w:color w:val="FFFFFF"/>
              </w:rPr>
              <w:t>CBD rebuilds</w:t>
            </w:r>
          </w:p>
        </w:tc>
        <w:tc>
          <w:tcPr>
            <w:tcW w:w="1192" w:type="dxa"/>
            <w:shd w:val="clear" w:color="auto" w:fill="365F91"/>
            <w:vAlign w:val="center"/>
          </w:tcPr>
          <w:p w:rsidR="0088341A" w:rsidRPr="00EE4468" w:rsidRDefault="0088341A" w:rsidP="00501137">
            <w:pPr>
              <w:pStyle w:val="AERtabletextright"/>
              <w:keepNext/>
              <w:keepLines/>
              <w:rPr>
                <w:b/>
                <w:color w:val="FFFFFF"/>
              </w:rPr>
            </w:pPr>
            <w:r w:rsidRPr="00EE4468">
              <w:rPr>
                <w:b/>
                <w:color w:val="FFFFFF"/>
              </w:rPr>
              <w:t>Major stations</w:t>
            </w:r>
          </w:p>
        </w:tc>
        <w:tc>
          <w:tcPr>
            <w:tcW w:w="1192" w:type="dxa"/>
            <w:shd w:val="clear" w:color="auto" w:fill="365F91"/>
            <w:vAlign w:val="center"/>
          </w:tcPr>
          <w:p w:rsidR="0088341A" w:rsidRPr="00EE4468" w:rsidRDefault="0088341A" w:rsidP="00501137">
            <w:pPr>
              <w:pStyle w:val="AERtabletextright"/>
              <w:keepNext/>
              <w:keepLines/>
              <w:rPr>
                <w:b/>
                <w:color w:val="FFFFFF"/>
              </w:rPr>
            </w:pPr>
            <w:r w:rsidRPr="00EE4468">
              <w:rPr>
                <w:b/>
                <w:color w:val="FFFFFF"/>
              </w:rPr>
              <w:t>Asset replacement</w:t>
            </w:r>
          </w:p>
        </w:tc>
        <w:tc>
          <w:tcPr>
            <w:tcW w:w="1192" w:type="dxa"/>
            <w:shd w:val="clear" w:color="auto" w:fill="365F91"/>
            <w:vAlign w:val="center"/>
          </w:tcPr>
          <w:p w:rsidR="0088341A" w:rsidRPr="00EE4468" w:rsidRDefault="0088341A" w:rsidP="00501137">
            <w:pPr>
              <w:pStyle w:val="AERtabletextright"/>
              <w:keepNext/>
              <w:keepLines/>
              <w:rPr>
                <w:b/>
                <w:color w:val="FFFFFF"/>
              </w:rPr>
            </w:pPr>
            <w:r w:rsidRPr="00EE4468">
              <w:rPr>
                <w:b/>
                <w:color w:val="FFFFFF"/>
              </w:rPr>
              <w:t>Safety and compliance</w:t>
            </w:r>
          </w:p>
        </w:tc>
        <w:tc>
          <w:tcPr>
            <w:tcW w:w="1192" w:type="dxa"/>
            <w:shd w:val="clear" w:color="auto" w:fill="365F91"/>
            <w:vAlign w:val="center"/>
          </w:tcPr>
          <w:p w:rsidR="0088341A" w:rsidRPr="00EE4468" w:rsidRDefault="0088341A" w:rsidP="00501137">
            <w:pPr>
              <w:pStyle w:val="AERtabletextright"/>
              <w:keepNext/>
              <w:keepLines/>
              <w:rPr>
                <w:b/>
                <w:color w:val="FFFFFF"/>
              </w:rPr>
            </w:pPr>
            <w:r w:rsidRPr="00EE4468">
              <w:rPr>
                <w:b/>
                <w:color w:val="FFFFFF"/>
              </w:rPr>
              <w:t>Non-system</w:t>
            </w:r>
          </w:p>
        </w:tc>
        <w:tc>
          <w:tcPr>
            <w:tcW w:w="1192" w:type="dxa"/>
            <w:shd w:val="clear" w:color="auto" w:fill="365F91"/>
            <w:vAlign w:val="center"/>
          </w:tcPr>
          <w:p w:rsidR="0088341A" w:rsidRPr="00EE4468" w:rsidRDefault="0088341A" w:rsidP="00501137">
            <w:pPr>
              <w:pStyle w:val="AERtabletextright"/>
              <w:keepNext/>
              <w:keepLines/>
              <w:rPr>
                <w:b/>
                <w:color w:val="FFFFFF"/>
              </w:rPr>
            </w:pPr>
            <w:r w:rsidRPr="00EE4468">
              <w:rPr>
                <w:b/>
                <w:color w:val="FFFFFF"/>
              </w:rPr>
              <w:t>Total</w:t>
            </w:r>
          </w:p>
        </w:tc>
      </w:tr>
      <w:tr w:rsidR="0088341A" w:rsidRPr="004A07FF" w:rsidTr="00501137">
        <w:tc>
          <w:tcPr>
            <w:tcW w:w="2091" w:type="dxa"/>
            <w:shd w:val="clear" w:color="auto" w:fill="auto"/>
            <w:vAlign w:val="center"/>
          </w:tcPr>
          <w:p w:rsidR="0088341A" w:rsidRPr="004A07FF" w:rsidRDefault="0088341A" w:rsidP="00501137">
            <w:pPr>
              <w:pStyle w:val="AERtabletextleft"/>
              <w:keepNext/>
              <w:keepLines/>
            </w:pPr>
            <w:r w:rsidRPr="004A07FF">
              <w:t>SP AusNet</w:t>
            </w:r>
            <w:r w:rsidR="009D25D9">
              <w:t>’s</w:t>
            </w:r>
            <w:r w:rsidRPr="004A07FF">
              <w:t xml:space="preserve"> forecast capex</w:t>
            </w:r>
          </w:p>
        </w:tc>
        <w:tc>
          <w:tcPr>
            <w:tcW w:w="1191" w:type="dxa"/>
            <w:shd w:val="clear" w:color="auto" w:fill="auto"/>
            <w:vAlign w:val="center"/>
          </w:tcPr>
          <w:p w:rsidR="0088341A" w:rsidRPr="004A07FF" w:rsidRDefault="0088341A" w:rsidP="00501137">
            <w:pPr>
              <w:pStyle w:val="AERtabletextright"/>
              <w:keepNext/>
              <w:keepLines/>
            </w:pPr>
            <w:r w:rsidRPr="004A07FF">
              <w:t>185.</w:t>
            </w:r>
            <w:r>
              <w:t>9</w:t>
            </w:r>
          </w:p>
        </w:tc>
        <w:tc>
          <w:tcPr>
            <w:tcW w:w="1192" w:type="dxa"/>
            <w:shd w:val="clear" w:color="auto" w:fill="auto"/>
            <w:vAlign w:val="center"/>
          </w:tcPr>
          <w:p w:rsidR="0088341A" w:rsidRPr="004A07FF" w:rsidRDefault="0088341A" w:rsidP="00501137">
            <w:pPr>
              <w:pStyle w:val="AERtabletextright"/>
              <w:keepNext/>
              <w:keepLines/>
            </w:pPr>
            <w:r w:rsidRPr="004A07FF">
              <w:t>149.8</w:t>
            </w:r>
          </w:p>
        </w:tc>
        <w:tc>
          <w:tcPr>
            <w:tcW w:w="1192" w:type="dxa"/>
            <w:shd w:val="clear" w:color="auto" w:fill="auto"/>
            <w:vAlign w:val="center"/>
          </w:tcPr>
          <w:p w:rsidR="0088341A" w:rsidRPr="004A07FF" w:rsidRDefault="0088341A" w:rsidP="00501137">
            <w:pPr>
              <w:pStyle w:val="AERtabletextright"/>
              <w:keepNext/>
              <w:keepLines/>
            </w:pPr>
            <w:r w:rsidRPr="004A07FF">
              <w:t>121.1</w:t>
            </w:r>
          </w:p>
        </w:tc>
        <w:tc>
          <w:tcPr>
            <w:tcW w:w="1192" w:type="dxa"/>
            <w:shd w:val="clear" w:color="auto" w:fill="auto"/>
            <w:vAlign w:val="center"/>
          </w:tcPr>
          <w:p w:rsidR="0088341A" w:rsidRPr="004A07FF" w:rsidRDefault="0088341A" w:rsidP="00501137">
            <w:pPr>
              <w:pStyle w:val="AERtabletextright"/>
              <w:keepNext/>
              <w:keepLines/>
            </w:pPr>
            <w:r w:rsidRPr="004A07FF">
              <w:t>44.7</w:t>
            </w:r>
          </w:p>
        </w:tc>
        <w:tc>
          <w:tcPr>
            <w:tcW w:w="1192" w:type="dxa"/>
            <w:shd w:val="clear" w:color="auto" w:fill="auto"/>
            <w:vAlign w:val="center"/>
          </w:tcPr>
          <w:p w:rsidR="0088341A" w:rsidRPr="004A07FF" w:rsidRDefault="0088341A" w:rsidP="00501137">
            <w:pPr>
              <w:pStyle w:val="AERtabletextright"/>
              <w:keepNext/>
              <w:keepLines/>
            </w:pPr>
            <w:r w:rsidRPr="004A07FF">
              <w:t>62.7</w:t>
            </w:r>
          </w:p>
        </w:tc>
        <w:tc>
          <w:tcPr>
            <w:tcW w:w="1192" w:type="dxa"/>
            <w:shd w:val="clear" w:color="auto" w:fill="auto"/>
            <w:vAlign w:val="center"/>
          </w:tcPr>
          <w:p w:rsidR="0088341A" w:rsidRPr="004A07FF" w:rsidRDefault="0088341A" w:rsidP="00501137">
            <w:pPr>
              <w:pStyle w:val="AERtabletextright"/>
              <w:keepNext/>
              <w:keepLines/>
            </w:pPr>
            <w:r w:rsidRPr="004A07FF">
              <w:t>564.2</w:t>
            </w:r>
          </w:p>
        </w:tc>
      </w:tr>
      <w:tr w:rsidR="0088341A" w:rsidRPr="004A07FF" w:rsidTr="00501137">
        <w:tc>
          <w:tcPr>
            <w:tcW w:w="2091" w:type="dxa"/>
            <w:shd w:val="clear" w:color="auto" w:fill="DBE5F1"/>
            <w:vAlign w:val="center"/>
          </w:tcPr>
          <w:p w:rsidR="0088341A" w:rsidRPr="004A07FF" w:rsidRDefault="0088341A" w:rsidP="00501137">
            <w:pPr>
              <w:pStyle w:val="AERtabletextleft"/>
              <w:keepNext/>
              <w:keepLines/>
            </w:pPr>
            <w:r w:rsidRPr="004A07FF">
              <w:t>Part of capex to which 1.4% factor applies</w:t>
            </w:r>
          </w:p>
        </w:tc>
        <w:tc>
          <w:tcPr>
            <w:tcW w:w="1191" w:type="dxa"/>
            <w:shd w:val="clear" w:color="auto" w:fill="DBE5F1"/>
            <w:vAlign w:val="center"/>
          </w:tcPr>
          <w:p w:rsidR="0088341A" w:rsidRPr="004A07FF" w:rsidRDefault="0088341A" w:rsidP="00501137">
            <w:pPr>
              <w:pStyle w:val="AERtabletextright"/>
              <w:keepNext/>
              <w:keepLines/>
            </w:pPr>
            <w:r w:rsidRPr="004A07FF">
              <w:t>nil</w:t>
            </w:r>
          </w:p>
        </w:tc>
        <w:tc>
          <w:tcPr>
            <w:tcW w:w="1192" w:type="dxa"/>
            <w:shd w:val="clear" w:color="auto" w:fill="DBE5F1"/>
            <w:vAlign w:val="center"/>
          </w:tcPr>
          <w:p w:rsidR="0088341A" w:rsidRPr="00193A95" w:rsidRDefault="00193A95" w:rsidP="00193A95">
            <w:pPr>
              <w:pStyle w:val="AERtabletextright"/>
            </w:pPr>
            <w:r>
              <w:t>116.6</w:t>
            </w:r>
          </w:p>
        </w:tc>
        <w:tc>
          <w:tcPr>
            <w:tcW w:w="1192" w:type="dxa"/>
            <w:shd w:val="clear" w:color="auto" w:fill="DBE5F1"/>
            <w:vAlign w:val="center"/>
          </w:tcPr>
          <w:p w:rsidR="0088341A" w:rsidRPr="004A07FF" w:rsidRDefault="0088341A" w:rsidP="00501137">
            <w:pPr>
              <w:pStyle w:val="AERtabletextright"/>
              <w:keepNext/>
              <w:keepLines/>
            </w:pPr>
            <w:r w:rsidRPr="004A07FF">
              <w:t>120.2</w:t>
            </w:r>
          </w:p>
        </w:tc>
        <w:tc>
          <w:tcPr>
            <w:tcW w:w="1192" w:type="dxa"/>
            <w:shd w:val="clear" w:color="auto" w:fill="DBE5F1"/>
            <w:vAlign w:val="center"/>
          </w:tcPr>
          <w:p w:rsidR="0088341A" w:rsidRPr="004A07FF" w:rsidRDefault="0088341A" w:rsidP="00501137">
            <w:pPr>
              <w:pStyle w:val="AERtabletextright"/>
              <w:keepNext/>
              <w:keepLines/>
            </w:pPr>
            <w:r w:rsidRPr="004A07FF">
              <w:t>44.7</w:t>
            </w:r>
          </w:p>
        </w:tc>
        <w:tc>
          <w:tcPr>
            <w:tcW w:w="1192" w:type="dxa"/>
            <w:shd w:val="clear" w:color="auto" w:fill="DBE5F1"/>
            <w:vAlign w:val="center"/>
          </w:tcPr>
          <w:p w:rsidR="0088341A" w:rsidRPr="004A07FF" w:rsidRDefault="0088341A" w:rsidP="00501137">
            <w:pPr>
              <w:pStyle w:val="AERtabletextright"/>
              <w:keepNext/>
              <w:keepLines/>
            </w:pPr>
            <w:r w:rsidRPr="004A07FF">
              <w:t>nil</w:t>
            </w:r>
          </w:p>
        </w:tc>
        <w:tc>
          <w:tcPr>
            <w:tcW w:w="1192" w:type="dxa"/>
            <w:shd w:val="clear" w:color="auto" w:fill="DBE5F1"/>
            <w:vAlign w:val="center"/>
          </w:tcPr>
          <w:p w:rsidR="0088341A" w:rsidRPr="004A07FF" w:rsidRDefault="0088341A" w:rsidP="00501137">
            <w:pPr>
              <w:pStyle w:val="AERtabletextright"/>
              <w:keepNext/>
              <w:keepLines/>
            </w:pPr>
            <w:r>
              <w:t>281.6</w:t>
            </w:r>
          </w:p>
        </w:tc>
      </w:tr>
      <w:tr w:rsidR="0088341A" w:rsidRPr="004A07FF" w:rsidTr="00501137">
        <w:tc>
          <w:tcPr>
            <w:tcW w:w="2091" w:type="dxa"/>
            <w:shd w:val="clear" w:color="auto" w:fill="auto"/>
            <w:vAlign w:val="center"/>
          </w:tcPr>
          <w:p w:rsidR="0088341A" w:rsidRPr="004A07FF" w:rsidRDefault="0088341A" w:rsidP="00501137">
            <w:pPr>
              <w:pStyle w:val="AERtabletextleft"/>
              <w:keepNext/>
              <w:keepLines/>
            </w:pPr>
            <w:r w:rsidRPr="004A07FF">
              <w:t>Amount of 1.4% adjustment</w:t>
            </w:r>
          </w:p>
        </w:tc>
        <w:tc>
          <w:tcPr>
            <w:tcW w:w="1191" w:type="dxa"/>
            <w:shd w:val="clear" w:color="auto" w:fill="auto"/>
            <w:vAlign w:val="center"/>
          </w:tcPr>
          <w:p w:rsidR="0088341A" w:rsidRPr="004A07FF" w:rsidRDefault="0088341A" w:rsidP="00501137">
            <w:pPr>
              <w:pStyle w:val="AERtabletextright"/>
              <w:keepNext/>
              <w:keepLines/>
            </w:pPr>
            <w:r w:rsidRPr="004A07FF">
              <w:t>nil</w:t>
            </w:r>
          </w:p>
        </w:tc>
        <w:tc>
          <w:tcPr>
            <w:tcW w:w="1192" w:type="dxa"/>
            <w:shd w:val="clear" w:color="auto" w:fill="auto"/>
            <w:vAlign w:val="center"/>
          </w:tcPr>
          <w:p w:rsidR="0088341A" w:rsidRPr="004A07FF" w:rsidRDefault="0088341A" w:rsidP="00501137">
            <w:pPr>
              <w:pStyle w:val="AERtabletextright"/>
              <w:keepNext/>
              <w:keepLines/>
            </w:pPr>
            <w:r w:rsidRPr="004A07FF">
              <w:t>1.</w:t>
            </w:r>
            <w:r>
              <w:t>6</w:t>
            </w:r>
          </w:p>
        </w:tc>
        <w:tc>
          <w:tcPr>
            <w:tcW w:w="1192" w:type="dxa"/>
            <w:shd w:val="clear" w:color="auto" w:fill="auto"/>
            <w:vAlign w:val="center"/>
          </w:tcPr>
          <w:p w:rsidR="0088341A" w:rsidRPr="004A07FF" w:rsidRDefault="0088341A" w:rsidP="00501137">
            <w:pPr>
              <w:pStyle w:val="AERtabletextright"/>
              <w:keepNext/>
              <w:keepLines/>
            </w:pPr>
            <w:r w:rsidRPr="004A07FF">
              <w:t>1.7</w:t>
            </w:r>
          </w:p>
        </w:tc>
        <w:tc>
          <w:tcPr>
            <w:tcW w:w="1192" w:type="dxa"/>
            <w:shd w:val="clear" w:color="auto" w:fill="auto"/>
            <w:vAlign w:val="center"/>
          </w:tcPr>
          <w:p w:rsidR="0088341A" w:rsidRPr="004A07FF" w:rsidRDefault="0088341A" w:rsidP="00501137">
            <w:pPr>
              <w:pStyle w:val="AERtabletextright"/>
              <w:keepNext/>
              <w:keepLines/>
            </w:pPr>
            <w:r w:rsidRPr="004A07FF">
              <w:t>0.6</w:t>
            </w:r>
          </w:p>
        </w:tc>
        <w:tc>
          <w:tcPr>
            <w:tcW w:w="1192" w:type="dxa"/>
            <w:shd w:val="clear" w:color="auto" w:fill="auto"/>
            <w:vAlign w:val="center"/>
          </w:tcPr>
          <w:p w:rsidR="0088341A" w:rsidRPr="004A07FF" w:rsidRDefault="0088341A" w:rsidP="00501137">
            <w:pPr>
              <w:pStyle w:val="AERtabletextright"/>
              <w:keepNext/>
              <w:keepLines/>
            </w:pPr>
            <w:r w:rsidRPr="004A07FF">
              <w:t>nil</w:t>
            </w:r>
          </w:p>
        </w:tc>
        <w:tc>
          <w:tcPr>
            <w:tcW w:w="1192" w:type="dxa"/>
            <w:shd w:val="clear" w:color="auto" w:fill="auto"/>
            <w:vAlign w:val="center"/>
          </w:tcPr>
          <w:p w:rsidR="0088341A" w:rsidRPr="004A07FF" w:rsidRDefault="0088341A" w:rsidP="00501137">
            <w:pPr>
              <w:pStyle w:val="AERtabletextright"/>
              <w:keepNext/>
              <w:keepLines/>
            </w:pPr>
            <w:r w:rsidRPr="004A07FF">
              <w:t>3.</w:t>
            </w:r>
            <w:r>
              <w:t>9</w:t>
            </w:r>
          </w:p>
        </w:tc>
      </w:tr>
      <w:tr w:rsidR="0088341A" w:rsidRPr="004A07FF" w:rsidTr="00501137">
        <w:tc>
          <w:tcPr>
            <w:tcW w:w="2091" w:type="dxa"/>
            <w:shd w:val="clear" w:color="auto" w:fill="DBE5F1"/>
            <w:vAlign w:val="center"/>
          </w:tcPr>
          <w:p w:rsidR="0088341A" w:rsidRPr="004A07FF" w:rsidRDefault="0088341A" w:rsidP="00501137">
            <w:pPr>
              <w:pStyle w:val="AERtabletextleft"/>
              <w:keepNext/>
              <w:keepLines/>
            </w:pPr>
            <w:r w:rsidRPr="004A07FF">
              <w:t>Part of capex to which 10.3% factor applies</w:t>
            </w:r>
          </w:p>
        </w:tc>
        <w:tc>
          <w:tcPr>
            <w:tcW w:w="1191" w:type="dxa"/>
            <w:shd w:val="clear" w:color="auto" w:fill="DBE5F1"/>
            <w:vAlign w:val="center"/>
          </w:tcPr>
          <w:p w:rsidR="0088341A" w:rsidRPr="004A07FF" w:rsidRDefault="0088341A" w:rsidP="00501137">
            <w:pPr>
              <w:pStyle w:val="AERtabletextright"/>
              <w:keepNext/>
              <w:keepLines/>
            </w:pPr>
            <w:r w:rsidRPr="004A07FF">
              <w:t>nil</w:t>
            </w:r>
          </w:p>
        </w:tc>
        <w:tc>
          <w:tcPr>
            <w:tcW w:w="1192" w:type="dxa"/>
            <w:shd w:val="clear" w:color="auto" w:fill="DBE5F1"/>
            <w:vAlign w:val="center"/>
          </w:tcPr>
          <w:p w:rsidR="0088341A" w:rsidRPr="004A07FF" w:rsidRDefault="0088341A" w:rsidP="00501137">
            <w:pPr>
              <w:pStyle w:val="AERtabletextright"/>
              <w:keepNext/>
              <w:keepLines/>
            </w:pPr>
            <w:r w:rsidRPr="004A07FF">
              <w:t>77.2</w:t>
            </w:r>
          </w:p>
        </w:tc>
        <w:tc>
          <w:tcPr>
            <w:tcW w:w="1192" w:type="dxa"/>
            <w:shd w:val="clear" w:color="auto" w:fill="DBE5F1"/>
            <w:vAlign w:val="center"/>
          </w:tcPr>
          <w:p w:rsidR="0088341A" w:rsidRPr="004A07FF" w:rsidRDefault="0088341A" w:rsidP="00501137">
            <w:pPr>
              <w:pStyle w:val="AERtabletextright"/>
              <w:keepNext/>
              <w:keepLines/>
            </w:pPr>
            <w:r w:rsidRPr="004A07FF">
              <w:t>nil</w:t>
            </w:r>
          </w:p>
        </w:tc>
        <w:tc>
          <w:tcPr>
            <w:tcW w:w="1192" w:type="dxa"/>
            <w:shd w:val="clear" w:color="auto" w:fill="DBE5F1"/>
            <w:vAlign w:val="center"/>
          </w:tcPr>
          <w:p w:rsidR="0088341A" w:rsidRPr="004A07FF" w:rsidRDefault="0088341A" w:rsidP="00501137">
            <w:pPr>
              <w:pStyle w:val="AERtabletextright"/>
              <w:keepNext/>
              <w:keepLines/>
            </w:pPr>
            <w:r w:rsidRPr="004A07FF">
              <w:t>nil</w:t>
            </w:r>
          </w:p>
        </w:tc>
        <w:tc>
          <w:tcPr>
            <w:tcW w:w="1192" w:type="dxa"/>
            <w:shd w:val="clear" w:color="auto" w:fill="DBE5F1"/>
            <w:vAlign w:val="center"/>
          </w:tcPr>
          <w:p w:rsidR="0088341A" w:rsidRPr="004A07FF" w:rsidRDefault="0088341A" w:rsidP="00501137">
            <w:pPr>
              <w:pStyle w:val="AERtabletextright"/>
              <w:keepNext/>
              <w:keepLines/>
            </w:pPr>
            <w:r w:rsidRPr="004A07FF">
              <w:t>nil</w:t>
            </w:r>
          </w:p>
        </w:tc>
        <w:tc>
          <w:tcPr>
            <w:tcW w:w="1192" w:type="dxa"/>
            <w:shd w:val="clear" w:color="auto" w:fill="DBE5F1"/>
            <w:vAlign w:val="center"/>
          </w:tcPr>
          <w:p w:rsidR="0088341A" w:rsidRPr="004A07FF" w:rsidRDefault="0088341A" w:rsidP="00501137">
            <w:pPr>
              <w:pStyle w:val="AERtabletextright"/>
              <w:keepNext/>
              <w:keepLines/>
            </w:pPr>
            <w:r w:rsidRPr="004A07FF">
              <w:t>77.2</w:t>
            </w:r>
          </w:p>
        </w:tc>
      </w:tr>
      <w:tr w:rsidR="0088341A" w:rsidRPr="004A07FF" w:rsidTr="00501137">
        <w:tc>
          <w:tcPr>
            <w:tcW w:w="2091" w:type="dxa"/>
            <w:shd w:val="clear" w:color="auto" w:fill="auto"/>
            <w:vAlign w:val="center"/>
          </w:tcPr>
          <w:p w:rsidR="0088341A" w:rsidRPr="004A07FF" w:rsidRDefault="0088341A" w:rsidP="00501137">
            <w:pPr>
              <w:pStyle w:val="AERtabletextleft"/>
              <w:keepNext/>
              <w:keepLines/>
            </w:pPr>
            <w:r w:rsidRPr="004A07FF">
              <w:t>Amount of 10.3% adjustment</w:t>
            </w:r>
          </w:p>
        </w:tc>
        <w:tc>
          <w:tcPr>
            <w:tcW w:w="1191" w:type="dxa"/>
            <w:shd w:val="clear" w:color="auto" w:fill="auto"/>
            <w:vAlign w:val="center"/>
          </w:tcPr>
          <w:p w:rsidR="0088341A" w:rsidRPr="004A07FF" w:rsidRDefault="0088341A" w:rsidP="00501137">
            <w:pPr>
              <w:pStyle w:val="AERtabletextright"/>
              <w:keepNext/>
              <w:keepLines/>
            </w:pPr>
            <w:r w:rsidRPr="004A07FF">
              <w:t>nil</w:t>
            </w:r>
          </w:p>
        </w:tc>
        <w:tc>
          <w:tcPr>
            <w:tcW w:w="1192" w:type="dxa"/>
            <w:shd w:val="clear" w:color="auto" w:fill="auto"/>
            <w:vAlign w:val="center"/>
          </w:tcPr>
          <w:p w:rsidR="0088341A" w:rsidRPr="004A07FF" w:rsidRDefault="0088341A" w:rsidP="00501137">
            <w:pPr>
              <w:pStyle w:val="AERtabletextright"/>
              <w:keepNext/>
              <w:keepLines/>
            </w:pPr>
            <w:r w:rsidRPr="004A07FF">
              <w:t>8.0</w:t>
            </w:r>
          </w:p>
        </w:tc>
        <w:tc>
          <w:tcPr>
            <w:tcW w:w="1192" w:type="dxa"/>
            <w:shd w:val="clear" w:color="auto" w:fill="auto"/>
            <w:vAlign w:val="center"/>
          </w:tcPr>
          <w:p w:rsidR="0088341A" w:rsidRPr="004A07FF" w:rsidRDefault="0088341A" w:rsidP="00501137">
            <w:pPr>
              <w:pStyle w:val="AERtabletextright"/>
              <w:keepNext/>
              <w:keepLines/>
            </w:pPr>
            <w:r w:rsidRPr="004A07FF">
              <w:t>nil</w:t>
            </w:r>
          </w:p>
        </w:tc>
        <w:tc>
          <w:tcPr>
            <w:tcW w:w="1192" w:type="dxa"/>
            <w:shd w:val="clear" w:color="auto" w:fill="auto"/>
            <w:vAlign w:val="center"/>
          </w:tcPr>
          <w:p w:rsidR="0088341A" w:rsidRPr="004A07FF" w:rsidRDefault="0088341A" w:rsidP="00501137">
            <w:pPr>
              <w:pStyle w:val="AERtabletextright"/>
              <w:keepNext/>
              <w:keepLines/>
            </w:pPr>
            <w:r w:rsidRPr="004A07FF">
              <w:t>nil</w:t>
            </w:r>
          </w:p>
        </w:tc>
        <w:tc>
          <w:tcPr>
            <w:tcW w:w="1192" w:type="dxa"/>
            <w:shd w:val="clear" w:color="auto" w:fill="auto"/>
            <w:vAlign w:val="center"/>
          </w:tcPr>
          <w:p w:rsidR="0088341A" w:rsidRPr="004A07FF" w:rsidRDefault="0088341A" w:rsidP="00501137">
            <w:pPr>
              <w:pStyle w:val="AERtabletextright"/>
              <w:keepNext/>
              <w:keepLines/>
            </w:pPr>
            <w:r w:rsidRPr="004A07FF">
              <w:t>nil</w:t>
            </w:r>
          </w:p>
        </w:tc>
        <w:tc>
          <w:tcPr>
            <w:tcW w:w="1192" w:type="dxa"/>
            <w:shd w:val="clear" w:color="auto" w:fill="auto"/>
            <w:vAlign w:val="center"/>
          </w:tcPr>
          <w:p w:rsidR="0088341A" w:rsidRPr="004A07FF" w:rsidRDefault="0088341A" w:rsidP="00501137">
            <w:pPr>
              <w:pStyle w:val="AERtabletextright"/>
              <w:keepNext/>
              <w:keepLines/>
            </w:pPr>
            <w:r w:rsidRPr="004A07FF">
              <w:t>8.0</w:t>
            </w:r>
          </w:p>
        </w:tc>
      </w:tr>
      <w:tr w:rsidR="0088341A" w:rsidRPr="004A07FF" w:rsidTr="00501137">
        <w:tc>
          <w:tcPr>
            <w:tcW w:w="2091" w:type="dxa"/>
            <w:shd w:val="clear" w:color="auto" w:fill="DBE5F1"/>
            <w:vAlign w:val="center"/>
          </w:tcPr>
          <w:p w:rsidR="0088341A" w:rsidRPr="004A07FF" w:rsidRDefault="0088341A" w:rsidP="00501137">
            <w:pPr>
              <w:pStyle w:val="AERtabletextleft"/>
              <w:keepNext/>
              <w:keepLines/>
            </w:pPr>
            <w:r w:rsidRPr="004A07FF">
              <w:t>Part of capex to which 11.2% factor applies</w:t>
            </w:r>
          </w:p>
        </w:tc>
        <w:tc>
          <w:tcPr>
            <w:tcW w:w="1191" w:type="dxa"/>
            <w:shd w:val="clear" w:color="auto" w:fill="DBE5F1"/>
            <w:vAlign w:val="center"/>
          </w:tcPr>
          <w:p w:rsidR="0088341A" w:rsidRPr="004A07FF" w:rsidRDefault="0088341A" w:rsidP="00501137">
            <w:pPr>
              <w:pStyle w:val="AERtabletextright"/>
              <w:keepNext/>
              <w:keepLines/>
            </w:pPr>
            <w:r w:rsidRPr="004A07FF">
              <w:t>nil</w:t>
            </w:r>
          </w:p>
        </w:tc>
        <w:tc>
          <w:tcPr>
            <w:tcW w:w="1192" w:type="dxa"/>
            <w:shd w:val="clear" w:color="auto" w:fill="DBE5F1"/>
            <w:vAlign w:val="center"/>
          </w:tcPr>
          <w:p w:rsidR="0088341A" w:rsidRPr="004A07FF" w:rsidRDefault="0088341A" w:rsidP="00501137">
            <w:pPr>
              <w:pStyle w:val="AERtabletextright"/>
              <w:keepNext/>
              <w:keepLines/>
            </w:pPr>
            <w:r w:rsidRPr="004A07FF">
              <w:t>nil</w:t>
            </w:r>
          </w:p>
        </w:tc>
        <w:tc>
          <w:tcPr>
            <w:tcW w:w="1192" w:type="dxa"/>
            <w:shd w:val="clear" w:color="auto" w:fill="DBE5F1"/>
            <w:vAlign w:val="center"/>
          </w:tcPr>
          <w:p w:rsidR="0088341A" w:rsidRPr="004A07FF" w:rsidRDefault="0088341A" w:rsidP="00501137">
            <w:pPr>
              <w:pStyle w:val="AERtabletextright"/>
              <w:keepNext/>
              <w:keepLines/>
            </w:pPr>
            <w:r w:rsidRPr="004A07FF">
              <w:t>120.2</w:t>
            </w:r>
          </w:p>
        </w:tc>
        <w:tc>
          <w:tcPr>
            <w:tcW w:w="1192" w:type="dxa"/>
            <w:shd w:val="clear" w:color="auto" w:fill="DBE5F1"/>
            <w:vAlign w:val="center"/>
          </w:tcPr>
          <w:p w:rsidR="0088341A" w:rsidRPr="004A07FF" w:rsidRDefault="0088341A" w:rsidP="00501137">
            <w:pPr>
              <w:pStyle w:val="AERtabletextright"/>
              <w:keepNext/>
              <w:keepLines/>
            </w:pPr>
            <w:r w:rsidRPr="004A07FF">
              <w:t>44.7</w:t>
            </w:r>
          </w:p>
        </w:tc>
        <w:tc>
          <w:tcPr>
            <w:tcW w:w="1192" w:type="dxa"/>
            <w:shd w:val="clear" w:color="auto" w:fill="DBE5F1"/>
            <w:vAlign w:val="center"/>
          </w:tcPr>
          <w:p w:rsidR="0088341A" w:rsidRPr="004A07FF" w:rsidRDefault="0088341A" w:rsidP="00501137">
            <w:pPr>
              <w:pStyle w:val="AERtabletextright"/>
              <w:keepNext/>
              <w:keepLines/>
            </w:pPr>
            <w:r w:rsidRPr="004A07FF">
              <w:t>nil</w:t>
            </w:r>
          </w:p>
        </w:tc>
        <w:tc>
          <w:tcPr>
            <w:tcW w:w="1192" w:type="dxa"/>
            <w:shd w:val="clear" w:color="auto" w:fill="DBE5F1"/>
            <w:vAlign w:val="center"/>
          </w:tcPr>
          <w:p w:rsidR="0088341A" w:rsidRPr="004A07FF" w:rsidRDefault="0088341A" w:rsidP="00501137">
            <w:pPr>
              <w:pStyle w:val="AERtabletextright"/>
              <w:keepNext/>
              <w:keepLines/>
            </w:pPr>
            <w:r>
              <w:t>165.0</w:t>
            </w:r>
          </w:p>
        </w:tc>
      </w:tr>
      <w:tr w:rsidR="0088341A" w:rsidRPr="004A07FF" w:rsidTr="00501137">
        <w:tc>
          <w:tcPr>
            <w:tcW w:w="2091" w:type="dxa"/>
            <w:shd w:val="clear" w:color="auto" w:fill="auto"/>
            <w:vAlign w:val="center"/>
          </w:tcPr>
          <w:p w:rsidR="0088341A" w:rsidRPr="004A07FF" w:rsidRDefault="0088341A" w:rsidP="00501137">
            <w:pPr>
              <w:pStyle w:val="AERtabletextleft"/>
              <w:keepNext/>
              <w:keepLines/>
            </w:pPr>
            <w:r w:rsidRPr="004A07FF">
              <w:t>Amount of 11.2% adjustment</w:t>
            </w:r>
          </w:p>
        </w:tc>
        <w:tc>
          <w:tcPr>
            <w:tcW w:w="1191" w:type="dxa"/>
            <w:shd w:val="clear" w:color="auto" w:fill="auto"/>
            <w:vAlign w:val="center"/>
          </w:tcPr>
          <w:p w:rsidR="0088341A" w:rsidRPr="004A07FF" w:rsidRDefault="0088341A" w:rsidP="00501137">
            <w:pPr>
              <w:pStyle w:val="AERtabletextright"/>
              <w:keepNext/>
              <w:keepLines/>
            </w:pPr>
            <w:r w:rsidRPr="004A07FF">
              <w:t>nil</w:t>
            </w:r>
          </w:p>
        </w:tc>
        <w:tc>
          <w:tcPr>
            <w:tcW w:w="1192" w:type="dxa"/>
            <w:shd w:val="clear" w:color="auto" w:fill="auto"/>
            <w:vAlign w:val="center"/>
          </w:tcPr>
          <w:p w:rsidR="0088341A" w:rsidRPr="004A07FF" w:rsidRDefault="0088341A" w:rsidP="00501137">
            <w:pPr>
              <w:pStyle w:val="AERtabletextright"/>
              <w:keepNext/>
              <w:keepLines/>
            </w:pPr>
            <w:r w:rsidRPr="004A07FF">
              <w:t>nil</w:t>
            </w:r>
          </w:p>
        </w:tc>
        <w:tc>
          <w:tcPr>
            <w:tcW w:w="1192" w:type="dxa"/>
            <w:shd w:val="clear" w:color="auto" w:fill="auto"/>
            <w:vAlign w:val="center"/>
          </w:tcPr>
          <w:p w:rsidR="0088341A" w:rsidRPr="004A07FF" w:rsidRDefault="0088341A" w:rsidP="00501137">
            <w:pPr>
              <w:pStyle w:val="AERtabletextright"/>
              <w:keepNext/>
              <w:keepLines/>
            </w:pPr>
            <w:r w:rsidRPr="004A07FF">
              <w:t>13.5</w:t>
            </w:r>
          </w:p>
        </w:tc>
        <w:tc>
          <w:tcPr>
            <w:tcW w:w="1192" w:type="dxa"/>
            <w:shd w:val="clear" w:color="auto" w:fill="auto"/>
            <w:vAlign w:val="center"/>
          </w:tcPr>
          <w:p w:rsidR="0088341A" w:rsidRPr="004A07FF" w:rsidRDefault="0088341A" w:rsidP="00501137">
            <w:pPr>
              <w:pStyle w:val="AERtabletextright"/>
              <w:keepNext/>
              <w:keepLines/>
            </w:pPr>
            <w:r w:rsidRPr="004A07FF">
              <w:t>5.0</w:t>
            </w:r>
          </w:p>
        </w:tc>
        <w:tc>
          <w:tcPr>
            <w:tcW w:w="1192" w:type="dxa"/>
            <w:shd w:val="clear" w:color="auto" w:fill="auto"/>
            <w:vAlign w:val="center"/>
          </w:tcPr>
          <w:p w:rsidR="0088341A" w:rsidRPr="004A07FF" w:rsidRDefault="0088341A" w:rsidP="00501137">
            <w:pPr>
              <w:pStyle w:val="AERtabletextright"/>
              <w:keepNext/>
              <w:keepLines/>
            </w:pPr>
            <w:r w:rsidRPr="004A07FF">
              <w:t>nil</w:t>
            </w:r>
          </w:p>
        </w:tc>
        <w:tc>
          <w:tcPr>
            <w:tcW w:w="1192" w:type="dxa"/>
            <w:shd w:val="clear" w:color="auto" w:fill="auto"/>
            <w:vAlign w:val="center"/>
          </w:tcPr>
          <w:p w:rsidR="0088341A" w:rsidRPr="004A07FF" w:rsidRDefault="0088341A" w:rsidP="00501137">
            <w:pPr>
              <w:pStyle w:val="AERtabletextright"/>
              <w:keepNext/>
              <w:keepLines/>
            </w:pPr>
            <w:r w:rsidRPr="004A07FF">
              <w:t>18.5</w:t>
            </w:r>
          </w:p>
        </w:tc>
      </w:tr>
      <w:tr w:rsidR="0088341A" w:rsidRPr="004A07FF" w:rsidTr="00501137">
        <w:tc>
          <w:tcPr>
            <w:tcW w:w="2091" w:type="dxa"/>
            <w:shd w:val="clear" w:color="auto" w:fill="DBE5F1"/>
            <w:vAlign w:val="center"/>
          </w:tcPr>
          <w:p w:rsidR="0088341A" w:rsidRPr="004A07FF" w:rsidRDefault="0088341A" w:rsidP="00501137">
            <w:pPr>
              <w:pStyle w:val="AERtabletextleft"/>
              <w:keepNext/>
              <w:keepLines/>
            </w:pPr>
            <w:r w:rsidRPr="004A07FF">
              <w:t>Total adjustment</w:t>
            </w:r>
          </w:p>
        </w:tc>
        <w:tc>
          <w:tcPr>
            <w:tcW w:w="1191" w:type="dxa"/>
            <w:shd w:val="clear" w:color="auto" w:fill="DBE5F1"/>
            <w:vAlign w:val="center"/>
          </w:tcPr>
          <w:p w:rsidR="0088341A" w:rsidRPr="004A07FF" w:rsidRDefault="0088341A" w:rsidP="00501137">
            <w:pPr>
              <w:pStyle w:val="AERtabletextright"/>
              <w:keepNext/>
              <w:keepLines/>
            </w:pPr>
            <w:r w:rsidRPr="004A07FF">
              <w:t>nil</w:t>
            </w:r>
          </w:p>
        </w:tc>
        <w:tc>
          <w:tcPr>
            <w:tcW w:w="1192" w:type="dxa"/>
            <w:shd w:val="clear" w:color="auto" w:fill="DBE5F1"/>
            <w:vAlign w:val="center"/>
          </w:tcPr>
          <w:p w:rsidR="0088341A" w:rsidRPr="004A07FF" w:rsidRDefault="0088341A" w:rsidP="00501137">
            <w:pPr>
              <w:pStyle w:val="AERtabletextright"/>
              <w:keepNext/>
              <w:keepLines/>
            </w:pPr>
            <w:r w:rsidRPr="004A07FF">
              <w:t>9.</w:t>
            </w:r>
            <w:r>
              <w:t>6</w:t>
            </w:r>
          </w:p>
        </w:tc>
        <w:tc>
          <w:tcPr>
            <w:tcW w:w="1192" w:type="dxa"/>
            <w:shd w:val="clear" w:color="auto" w:fill="DBE5F1"/>
            <w:vAlign w:val="center"/>
          </w:tcPr>
          <w:p w:rsidR="0088341A" w:rsidRPr="004A07FF" w:rsidRDefault="0088341A" w:rsidP="00501137">
            <w:pPr>
              <w:pStyle w:val="AERtabletextright"/>
              <w:keepNext/>
              <w:keepLines/>
            </w:pPr>
            <w:r w:rsidRPr="004A07FF">
              <w:t>15.2</w:t>
            </w:r>
          </w:p>
        </w:tc>
        <w:tc>
          <w:tcPr>
            <w:tcW w:w="1192" w:type="dxa"/>
            <w:shd w:val="clear" w:color="auto" w:fill="DBE5F1"/>
            <w:vAlign w:val="center"/>
          </w:tcPr>
          <w:p w:rsidR="0088341A" w:rsidRPr="004A07FF" w:rsidRDefault="0088341A" w:rsidP="00501137">
            <w:pPr>
              <w:pStyle w:val="AERtabletextright"/>
              <w:keepNext/>
              <w:keepLines/>
            </w:pPr>
            <w:r w:rsidRPr="004A07FF">
              <w:t>5.6</w:t>
            </w:r>
          </w:p>
        </w:tc>
        <w:tc>
          <w:tcPr>
            <w:tcW w:w="1192" w:type="dxa"/>
            <w:shd w:val="clear" w:color="auto" w:fill="DBE5F1"/>
            <w:vAlign w:val="center"/>
          </w:tcPr>
          <w:p w:rsidR="0088341A" w:rsidRPr="004A07FF" w:rsidRDefault="0088341A" w:rsidP="00501137">
            <w:pPr>
              <w:pStyle w:val="AERtabletextright"/>
              <w:keepNext/>
              <w:keepLines/>
            </w:pPr>
            <w:r w:rsidRPr="004A07FF">
              <w:t>nil</w:t>
            </w:r>
          </w:p>
        </w:tc>
        <w:tc>
          <w:tcPr>
            <w:tcW w:w="1192" w:type="dxa"/>
            <w:shd w:val="clear" w:color="auto" w:fill="DBE5F1"/>
            <w:vAlign w:val="center"/>
          </w:tcPr>
          <w:p w:rsidR="0088341A" w:rsidRPr="004A07FF" w:rsidRDefault="0088341A" w:rsidP="00501137">
            <w:pPr>
              <w:pStyle w:val="AERtabletextright"/>
              <w:keepNext/>
              <w:keepLines/>
            </w:pPr>
            <w:r>
              <w:t>30.4</w:t>
            </w:r>
          </w:p>
        </w:tc>
      </w:tr>
      <w:tr w:rsidR="0088341A" w:rsidRPr="004A07FF" w:rsidTr="00501137">
        <w:tc>
          <w:tcPr>
            <w:tcW w:w="2091" w:type="dxa"/>
            <w:shd w:val="clear" w:color="auto" w:fill="auto"/>
            <w:vAlign w:val="center"/>
          </w:tcPr>
          <w:p w:rsidR="0088341A" w:rsidRPr="004A07FF" w:rsidRDefault="0088341A" w:rsidP="00501137">
            <w:pPr>
              <w:pStyle w:val="AERtabletextleft"/>
              <w:keepNext/>
              <w:keepLines/>
            </w:pPr>
            <w:r w:rsidRPr="004A07FF">
              <w:t>Adjusted capex</w:t>
            </w:r>
          </w:p>
        </w:tc>
        <w:tc>
          <w:tcPr>
            <w:tcW w:w="1191" w:type="dxa"/>
            <w:shd w:val="clear" w:color="auto" w:fill="auto"/>
            <w:vAlign w:val="center"/>
          </w:tcPr>
          <w:p w:rsidR="0088341A" w:rsidRPr="004A07FF" w:rsidRDefault="0088341A" w:rsidP="00501137">
            <w:pPr>
              <w:pStyle w:val="AERtabletextright"/>
              <w:keepNext/>
              <w:keepLines/>
            </w:pPr>
            <w:r w:rsidRPr="004A07FF">
              <w:t>185.</w:t>
            </w:r>
            <w:r>
              <w:t>9</w:t>
            </w:r>
          </w:p>
        </w:tc>
        <w:tc>
          <w:tcPr>
            <w:tcW w:w="1192" w:type="dxa"/>
            <w:shd w:val="clear" w:color="auto" w:fill="auto"/>
            <w:vAlign w:val="center"/>
          </w:tcPr>
          <w:p w:rsidR="0088341A" w:rsidRPr="004A07FF" w:rsidRDefault="0088341A" w:rsidP="00501137">
            <w:pPr>
              <w:pStyle w:val="AERtabletextright"/>
              <w:keepNext/>
              <w:keepLines/>
            </w:pPr>
            <w:r w:rsidRPr="004A07FF">
              <w:t>140.</w:t>
            </w:r>
            <w:r>
              <w:t>2</w:t>
            </w:r>
          </w:p>
        </w:tc>
        <w:tc>
          <w:tcPr>
            <w:tcW w:w="1192" w:type="dxa"/>
            <w:shd w:val="clear" w:color="auto" w:fill="auto"/>
            <w:vAlign w:val="center"/>
          </w:tcPr>
          <w:p w:rsidR="0088341A" w:rsidRPr="004A07FF" w:rsidRDefault="0088341A" w:rsidP="00501137">
            <w:pPr>
              <w:pStyle w:val="AERtabletextright"/>
              <w:keepNext/>
              <w:keepLines/>
            </w:pPr>
            <w:r w:rsidRPr="004A07FF">
              <w:t>105.9</w:t>
            </w:r>
          </w:p>
        </w:tc>
        <w:tc>
          <w:tcPr>
            <w:tcW w:w="1192" w:type="dxa"/>
            <w:shd w:val="clear" w:color="auto" w:fill="auto"/>
            <w:vAlign w:val="center"/>
          </w:tcPr>
          <w:p w:rsidR="0088341A" w:rsidRPr="004A07FF" w:rsidRDefault="0088341A" w:rsidP="00501137">
            <w:pPr>
              <w:pStyle w:val="AERtabletextright"/>
              <w:keepNext/>
              <w:keepLines/>
            </w:pPr>
            <w:r w:rsidRPr="004A07FF">
              <w:t>39.1</w:t>
            </w:r>
          </w:p>
        </w:tc>
        <w:tc>
          <w:tcPr>
            <w:tcW w:w="1192" w:type="dxa"/>
            <w:shd w:val="clear" w:color="auto" w:fill="auto"/>
            <w:vAlign w:val="center"/>
          </w:tcPr>
          <w:p w:rsidR="0088341A" w:rsidRPr="004A07FF" w:rsidRDefault="0088341A" w:rsidP="00501137">
            <w:pPr>
              <w:pStyle w:val="AERtabletextright"/>
              <w:keepNext/>
              <w:keepLines/>
            </w:pPr>
            <w:r w:rsidRPr="004A07FF">
              <w:t>62.7</w:t>
            </w:r>
          </w:p>
        </w:tc>
        <w:tc>
          <w:tcPr>
            <w:tcW w:w="1192" w:type="dxa"/>
            <w:shd w:val="clear" w:color="auto" w:fill="auto"/>
            <w:vAlign w:val="center"/>
          </w:tcPr>
          <w:p w:rsidR="0088341A" w:rsidRPr="004A07FF" w:rsidRDefault="0088341A" w:rsidP="00501137">
            <w:pPr>
              <w:pStyle w:val="AERtabletextright"/>
              <w:keepNext/>
              <w:keepLines/>
            </w:pPr>
            <w:r>
              <w:t>533.8</w:t>
            </w:r>
          </w:p>
        </w:tc>
      </w:tr>
    </w:tbl>
    <w:p w:rsidR="00B22BC8" w:rsidRDefault="0088341A" w:rsidP="0088341A">
      <w:pPr>
        <w:pStyle w:val="AERtablesource"/>
        <w:keepNext/>
        <w:keepLines/>
      </w:pPr>
      <w:r w:rsidRPr="004A07FF">
        <w:t>Source:</w:t>
      </w:r>
      <w:r w:rsidRPr="004A07FF">
        <w:tab/>
        <w:t>EMCa and AER analysis</w:t>
      </w:r>
      <w:r w:rsidR="00B22BC8">
        <w:t>.</w:t>
      </w:r>
    </w:p>
    <w:p w:rsidR="00B22BC8" w:rsidRPr="004A07FF" w:rsidRDefault="00B22BC8" w:rsidP="00B22BC8">
      <w:pPr>
        <w:pStyle w:val="AERtablesource"/>
        <w:keepNext/>
        <w:keepLines/>
      </w:pPr>
      <w:r w:rsidRPr="004A07FF">
        <w:t>Notes:</w:t>
      </w:r>
      <w:r w:rsidRPr="004A07FF">
        <w:tab/>
        <w:t xml:space="preserve">We made no prudency or cost estimation adjustment to the 'CBD rebuilds' category because the </w:t>
      </w:r>
      <w:r>
        <w:t>Richmond terminal station</w:t>
      </w:r>
      <w:r w:rsidRPr="004A07FF">
        <w:t xml:space="preserve"> is substantially underway and we allowed no capex for the </w:t>
      </w:r>
      <w:r>
        <w:t>West Melbourne terminal station</w:t>
      </w:r>
      <w:r w:rsidRPr="004A07FF">
        <w:t>.</w:t>
      </w:r>
    </w:p>
    <w:p w:rsidR="0088341A" w:rsidRPr="004A07FF" w:rsidRDefault="00B22BC8" w:rsidP="00B22BC8">
      <w:pPr>
        <w:pStyle w:val="AERtablesource"/>
        <w:keepNext/>
        <w:keepLines/>
      </w:pPr>
      <w:r w:rsidRPr="004A07FF">
        <w:tab/>
        <w:t>Most of the non-system capex is IT capex for which we made a specific adjustment, so we made no adjustment to IT capex to account for the cost estimation and prudency factors</w:t>
      </w:r>
      <w:r w:rsidR="0088341A" w:rsidRPr="004A07FF">
        <w:t>.</w:t>
      </w:r>
    </w:p>
    <w:p w:rsidR="0088341A" w:rsidRPr="00A907E9" w:rsidRDefault="0088341A" w:rsidP="0088341A">
      <w:pPr>
        <w:pStyle w:val="Heading3"/>
        <w:numPr>
          <w:ilvl w:val="3"/>
          <w:numId w:val="20"/>
        </w:numPr>
      </w:pPr>
      <w:r w:rsidRPr="00A907E9">
        <w:t>Major stations rebuilding and refurbishment program</w:t>
      </w:r>
    </w:p>
    <w:p w:rsidR="0088341A" w:rsidRDefault="0088341A" w:rsidP="0088341A">
      <w:pPr>
        <w:pStyle w:val="AERbodytext"/>
        <w:numPr>
          <w:ilvl w:val="0"/>
          <w:numId w:val="1"/>
        </w:numPr>
      </w:pPr>
      <w:r>
        <w:t xml:space="preserve">SP AusNet </w:t>
      </w:r>
      <w:r w:rsidRPr="00B80DB9">
        <w:t>forecast capex of $335.</w:t>
      </w:r>
      <w:r>
        <w:t>7</w:t>
      </w:r>
      <w:r w:rsidRPr="00B80DB9">
        <w:t xml:space="preserve"> million ($2013–14) </w:t>
      </w:r>
      <w:r>
        <w:t>for</w:t>
      </w:r>
      <w:r w:rsidRPr="00B80DB9">
        <w:t xml:space="preserve"> its major station rebuilding and refurbishment program.</w:t>
      </w:r>
      <w:r>
        <w:t xml:space="preserve"> Our substitute forecast capex for this category is $210.6 million </w:t>
      </w:r>
      <w:r w:rsidRPr="00B80DB9">
        <w:t>($2013–14)</w:t>
      </w:r>
      <w:r>
        <w:t xml:space="preserve"> after we made the following reductions to SP AusNet's forecast:</w:t>
      </w:r>
    </w:p>
    <w:p w:rsidR="0088341A" w:rsidRPr="00F37FD7" w:rsidRDefault="0088341A" w:rsidP="0088341A">
      <w:pPr>
        <w:pStyle w:val="AERbulletlistfirststyle"/>
      </w:pPr>
      <w:r>
        <w:t>$106.4 million off SP AusNet's total forecast capex, for the WMTS in full</w:t>
      </w:r>
    </w:p>
    <w:p w:rsidR="0088341A" w:rsidRPr="00F37FD7" w:rsidRDefault="0088341A" w:rsidP="0088341A">
      <w:pPr>
        <w:pStyle w:val="AERbulletlistfirststyle"/>
      </w:pPr>
      <w:r>
        <w:t>$3.9 million off the forecast capex, for the Fisherman's Bend terminal station (FBTS) in part</w:t>
      </w:r>
    </w:p>
    <w:p w:rsidR="0088341A" w:rsidRPr="00F37FD7" w:rsidRDefault="0088341A" w:rsidP="0088341A">
      <w:pPr>
        <w:pStyle w:val="AERbulletlistfirststyle"/>
      </w:pPr>
      <w:r>
        <w:t>$14.8 million for prudency, cost estimation and cost escalator factors to other projects in this category.</w:t>
      </w:r>
    </w:p>
    <w:p w:rsidR="0088341A" w:rsidRPr="00A907E9" w:rsidRDefault="0088341A" w:rsidP="0088341A">
      <w:pPr>
        <w:pStyle w:val="Heading3"/>
        <w:numPr>
          <w:ilvl w:val="3"/>
          <w:numId w:val="20"/>
        </w:numPr>
      </w:pPr>
      <w:r w:rsidRPr="00A907E9">
        <w:t xml:space="preserve">West Melbourne terminal station </w:t>
      </w:r>
    </w:p>
    <w:p w:rsidR="0088341A" w:rsidRPr="00B50B00" w:rsidRDefault="0088341A" w:rsidP="0088341A">
      <w:pPr>
        <w:pStyle w:val="AERbodytext"/>
        <w:numPr>
          <w:ilvl w:val="0"/>
          <w:numId w:val="1"/>
        </w:numPr>
      </w:pPr>
      <w:r w:rsidRPr="00B50B00">
        <w:t xml:space="preserve">Given the age and condition of the WMTS, we agree with SP AusNet that </w:t>
      </w:r>
      <w:r w:rsidR="009D25D9">
        <w:t>the station</w:t>
      </w:r>
      <w:r w:rsidRPr="00B50B00">
        <w:t xml:space="preserve"> needs to be rebuilt. However, on 22 July 2013 SP AusNet submitted</w:t>
      </w:r>
      <w:r>
        <w:t xml:space="preserve"> recent developments mean it may have to </w:t>
      </w:r>
      <w:r w:rsidRPr="00B50B00">
        <w:t xml:space="preserve">materially revise the project timing and costs indicated in its revenue proposal. It stated the current proposed solution may be unworkable, because the Linking Melbourne Authority notified SP AusNet it might compulsorily acquire part of the land at the WMTS site for road works. SP AusNet submitted any revisions to the WMTS project would not be available in time for our draft decision.  </w:t>
      </w:r>
    </w:p>
    <w:p w:rsidR="0088341A" w:rsidRDefault="0088341A" w:rsidP="0088341A">
      <w:pPr>
        <w:pStyle w:val="AERbodytext"/>
        <w:numPr>
          <w:ilvl w:val="0"/>
          <w:numId w:val="1"/>
        </w:numPr>
      </w:pPr>
      <w:r w:rsidRPr="00B50B00">
        <w:t xml:space="preserve">Given these </w:t>
      </w:r>
      <w:r>
        <w:t>developments and the uncertain</w:t>
      </w:r>
      <w:r w:rsidRPr="00B50B00">
        <w:t xml:space="preserve"> timing and costs of the WMTS project, for our draft decision we</w:t>
      </w:r>
      <w:r>
        <w:t xml:space="preserve"> cannot make a reasonable forecast of capex f</w:t>
      </w:r>
      <w:r w:rsidRPr="00B50B00">
        <w:t xml:space="preserve">or the 2014–17 regulatory control period </w:t>
      </w:r>
      <w:r w:rsidRPr="00B50B00">
        <w:lastRenderedPageBreak/>
        <w:t>that complies with the requirements of the NEL and NER. Accordingly, we reduced SP AusNet's total forecast capex by the forecast capex for the WMTS ($106.4 million). For the final decision</w:t>
      </w:r>
      <w:r>
        <w:t>,</w:t>
      </w:r>
      <w:r w:rsidRPr="00B50B00">
        <w:t xml:space="preserve"> we will consider any revised proposal for the WMTS that SP AusNet submits in its revised revenue proposal.</w:t>
      </w:r>
    </w:p>
    <w:p w:rsidR="0088341A" w:rsidRPr="00A907E9" w:rsidRDefault="0088341A" w:rsidP="0088341A">
      <w:pPr>
        <w:pStyle w:val="Heading3"/>
        <w:numPr>
          <w:ilvl w:val="3"/>
          <w:numId w:val="20"/>
        </w:numPr>
      </w:pPr>
      <w:r w:rsidRPr="00A907E9">
        <w:t>Fisherman's Bend terminal station</w:t>
      </w:r>
    </w:p>
    <w:p w:rsidR="0088341A" w:rsidRDefault="0088341A" w:rsidP="0088341A">
      <w:r w:rsidRPr="00B50B00">
        <w:t xml:space="preserve">Given the condition of the transformer at </w:t>
      </w:r>
      <w:r>
        <w:t>the FBTS</w:t>
      </w:r>
      <w:r w:rsidRPr="00B50B00">
        <w:t xml:space="preserve">, </w:t>
      </w:r>
      <w:r>
        <w:t xml:space="preserve">we consider </w:t>
      </w:r>
      <w:r w:rsidRPr="00B50B00">
        <w:t>SP AusNet could defer replacing</w:t>
      </w:r>
      <w:r>
        <w:t xml:space="preserve"> the transformer </w:t>
      </w:r>
      <w:r w:rsidRPr="00B50B00">
        <w:t xml:space="preserve">to the 2017–22 regulatory control period without any undue risk. </w:t>
      </w:r>
      <w:r>
        <w:t xml:space="preserve">Accordingly, we reduced </w:t>
      </w:r>
      <w:r w:rsidRPr="00B50B00">
        <w:t>the forecast capex for this project from $</w:t>
      </w:r>
      <w:r>
        <w:t>15.6</w:t>
      </w:r>
      <w:r w:rsidRPr="00B50B00">
        <w:t xml:space="preserve"> million to $</w:t>
      </w:r>
      <w:r>
        <w:t xml:space="preserve">11.7 </w:t>
      </w:r>
      <w:r w:rsidRPr="00B50B00">
        <w:t>million ($2013–14)</w:t>
      </w:r>
      <w:r>
        <w:t>.</w:t>
      </w:r>
      <w:r>
        <w:rPr>
          <w:rStyle w:val="FootnoteReference"/>
        </w:rPr>
        <w:footnoteReference w:id="58"/>
      </w:r>
    </w:p>
    <w:p w:rsidR="0088341A" w:rsidRDefault="0088341A" w:rsidP="0088341A">
      <w:pPr>
        <w:pStyle w:val="Heading2"/>
        <w:numPr>
          <w:ilvl w:val="2"/>
          <w:numId w:val="20"/>
        </w:numPr>
      </w:pPr>
      <w:bookmarkStart w:id="80" w:name="_Toc365283257"/>
      <w:r>
        <w:t>Strategic IT capex</w:t>
      </w:r>
      <w:bookmarkEnd w:id="80"/>
    </w:p>
    <w:p w:rsidR="0088341A" w:rsidRPr="00DE6F92" w:rsidRDefault="0088341A" w:rsidP="0088341A">
      <w:r>
        <w:t xml:space="preserve">We do not consider SP AusNet adequately quantified and demonstrated the benefits of its forecast $16.8 million strategic IT capex. So, we do not consider SP AusNet justified that component of </w:t>
      </w:r>
      <w:r w:rsidRPr="00E370D0">
        <w:t>its forecast IT capex</w:t>
      </w:r>
      <w:r>
        <w:t>.</w:t>
      </w:r>
      <w:r>
        <w:rPr>
          <w:rStyle w:val="FootnoteReference"/>
        </w:rPr>
        <w:footnoteReference w:id="59"/>
      </w:r>
      <w:r>
        <w:t xml:space="preserve"> </w:t>
      </w:r>
      <w:r w:rsidRPr="00DE6F92">
        <w:t>SP AusNet should quantify</w:t>
      </w:r>
      <w:r>
        <w:t xml:space="preserve"> and demonstrate</w:t>
      </w:r>
      <w:r w:rsidRPr="00DE6F92">
        <w:t xml:space="preserve"> the benefits of its strategic IT investment as part of an efficient and prudent forecast,</w:t>
      </w:r>
      <w:r>
        <w:t xml:space="preserve"> because</w:t>
      </w:r>
      <w:r w:rsidRPr="00DE6F92">
        <w:t xml:space="preserve"> otherwise:</w:t>
      </w:r>
    </w:p>
    <w:p w:rsidR="0088341A" w:rsidRPr="00DE6F92" w:rsidRDefault="0088341A" w:rsidP="0088341A">
      <w:pPr>
        <w:pStyle w:val="AERbulletlistfirststyle"/>
      </w:pPr>
      <w:r w:rsidRPr="00DE6F92">
        <w:t xml:space="preserve">customers </w:t>
      </w:r>
      <w:r>
        <w:t>underwrite</w:t>
      </w:r>
      <w:r w:rsidRPr="00DE6F92">
        <w:t xml:space="preserve"> strategic costs without seeing the benefits quantified</w:t>
      </w:r>
    </w:p>
    <w:p w:rsidR="0088341A" w:rsidRPr="00DE6F92" w:rsidRDefault="0088341A" w:rsidP="0088341A">
      <w:pPr>
        <w:pStyle w:val="AERbulletlistfirststyle"/>
      </w:pPr>
      <w:r w:rsidRPr="00DE6F92">
        <w:t>the timeframe for recovering benefits is unknown</w:t>
      </w:r>
    </w:p>
    <w:p w:rsidR="0088341A" w:rsidRDefault="0088341A" w:rsidP="0088341A">
      <w:pPr>
        <w:pStyle w:val="AERbulletlistfirststyle"/>
      </w:pPr>
      <w:r w:rsidRPr="00DE6F92">
        <w:t>customers bear the risk of benefits not being realised because an ex post analysis may reveal no benefits were achieved.</w:t>
      </w:r>
    </w:p>
    <w:p w:rsidR="0088341A" w:rsidRPr="00F37FD7" w:rsidRDefault="0088341A" w:rsidP="0088341A">
      <w:r w:rsidRPr="00DE6F92">
        <w:t xml:space="preserve">A prudent </w:t>
      </w:r>
      <w:r>
        <w:t>TNSP</w:t>
      </w:r>
      <w:r w:rsidRPr="00DE6F92">
        <w:t xml:space="preserve"> would not incur the costs of strategic investment without evidence that the benefits outweigh the costs</w:t>
      </w:r>
      <w:r>
        <w:t>.</w:t>
      </w:r>
    </w:p>
    <w:p w:rsidR="0088341A" w:rsidRPr="002C31E5" w:rsidRDefault="0088341A" w:rsidP="0088341A">
      <w:pPr>
        <w:pStyle w:val="AERbodytext"/>
        <w:numPr>
          <w:ilvl w:val="0"/>
          <w:numId w:val="1"/>
        </w:numPr>
      </w:pPr>
    </w:p>
    <w:p w:rsidR="0088341A" w:rsidRDefault="0088341A" w:rsidP="0088341A">
      <w:pPr>
        <w:pStyle w:val="Heading1"/>
        <w:numPr>
          <w:ilvl w:val="1"/>
          <w:numId w:val="20"/>
        </w:numPr>
      </w:pPr>
      <w:bookmarkStart w:id="81" w:name="_Toc365283258"/>
      <w:bookmarkStart w:id="82" w:name="_Toc365461988"/>
      <w:r>
        <w:lastRenderedPageBreak/>
        <w:t>Operating expenditure</w:t>
      </w:r>
      <w:bookmarkEnd w:id="81"/>
      <w:bookmarkEnd w:id="82"/>
    </w:p>
    <w:p w:rsidR="0088341A" w:rsidRDefault="0088341A" w:rsidP="0088341A">
      <w:pPr>
        <w:pStyle w:val="AERbodytext"/>
        <w:numPr>
          <w:ilvl w:val="0"/>
          <w:numId w:val="1"/>
        </w:numPr>
      </w:pPr>
      <w:r>
        <w:t>Forecast opex is the forecast</w:t>
      </w:r>
      <w:r w:rsidRPr="00CF3742">
        <w:t xml:space="preserve"> operating, maintenance and other non-capital costs incurred in the provision of prescribed transmission services. It includes labour costs and other non-capital costs.</w:t>
      </w:r>
      <w:r>
        <w:t xml:space="preserve"> We </w:t>
      </w:r>
      <w:r w:rsidRPr="00CF3742">
        <w:t xml:space="preserve">must accept </w:t>
      </w:r>
      <w:r>
        <w:t xml:space="preserve">SP AusNet's </w:t>
      </w:r>
      <w:r w:rsidRPr="00CF3742">
        <w:t>proposed forecast opex for the 201</w:t>
      </w:r>
      <w:r>
        <w:t>4</w:t>
      </w:r>
      <w:r w:rsidRPr="00CF3742">
        <w:t>–1</w:t>
      </w:r>
      <w:r>
        <w:t>7</w:t>
      </w:r>
      <w:r w:rsidRPr="00CF3742">
        <w:t xml:space="preserve"> regulatory control period, if satisfied the forecast reasonably reflects the opex criteria set out in the</w:t>
      </w:r>
      <w:r>
        <w:t xml:space="preserve"> NER</w:t>
      </w:r>
      <w:r w:rsidRPr="00CF3742">
        <w:t>.</w:t>
      </w:r>
      <w:r w:rsidRPr="00CF3742">
        <w:rPr>
          <w:rStyle w:val="FootnoteReference"/>
        </w:rPr>
        <w:footnoteReference w:id="60"/>
      </w:r>
      <w:r w:rsidRPr="00CF3742">
        <w:t xml:space="preserve"> If not satisfied, </w:t>
      </w:r>
      <w:r>
        <w:t>we</w:t>
      </w:r>
      <w:r w:rsidRPr="00CF3742">
        <w:t xml:space="preserve"> must give reasons for not accepting the proposal</w:t>
      </w:r>
      <w:r>
        <w:t>,</w:t>
      </w:r>
      <w:r w:rsidRPr="00CF3742">
        <w:t xml:space="preserve"> and</w:t>
      </w:r>
      <w:r>
        <w:t xml:space="preserve"> we must</w:t>
      </w:r>
      <w:r w:rsidRPr="00CF3742">
        <w:t xml:space="preserve"> estimate the total required opex that reasonably reflects the opex criteria.</w:t>
      </w:r>
      <w:r>
        <w:rPr>
          <w:rStyle w:val="FootnoteReference"/>
        </w:rPr>
        <w:footnoteReference w:id="61"/>
      </w:r>
      <w:r w:rsidRPr="00CF3742">
        <w:t xml:space="preserve"> In doing so, </w:t>
      </w:r>
      <w:r>
        <w:t>we</w:t>
      </w:r>
      <w:r w:rsidRPr="00CF3742">
        <w:t xml:space="preserve"> must have regard to the opex factors.</w:t>
      </w:r>
      <w:r w:rsidRPr="00CF3742">
        <w:rPr>
          <w:rStyle w:val="FootnoteReference"/>
        </w:rPr>
        <w:footnoteReference w:id="62"/>
      </w:r>
      <w:r>
        <w:t xml:space="preserve"> Attachment 3 sets out the detailed reasons for our draft decision on SP AusNet's forecast opex.</w:t>
      </w:r>
    </w:p>
    <w:p w:rsidR="0088341A" w:rsidRPr="003800E4" w:rsidRDefault="0088341A" w:rsidP="0088341A">
      <w:pPr>
        <w:pStyle w:val="Heading2"/>
        <w:numPr>
          <w:ilvl w:val="2"/>
          <w:numId w:val="20"/>
        </w:numPr>
      </w:pPr>
      <w:bookmarkStart w:id="83" w:name="_Toc365283259"/>
      <w:r>
        <w:t>Draft decision</w:t>
      </w:r>
      <w:bookmarkEnd w:id="83"/>
    </w:p>
    <w:p w:rsidR="00246317" w:rsidRDefault="0088341A" w:rsidP="0088341A">
      <w:pPr>
        <w:pStyle w:val="AERbodytext"/>
        <w:numPr>
          <w:ilvl w:val="0"/>
          <w:numId w:val="1"/>
        </w:numPr>
      </w:pPr>
      <w:r w:rsidRPr="00C5550F">
        <w:t>We do not accept SP AusNet's proposed total forecast opex of $607.2 million</w:t>
      </w:r>
      <w:r w:rsidRPr="00C5550F">
        <w:rPr>
          <w:rStyle w:val="FootnoteReference"/>
          <w:b/>
        </w:rPr>
        <w:footnoteReference w:id="63"/>
      </w:r>
      <w:r w:rsidRPr="00C5550F">
        <w:t xml:space="preserve"> ($2013–14, mid-year)</w:t>
      </w:r>
      <w:r w:rsidRPr="00C5550F">
        <w:rPr>
          <w:rStyle w:val="FootnoteReference"/>
          <w:b/>
        </w:rPr>
        <w:footnoteReference w:id="64"/>
      </w:r>
      <w:r w:rsidRPr="00C5550F">
        <w:t xml:space="preserve">  for the 2014–17 regulatory control period, because we cannot be satisfied the forecast reasonably reflects the opex criteria. We thus substituted a total opex forecast developed from our </w:t>
      </w:r>
      <w:r w:rsidR="00FF28F4">
        <w:t xml:space="preserve">preferred approach: </w:t>
      </w:r>
      <w:r w:rsidRPr="00C5550F">
        <w:t xml:space="preserve">top down approach for controllable opex, but we included step changes when we assessed they were necessary to reflect the opex criteria. </w:t>
      </w:r>
      <w:r w:rsidR="00246317">
        <w:t>Our substitute forecast reasonably reflects the efficient costs of achieving the opex objectives, the costs that a prudent operator in SP AusNet’s circumstances would require to achieve the opex objectives and a realistic expectation of the cost inputs required to achieve the opex objectives.</w:t>
      </w:r>
      <w:r w:rsidR="00246317">
        <w:rPr>
          <w:rStyle w:val="FootnoteReference"/>
        </w:rPr>
        <w:footnoteReference w:id="65"/>
      </w:r>
    </w:p>
    <w:p w:rsidR="0088341A" w:rsidRPr="00C5550F" w:rsidRDefault="0088341A" w:rsidP="0088341A">
      <w:pPr>
        <w:pStyle w:val="AERbodytext"/>
        <w:numPr>
          <w:ilvl w:val="0"/>
          <w:numId w:val="1"/>
        </w:numPr>
      </w:pPr>
      <w:r w:rsidRPr="00C5550F">
        <w:t>Our substitute forecast total opex for the 2014–17 regulatory control period is $543.2 million,</w:t>
      </w:r>
      <w:r w:rsidRPr="00C5550F">
        <w:rPr>
          <w:rStyle w:val="FootnoteReference"/>
          <w:b/>
        </w:rPr>
        <w:footnoteReference w:id="66"/>
      </w:r>
      <w:r w:rsidRPr="00C5550F">
        <w:t xml:space="preserve"> which is $64.0 million less than SP AusNet's </w:t>
      </w:r>
      <w:r w:rsidRPr="0086416D">
        <w:rPr>
          <w:rStyle w:val="AERbodytextChar"/>
        </w:rPr>
        <w:t>forecast (</w:t>
      </w:r>
      <w:r>
        <w:rPr>
          <w:rStyle w:val="AERbodytextChar"/>
        </w:rPr>
        <w:fldChar w:fldCharType="begin"/>
      </w:r>
      <w:r>
        <w:rPr>
          <w:rStyle w:val="AERbodytextChar"/>
        </w:rPr>
        <w:instrText xml:space="preserve"> REF _Ref363820944 \h </w:instrText>
      </w:r>
      <w:r>
        <w:rPr>
          <w:rStyle w:val="AERbodytextChar"/>
        </w:rPr>
      </w:r>
      <w:r>
        <w:rPr>
          <w:rStyle w:val="AERbodytextChar"/>
        </w:rPr>
        <w:fldChar w:fldCharType="separate"/>
      </w:r>
      <w:r w:rsidR="004F35AA">
        <w:t xml:space="preserve">Table </w:t>
      </w:r>
      <w:r w:rsidR="004F35AA">
        <w:rPr>
          <w:noProof/>
        </w:rPr>
        <w:t>8</w:t>
      </w:r>
      <w:r w:rsidR="004F35AA">
        <w:t>.</w:t>
      </w:r>
      <w:r w:rsidR="004F35AA">
        <w:rPr>
          <w:noProof/>
        </w:rPr>
        <w:t>1</w:t>
      </w:r>
      <w:r>
        <w:rPr>
          <w:rStyle w:val="AERbodytextChar"/>
        </w:rPr>
        <w:fldChar w:fldCharType="end"/>
      </w:r>
      <w:r w:rsidRPr="0086416D">
        <w:rPr>
          <w:rStyle w:val="AERbodytextChar"/>
        </w:rPr>
        <w:t xml:space="preserve">). </w:t>
      </w:r>
      <w:r w:rsidR="00795A08">
        <w:rPr>
          <w:rStyle w:val="AERbodytextChar"/>
        </w:rPr>
        <w:t xml:space="preserve">In annual terms, it </w:t>
      </w:r>
      <w:r w:rsidRPr="0086416D">
        <w:rPr>
          <w:rStyle w:val="AERbodytextChar"/>
        </w:rPr>
        <w:t>is a decrease of 4.5 per cent (real)</w:t>
      </w:r>
      <w:r w:rsidRPr="00A673C8">
        <w:rPr>
          <w:rStyle w:val="AERsuperscript"/>
        </w:rPr>
        <w:footnoteReference w:id="67"/>
      </w:r>
      <w:r w:rsidRPr="00A673C8">
        <w:rPr>
          <w:rStyle w:val="AERsuperscript"/>
        </w:rPr>
        <w:t xml:space="preserve"> </w:t>
      </w:r>
      <w:r w:rsidRPr="0086416D">
        <w:rPr>
          <w:rStyle w:val="AERbodytextChar"/>
        </w:rPr>
        <w:t xml:space="preserve">on the transmission network service provider's (TNSP) annual average opex in the 2008–14 regulatory control period. We used annual averages because we compared regulatory control periods of different lengths. </w:t>
      </w:r>
      <w:r w:rsidRPr="0086416D">
        <w:rPr>
          <w:rStyle w:val="AERbodytextChar"/>
        </w:rPr>
        <w:fldChar w:fldCharType="begin"/>
      </w:r>
      <w:r w:rsidRPr="0086416D">
        <w:rPr>
          <w:rStyle w:val="AERbodytextChar"/>
        </w:rPr>
        <w:instrText xml:space="preserve"> REF _Ref362622507 \h  \* MERGEFORMAT </w:instrText>
      </w:r>
      <w:r w:rsidRPr="0086416D">
        <w:rPr>
          <w:rStyle w:val="AERbodytextChar"/>
        </w:rPr>
      </w:r>
      <w:r w:rsidRPr="0086416D">
        <w:rPr>
          <w:rStyle w:val="AERbodytextChar"/>
        </w:rPr>
        <w:fldChar w:fldCharType="separate"/>
      </w:r>
      <w:r w:rsidR="004F35AA" w:rsidRPr="004F35AA">
        <w:rPr>
          <w:rStyle w:val="AERbodytextChar"/>
        </w:rPr>
        <w:t>Table 8.2</w:t>
      </w:r>
      <w:r w:rsidRPr="0086416D">
        <w:rPr>
          <w:rStyle w:val="AERbodytextChar"/>
        </w:rPr>
        <w:fldChar w:fldCharType="end"/>
      </w:r>
      <w:r w:rsidRPr="0086416D">
        <w:rPr>
          <w:rStyle w:val="AERbodytextChar"/>
        </w:rPr>
        <w:t xml:space="preserve"> shows our draft decision by opex category and year and </w:t>
      </w:r>
      <w:r w:rsidRPr="0086416D">
        <w:rPr>
          <w:rStyle w:val="AERbodytextChar"/>
        </w:rPr>
        <w:fldChar w:fldCharType="begin"/>
      </w:r>
      <w:r w:rsidRPr="0086416D">
        <w:rPr>
          <w:rStyle w:val="AERbodytextChar"/>
        </w:rPr>
        <w:instrText xml:space="preserve"> REF _Ref363764213 \h  \* MERGEFORMAT </w:instrText>
      </w:r>
      <w:r w:rsidRPr="0086416D">
        <w:rPr>
          <w:rStyle w:val="AERbodytextChar"/>
        </w:rPr>
      </w:r>
      <w:r w:rsidRPr="0086416D">
        <w:rPr>
          <w:rStyle w:val="AERbodytextChar"/>
        </w:rPr>
        <w:fldChar w:fldCharType="separate"/>
      </w:r>
      <w:r w:rsidR="004F35AA" w:rsidRPr="004F35AA">
        <w:rPr>
          <w:rStyle w:val="AERbodytextChar"/>
        </w:rPr>
        <w:t>Figure 8.2</w:t>
      </w:r>
      <w:r w:rsidRPr="0086416D">
        <w:rPr>
          <w:rStyle w:val="AERbodytextChar"/>
        </w:rPr>
        <w:fldChar w:fldCharType="end"/>
      </w:r>
      <w:r w:rsidRPr="0086416D">
        <w:rPr>
          <w:rStyle w:val="AERbodytextChar"/>
        </w:rPr>
        <w:t xml:space="preserve"> shows the components of our controllable opex</w:t>
      </w:r>
      <w:r w:rsidRPr="00C5550F">
        <w:t xml:space="preserve"> forecast.</w:t>
      </w:r>
    </w:p>
    <w:p w:rsidR="0088341A" w:rsidRPr="00A513E2" w:rsidRDefault="0088341A" w:rsidP="0088341A">
      <w:pPr>
        <w:pStyle w:val="Caption"/>
        <w:keepLines/>
      </w:pPr>
      <w:bookmarkStart w:id="84" w:name="_Ref363820944"/>
      <w:r>
        <w:t xml:space="preserve">Table </w:t>
      </w:r>
      <w:fldSimple w:instr=" STYLEREF 1 \s ">
        <w:r w:rsidR="004F35AA">
          <w:rPr>
            <w:noProof/>
          </w:rPr>
          <w:t>8</w:t>
        </w:r>
      </w:fldSimple>
      <w:r w:rsidR="00C56A87">
        <w:t>.</w:t>
      </w:r>
      <w:fldSimple w:instr=" SEQ Table \* ARABIC \s 1 ">
        <w:r w:rsidR="004F35AA">
          <w:rPr>
            <w:noProof/>
          </w:rPr>
          <w:t>1</w:t>
        </w:r>
      </w:fldSimple>
      <w:bookmarkEnd w:id="84"/>
      <w:r w:rsidRPr="00A513E2">
        <w:tab/>
      </w:r>
      <w:r>
        <w:t xml:space="preserve">AER's draft decision and </w:t>
      </w:r>
      <w:r w:rsidRPr="00A513E2">
        <w:t>SP AusNet's propos</w:t>
      </w:r>
      <w:r>
        <w:t>al–</w:t>
      </w:r>
      <w:r w:rsidRPr="00A513E2">
        <w:t>total opex ($ million, 2013–14)</w:t>
      </w:r>
    </w:p>
    <w:tbl>
      <w:tblPr>
        <w:tblStyle w:val="AERtable-text"/>
        <w:tblW w:w="5000" w:type="pct"/>
        <w:tblLook w:val="04A0" w:firstRow="1" w:lastRow="0" w:firstColumn="1" w:lastColumn="0" w:noHBand="0" w:noVBand="1"/>
      </w:tblPr>
      <w:tblGrid>
        <w:gridCol w:w="3071"/>
        <w:gridCol w:w="1543"/>
        <w:gridCol w:w="1543"/>
        <w:gridCol w:w="1543"/>
        <w:gridCol w:w="1542"/>
      </w:tblGrid>
      <w:tr w:rsidR="0088341A" w:rsidRPr="005658E4" w:rsidTr="00DA706F">
        <w:trPr>
          <w:cnfStyle w:val="100000000000" w:firstRow="1" w:lastRow="0" w:firstColumn="0" w:lastColumn="0" w:oddVBand="0" w:evenVBand="0" w:oddHBand="0" w:evenHBand="0" w:firstRowFirstColumn="0" w:firstRowLastColumn="0" w:lastRowFirstColumn="0" w:lastRowLastColumn="0"/>
        </w:trPr>
        <w:tc>
          <w:tcPr>
            <w:tcW w:w="1661" w:type="pct"/>
          </w:tcPr>
          <w:p w:rsidR="0088341A" w:rsidRPr="00DA706F" w:rsidRDefault="0088341A" w:rsidP="00DA706F">
            <w:pPr>
              <w:pStyle w:val="AERtabletextleft"/>
            </w:pPr>
            <w:r w:rsidRPr="005658E4">
              <w:t>Year ending 31 March</w:t>
            </w:r>
          </w:p>
        </w:tc>
        <w:tc>
          <w:tcPr>
            <w:tcW w:w="835" w:type="pct"/>
          </w:tcPr>
          <w:p w:rsidR="0088341A" w:rsidRPr="00DA706F" w:rsidRDefault="0088341A" w:rsidP="00DA706F">
            <w:pPr>
              <w:pStyle w:val="AERtabletextright"/>
            </w:pPr>
            <w:r w:rsidRPr="005658E4">
              <w:t>2014–15</w:t>
            </w:r>
          </w:p>
        </w:tc>
        <w:tc>
          <w:tcPr>
            <w:tcW w:w="835" w:type="pct"/>
          </w:tcPr>
          <w:p w:rsidR="0088341A" w:rsidRPr="00DA706F" w:rsidRDefault="0088341A" w:rsidP="00DA706F">
            <w:pPr>
              <w:pStyle w:val="AERtabletextright"/>
            </w:pPr>
            <w:r w:rsidRPr="005658E4">
              <w:t>2015–16</w:t>
            </w:r>
          </w:p>
        </w:tc>
        <w:tc>
          <w:tcPr>
            <w:tcW w:w="835" w:type="pct"/>
          </w:tcPr>
          <w:p w:rsidR="0088341A" w:rsidRPr="00DA706F" w:rsidRDefault="0088341A" w:rsidP="00DA706F">
            <w:pPr>
              <w:pStyle w:val="AERtabletextright"/>
            </w:pPr>
            <w:r w:rsidRPr="005658E4">
              <w:t>2016–17</w:t>
            </w:r>
          </w:p>
        </w:tc>
        <w:tc>
          <w:tcPr>
            <w:tcW w:w="834" w:type="pct"/>
          </w:tcPr>
          <w:p w:rsidR="0088341A" w:rsidRPr="00DA706F" w:rsidRDefault="0088341A" w:rsidP="00DA706F">
            <w:pPr>
              <w:pStyle w:val="AERtabletextright"/>
            </w:pPr>
            <w:r w:rsidRPr="005658E4">
              <w:t>Total</w:t>
            </w:r>
          </w:p>
        </w:tc>
      </w:tr>
      <w:tr w:rsidR="0088341A" w:rsidRPr="005658E4" w:rsidTr="00DA706F">
        <w:tc>
          <w:tcPr>
            <w:tcW w:w="1661" w:type="pct"/>
          </w:tcPr>
          <w:p w:rsidR="0088341A" w:rsidRPr="00D77DC9" w:rsidRDefault="0088341A" w:rsidP="00DA706F">
            <w:pPr>
              <w:pStyle w:val="AERtabletextleft"/>
              <w:rPr>
                <w:lang w:eastAsia="en-US"/>
              </w:rPr>
            </w:pPr>
            <w:r w:rsidRPr="005658E4">
              <w:t>SP AusNet's proposal</w:t>
            </w:r>
            <w:r w:rsidRPr="00D77DC9">
              <w:t>*</w:t>
            </w:r>
          </w:p>
        </w:tc>
        <w:tc>
          <w:tcPr>
            <w:tcW w:w="835" w:type="pct"/>
          </w:tcPr>
          <w:p w:rsidR="0088341A" w:rsidRPr="00DA706F" w:rsidRDefault="0088341A" w:rsidP="00DA706F">
            <w:pPr>
              <w:pStyle w:val="AERtabletextright"/>
            </w:pPr>
            <w:r w:rsidRPr="005658E4">
              <w:t>198.9</w:t>
            </w:r>
          </w:p>
        </w:tc>
        <w:tc>
          <w:tcPr>
            <w:tcW w:w="835" w:type="pct"/>
          </w:tcPr>
          <w:p w:rsidR="0088341A" w:rsidRPr="00DA706F" w:rsidRDefault="0088341A" w:rsidP="00DA706F">
            <w:pPr>
              <w:pStyle w:val="AERtabletextright"/>
            </w:pPr>
            <w:r w:rsidRPr="005658E4">
              <w:t>204.7</w:t>
            </w:r>
          </w:p>
        </w:tc>
        <w:tc>
          <w:tcPr>
            <w:tcW w:w="835" w:type="pct"/>
          </w:tcPr>
          <w:p w:rsidR="0088341A" w:rsidRPr="00DA706F" w:rsidRDefault="0088341A" w:rsidP="00DA706F">
            <w:pPr>
              <w:pStyle w:val="AERtabletextright"/>
            </w:pPr>
            <w:r w:rsidRPr="005658E4">
              <w:t>203.6</w:t>
            </w:r>
          </w:p>
        </w:tc>
        <w:tc>
          <w:tcPr>
            <w:tcW w:w="834" w:type="pct"/>
          </w:tcPr>
          <w:p w:rsidR="0088341A" w:rsidRPr="00DA706F" w:rsidRDefault="0088341A" w:rsidP="00DA706F">
            <w:pPr>
              <w:pStyle w:val="AERtabletextright"/>
            </w:pPr>
            <w:r w:rsidRPr="005658E4">
              <w:t>607.2</w:t>
            </w:r>
          </w:p>
        </w:tc>
      </w:tr>
      <w:tr w:rsidR="0088341A" w:rsidRPr="005658E4" w:rsidTr="00DA706F">
        <w:trPr>
          <w:cnfStyle w:val="000000010000" w:firstRow="0" w:lastRow="0" w:firstColumn="0" w:lastColumn="0" w:oddVBand="0" w:evenVBand="0" w:oddHBand="0" w:evenHBand="1" w:firstRowFirstColumn="0" w:firstRowLastColumn="0" w:lastRowFirstColumn="0" w:lastRowLastColumn="0"/>
        </w:trPr>
        <w:tc>
          <w:tcPr>
            <w:tcW w:w="1661" w:type="pct"/>
          </w:tcPr>
          <w:p w:rsidR="0088341A" w:rsidRPr="00D77DC9" w:rsidRDefault="0088341A" w:rsidP="00DA706F">
            <w:pPr>
              <w:pStyle w:val="AERtabletextleft"/>
              <w:rPr>
                <w:lang w:eastAsia="en-US"/>
              </w:rPr>
            </w:pPr>
            <w:r w:rsidRPr="005658E4">
              <w:t>AER's draft decision</w:t>
            </w:r>
          </w:p>
        </w:tc>
        <w:tc>
          <w:tcPr>
            <w:tcW w:w="835" w:type="pct"/>
          </w:tcPr>
          <w:p w:rsidR="0088341A" w:rsidRPr="00DA706F" w:rsidRDefault="0088341A" w:rsidP="00DA706F">
            <w:pPr>
              <w:pStyle w:val="AERtabletextright"/>
            </w:pPr>
            <w:r w:rsidRPr="00DA706F">
              <w:t>179.2</w:t>
            </w:r>
          </w:p>
        </w:tc>
        <w:tc>
          <w:tcPr>
            <w:tcW w:w="835" w:type="pct"/>
          </w:tcPr>
          <w:p w:rsidR="0088341A" w:rsidRPr="00DA706F" w:rsidRDefault="0088341A" w:rsidP="00DA706F">
            <w:pPr>
              <w:pStyle w:val="AERtabletextright"/>
            </w:pPr>
            <w:r w:rsidRPr="005658E4">
              <w:t>183.2</w:t>
            </w:r>
          </w:p>
        </w:tc>
        <w:tc>
          <w:tcPr>
            <w:tcW w:w="835" w:type="pct"/>
          </w:tcPr>
          <w:p w:rsidR="0088341A" w:rsidRPr="00DA706F" w:rsidRDefault="0088341A" w:rsidP="00DA706F">
            <w:pPr>
              <w:pStyle w:val="AERtabletextright"/>
            </w:pPr>
            <w:r w:rsidRPr="005658E4">
              <w:t>180.8</w:t>
            </w:r>
          </w:p>
        </w:tc>
        <w:tc>
          <w:tcPr>
            <w:tcW w:w="834" w:type="pct"/>
          </w:tcPr>
          <w:p w:rsidR="0088341A" w:rsidRPr="00DA706F" w:rsidRDefault="0088341A" w:rsidP="00DA706F">
            <w:pPr>
              <w:pStyle w:val="AERtabletextright"/>
            </w:pPr>
            <w:r w:rsidRPr="005658E4">
              <w:t>543.2</w:t>
            </w:r>
          </w:p>
        </w:tc>
      </w:tr>
      <w:tr w:rsidR="0088341A" w:rsidRPr="005658E4" w:rsidTr="00DA706F">
        <w:tc>
          <w:tcPr>
            <w:tcW w:w="1661" w:type="pct"/>
          </w:tcPr>
          <w:p w:rsidR="0088341A" w:rsidRPr="00D77DC9" w:rsidRDefault="0088341A" w:rsidP="00DA706F">
            <w:pPr>
              <w:pStyle w:val="AERtabletextleft"/>
              <w:rPr>
                <w:lang w:eastAsia="en-US"/>
              </w:rPr>
            </w:pPr>
            <w:r w:rsidRPr="005658E4">
              <w:t>Difference</w:t>
            </w:r>
          </w:p>
        </w:tc>
        <w:tc>
          <w:tcPr>
            <w:tcW w:w="835" w:type="pct"/>
          </w:tcPr>
          <w:p w:rsidR="0088341A" w:rsidRPr="00DA706F" w:rsidRDefault="0088341A" w:rsidP="00DA706F">
            <w:pPr>
              <w:pStyle w:val="AERtabletextright"/>
            </w:pPr>
            <w:r w:rsidRPr="005658E4">
              <w:t>-20.9</w:t>
            </w:r>
          </w:p>
        </w:tc>
        <w:tc>
          <w:tcPr>
            <w:tcW w:w="835" w:type="pct"/>
          </w:tcPr>
          <w:p w:rsidR="0088341A" w:rsidRPr="00DA706F" w:rsidRDefault="0088341A" w:rsidP="00DA706F">
            <w:pPr>
              <w:pStyle w:val="AERtabletextright"/>
            </w:pPr>
            <w:r w:rsidRPr="005658E4">
              <w:t>-22.6</w:t>
            </w:r>
          </w:p>
        </w:tc>
        <w:tc>
          <w:tcPr>
            <w:tcW w:w="835" w:type="pct"/>
          </w:tcPr>
          <w:p w:rsidR="0088341A" w:rsidRPr="00DA706F" w:rsidRDefault="0088341A" w:rsidP="00DA706F">
            <w:pPr>
              <w:pStyle w:val="AERtabletextright"/>
            </w:pPr>
            <w:r w:rsidRPr="005658E4">
              <w:t>-22.8</w:t>
            </w:r>
          </w:p>
        </w:tc>
        <w:tc>
          <w:tcPr>
            <w:tcW w:w="834" w:type="pct"/>
          </w:tcPr>
          <w:p w:rsidR="0088341A" w:rsidRPr="00DA706F" w:rsidRDefault="0088341A" w:rsidP="00DA706F">
            <w:pPr>
              <w:pStyle w:val="AERtabletextright"/>
            </w:pPr>
            <w:r w:rsidRPr="005658E4">
              <w:t>-64.0</w:t>
            </w:r>
          </w:p>
        </w:tc>
      </w:tr>
    </w:tbl>
    <w:p w:rsidR="00B22BC8" w:rsidRDefault="0088341A" w:rsidP="0088341A">
      <w:pPr>
        <w:pStyle w:val="AERtablesource"/>
        <w:keepNext/>
        <w:keepLines/>
      </w:pPr>
      <w:r>
        <w:t>Source:</w:t>
      </w:r>
      <w:r>
        <w:tab/>
      </w:r>
      <w:r w:rsidRPr="00A513E2">
        <w:t xml:space="preserve">SP AusNet, </w:t>
      </w:r>
      <w:r w:rsidRPr="00A513E2">
        <w:rPr>
          <w:rStyle w:val="AERtextitalic"/>
        </w:rPr>
        <w:t>Revenue proposal</w:t>
      </w:r>
      <w:r w:rsidRPr="00A513E2">
        <w:t>, Table 5.22 (excludes efficiency payments) p.149; AER analysis</w:t>
      </w:r>
    </w:p>
    <w:p w:rsidR="0088341A" w:rsidRPr="00A513E2" w:rsidRDefault="00B22BC8" w:rsidP="00B22BC8">
      <w:pPr>
        <w:pStyle w:val="AERtablesource"/>
        <w:keepNext/>
        <w:keepLines/>
      </w:pPr>
      <w:r>
        <w:t>Note:</w:t>
      </w:r>
      <w:r>
        <w:tab/>
        <w:t>*Excludes equity raising costs</w:t>
      </w:r>
      <w:r w:rsidRPr="00A513E2">
        <w:t xml:space="preserve"> (ERC)</w:t>
      </w:r>
      <w:r>
        <w:t xml:space="preserve"> (</w:t>
      </w:r>
      <w:r w:rsidR="00DA706F">
        <w:t>$</w:t>
      </w:r>
      <w:r>
        <w:t>3.4 million)</w:t>
      </w:r>
      <w:r w:rsidRPr="00A513E2">
        <w:t xml:space="preserve"> which </w:t>
      </w:r>
      <w:r>
        <w:t>we</w:t>
      </w:r>
      <w:r w:rsidRPr="00A513E2">
        <w:t xml:space="preserve"> capitalised and therefore removed from opex consideration.</w:t>
      </w:r>
      <w:r>
        <w:t xml:space="preserve"> </w:t>
      </w:r>
    </w:p>
    <w:p w:rsidR="0088341A" w:rsidRPr="00E57F1E" w:rsidRDefault="0088341A" w:rsidP="0088341A">
      <w:pPr>
        <w:pStyle w:val="AERbodytext"/>
        <w:numPr>
          <w:ilvl w:val="0"/>
          <w:numId w:val="1"/>
        </w:numPr>
      </w:pPr>
    </w:p>
    <w:p w:rsidR="0088341A" w:rsidRDefault="0088341A" w:rsidP="0088341A">
      <w:pPr>
        <w:pStyle w:val="Caption"/>
        <w:keepLines/>
      </w:pPr>
      <w:bookmarkStart w:id="85" w:name="_Ref362622507"/>
      <w:r>
        <w:lastRenderedPageBreak/>
        <w:t xml:space="preserve">Table </w:t>
      </w:r>
      <w:fldSimple w:instr=" STYLEREF 1 \s ">
        <w:r w:rsidR="004F35AA">
          <w:rPr>
            <w:noProof/>
          </w:rPr>
          <w:t>8</w:t>
        </w:r>
      </w:fldSimple>
      <w:r w:rsidR="00C56A87">
        <w:t>.</w:t>
      </w:r>
      <w:fldSimple w:instr=" SEQ Table \* ARABIC \s 1 ">
        <w:r w:rsidR="004F35AA">
          <w:rPr>
            <w:noProof/>
          </w:rPr>
          <w:t>2</w:t>
        </w:r>
      </w:fldSimple>
      <w:bookmarkEnd w:id="85"/>
      <w:r w:rsidRPr="00A513E2">
        <w:tab/>
        <w:t xml:space="preserve">AER's draft decision on total opex allowance by expenditure category ($ million, 2013–14) </w:t>
      </w:r>
    </w:p>
    <w:tbl>
      <w:tblPr>
        <w:tblW w:w="0" w:type="auto"/>
        <w:tblBorders>
          <w:bottom w:val="single" w:sz="4" w:space="0" w:color="365F91"/>
        </w:tblBorders>
        <w:tblLayout w:type="fixed"/>
        <w:tblLook w:val="04A0" w:firstRow="1" w:lastRow="0" w:firstColumn="1" w:lastColumn="0" w:noHBand="0" w:noVBand="1"/>
      </w:tblPr>
      <w:tblGrid>
        <w:gridCol w:w="3652"/>
        <w:gridCol w:w="972"/>
        <w:gridCol w:w="1539"/>
        <w:gridCol w:w="1539"/>
        <w:gridCol w:w="1540"/>
      </w:tblGrid>
      <w:tr w:rsidR="0088341A" w:rsidRPr="007C68C0" w:rsidTr="00501137">
        <w:tc>
          <w:tcPr>
            <w:tcW w:w="3652" w:type="dxa"/>
            <w:shd w:val="clear" w:color="auto" w:fill="365F91"/>
            <w:vAlign w:val="center"/>
          </w:tcPr>
          <w:p w:rsidR="0088341A" w:rsidRPr="007C68C0" w:rsidRDefault="0088341A" w:rsidP="00501137">
            <w:pPr>
              <w:pStyle w:val="AERtabletextleft"/>
              <w:keepNext/>
              <w:keepLines/>
              <w:rPr>
                <w:b/>
                <w:color w:val="FFFFFF"/>
              </w:rPr>
            </w:pPr>
            <w:r w:rsidRPr="007C68C0">
              <w:rPr>
                <w:b/>
                <w:color w:val="FFFFFF"/>
              </w:rPr>
              <w:t>Year ending 31 March</w:t>
            </w:r>
          </w:p>
        </w:tc>
        <w:tc>
          <w:tcPr>
            <w:tcW w:w="972" w:type="dxa"/>
            <w:shd w:val="clear" w:color="auto" w:fill="365F91"/>
            <w:vAlign w:val="center"/>
          </w:tcPr>
          <w:p w:rsidR="0088341A" w:rsidRPr="007C68C0" w:rsidRDefault="0088341A" w:rsidP="00501137">
            <w:pPr>
              <w:pStyle w:val="AERtabletextright"/>
              <w:keepNext/>
              <w:keepLines/>
              <w:rPr>
                <w:b/>
                <w:color w:val="FFFFFF"/>
              </w:rPr>
            </w:pPr>
            <w:r w:rsidRPr="007C68C0">
              <w:rPr>
                <w:b/>
                <w:color w:val="FFFFFF"/>
              </w:rPr>
              <w:t>2014–15</w:t>
            </w:r>
          </w:p>
        </w:tc>
        <w:tc>
          <w:tcPr>
            <w:tcW w:w="1539" w:type="dxa"/>
            <w:shd w:val="clear" w:color="auto" w:fill="365F91"/>
            <w:vAlign w:val="center"/>
          </w:tcPr>
          <w:p w:rsidR="0088341A" w:rsidRPr="007C68C0" w:rsidRDefault="0088341A" w:rsidP="00501137">
            <w:pPr>
              <w:pStyle w:val="AERtabletextright"/>
              <w:keepNext/>
              <w:keepLines/>
              <w:rPr>
                <w:b/>
                <w:color w:val="FFFFFF"/>
              </w:rPr>
            </w:pPr>
            <w:r w:rsidRPr="007C68C0">
              <w:rPr>
                <w:b/>
                <w:color w:val="FFFFFF"/>
              </w:rPr>
              <w:t>2015–16</w:t>
            </w:r>
          </w:p>
        </w:tc>
        <w:tc>
          <w:tcPr>
            <w:tcW w:w="1539" w:type="dxa"/>
            <w:shd w:val="clear" w:color="auto" w:fill="365F91"/>
            <w:vAlign w:val="center"/>
          </w:tcPr>
          <w:p w:rsidR="0088341A" w:rsidRPr="007C68C0" w:rsidRDefault="0088341A" w:rsidP="00501137">
            <w:pPr>
              <w:pStyle w:val="AERtabletextright"/>
              <w:keepNext/>
              <w:keepLines/>
              <w:rPr>
                <w:b/>
                <w:color w:val="FFFFFF"/>
              </w:rPr>
            </w:pPr>
            <w:r w:rsidRPr="007C68C0">
              <w:rPr>
                <w:b/>
                <w:color w:val="FFFFFF"/>
              </w:rPr>
              <w:t>2016–17</w:t>
            </w:r>
          </w:p>
        </w:tc>
        <w:tc>
          <w:tcPr>
            <w:tcW w:w="1540" w:type="dxa"/>
            <w:shd w:val="clear" w:color="auto" w:fill="365F91"/>
            <w:vAlign w:val="center"/>
          </w:tcPr>
          <w:p w:rsidR="0088341A" w:rsidRPr="007C68C0" w:rsidRDefault="0088341A" w:rsidP="00501137">
            <w:pPr>
              <w:pStyle w:val="AERtabletextright"/>
              <w:keepNext/>
              <w:keepLines/>
              <w:rPr>
                <w:b/>
                <w:color w:val="FFFFFF"/>
              </w:rPr>
            </w:pPr>
            <w:r w:rsidRPr="007C68C0">
              <w:rPr>
                <w:b/>
                <w:color w:val="FFFFFF"/>
              </w:rPr>
              <w:t>Total</w:t>
            </w:r>
          </w:p>
        </w:tc>
      </w:tr>
      <w:tr w:rsidR="0088341A" w:rsidRPr="007C68C0" w:rsidTr="00501137">
        <w:tc>
          <w:tcPr>
            <w:tcW w:w="3652" w:type="dxa"/>
            <w:shd w:val="clear" w:color="auto" w:fill="auto"/>
            <w:vAlign w:val="center"/>
          </w:tcPr>
          <w:p w:rsidR="0088341A" w:rsidRPr="00FE330F" w:rsidRDefault="0088341A" w:rsidP="00501137">
            <w:pPr>
              <w:pStyle w:val="AERtabletextleft"/>
              <w:keepNext/>
              <w:keepLines/>
            </w:pPr>
            <w:r w:rsidRPr="00FE330F">
              <w:t>Base year opex</w:t>
            </w:r>
          </w:p>
        </w:tc>
        <w:tc>
          <w:tcPr>
            <w:tcW w:w="972" w:type="dxa"/>
            <w:shd w:val="clear" w:color="auto" w:fill="auto"/>
            <w:vAlign w:val="center"/>
          </w:tcPr>
          <w:p w:rsidR="0088341A" w:rsidRPr="00FE330F" w:rsidRDefault="0088341A" w:rsidP="00501137">
            <w:pPr>
              <w:pStyle w:val="AERtabletextright"/>
              <w:keepNext/>
              <w:keepLines/>
            </w:pPr>
            <w:r w:rsidRPr="00FE330F">
              <w:t>71.6</w:t>
            </w:r>
          </w:p>
        </w:tc>
        <w:tc>
          <w:tcPr>
            <w:tcW w:w="1539" w:type="dxa"/>
            <w:shd w:val="clear" w:color="auto" w:fill="auto"/>
            <w:vAlign w:val="center"/>
          </w:tcPr>
          <w:p w:rsidR="0088341A" w:rsidRPr="00FE330F" w:rsidRDefault="0088341A" w:rsidP="00501137">
            <w:pPr>
              <w:pStyle w:val="AERtabletextright"/>
              <w:keepNext/>
              <w:keepLines/>
            </w:pPr>
            <w:r w:rsidRPr="00FE330F">
              <w:t>71.6</w:t>
            </w:r>
          </w:p>
        </w:tc>
        <w:tc>
          <w:tcPr>
            <w:tcW w:w="1539" w:type="dxa"/>
            <w:shd w:val="clear" w:color="auto" w:fill="auto"/>
            <w:vAlign w:val="center"/>
          </w:tcPr>
          <w:p w:rsidR="0088341A" w:rsidRPr="00FE330F" w:rsidRDefault="0088341A" w:rsidP="00501137">
            <w:pPr>
              <w:pStyle w:val="AERtabletextright"/>
              <w:keepNext/>
              <w:keepLines/>
            </w:pPr>
            <w:r w:rsidRPr="00FE330F">
              <w:t>71.6</w:t>
            </w:r>
          </w:p>
        </w:tc>
        <w:tc>
          <w:tcPr>
            <w:tcW w:w="1540" w:type="dxa"/>
            <w:shd w:val="clear" w:color="auto" w:fill="auto"/>
            <w:vAlign w:val="center"/>
          </w:tcPr>
          <w:p w:rsidR="0088341A" w:rsidRPr="00FE330F" w:rsidRDefault="0088341A" w:rsidP="00501137">
            <w:pPr>
              <w:pStyle w:val="AERtabletextright"/>
              <w:keepNext/>
              <w:keepLines/>
            </w:pPr>
            <w:r w:rsidRPr="00FE330F">
              <w:t>214.7</w:t>
            </w:r>
          </w:p>
        </w:tc>
      </w:tr>
      <w:tr w:rsidR="0088341A" w:rsidRPr="007C68C0" w:rsidTr="00501137">
        <w:tc>
          <w:tcPr>
            <w:tcW w:w="3652" w:type="dxa"/>
            <w:shd w:val="clear" w:color="auto" w:fill="DBE5F1"/>
            <w:vAlign w:val="center"/>
          </w:tcPr>
          <w:p w:rsidR="0088341A" w:rsidRPr="00FE330F" w:rsidRDefault="0088341A" w:rsidP="00501137">
            <w:pPr>
              <w:pStyle w:val="AERtabletextleft"/>
              <w:keepNext/>
              <w:keepLines/>
            </w:pPr>
            <w:r w:rsidRPr="00FE330F">
              <w:t>Network growth</w:t>
            </w:r>
          </w:p>
        </w:tc>
        <w:tc>
          <w:tcPr>
            <w:tcW w:w="972" w:type="dxa"/>
            <w:shd w:val="clear" w:color="auto" w:fill="DBE5F1"/>
            <w:vAlign w:val="center"/>
          </w:tcPr>
          <w:p w:rsidR="0088341A" w:rsidRPr="00FE330F" w:rsidRDefault="0088341A" w:rsidP="00501137">
            <w:pPr>
              <w:pStyle w:val="AERtabletextright"/>
              <w:keepNext/>
              <w:keepLines/>
            </w:pPr>
            <w:r w:rsidRPr="00FE330F">
              <w:t>1.1</w:t>
            </w:r>
          </w:p>
        </w:tc>
        <w:tc>
          <w:tcPr>
            <w:tcW w:w="1539" w:type="dxa"/>
            <w:shd w:val="clear" w:color="auto" w:fill="DBE5F1"/>
            <w:vAlign w:val="center"/>
          </w:tcPr>
          <w:p w:rsidR="0088341A" w:rsidRPr="00FE330F" w:rsidRDefault="0088341A" w:rsidP="00501137">
            <w:pPr>
              <w:pStyle w:val="AERtabletextright"/>
              <w:keepNext/>
              <w:keepLines/>
            </w:pPr>
            <w:r w:rsidRPr="00FE330F">
              <w:t>1.1</w:t>
            </w:r>
          </w:p>
        </w:tc>
        <w:tc>
          <w:tcPr>
            <w:tcW w:w="1539" w:type="dxa"/>
            <w:shd w:val="clear" w:color="auto" w:fill="DBE5F1"/>
            <w:vAlign w:val="center"/>
          </w:tcPr>
          <w:p w:rsidR="0088341A" w:rsidRPr="00FE330F" w:rsidRDefault="0088341A" w:rsidP="00501137">
            <w:pPr>
              <w:pStyle w:val="AERtabletextright"/>
              <w:keepNext/>
              <w:keepLines/>
            </w:pPr>
            <w:r w:rsidRPr="00FE330F">
              <w:t>1.1</w:t>
            </w:r>
          </w:p>
        </w:tc>
        <w:tc>
          <w:tcPr>
            <w:tcW w:w="1540" w:type="dxa"/>
            <w:shd w:val="clear" w:color="auto" w:fill="DBE5F1"/>
            <w:vAlign w:val="center"/>
          </w:tcPr>
          <w:p w:rsidR="0088341A" w:rsidRPr="00FE330F" w:rsidRDefault="0088341A" w:rsidP="00501137">
            <w:pPr>
              <w:pStyle w:val="AERtabletextright"/>
              <w:keepNext/>
              <w:keepLines/>
            </w:pPr>
            <w:r w:rsidRPr="00FE330F">
              <w:t>3.4</w:t>
            </w:r>
          </w:p>
        </w:tc>
      </w:tr>
      <w:tr w:rsidR="0088341A" w:rsidRPr="007C68C0" w:rsidTr="00501137">
        <w:tc>
          <w:tcPr>
            <w:tcW w:w="3652" w:type="dxa"/>
            <w:shd w:val="clear" w:color="auto" w:fill="auto"/>
            <w:vAlign w:val="center"/>
          </w:tcPr>
          <w:p w:rsidR="0088341A" w:rsidRPr="00FE330F" w:rsidRDefault="0088341A" w:rsidP="00501137">
            <w:pPr>
              <w:pStyle w:val="AERtabletextleft"/>
              <w:keepNext/>
              <w:keepLines/>
            </w:pPr>
            <w:r w:rsidRPr="00FE330F">
              <w:t>Labour escalation</w:t>
            </w:r>
          </w:p>
        </w:tc>
        <w:tc>
          <w:tcPr>
            <w:tcW w:w="972" w:type="dxa"/>
            <w:shd w:val="clear" w:color="auto" w:fill="auto"/>
            <w:vAlign w:val="center"/>
          </w:tcPr>
          <w:p w:rsidR="0088341A" w:rsidRPr="00FE330F" w:rsidRDefault="0088341A" w:rsidP="00501137">
            <w:pPr>
              <w:pStyle w:val="AERtabletextright"/>
              <w:keepNext/>
              <w:keepLines/>
            </w:pPr>
            <w:r w:rsidRPr="00FE330F">
              <w:t>2.5</w:t>
            </w:r>
          </w:p>
        </w:tc>
        <w:tc>
          <w:tcPr>
            <w:tcW w:w="1539" w:type="dxa"/>
            <w:shd w:val="clear" w:color="auto" w:fill="auto"/>
            <w:vAlign w:val="center"/>
          </w:tcPr>
          <w:p w:rsidR="0088341A" w:rsidRPr="00FE330F" w:rsidRDefault="0088341A" w:rsidP="00501137">
            <w:pPr>
              <w:pStyle w:val="AERtabletextright"/>
              <w:keepNext/>
              <w:keepLines/>
            </w:pPr>
            <w:r w:rsidRPr="00FE330F">
              <w:t>2.9</w:t>
            </w:r>
          </w:p>
        </w:tc>
        <w:tc>
          <w:tcPr>
            <w:tcW w:w="1539" w:type="dxa"/>
            <w:shd w:val="clear" w:color="auto" w:fill="auto"/>
            <w:vAlign w:val="center"/>
          </w:tcPr>
          <w:p w:rsidR="0088341A" w:rsidRPr="00FE330F" w:rsidRDefault="0088341A" w:rsidP="00501137">
            <w:pPr>
              <w:pStyle w:val="AERtabletextright"/>
              <w:keepNext/>
              <w:keepLines/>
            </w:pPr>
            <w:r w:rsidRPr="00FE330F">
              <w:t>3.3</w:t>
            </w:r>
          </w:p>
        </w:tc>
        <w:tc>
          <w:tcPr>
            <w:tcW w:w="1540" w:type="dxa"/>
            <w:shd w:val="clear" w:color="auto" w:fill="auto"/>
            <w:vAlign w:val="center"/>
          </w:tcPr>
          <w:p w:rsidR="0088341A" w:rsidRPr="00FE330F" w:rsidRDefault="00021A41" w:rsidP="00501137">
            <w:pPr>
              <w:pStyle w:val="AERtabletextright"/>
              <w:keepNext/>
              <w:keepLines/>
            </w:pPr>
            <w:r>
              <w:t>8.8</w:t>
            </w:r>
          </w:p>
        </w:tc>
      </w:tr>
      <w:tr w:rsidR="0088341A" w:rsidRPr="007C68C0" w:rsidTr="00501137">
        <w:tc>
          <w:tcPr>
            <w:tcW w:w="3652" w:type="dxa"/>
            <w:shd w:val="clear" w:color="auto" w:fill="DBE5F1"/>
            <w:vAlign w:val="center"/>
          </w:tcPr>
          <w:p w:rsidR="0088341A" w:rsidRPr="00FE330F" w:rsidRDefault="0088341A" w:rsidP="00501137">
            <w:pPr>
              <w:pStyle w:val="AERtabletextleft"/>
              <w:keepNext/>
              <w:keepLines/>
            </w:pPr>
            <w:r w:rsidRPr="00FE330F">
              <w:t>Step changes</w:t>
            </w:r>
          </w:p>
        </w:tc>
        <w:tc>
          <w:tcPr>
            <w:tcW w:w="972" w:type="dxa"/>
            <w:shd w:val="clear" w:color="auto" w:fill="DBE5F1"/>
            <w:vAlign w:val="center"/>
          </w:tcPr>
          <w:p w:rsidR="0088341A" w:rsidRPr="00FE330F" w:rsidRDefault="0088341A" w:rsidP="00501137">
            <w:pPr>
              <w:pStyle w:val="AERtabletextright"/>
              <w:keepNext/>
              <w:keepLines/>
            </w:pPr>
            <w:r w:rsidRPr="00FE330F">
              <w:t>-0.1</w:t>
            </w:r>
          </w:p>
        </w:tc>
        <w:tc>
          <w:tcPr>
            <w:tcW w:w="1539" w:type="dxa"/>
            <w:shd w:val="clear" w:color="auto" w:fill="DBE5F1"/>
            <w:vAlign w:val="center"/>
          </w:tcPr>
          <w:p w:rsidR="0088341A" w:rsidRPr="00FE330F" w:rsidRDefault="0088341A" w:rsidP="00501137">
            <w:pPr>
              <w:pStyle w:val="AERtabletextright"/>
              <w:keepNext/>
              <w:keepLines/>
            </w:pPr>
            <w:r w:rsidRPr="00FE330F">
              <w:t>1.0</w:t>
            </w:r>
          </w:p>
        </w:tc>
        <w:tc>
          <w:tcPr>
            <w:tcW w:w="1539" w:type="dxa"/>
            <w:shd w:val="clear" w:color="auto" w:fill="DBE5F1"/>
            <w:vAlign w:val="center"/>
          </w:tcPr>
          <w:p w:rsidR="0088341A" w:rsidRPr="00FE330F" w:rsidRDefault="0088341A" w:rsidP="00501137">
            <w:pPr>
              <w:pStyle w:val="AERtabletextright"/>
              <w:keepNext/>
              <w:keepLines/>
            </w:pPr>
            <w:r w:rsidRPr="00FE330F">
              <w:t>0.7</w:t>
            </w:r>
          </w:p>
        </w:tc>
        <w:tc>
          <w:tcPr>
            <w:tcW w:w="1540" w:type="dxa"/>
            <w:shd w:val="clear" w:color="auto" w:fill="DBE5F1"/>
            <w:vAlign w:val="center"/>
          </w:tcPr>
          <w:p w:rsidR="0088341A" w:rsidRPr="00FE330F" w:rsidRDefault="00021A41" w:rsidP="00501137">
            <w:pPr>
              <w:pStyle w:val="AERtabletextright"/>
              <w:keepNext/>
              <w:keepLines/>
            </w:pPr>
            <w:r>
              <w:t>1.6</w:t>
            </w:r>
          </w:p>
        </w:tc>
      </w:tr>
      <w:tr w:rsidR="0088341A" w:rsidRPr="00B40A06" w:rsidTr="00501137">
        <w:tc>
          <w:tcPr>
            <w:tcW w:w="3652" w:type="dxa"/>
            <w:shd w:val="clear" w:color="auto" w:fill="auto"/>
            <w:vAlign w:val="center"/>
          </w:tcPr>
          <w:p w:rsidR="0088341A" w:rsidRPr="00FE330F" w:rsidRDefault="0088341A" w:rsidP="00501137">
            <w:pPr>
              <w:pStyle w:val="AERtabletextleft"/>
              <w:keepNext/>
              <w:keepLines/>
              <w:rPr>
                <w:rStyle w:val="AERtextbold"/>
              </w:rPr>
            </w:pPr>
            <w:r w:rsidRPr="00FE330F">
              <w:rPr>
                <w:rStyle w:val="AERtextbold"/>
              </w:rPr>
              <w:t>Total controllable opex</w:t>
            </w:r>
          </w:p>
        </w:tc>
        <w:tc>
          <w:tcPr>
            <w:tcW w:w="972" w:type="dxa"/>
            <w:shd w:val="clear" w:color="auto" w:fill="auto"/>
            <w:vAlign w:val="center"/>
          </w:tcPr>
          <w:p w:rsidR="0088341A" w:rsidRPr="00FE330F" w:rsidRDefault="0088341A" w:rsidP="00501137">
            <w:pPr>
              <w:pStyle w:val="AERtabletextright"/>
              <w:keepNext/>
              <w:keepLines/>
              <w:rPr>
                <w:rStyle w:val="AERtextbold"/>
              </w:rPr>
            </w:pPr>
            <w:r w:rsidRPr="00FE330F">
              <w:rPr>
                <w:rStyle w:val="AERtextbold"/>
              </w:rPr>
              <w:t>75.1</w:t>
            </w:r>
          </w:p>
        </w:tc>
        <w:tc>
          <w:tcPr>
            <w:tcW w:w="1539" w:type="dxa"/>
            <w:shd w:val="clear" w:color="auto" w:fill="auto"/>
            <w:vAlign w:val="center"/>
          </w:tcPr>
          <w:p w:rsidR="0088341A" w:rsidRPr="00FE330F" w:rsidRDefault="0088341A" w:rsidP="00501137">
            <w:pPr>
              <w:pStyle w:val="AERtabletextright"/>
              <w:keepNext/>
              <w:keepLines/>
              <w:rPr>
                <w:rStyle w:val="AERtextbold"/>
              </w:rPr>
            </w:pPr>
            <w:r w:rsidRPr="00FE330F">
              <w:rPr>
                <w:rStyle w:val="AERtextbold"/>
              </w:rPr>
              <w:t>76.6</w:t>
            </w:r>
          </w:p>
        </w:tc>
        <w:tc>
          <w:tcPr>
            <w:tcW w:w="1539" w:type="dxa"/>
            <w:shd w:val="clear" w:color="auto" w:fill="auto"/>
            <w:vAlign w:val="center"/>
          </w:tcPr>
          <w:p w:rsidR="0088341A" w:rsidRPr="00FE330F" w:rsidRDefault="0088341A" w:rsidP="00501137">
            <w:pPr>
              <w:pStyle w:val="AERtabletextright"/>
              <w:keepNext/>
              <w:keepLines/>
              <w:rPr>
                <w:rStyle w:val="AERtextbold"/>
              </w:rPr>
            </w:pPr>
            <w:r w:rsidRPr="00FE330F">
              <w:rPr>
                <w:rStyle w:val="AERtextbold"/>
              </w:rPr>
              <w:t>76.7</w:t>
            </w:r>
          </w:p>
        </w:tc>
        <w:tc>
          <w:tcPr>
            <w:tcW w:w="1540" w:type="dxa"/>
            <w:shd w:val="clear" w:color="auto" w:fill="auto"/>
            <w:vAlign w:val="center"/>
          </w:tcPr>
          <w:p w:rsidR="0088341A" w:rsidRPr="00FE330F" w:rsidRDefault="0088341A" w:rsidP="00501137">
            <w:pPr>
              <w:pStyle w:val="AERtabletextright"/>
              <w:keepNext/>
              <w:keepLines/>
              <w:rPr>
                <w:rStyle w:val="AERtextbold"/>
              </w:rPr>
            </w:pPr>
            <w:r w:rsidRPr="00FE330F">
              <w:rPr>
                <w:rStyle w:val="AERtextbold"/>
              </w:rPr>
              <w:t>228.5</w:t>
            </w:r>
          </w:p>
        </w:tc>
      </w:tr>
      <w:tr w:rsidR="0088341A" w:rsidRPr="007C68C0" w:rsidTr="00501137">
        <w:tc>
          <w:tcPr>
            <w:tcW w:w="3652" w:type="dxa"/>
            <w:shd w:val="clear" w:color="auto" w:fill="DBE5F1"/>
            <w:vAlign w:val="center"/>
          </w:tcPr>
          <w:p w:rsidR="0088341A" w:rsidRPr="00FE330F" w:rsidRDefault="0088341A" w:rsidP="00501137">
            <w:pPr>
              <w:pStyle w:val="AERtabletextleft"/>
              <w:keepNext/>
              <w:keepLines/>
            </w:pPr>
            <w:r w:rsidRPr="00FE330F">
              <w:t>Self-insurance</w:t>
            </w:r>
          </w:p>
        </w:tc>
        <w:tc>
          <w:tcPr>
            <w:tcW w:w="972" w:type="dxa"/>
            <w:shd w:val="clear" w:color="auto" w:fill="DBE5F1"/>
            <w:vAlign w:val="center"/>
          </w:tcPr>
          <w:p w:rsidR="0088341A" w:rsidRPr="00FE330F" w:rsidRDefault="0088341A" w:rsidP="00501137">
            <w:pPr>
              <w:pStyle w:val="AERtabletextright"/>
              <w:keepNext/>
              <w:keepLines/>
            </w:pPr>
            <w:r w:rsidRPr="00FE330F">
              <w:t>1.7</w:t>
            </w:r>
          </w:p>
        </w:tc>
        <w:tc>
          <w:tcPr>
            <w:tcW w:w="1539" w:type="dxa"/>
            <w:shd w:val="clear" w:color="auto" w:fill="DBE5F1"/>
            <w:vAlign w:val="center"/>
          </w:tcPr>
          <w:p w:rsidR="0088341A" w:rsidRPr="00FE330F" w:rsidRDefault="0088341A" w:rsidP="00501137">
            <w:pPr>
              <w:pStyle w:val="AERtabletextright"/>
              <w:keepNext/>
              <w:keepLines/>
            </w:pPr>
            <w:r w:rsidRPr="00FE330F">
              <w:t>1.7</w:t>
            </w:r>
          </w:p>
        </w:tc>
        <w:tc>
          <w:tcPr>
            <w:tcW w:w="1539" w:type="dxa"/>
            <w:shd w:val="clear" w:color="auto" w:fill="DBE5F1"/>
            <w:vAlign w:val="center"/>
          </w:tcPr>
          <w:p w:rsidR="0088341A" w:rsidRPr="00FE330F" w:rsidRDefault="0088341A" w:rsidP="00501137">
            <w:pPr>
              <w:pStyle w:val="AERtabletextright"/>
              <w:keepNext/>
              <w:keepLines/>
            </w:pPr>
            <w:r w:rsidRPr="00FE330F">
              <w:t>1.6</w:t>
            </w:r>
          </w:p>
        </w:tc>
        <w:tc>
          <w:tcPr>
            <w:tcW w:w="1540" w:type="dxa"/>
            <w:shd w:val="clear" w:color="auto" w:fill="DBE5F1"/>
            <w:vAlign w:val="center"/>
          </w:tcPr>
          <w:p w:rsidR="0088341A" w:rsidRPr="00FE330F" w:rsidRDefault="0088341A" w:rsidP="00501137">
            <w:pPr>
              <w:pStyle w:val="AERtabletextright"/>
              <w:keepNext/>
              <w:keepLines/>
            </w:pPr>
            <w:r w:rsidRPr="00FE330F">
              <w:t>5.0</w:t>
            </w:r>
          </w:p>
        </w:tc>
      </w:tr>
      <w:tr w:rsidR="0088341A" w:rsidRPr="007C68C0" w:rsidTr="00501137">
        <w:tc>
          <w:tcPr>
            <w:tcW w:w="3652" w:type="dxa"/>
            <w:shd w:val="clear" w:color="auto" w:fill="auto"/>
            <w:vAlign w:val="center"/>
          </w:tcPr>
          <w:p w:rsidR="0088341A" w:rsidRPr="00FE330F" w:rsidRDefault="0088341A" w:rsidP="00501137">
            <w:pPr>
              <w:pStyle w:val="AERtabletextleft"/>
              <w:keepNext/>
              <w:keepLines/>
            </w:pPr>
            <w:r w:rsidRPr="00FE330F">
              <w:t>Debt raising costs</w:t>
            </w:r>
          </w:p>
        </w:tc>
        <w:tc>
          <w:tcPr>
            <w:tcW w:w="972" w:type="dxa"/>
            <w:shd w:val="clear" w:color="auto" w:fill="auto"/>
            <w:vAlign w:val="center"/>
          </w:tcPr>
          <w:p w:rsidR="0088341A" w:rsidRPr="00FE330F" w:rsidRDefault="0088341A" w:rsidP="00501137">
            <w:pPr>
              <w:pStyle w:val="AERtabletextright"/>
              <w:keepNext/>
              <w:keepLines/>
            </w:pPr>
            <w:r w:rsidRPr="00FE330F">
              <w:t>1.5</w:t>
            </w:r>
          </w:p>
        </w:tc>
        <w:tc>
          <w:tcPr>
            <w:tcW w:w="1539" w:type="dxa"/>
            <w:shd w:val="clear" w:color="auto" w:fill="auto"/>
            <w:vAlign w:val="center"/>
          </w:tcPr>
          <w:p w:rsidR="0088341A" w:rsidRPr="00FE330F" w:rsidRDefault="0088341A" w:rsidP="00501137">
            <w:pPr>
              <w:pStyle w:val="AERtabletextright"/>
              <w:keepNext/>
              <w:keepLines/>
            </w:pPr>
            <w:r w:rsidRPr="00FE330F">
              <w:t>1.5</w:t>
            </w:r>
          </w:p>
        </w:tc>
        <w:tc>
          <w:tcPr>
            <w:tcW w:w="1539" w:type="dxa"/>
            <w:shd w:val="clear" w:color="auto" w:fill="auto"/>
            <w:vAlign w:val="center"/>
          </w:tcPr>
          <w:p w:rsidR="0088341A" w:rsidRPr="00FE330F" w:rsidRDefault="0088341A" w:rsidP="00501137">
            <w:pPr>
              <w:pStyle w:val="AERtabletextright"/>
              <w:keepNext/>
              <w:keepLines/>
            </w:pPr>
            <w:r w:rsidRPr="00FE330F">
              <w:t>1.5</w:t>
            </w:r>
          </w:p>
        </w:tc>
        <w:tc>
          <w:tcPr>
            <w:tcW w:w="1540" w:type="dxa"/>
            <w:shd w:val="clear" w:color="auto" w:fill="auto"/>
            <w:vAlign w:val="center"/>
          </w:tcPr>
          <w:p w:rsidR="0088341A" w:rsidRPr="00FE330F" w:rsidRDefault="0088341A" w:rsidP="00501137">
            <w:pPr>
              <w:pStyle w:val="AERtabletextright"/>
              <w:keepNext/>
              <w:keepLines/>
            </w:pPr>
            <w:r w:rsidRPr="00FE330F">
              <w:t>4.5</w:t>
            </w:r>
          </w:p>
        </w:tc>
      </w:tr>
      <w:tr w:rsidR="0088341A" w:rsidRPr="007C68C0" w:rsidTr="00501137">
        <w:tc>
          <w:tcPr>
            <w:tcW w:w="3652" w:type="dxa"/>
            <w:shd w:val="clear" w:color="auto" w:fill="DBE5F1"/>
            <w:vAlign w:val="center"/>
          </w:tcPr>
          <w:p w:rsidR="0088341A" w:rsidRPr="00FE330F" w:rsidRDefault="0088341A" w:rsidP="00501137">
            <w:pPr>
              <w:pStyle w:val="AERtabletextleft"/>
              <w:keepNext/>
              <w:keepLines/>
            </w:pPr>
            <w:r w:rsidRPr="00FE330F">
              <w:t>Equity raising costs</w:t>
            </w:r>
            <w:r>
              <w:rPr>
                <w:rFonts w:cs="Gautami"/>
              </w:rPr>
              <w:t>*</w:t>
            </w:r>
          </w:p>
        </w:tc>
        <w:tc>
          <w:tcPr>
            <w:tcW w:w="972" w:type="dxa"/>
            <w:shd w:val="clear" w:color="auto" w:fill="DBE5F1"/>
            <w:vAlign w:val="center"/>
          </w:tcPr>
          <w:p w:rsidR="0088341A" w:rsidRPr="00FE330F" w:rsidRDefault="0088341A" w:rsidP="00501137">
            <w:pPr>
              <w:pStyle w:val="AERtabletextright"/>
              <w:keepNext/>
              <w:keepLines/>
            </w:pPr>
            <w:r w:rsidRPr="00FE330F">
              <w:t>0.0</w:t>
            </w:r>
          </w:p>
        </w:tc>
        <w:tc>
          <w:tcPr>
            <w:tcW w:w="1539" w:type="dxa"/>
            <w:shd w:val="clear" w:color="auto" w:fill="DBE5F1"/>
            <w:vAlign w:val="center"/>
          </w:tcPr>
          <w:p w:rsidR="0088341A" w:rsidRPr="00FE330F" w:rsidRDefault="0088341A" w:rsidP="00501137">
            <w:pPr>
              <w:pStyle w:val="AERtabletextright"/>
              <w:keepNext/>
              <w:keepLines/>
            </w:pPr>
            <w:r w:rsidRPr="00FE330F">
              <w:t>0.0</w:t>
            </w:r>
          </w:p>
        </w:tc>
        <w:tc>
          <w:tcPr>
            <w:tcW w:w="1539" w:type="dxa"/>
            <w:shd w:val="clear" w:color="auto" w:fill="DBE5F1"/>
            <w:vAlign w:val="center"/>
          </w:tcPr>
          <w:p w:rsidR="0088341A" w:rsidRPr="00FE330F" w:rsidRDefault="0088341A" w:rsidP="00501137">
            <w:pPr>
              <w:pStyle w:val="AERtabletextright"/>
              <w:keepNext/>
              <w:keepLines/>
            </w:pPr>
            <w:r w:rsidRPr="00FE330F">
              <w:t>0.0</w:t>
            </w:r>
          </w:p>
        </w:tc>
        <w:tc>
          <w:tcPr>
            <w:tcW w:w="1540" w:type="dxa"/>
            <w:shd w:val="clear" w:color="auto" w:fill="DBE5F1"/>
            <w:vAlign w:val="center"/>
          </w:tcPr>
          <w:p w:rsidR="0088341A" w:rsidRPr="00FE330F" w:rsidRDefault="0088341A" w:rsidP="00501137">
            <w:pPr>
              <w:pStyle w:val="AERtabletextright"/>
              <w:keepNext/>
              <w:keepLines/>
            </w:pPr>
            <w:r w:rsidRPr="00FE330F">
              <w:t>0.0</w:t>
            </w:r>
          </w:p>
        </w:tc>
      </w:tr>
      <w:tr w:rsidR="0088341A" w:rsidRPr="007C68C0" w:rsidTr="00501137">
        <w:tc>
          <w:tcPr>
            <w:tcW w:w="3652" w:type="dxa"/>
            <w:shd w:val="clear" w:color="auto" w:fill="auto"/>
            <w:vAlign w:val="center"/>
          </w:tcPr>
          <w:p w:rsidR="0088341A" w:rsidRPr="00FE330F" w:rsidRDefault="0088341A" w:rsidP="00501137">
            <w:pPr>
              <w:pStyle w:val="AERtabletextleft"/>
              <w:keepNext/>
              <w:keepLines/>
            </w:pPr>
            <w:r w:rsidRPr="00FE330F">
              <w:t xml:space="preserve">Availability Incentive Scheme rebates </w:t>
            </w:r>
          </w:p>
        </w:tc>
        <w:tc>
          <w:tcPr>
            <w:tcW w:w="972" w:type="dxa"/>
            <w:shd w:val="clear" w:color="auto" w:fill="auto"/>
            <w:vAlign w:val="center"/>
          </w:tcPr>
          <w:p w:rsidR="0088341A" w:rsidRPr="00FE330F" w:rsidRDefault="0088341A" w:rsidP="00501137">
            <w:pPr>
              <w:pStyle w:val="AERtabletextright"/>
              <w:keepNext/>
              <w:keepLines/>
            </w:pPr>
            <w:r w:rsidRPr="00FE330F">
              <w:t>0.0</w:t>
            </w:r>
          </w:p>
        </w:tc>
        <w:tc>
          <w:tcPr>
            <w:tcW w:w="1539" w:type="dxa"/>
            <w:shd w:val="clear" w:color="auto" w:fill="auto"/>
            <w:vAlign w:val="center"/>
          </w:tcPr>
          <w:p w:rsidR="0088341A" w:rsidRPr="00FE330F" w:rsidRDefault="0088341A" w:rsidP="00501137">
            <w:pPr>
              <w:pStyle w:val="AERtabletextright"/>
              <w:keepNext/>
              <w:keepLines/>
            </w:pPr>
            <w:r w:rsidRPr="00FE330F">
              <w:t>0.0</w:t>
            </w:r>
          </w:p>
        </w:tc>
        <w:tc>
          <w:tcPr>
            <w:tcW w:w="1539" w:type="dxa"/>
            <w:shd w:val="clear" w:color="auto" w:fill="auto"/>
            <w:vAlign w:val="center"/>
          </w:tcPr>
          <w:p w:rsidR="0088341A" w:rsidRPr="00FE330F" w:rsidRDefault="0088341A" w:rsidP="00501137">
            <w:pPr>
              <w:pStyle w:val="AERtabletextright"/>
              <w:keepNext/>
              <w:keepLines/>
            </w:pPr>
            <w:r w:rsidRPr="00FE330F">
              <w:t>0.0</w:t>
            </w:r>
          </w:p>
        </w:tc>
        <w:tc>
          <w:tcPr>
            <w:tcW w:w="1540" w:type="dxa"/>
            <w:shd w:val="clear" w:color="auto" w:fill="auto"/>
            <w:vAlign w:val="center"/>
          </w:tcPr>
          <w:p w:rsidR="0088341A" w:rsidRPr="00FE330F" w:rsidRDefault="0088341A" w:rsidP="00501137">
            <w:pPr>
              <w:pStyle w:val="AERtabletextright"/>
              <w:keepNext/>
              <w:keepLines/>
            </w:pPr>
            <w:r w:rsidRPr="00FE330F">
              <w:t>0.0</w:t>
            </w:r>
          </w:p>
        </w:tc>
      </w:tr>
      <w:tr w:rsidR="0088341A" w:rsidRPr="007C68C0" w:rsidTr="00501137">
        <w:tc>
          <w:tcPr>
            <w:tcW w:w="3652" w:type="dxa"/>
            <w:shd w:val="clear" w:color="auto" w:fill="DBE5F1"/>
            <w:vAlign w:val="center"/>
          </w:tcPr>
          <w:p w:rsidR="0088341A" w:rsidRPr="00FE330F" w:rsidRDefault="0088341A" w:rsidP="00501137">
            <w:pPr>
              <w:pStyle w:val="AERtabletextleft"/>
              <w:keepNext/>
              <w:keepLines/>
            </w:pPr>
            <w:r w:rsidRPr="00FE330F">
              <w:t>Subtotal: non controllable excl</w:t>
            </w:r>
            <w:r>
              <w:t>.</w:t>
            </w:r>
            <w:r w:rsidRPr="00FE330F">
              <w:t xml:space="preserve"> land tax</w:t>
            </w:r>
          </w:p>
        </w:tc>
        <w:tc>
          <w:tcPr>
            <w:tcW w:w="972" w:type="dxa"/>
            <w:shd w:val="clear" w:color="auto" w:fill="DBE5F1"/>
            <w:vAlign w:val="center"/>
          </w:tcPr>
          <w:p w:rsidR="0088341A" w:rsidRPr="00FE330F" w:rsidRDefault="0088341A" w:rsidP="00501137">
            <w:pPr>
              <w:pStyle w:val="AERtabletextright"/>
              <w:keepNext/>
              <w:keepLines/>
            </w:pPr>
            <w:r w:rsidRPr="00FE330F">
              <w:t>3.2</w:t>
            </w:r>
          </w:p>
        </w:tc>
        <w:tc>
          <w:tcPr>
            <w:tcW w:w="1539" w:type="dxa"/>
            <w:shd w:val="clear" w:color="auto" w:fill="DBE5F1"/>
            <w:vAlign w:val="center"/>
          </w:tcPr>
          <w:p w:rsidR="0088341A" w:rsidRPr="00FE330F" w:rsidRDefault="0088341A" w:rsidP="00501137">
            <w:pPr>
              <w:pStyle w:val="AERtabletextright"/>
              <w:keepNext/>
              <w:keepLines/>
            </w:pPr>
            <w:r w:rsidRPr="00FE330F">
              <w:t>3.2</w:t>
            </w:r>
          </w:p>
        </w:tc>
        <w:tc>
          <w:tcPr>
            <w:tcW w:w="1539" w:type="dxa"/>
            <w:shd w:val="clear" w:color="auto" w:fill="DBE5F1"/>
            <w:vAlign w:val="center"/>
          </w:tcPr>
          <w:p w:rsidR="0088341A" w:rsidRPr="00FE330F" w:rsidRDefault="0088341A" w:rsidP="00501137">
            <w:pPr>
              <w:pStyle w:val="AERtabletextright"/>
              <w:keepNext/>
              <w:keepLines/>
            </w:pPr>
            <w:r w:rsidRPr="00FE330F">
              <w:t>3.1</w:t>
            </w:r>
          </w:p>
        </w:tc>
        <w:tc>
          <w:tcPr>
            <w:tcW w:w="1540" w:type="dxa"/>
            <w:shd w:val="clear" w:color="auto" w:fill="DBE5F1"/>
            <w:vAlign w:val="center"/>
          </w:tcPr>
          <w:p w:rsidR="0088341A" w:rsidRPr="00FE330F" w:rsidRDefault="0088341A" w:rsidP="00501137">
            <w:pPr>
              <w:pStyle w:val="AERtabletextright"/>
              <w:keepNext/>
              <w:keepLines/>
            </w:pPr>
            <w:r w:rsidRPr="00FE330F">
              <w:t>9.5</w:t>
            </w:r>
          </w:p>
        </w:tc>
      </w:tr>
      <w:tr w:rsidR="0088341A" w:rsidRPr="007C68C0" w:rsidTr="00501137">
        <w:tc>
          <w:tcPr>
            <w:tcW w:w="3652" w:type="dxa"/>
            <w:shd w:val="clear" w:color="auto" w:fill="auto"/>
            <w:vAlign w:val="center"/>
          </w:tcPr>
          <w:p w:rsidR="0088341A" w:rsidRPr="00FE330F" w:rsidRDefault="0088341A" w:rsidP="00501137">
            <w:pPr>
              <w:pStyle w:val="AERtabletextleft"/>
              <w:keepNext/>
              <w:keepLines/>
            </w:pPr>
            <w:r w:rsidRPr="00FE330F">
              <w:t>Easement land tax</w:t>
            </w:r>
          </w:p>
        </w:tc>
        <w:tc>
          <w:tcPr>
            <w:tcW w:w="972" w:type="dxa"/>
            <w:shd w:val="clear" w:color="auto" w:fill="auto"/>
            <w:vAlign w:val="center"/>
          </w:tcPr>
          <w:p w:rsidR="0088341A" w:rsidRPr="00FE330F" w:rsidRDefault="0088341A" w:rsidP="00501137">
            <w:pPr>
              <w:pStyle w:val="AERtabletextright"/>
              <w:keepNext/>
              <w:keepLines/>
            </w:pPr>
            <w:r w:rsidRPr="00FE330F">
              <w:t>100.9</w:t>
            </w:r>
          </w:p>
        </w:tc>
        <w:tc>
          <w:tcPr>
            <w:tcW w:w="1539" w:type="dxa"/>
            <w:shd w:val="clear" w:color="auto" w:fill="auto"/>
            <w:vAlign w:val="center"/>
          </w:tcPr>
          <w:p w:rsidR="0088341A" w:rsidRPr="00FE330F" w:rsidRDefault="0088341A" w:rsidP="00501137">
            <w:pPr>
              <w:pStyle w:val="AERtabletextright"/>
              <w:keepNext/>
              <w:keepLines/>
            </w:pPr>
            <w:r w:rsidRPr="00FE330F">
              <w:t>103.4</w:t>
            </w:r>
          </w:p>
        </w:tc>
        <w:tc>
          <w:tcPr>
            <w:tcW w:w="1539" w:type="dxa"/>
            <w:shd w:val="clear" w:color="auto" w:fill="auto"/>
            <w:vAlign w:val="center"/>
          </w:tcPr>
          <w:p w:rsidR="0088341A" w:rsidRPr="00FE330F" w:rsidRDefault="0088341A" w:rsidP="00501137">
            <w:pPr>
              <w:pStyle w:val="AERtabletextright"/>
              <w:keepNext/>
              <w:keepLines/>
            </w:pPr>
            <w:r w:rsidRPr="00FE330F">
              <w:t>100.9</w:t>
            </w:r>
          </w:p>
        </w:tc>
        <w:tc>
          <w:tcPr>
            <w:tcW w:w="1540" w:type="dxa"/>
            <w:shd w:val="clear" w:color="auto" w:fill="auto"/>
            <w:vAlign w:val="center"/>
          </w:tcPr>
          <w:p w:rsidR="0088341A" w:rsidRPr="00FE330F" w:rsidRDefault="0088341A" w:rsidP="00501137">
            <w:pPr>
              <w:pStyle w:val="AERtabletextright"/>
              <w:keepNext/>
              <w:keepLines/>
            </w:pPr>
            <w:r w:rsidRPr="00FE330F">
              <w:t>305.2</w:t>
            </w:r>
          </w:p>
        </w:tc>
      </w:tr>
      <w:tr w:rsidR="0088341A" w:rsidRPr="00B40A06" w:rsidTr="00501137">
        <w:tc>
          <w:tcPr>
            <w:tcW w:w="3652" w:type="dxa"/>
            <w:shd w:val="clear" w:color="auto" w:fill="DBE5F1"/>
            <w:vAlign w:val="center"/>
          </w:tcPr>
          <w:p w:rsidR="0088341A" w:rsidRPr="00FE330F" w:rsidRDefault="0088341A" w:rsidP="00501137">
            <w:pPr>
              <w:pStyle w:val="AERtabletextleft"/>
              <w:keepNext/>
              <w:keepLines/>
              <w:rPr>
                <w:rStyle w:val="AERtextbold"/>
              </w:rPr>
            </w:pPr>
            <w:r w:rsidRPr="00FE330F">
              <w:rPr>
                <w:rStyle w:val="AERtextbold"/>
              </w:rPr>
              <w:t>Total non-controllable opex</w:t>
            </w:r>
          </w:p>
        </w:tc>
        <w:tc>
          <w:tcPr>
            <w:tcW w:w="972" w:type="dxa"/>
            <w:shd w:val="clear" w:color="auto" w:fill="DBE5F1"/>
            <w:vAlign w:val="center"/>
          </w:tcPr>
          <w:p w:rsidR="0088341A" w:rsidRPr="00FE330F" w:rsidRDefault="0088341A" w:rsidP="00501137">
            <w:pPr>
              <w:pStyle w:val="AERtabletextright"/>
              <w:keepNext/>
              <w:keepLines/>
              <w:rPr>
                <w:rStyle w:val="AERtextbold"/>
              </w:rPr>
            </w:pPr>
            <w:r w:rsidRPr="00FE330F">
              <w:rPr>
                <w:rStyle w:val="AERtextbold"/>
              </w:rPr>
              <w:t>104.1</w:t>
            </w:r>
          </w:p>
        </w:tc>
        <w:tc>
          <w:tcPr>
            <w:tcW w:w="1539" w:type="dxa"/>
            <w:shd w:val="clear" w:color="auto" w:fill="DBE5F1"/>
            <w:vAlign w:val="center"/>
          </w:tcPr>
          <w:p w:rsidR="0088341A" w:rsidRPr="00FE330F" w:rsidRDefault="0088341A" w:rsidP="00501137">
            <w:pPr>
              <w:pStyle w:val="AERtabletextright"/>
              <w:keepNext/>
              <w:keepLines/>
              <w:rPr>
                <w:rStyle w:val="AERtextbold"/>
              </w:rPr>
            </w:pPr>
            <w:r w:rsidRPr="00FE330F">
              <w:rPr>
                <w:rStyle w:val="AERtextbold"/>
              </w:rPr>
              <w:t>106.6</w:t>
            </w:r>
          </w:p>
        </w:tc>
        <w:tc>
          <w:tcPr>
            <w:tcW w:w="1539" w:type="dxa"/>
            <w:shd w:val="clear" w:color="auto" w:fill="DBE5F1"/>
            <w:vAlign w:val="center"/>
          </w:tcPr>
          <w:p w:rsidR="0088341A" w:rsidRPr="00FE330F" w:rsidRDefault="0088341A" w:rsidP="00501137">
            <w:pPr>
              <w:pStyle w:val="AERtabletextright"/>
              <w:keepNext/>
              <w:keepLines/>
              <w:rPr>
                <w:rStyle w:val="AERtextbold"/>
              </w:rPr>
            </w:pPr>
            <w:r w:rsidRPr="00FE330F">
              <w:rPr>
                <w:rStyle w:val="AERtextbold"/>
              </w:rPr>
              <w:t>104.0</w:t>
            </w:r>
          </w:p>
        </w:tc>
        <w:tc>
          <w:tcPr>
            <w:tcW w:w="1540" w:type="dxa"/>
            <w:shd w:val="clear" w:color="auto" w:fill="DBE5F1"/>
            <w:vAlign w:val="center"/>
          </w:tcPr>
          <w:p w:rsidR="0088341A" w:rsidRPr="00FE330F" w:rsidRDefault="0088341A" w:rsidP="00501137">
            <w:pPr>
              <w:pStyle w:val="AERtabletextright"/>
              <w:keepNext/>
              <w:keepLines/>
              <w:rPr>
                <w:rStyle w:val="AERtextbold"/>
              </w:rPr>
            </w:pPr>
            <w:r w:rsidRPr="00FE330F">
              <w:rPr>
                <w:rStyle w:val="AERtextbold"/>
              </w:rPr>
              <w:t>314.7</w:t>
            </w:r>
          </w:p>
        </w:tc>
      </w:tr>
      <w:tr w:rsidR="0088341A" w:rsidRPr="00B40A06" w:rsidTr="00501137">
        <w:tc>
          <w:tcPr>
            <w:tcW w:w="3652" w:type="dxa"/>
            <w:shd w:val="clear" w:color="auto" w:fill="auto"/>
            <w:vAlign w:val="center"/>
          </w:tcPr>
          <w:p w:rsidR="0088341A" w:rsidRPr="00FE330F" w:rsidRDefault="0088341A" w:rsidP="00501137">
            <w:pPr>
              <w:pStyle w:val="AERtabletextleft"/>
              <w:keepNext/>
              <w:keepLines/>
              <w:rPr>
                <w:rStyle w:val="AERtextbold"/>
              </w:rPr>
            </w:pPr>
            <w:r w:rsidRPr="00FE330F">
              <w:rPr>
                <w:rStyle w:val="AERtextbold"/>
              </w:rPr>
              <w:t>Total opex</w:t>
            </w:r>
          </w:p>
        </w:tc>
        <w:tc>
          <w:tcPr>
            <w:tcW w:w="972" w:type="dxa"/>
            <w:shd w:val="clear" w:color="auto" w:fill="auto"/>
            <w:vAlign w:val="center"/>
          </w:tcPr>
          <w:p w:rsidR="0088341A" w:rsidRPr="00FE330F" w:rsidRDefault="0088341A" w:rsidP="00501137">
            <w:pPr>
              <w:pStyle w:val="AERtabletextright"/>
              <w:keepNext/>
              <w:keepLines/>
              <w:rPr>
                <w:rStyle w:val="AERtextbold"/>
              </w:rPr>
            </w:pPr>
            <w:r w:rsidRPr="00FE330F">
              <w:rPr>
                <w:rStyle w:val="AERtextbold"/>
              </w:rPr>
              <w:t>179.2</w:t>
            </w:r>
          </w:p>
        </w:tc>
        <w:tc>
          <w:tcPr>
            <w:tcW w:w="1539" w:type="dxa"/>
            <w:shd w:val="clear" w:color="auto" w:fill="auto"/>
            <w:vAlign w:val="center"/>
          </w:tcPr>
          <w:p w:rsidR="0088341A" w:rsidRPr="00FE330F" w:rsidRDefault="0088341A" w:rsidP="00501137">
            <w:pPr>
              <w:pStyle w:val="AERtabletextright"/>
              <w:keepNext/>
              <w:keepLines/>
              <w:rPr>
                <w:rStyle w:val="AERtextbold"/>
              </w:rPr>
            </w:pPr>
            <w:r w:rsidRPr="00FE330F">
              <w:rPr>
                <w:rStyle w:val="AERtextbold"/>
              </w:rPr>
              <w:t>183.2</w:t>
            </w:r>
          </w:p>
        </w:tc>
        <w:tc>
          <w:tcPr>
            <w:tcW w:w="1539" w:type="dxa"/>
            <w:shd w:val="clear" w:color="auto" w:fill="auto"/>
            <w:vAlign w:val="center"/>
          </w:tcPr>
          <w:p w:rsidR="0088341A" w:rsidRPr="00FE330F" w:rsidRDefault="0088341A" w:rsidP="00501137">
            <w:pPr>
              <w:pStyle w:val="AERtabletextright"/>
              <w:keepNext/>
              <w:keepLines/>
              <w:rPr>
                <w:rStyle w:val="AERtextbold"/>
              </w:rPr>
            </w:pPr>
            <w:r w:rsidRPr="00FE330F">
              <w:rPr>
                <w:rStyle w:val="AERtextbold"/>
              </w:rPr>
              <w:t>180.8</w:t>
            </w:r>
          </w:p>
        </w:tc>
        <w:tc>
          <w:tcPr>
            <w:tcW w:w="1540" w:type="dxa"/>
            <w:shd w:val="clear" w:color="auto" w:fill="auto"/>
            <w:vAlign w:val="center"/>
          </w:tcPr>
          <w:p w:rsidR="0088341A" w:rsidRPr="00FE330F" w:rsidRDefault="0088341A" w:rsidP="00501137">
            <w:pPr>
              <w:pStyle w:val="AERtabletextright"/>
              <w:keepNext/>
              <w:keepLines/>
              <w:rPr>
                <w:rStyle w:val="AERtextbold"/>
              </w:rPr>
            </w:pPr>
            <w:r w:rsidRPr="00FE330F">
              <w:rPr>
                <w:rStyle w:val="AERtextbold"/>
              </w:rPr>
              <w:t>543.2</w:t>
            </w:r>
          </w:p>
        </w:tc>
      </w:tr>
    </w:tbl>
    <w:p w:rsidR="00D94224" w:rsidRDefault="00D94224" w:rsidP="00D94224">
      <w:pPr>
        <w:pStyle w:val="AERtablesource"/>
      </w:pPr>
      <w:r>
        <w:t>Source:</w:t>
      </w:r>
      <w:r>
        <w:tab/>
        <w:t>AER analysis.</w:t>
      </w:r>
    </w:p>
    <w:p w:rsidR="0088341A" w:rsidRPr="00A513E2" w:rsidRDefault="0088341A" w:rsidP="00D94224">
      <w:pPr>
        <w:pStyle w:val="AERtablesource"/>
      </w:pPr>
      <w:r>
        <w:t>Note</w:t>
      </w:r>
      <w:r w:rsidR="00B22BC8">
        <w:t>:</w:t>
      </w:r>
      <w:r w:rsidR="00B22BC8">
        <w:tab/>
      </w:r>
      <w:r>
        <w:rPr>
          <w:rFonts w:cs="Gautami"/>
        </w:rPr>
        <w:t>*</w:t>
      </w:r>
      <w:r w:rsidR="00BF7EE5">
        <w:rPr>
          <w:rFonts w:cs="Gautami"/>
        </w:rPr>
        <w:t xml:space="preserve"> </w:t>
      </w:r>
      <w:r w:rsidR="00BF7EE5">
        <w:t>e</w:t>
      </w:r>
      <w:r>
        <w:t>quity raising costs were capitalised.</w:t>
      </w:r>
    </w:p>
    <w:p w:rsidR="0088341A" w:rsidRPr="00FE330F" w:rsidRDefault="0088341A" w:rsidP="0088341A">
      <w:pPr>
        <w:pStyle w:val="Caption"/>
        <w:keepLines/>
      </w:pPr>
      <w:r>
        <w:t xml:space="preserve">Figure </w:t>
      </w:r>
      <w:fldSimple w:instr=" STYLEREF 1 \s ">
        <w:r w:rsidR="004F35AA">
          <w:rPr>
            <w:noProof/>
          </w:rPr>
          <w:t>8</w:t>
        </w:r>
      </w:fldSimple>
      <w:r w:rsidR="00C56A87">
        <w:t>.</w:t>
      </w:r>
      <w:fldSimple w:instr=" SEQ Figure \* ARABIC \s 1 ">
        <w:r w:rsidR="004F35AA">
          <w:rPr>
            <w:noProof/>
          </w:rPr>
          <w:t>1</w:t>
        </w:r>
      </w:fldSimple>
      <w:r>
        <w:tab/>
      </w:r>
      <w:r w:rsidRPr="00FE330F">
        <w:t>AER's draft decision</w:t>
      </w:r>
      <w:r w:rsidR="00CA4A32">
        <w:t xml:space="preserve"> on SP AusNet’s , total</w:t>
      </w:r>
      <w:r w:rsidRPr="00FE330F">
        <w:t xml:space="preserve"> opex ($ million, 2013–14)</w:t>
      </w:r>
    </w:p>
    <w:p w:rsidR="0088341A" w:rsidRDefault="00F73273" w:rsidP="00F73273">
      <w:pPr>
        <w:pStyle w:val="AERbodytext"/>
      </w:pPr>
      <w:r w:rsidRPr="00F73273">
        <w:rPr>
          <w:noProof/>
          <w:lang w:eastAsia="en-AU"/>
        </w:rPr>
        <w:drawing>
          <wp:inline distT="0" distB="0" distL="0" distR="0" wp14:anchorId="41320FAC" wp14:editId="38901F76">
            <wp:extent cx="5732889" cy="2767054"/>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2766388"/>
                    </a:xfrm>
                    <a:prstGeom prst="rect">
                      <a:avLst/>
                    </a:prstGeom>
                    <a:noFill/>
                    <a:ln>
                      <a:noFill/>
                    </a:ln>
                  </pic:spPr>
                </pic:pic>
              </a:graphicData>
            </a:graphic>
          </wp:inline>
        </w:drawing>
      </w:r>
    </w:p>
    <w:p w:rsidR="00DC345D" w:rsidRPr="00FE330F" w:rsidRDefault="00DC345D" w:rsidP="00DC345D">
      <w:pPr>
        <w:pStyle w:val="AERtablesource"/>
      </w:pPr>
      <w:r w:rsidRPr="00EC1A07">
        <w:t>Source:</w:t>
      </w:r>
      <w:r w:rsidRPr="00EC1A07">
        <w:tab/>
      </w:r>
      <w:r w:rsidRPr="00FE330F">
        <w:t xml:space="preserve">SP AusNet, </w:t>
      </w:r>
      <w:r w:rsidRPr="00FE330F">
        <w:rPr>
          <w:rStyle w:val="AERtextitalic"/>
        </w:rPr>
        <w:t>Revenue proposal</w:t>
      </w:r>
      <w:r w:rsidRPr="00FE330F">
        <w:t xml:space="preserve">, Table 5.22 (excludes efficiency payments) p.149; Table 3.5 p.57 and Table 3.6 p.60; SP AusNet, </w:t>
      </w:r>
      <w:r w:rsidRPr="00FE330F">
        <w:rPr>
          <w:rStyle w:val="AERtextitalic"/>
        </w:rPr>
        <w:t>Response to request AER</w:t>
      </w:r>
      <w:r w:rsidR="00DC724F">
        <w:rPr>
          <w:rStyle w:val="AERtextitalic"/>
        </w:rPr>
        <w:t xml:space="preserve"> RP </w:t>
      </w:r>
      <w:r w:rsidRPr="00FE330F">
        <w:rPr>
          <w:rStyle w:val="AERtextitalic"/>
        </w:rPr>
        <w:t>23</w:t>
      </w:r>
      <w:r w:rsidRPr="00FE330F">
        <w:t xml:space="preserve">, 17 May 2013 and </w:t>
      </w:r>
      <w:r w:rsidRPr="00FE330F">
        <w:rPr>
          <w:rStyle w:val="AERtextitalic"/>
        </w:rPr>
        <w:t>Response to request AER</w:t>
      </w:r>
      <w:r w:rsidR="00DC724F">
        <w:rPr>
          <w:rStyle w:val="AERtextitalic"/>
        </w:rPr>
        <w:t xml:space="preserve"> RP </w:t>
      </w:r>
      <w:r w:rsidRPr="00FE330F">
        <w:rPr>
          <w:rStyle w:val="AERtextitalic"/>
        </w:rPr>
        <w:t>09 - revised opex model</w:t>
      </w:r>
      <w:r w:rsidR="004B3E41">
        <w:rPr>
          <w:rStyle w:val="AERtextitalic"/>
        </w:rPr>
        <w:t xml:space="preserve"> [confidential]</w:t>
      </w:r>
      <w:r w:rsidRPr="00FE330F">
        <w:t>, 20 May 2013; AER analysis.</w:t>
      </w:r>
    </w:p>
    <w:p w:rsidR="0088341A" w:rsidRPr="00FE330F" w:rsidRDefault="00CA4A32" w:rsidP="00DC345D">
      <w:pPr>
        <w:pStyle w:val="AERtablesource"/>
      </w:pPr>
      <w:r>
        <w:t xml:space="preserve">Note: </w:t>
      </w:r>
      <w:r>
        <w:tab/>
      </w:r>
      <w:r w:rsidR="0088341A" w:rsidRPr="00EC1A07">
        <w:t>Land and easement tax is excluded from non-controllable opex in this chart because, positive or negative variation (&gt;1% MAR) between the actual tax paid and the forecast approved by us will be recovered/reimbursed via an annual recovery mechanism</w:t>
      </w:r>
      <w:r w:rsidR="0088341A" w:rsidRPr="00FE330F">
        <w:t>; (e) 2013–14 data is a budget estimate; (BY) is the base year.</w:t>
      </w:r>
    </w:p>
    <w:p w:rsidR="0088341A" w:rsidRPr="00FE330F" w:rsidRDefault="0088341A" w:rsidP="0088341A">
      <w:pPr>
        <w:pStyle w:val="Caption"/>
        <w:keepLines/>
      </w:pPr>
      <w:bookmarkStart w:id="86" w:name="_Ref363764213"/>
      <w:r>
        <w:lastRenderedPageBreak/>
        <w:t xml:space="preserve">Figure </w:t>
      </w:r>
      <w:fldSimple w:instr=" STYLEREF 1 \s ">
        <w:r w:rsidR="004F35AA">
          <w:rPr>
            <w:noProof/>
          </w:rPr>
          <w:t>8</w:t>
        </w:r>
      </w:fldSimple>
      <w:r w:rsidR="00C56A87">
        <w:t>.</w:t>
      </w:r>
      <w:fldSimple w:instr=" SEQ Figure \* ARABIC \s 1 ">
        <w:r w:rsidR="004F35AA">
          <w:rPr>
            <w:noProof/>
          </w:rPr>
          <w:t>2</w:t>
        </w:r>
      </w:fldSimple>
      <w:bookmarkEnd w:id="86"/>
      <w:r>
        <w:tab/>
      </w:r>
      <w:r w:rsidRPr="00FE330F">
        <w:t>AER's draft decision</w:t>
      </w:r>
      <w:r w:rsidR="00CA4A32">
        <w:t xml:space="preserve"> on SP AusNet’s</w:t>
      </w:r>
      <w:r w:rsidRPr="00FE330F">
        <w:t xml:space="preserve"> controllable opex ($ million, 2013-14) </w:t>
      </w:r>
    </w:p>
    <w:p w:rsidR="0088341A" w:rsidRPr="00FE330F" w:rsidRDefault="00F73273" w:rsidP="0088341A">
      <w:pPr>
        <w:pStyle w:val="AERtablesource"/>
        <w:keepNext/>
        <w:keepLines/>
      </w:pPr>
      <w:r w:rsidRPr="00F73273">
        <w:rPr>
          <w:noProof/>
          <w:lang w:eastAsia="en-AU"/>
        </w:rPr>
        <w:drawing>
          <wp:inline distT="0" distB="0" distL="0" distR="0" wp14:anchorId="0C13D3E0" wp14:editId="6FB40254">
            <wp:extent cx="5716336" cy="278295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2790343"/>
                    </a:xfrm>
                    <a:prstGeom prst="rect">
                      <a:avLst/>
                    </a:prstGeom>
                    <a:noFill/>
                    <a:ln>
                      <a:noFill/>
                    </a:ln>
                  </pic:spPr>
                </pic:pic>
              </a:graphicData>
            </a:graphic>
          </wp:inline>
        </w:drawing>
      </w:r>
    </w:p>
    <w:p w:rsidR="00DC345D" w:rsidRDefault="0088341A" w:rsidP="00D94224">
      <w:pPr>
        <w:pStyle w:val="AERtablesource"/>
      </w:pPr>
      <w:r>
        <w:t>Source:</w:t>
      </w:r>
      <w:r>
        <w:tab/>
      </w:r>
      <w:r w:rsidRPr="00FE330F">
        <w:t xml:space="preserve">SP AusNet, </w:t>
      </w:r>
      <w:r w:rsidRPr="00FE330F">
        <w:rPr>
          <w:rStyle w:val="AERtextitalic"/>
        </w:rPr>
        <w:t>Revenue proposal</w:t>
      </w:r>
      <w:r w:rsidRPr="00FE330F">
        <w:t xml:space="preserve">, Table 5.22 (excludes efficiency payments) p.149; Table 3.5 p.57; SP AusNet, </w:t>
      </w:r>
      <w:r w:rsidRPr="00FE330F">
        <w:rPr>
          <w:rStyle w:val="AERtextitalic"/>
        </w:rPr>
        <w:t>Response to request AER</w:t>
      </w:r>
      <w:r w:rsidR="00DC724F">
        <w:rPr>
          <w:rStyle w:val="AERtextitalic"/>
        </w:rPr>
        <w:t xml:space="preserve"> RP </w:t>
      </w:r>
      <w:r w:rsidRPr="00FE330F">
        <w:rPr>
          <w:rStyle w:val="AERtextitalic"/>
        </w:rPr>
        <w:t>23</w:t>
      </w:r>
      <w:r w:rsidRPr="00FE330F">
        <w:t xml:space="preserve">, 17 May 2013 and; SP AusNet, </w:t>
      </w:r>
      <w:r w:rsidRPr="00FE330F">
        <w:rPr>
          <w:rStyle w:val="AERtextitalic"/>
        </w:rPr>
        <w:t>Response to request AER</w:t>
      </w:r>
      <w:r w:rsidR="00DC724F">
        <w:rPr>
          <w:rStyle w:val="AERtextitalic"/>
        </w:rPr>
        <w:t xml:space="preserve"> RP </w:t>
      </w:r>
      <w:r w:rsidRPr="00FE330F">
        <w:rPr>
          <w:rStyle w:val="AERtextitalic"/>
        </w:rPr>
        <w:t>09 - revised opex model</w:t>
      </w:r>
      <w:r w:rsidR="004B3E41">
        <w:rPr>
          <w:rStyle w:val="AERtextitalic"/>
        </w:rPr>
        <w:t xml:space="preserve"> [confidential]</w:t>
      </w:r>
      <w:r w:rsidRPr="00FE330F">
        <w:t>, 20 May 2013; AER analysis.</w:t>
      </w:r>
    </w:p>
    <w:p w:rsidR="0088341A" w:rsidRPr="00FE330F" w:rsidRDefault="00DC345D" w:rsidP="00DC345D">
      <w:pPr>
        <w:pStyle w:val="AERtablesource"/>
        <w:keepNext/>
        <w:keepLines/>
      </w:pPr>
      <w:r w:rsidRPr="00FE330F">
        <w:t xml:space="preserve">Note: </w:t>
      </w:r>
      <w:r w:rsidRPr="00FE330F">
        <w:tab/>
        <w:t xml:space="preserve">(e) 2013–14 data is a budget estimate; (BY) is the base year. Step change in 2014-15 is </w:t>
      </w:r>
      <w:r w:rsidRPr="00FE330F">
        <w:softHyphen/>
        <w:t>$0.1 million but is shown as a zero in the chart.</w:t>
      </w:r>
      <w:r w:rsidR="0088341A" w:rsidRPr="00FE330F">
        <w:t xml:space="preserve"> </w:t>
      </w:r>
    </w:p>
    <w:p w:rsidR="0088341A" w:rsidRDefault="0088341A" w:rsidP="005B6CF6">
      <w:pPr>
        <w:pStyle w:val="Heading3"/>
        <w:numPr>
          <w:ilvl w:val="3"/>
          <w:numId w:val="20"/>
        </w:numPr>
      </w:pPr>
      <w:r>
        <w:t>Summary of analysis and reasons</w:t>
      </w:r>
    </w:p>
    <w:p w:rsidR="0088341A" w:rsidRDefault="00246317" w:rsidP="00A673C8">
      <w:pPr>
        <w:pStyle w:val="AERbodytext"/>
        <w:numPr>
          <w:ilvl w:val="0"/>
          <w:numId w:val="1"/>
        </w:numPr>
      </w:pPr>
      <w:r>
        <w:t xml:space="preserve">We reviewed SP AusNet’s asset management and governance framework, and its expenditure forecast methodology. </w:t>
      </w:r>
      <w:r w:rsidR="0088341A">
        <w:t xml:space="preserve">We tested SP AusNet's opex forecast using two primary approaches: a top down and a bottom up analysis. </w:t>
      </w:r>
      <w:r>
        <w:t xml:space="preserve">Our </w:t>
      </w:r>
      <w:r w:rsidR="0088341A">
        <w:t xml:space="preserve">top down review and bottom up review of controllable opex showed SP AusNet's proposal is more than </w:t>
      </w:r>
      <w:r w:rsidR="00CA4A32">
        <w:t xml:space="preserve">what is </w:t>
      </w:r>
      <w:r w:rsidR="0088341A">
        <w:t xml:space="preserve">reasonably required to meet the opex objectives. </w:t>
      </w:r>
    </w:p>
    <w:p w:rsidR="0088341A" w:rsidRDefault="00246317" w:rsidP="00D94224">
      <w:pPr>
        <w:pStyle w:val="AERbodytext"/>
        <w:numPr>
          <w:ilvl w:val="0"/>
          <w:numId w:val="1"/>
        </w:numPr>
      </w:pPr>
      <w:r>
        <w:t xml:space="preserve">We also engaged </w:t>
      </w:r>
      <w:r w:rsidR="0088341A">
        <w:t xml:space="preserve">consultants (EMCa and AM Actuaries) </w:t>
      </w:r>
      <w:r>
        <w:t xml:space="preserve">to review forecast opex, and both reviews </w:t>
      </w:r>
      <w:r w:rsidR="0088341A">
        <w:t>found aspects of SP AusNet's bottom up forecast to be overstated. Further, our review of non-controllable opex found some elements of that part of the proposal also to be more than reasonably required</w:t>
      </w:r>
      <w:r>
        <w:t xml:space="preserve"> to reflect the opex objectives.</w:t>
      </w:r>
    </w:p>
    <w:p w:rsidR="00DA706F" w:rsidRDefault="00C06743" w:rsidP="00DA706F">
      <w:pPr>
        <w:pStyle w:val="AERbodytext"/>
        <w:numPr>
          <w:ilvl w:val="0"/>
          <w:numId w:val="13"/>
        </w:numPr>
      </w:pPr>
      <w:r>
        <w:t>Aspects of</w:t>
      </w:r>
      <w:r w:rsidR="00594807">
        <w:t xml:space="preserve"> the proposed total opex forecast </w:t>
      </w:r>
      <w:r>
        <w:t>we are not satisfied with</w:t>
      </w:r>
      <w:r w:rsidR="00594807">
        <w:t xml:space="preserve"> a</w:t>
      </w:r>
      <w:r w:rsidR="0088341A">
        <w:t>re set out below and discussed in full in Attachment 3</w:t>
      </w:r>
      <w:r w:rsidR="00DA706F">
        <w:t>:</w:t>
      </w:r>
    </w:p>
    <w:p w:rsidR="00DA706F" w:rsidRPr="00A73EF2" w:rsidRDefault="00DA706F" w:rsidP="00DA706F">
      <w:pPr>
        <w:pStyle w:val="AERbulletlistfirststyle"/>
        <w:rPr>
          <w:rStyle w:val="AERbody"/>
        </w:rPr>
      </w:pPr>
      <w:r>
        <w:t>Methodology and governance review</w:t>
      </w:r>
    </w:p>
    <w:p w:rsidR="00DA706F" w:rsidRPr="00A73EF2" w:rsidRDefault="00DA706F" w:rsidP="00DA706F">
      <w:pPr>
        <w:pStyle w:val="AERbulletlistfirststyle"/>
        <w:rPr>
          <w:rStyle w:val="AERbody"/>
        </w:rPr>
      </w:pPr>
      <w:r w:rsidRPr="00A73EF2">
        <w:rPr>
          <w:rStyle w:val="AERbody"/>
        </w:rPr>
        <w:t>SP AusNet</w:t>
      </w:r>
      <w:r w:rsidRPr="00A73EF2">
        <w:rPr>
          <w:rStyle w:val="AERbody"/>
          <w:rFonts w:hint="eastAsia"/>
        </w:rPr>
        <w:t>’</w:t>
      </w:r>
      <w:r w:rsidRPr="00A73EF2">
        <w:rPr>
          <w:rStyle w:val="AERbody"/>
        </w:rPr>
        <w:t>s bottom up forecasts for controllable opex (asset works and insurance)</w:t>
      </w:r>
    </w:p>
    <w:p w:rsidR="00DA706F" w:rsidRPr="00A73EF2" w:rsidRDefault="00DA706F" w:rsidP="00DA706F">
      <w:pPr>
        <w:pStyle w:val="AERbulletlistfirststyle"/>
        <w:rPr>
          <w:rStyle w:val="AERbody"/>
        </w:rPr>
      </w:pPr>
      <w:r>
        <w:rPr>
          <w:rStyle w:val="AERbody"/>
        </w:rPr>
        <w:t>SP AusNet’s b</w:t>
      </w:r>
      <w:r w:rsidRPr="00A73EF2">
        <w:rPr>
          <w:rStyle w:val="AERbody"/>
        </w:rPr>
        <w:t>ase</w:t>
      </w:r>
      <w:r>
        <w:rPr>
          <w:rStyle w:val="AERbody"/>
        </w:rPr>
        <w:t>-</w:t>
      </w:r>
      <w:r w:rsidRPr="00A73EF2">
        <w:rPr>
          <w:rStyle w:val="AERbody"/>
        </w:rPr>
        <w:t>step</w:t>
      </w:r>
      <w:r>
        <w:rPr>
          <w:rStyle w:val="AERbody"/>
        </w:rPr>
        <w:t>-</w:t>
      </w:r>
      <w:r w:rsidRPr="00A73EF2">
        <w:rPr>
          <w:rStyle w:val="AERbody"/>
        </w:rPr>
        <w:t xml:space="preserve">trend </w:t>
      </w:r>
      <w:r>
        <w:rPr>
          <w:rStyle w:val="AERbody"/>
        </w:rPr>
        <w:t>forecast for controllable opex</w:t>
      </w:r>
    </w:p>
    <w:p w:rsidR="00DA706F" w:rsidRDefault="00DA706F" w:rsidP="00DA706F">
      <w:pPr>
        <w:pStyle w:val="AERbulletlistfirststyle"/>
      </w:pPr>
      <w:r w:rsidRPr="00A73EF2">
        <w:rPr>
          <w:rStyle w:val="AERbody"/>
        </w:rPr>
        <w:t>Non-controllable</w:t>
      </w:r>
      <w:r>
        <w:t xml:space="preserve"> opex issues</w:t>
      </w:r>
    </w:p>
    <w:p w:rsidR="005B6CF6" w:rsidRDefault="00CA4A32" w:rsidP="005B6CF6">
      <w:pPr>
        <w:pStyle w:val="AERbodytext"/>
        <w:numPr>
          <w:ilvl w:val="0"/>
          <w:numId w:val="0"/>
        </w:numPr>
      </w:pPr>
      <w:r>
        <w:t>We needed to engage with certain</w:t>
      </w:r>
      <w:r w:rsidR="0088341A">
        <w:t xml:space="preserve"> areas in </w:t>
      </w:r>
      <w:r w:rsidR="00C06743">
        <w:t xml:space="preserve">some </w:t>
      </w:r>
      <w:r w:rsidR="0088341A">
        <w:t>depth (asset works, insurance and self-insurance) and our analysis on these aspects is set out in appendices.</w:t>
      </w:r>
      <w:r w:rsidR="0088341A">
        <w:rPr>
          <w:rStyle w:val="FootnoteReference"/>
        </w:rPr>
        <w:footnoteReference w:id="68"/>
      </w:r>
      <w:r w:rsidR="0088341A">
        <w:t xml:space="preserve"> </w:t>
      </w:r>
    </w:p>
    <w:p w:rsidR="0088341A" w:rsidRPr="005B6CF6" w:rsidRDefault="00607F6B" w:rsidP="005B6CF6">
      <w:pPr>
        <w:pStyle w:val="Heading3"/>
        <w:numPr>
          <w:ilvl w:val="3"/>
          <w:numId w:val="20"/>
        </w:numPr>
      </w:pPr>
      <w:r w:rsidRPr="005B6CF6">
        <w:t>Methodology and governance review</w:t>
      </w:r>
    </w:p>
    <w:p w:rsidR="00DA706F" w:rsidRDefault="0088341A" w:rsidP="0088341A">
      <w:pPr>
        <w:pStyle w:val="AERbodytext"/>
        <w:numPr>
          <w:ilvl w:val="0"/>
          <w:numId w:val="1"/>
        </w:numPr>
      </w:pPr>
      <w:r>
        <w:t xml:space="preserve">We are not satisfied </w:t>
      </w:r>
      <w:r w:rsidR="00594807">
        <w:t xml:space="preserve">that </w:t>
      </w:r>
      <w:r>
        <w:t xml:space="preserve">SP AusNet's method of forecasting opex </w:t>
      </w:r>
      <w:r w:rsidR="00CA4A32">
        <w:t>results in a</w:t>
      </w:r>
      <w:r w:rsidR="00594807">
        <w:t xml:space="preserve"> forecast that reasonably reflects the efficient costs of achieving the opex objectives, or a realistic expectation of cost inputs</w:t>
      </w:r>
      <w:r>
        <w:t>.</w:t>
      </w:r>
      <w:r w:rsidR="00594807">
        <w:rPr>
          <w:rStyle w:val="FootnoteReference"/>
        </w:rPr>
        <w:footnoteReference w:id="69"/>
      </w:r>
      <w:r>
        <w:t xml:space="preserve"> </w:t>
      </w:r>
      <w:r w:rsidR="00594807" w:rsidRPr="00A73EF2">
        <w:rPr>
          <w:rStyle w:val="AERbody"/>
        </w:rPr>
        <w:lastRenderedPageBreak/>
        <w:t>SP AusNet proposed using the revealed costs approach to forecast part of its controllable opex</w:t>
      </w:r>
      <w:r w:rsidR="0009574F">
        <w:rPr>
          <w:rStyle w:val="AERbody"/>
        </w:rPr>
        <w:t>.</w:t>
      </w:r>
      <w:r w:rsidR="00594807" w:rsidRPr="00A73EF2">
        <w:rPr>
          <w:rStyle w:val="AERbody"/>
        </w:rPr>
        <w:t xml:space="preserve"> </w:t>
      </w:r>
      <w:r w:rsidR="0009574F">
        <w:rPr>
          <w:rStyle w:val="AERbody"/>
        </w:rPr>
        <w:t>H</w:t>
      </w:r>
      <w:r w:rsidR="00594807" w:rsidRPr="00A73EF2">
        <w:rPr>
          <w:rStyle w:val="AERbody"/>
        </w:rPr>
        <w:t>owever it proposed setting a proportion of its controllable opex, including that pertaining to asset works and insurance, using a separate bottom up build of costs. In this way, SP AusNet adopted a hybrid approach in its proposal</w:t>
      </w:r>
      <w:r w:rsidR="00594807">
        <w:rPr>
          <w:rStyle w:val="AERbody"/>
        </w:rPr>
        <w:t xml:space="preserve">. </w:t>
      </w:r>
    </w:p>
    <w:p w:rsidR="00594807" w:rsidRDefault="0088341A" w:rsidP="00A673C8">
      <w:pPr>
        <w:pStyle w:val="AERbodytext"/>
        <w:numPr>
          <w:ilvl w:val="0"/>
          <w:numId w:val="1"/>
        </w:numPr>
      </w:pPr>
      <w:r>
        <w:t xml:space="preserve">We found the forecast method produced upwardly biased forecast estimates </w:t>
      </w:r>
      <w:r w:rsidR="0009574F">
        <w:t xml:space="preserve">in the past </w:t>
      </w:r>
      <w:r>
        <w:t xml:space="preserve">and the same method has been used to forecast future requirements. </w:t>
      </w:r>
      <w:r w:rsidR="0009574F">
        <w:t>For example</w:t>
      </w:r>
      <w:r w:rsidR="00594807">
        <w:t>, we found the sum of constituent projects put forward as part of the asset works program, or proposed step change, may not reflect portfolio level efficiencies that should be able to be achieved.</w:t>
      </w:r>
      <w:r w:rsidR="00594807">
        <w:rPr>
          <w:rStyle w:val="FootnoteReference"/>
        </w:rPr>
        <w:footnoteReference w:id="70"/>
      </w:r>
      <w:r w:rsidR="00594807">
        <w:t xml:space="preserve"> </w:t>
      </w:r>
      <w:r w:rsidR="0009574F">
        <w:t>Also, t</w:t>
      </w:r>
      <w:r>
        <w:t xml:space="preserve">he </w:t>
      </w:r>
      <w:r w:rsidR="00594807">
        <w:t xml:space="preserve">hybrid </w:t>
      </w:r>
      <w:r>
        <w:t xml:space="preserve">method </w:t>
      </w:r>
      <w:r w:rsidR="00594807">
        <w:t xml:space="preserve">SP AusNet used </w:t>
      </w:r>
      <w:r>
        <w:t>undermines the incentive properties of the regulatory framework, and leads to forecasts that do not fairly share 2008</w:t>
      </w:r>
      <w:r w:rsidR="00A17D31">
        <w:t>–</w:t>
      </w:r>
      <w:r>
        <w:t xml:space="preserve">14 underspends (efficiency gains) with customers. </w:t>
      </w:r>
      <w:r w:rsidR="00594807">
        <w:t>Most importantly, the method SP A</w:t>
      </w:r>
      <w:r w:rsidR="00246317">
        <w:t>u</w:t>
      </w:r>
      <w:r w:rsidR="00594807">
        <w:t>sN</w:t>
      </w:r>
      <w:r w:rsidR="00246317">
        <w:t>e</w:t>
      </w:r>
      <w:r w:rsidR="00594807">
        <w:t>t used means that consumers are being asked to fund the same works twice.</w:t>
      </w:r>
    </w:p>
    <w:p w:rsidR="00246317" w:rsidRDefault="0088341A" w:rsidP="0088341A">
      <w:pPr>
        <w:pStyle w:val="AERbodytext"/>
        <w:numPr>
          <w:ilvl w:val="0"/>
          <w:numId w:val="1"/>
        </w:numPr>
      </w:pPr>
      <w:r w:rsidRPr="007C79D6">
        <w:t xml:space="preserve">In addition, we note that in making decisions about forecast opex, clause 6A.6.6(e)(5) provides that the AER must have regard to the actual and expected opex of the TNSP during any preceding regulatory control periods. </w:t>
      </w:r>
    </w:p>
    <w:p w:rsidR="0088341A" w:rsidRDefault="00246317" w:rsidP="0088341A">
      <w:pPr>
        <w:pStyle w:val="AERbodytext"/>
        <w:numPr>
          <w:ilvl w:val="0"/>
          <w:numId w:val="1"/>
        </w:numPr>
      </w:pPr>
      <w:r>
        <w:t>Specifically, f</w:t>
      </w:r>
      <w:r w:rsidR="0088341A" w:rsidRPr="007C79D6">
        <w:t xml:space="preserve">or every year since 2002–03, SPAusNet has achieved well below its </w:t>
      </w:r>
      <w:r w:rsidR="00B36182">
        <w:t>forecast</w:t>
      </w:r>
      <w:r w:rsidR="0088341A" w:rsidRPr="007C79D6">
        <w:t xml:space="preserve"> </w:t>
      </w:r>
      <w:r w:rsidR="0009574F">
        <w:t xml:space="preserve">for asset works </w:t>
      </w:r>
      <w:r w:rsidR="0088341A">
        <w:t>(</w:t>
      </w:r>
      <w:r w:rsidR="00FD20BA">
        <w:fldChar w:fldCharType="begin"/>
      </w:r>
      <w:r w:rsidR="00FD20BA">
        <w:instrText xml:space="preserve"> REF _Ref364755421 \h </w:instrText>
      </w:r>
      <w:r w:rsidR="00FD20BA">
        <w:fldChar w:fldCharType="separate"/>
      </w:r>
      <w:r w:rsidR="004F35AA">
        <w:t xml:space="preserve">Figure </w:t>
      </w:r>
      <w:r w:rsidR="004F35AA">
        <w:rPr>
          <w:noProof/>
        </w:rPr>
        <w:t>8</w:t>
      </w:r>
      <w:r w:rsidR="004F35AA">
        <w:t>.</w:t>
      </w:r>
      <w:r w:rsidR="004F35AA">
        <w:rPr>
          <w:noProof/>
        </w:rPr>
        <w:t>3</w:t>
      </w:r>
      <w:r w:rsidR="00FD20BA">
        <w:fldChar w:fldCharType="end"/>
      </w:r>
      <w:r w:rsidR="0088341A">
        <w:t xml:space="preserve">). </w:t>
      </w:r>
    </w:p>
    <w:p w:rsidR="0088341A" w:rsidRPr="00690B37" w:rsidRDefault="0088341A" w:rsidP="0088341A">
      <w:pPr>
        <w:pStyle w:val="Caption"/>
        <w:keepLines/>
      </w:pPr>
      <w:bookmarkStart w:id="87" w:name="_Ref364755421"/>
      <w:r>
        <w:t xml:space="preserve">Figure </w:t>
      </w:r>
      <w:fldSimple w:instr=" STYLEREF 1 \s ">
        <w:r w:rsidR="004F35AA">
          <w:rPr>
            <w:noProof/>
          </w:rPr>
          <w:t>8</w:t>
        </w:r>
      </w:fldSimple>
      <w:r w:rsidR="00C56A87">
        <w:t>.</w:t>
      </w:r>
      <w:fldSimple w:instr=" SEQ Figure \* ARABIC \s 1 ">
        <w:r w:rsidR="004F35AA">
          <w:rPr>
            <w:noProof/>
          </w:rPr>
          <w:t>3</w:t>
        </w:r>
      </w:fldSimple>
      <w:bookmarkEnd w:id="87"/>
      <w:r w:rsidRPr="00690B37">
        <w:tab/>
        <w:t>SP AusNet's asset works 2002–17 ($ million, 2013–14)</w:t>
      </w:r>
    </w:p>
    <w:p w:rsidR="0088341A" w:rsidRPr="00690B37" w:rsidRDefault="00E23130" w:rsidP="0088341A">
      <w:pPr>
        <w:pStyle w:val="AERtablesource"/>
        <w:keepNext/>
        <w:keepLines/>
      </w:pPr>
      <w:r w:rsidRPr="00E23130">
        <w:rPr>
          <w:noProof/>
          <w:lang w:eastAsia="en-AU"/>
        </w:rPr>
        <w:drawing>
          <wp:inline distT="0" distB="0" distL="0" distR="0" wp14:anchorId="67CA3511" wp14:editId="5362C43C">
            <wp:extent cx="5731510" cy="3195800"/>
            <wp:effectExtent l="0" t="0" r="254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195800"/>
                    </a:xfrm>
                    <a:prstGeom prst="rect">
                      <a:avLst/>
                    </a:prstGeom>
                    <a:noFill/>
                    <a:ln>
                      <a:noFill/>
                    </a:ln>
                  </pic:spPr>
                </pic:pic>
              </a:graphicData>
            </a:graphic>
          </wp:inline>
        </w:drawing>
      </w:r>
    </w:p>
    <w:p w:rsidR="00E23130" w:rsidRDefault="00E23130" w:rsidP="00E23130">
      <w:pPr>
        <w:pStyle w:val="AERtablesource"/>
      </w:pPr>
      <w:r w:rsidRPr="00680A60">
        <w:t xml:space="preserve">Source: </w:t>
      </w:r>
      <w:r w:rsidRPr="00690B37">
        <w:tab/>
        <w:t xml:space="preserve">SP AusNet, </w:t>
      </w:r>
      <w:r w:rsidRPr="00FC7C08">
        <w:rPr>
          <w:rStyle w:val="AERtextitalic"/>
        </w:rPr>
        <w:t>Response to request AER</w:t>
      </w:r>
      <w:r w:rsidR="00DC724F">
        <w:rPr>
          <w:rStyle w:val="AERtextitalic"/>
        </w:rPr>
        <w:t xml:space="preserve"> RP </w:t>
      </w:r>
      <w:r w:rsidRPr="00FC7C08">
        <w:rPr>
          <w:rStyle w:val="AERtextitalic"/>
        </w:rPr>
        <w:t>09 - revised opex model</w:t>
      </w:r>
      <w:r w:rsidR="004B3E41">
        <w:rPr>
          <w:rStyle w:val="AERtextitalic"/>
        </w:rPr>
        <w:t xml:space="preserve"> [confidential]</w:t>
      </w:r>
      <w:r w:rsidRPr="00FC7C08">
        <w:t>, 20 May 2013</w:t>
      </w:r>
      <w:r>
        <w:t xml:space="preserve">; SP AusNet, </w:t>
      </w:r>
      <w:r w:rsidRPr="00E23130">
        <w:rPr>
          <w:i/>
        </w:rPr>
        <w:t>Regulatory accounts 2012-13</w:t>
      </w:r>
      <w:r>
        <w:t xml:space="preserve">, 1 August 2013; </w:t>
      </w:r>
      <w:r w:rsidRPr="00690B37">
        <w:t>AER analysis.</w:t>
      </w:r>
    </w:p>
    <w:p w:rsidR="00E23130" w:rsidRPr="00690B37" w:rsidRDefault="00E23130" w:rsidP="00E23130">
      <w:pPr>
        <w:pStyle w:val="AERtablesource"/>
      </w:pPr>
      <w:r>
        <w:t>Note:</w:t>
      </w:r>
      <w:r>
        <w:tab/>
        <w:t>Grey indicates budget estimate data.</w:t>
      </w:r>
      <w:r w:rsidRPr="00690B37">
        <w:t xml:space="preserve"> </w:t>
      </w:r>
      <w:r w:rsidR="00A5482D">
        <w:t xml:space="preserve">Includes both asset works and asset works support costs. </w:t>
      </w:r>
    </w:p>
    <w:p w:rsidR="0088341A" w:rsidRDefault="00B36182" w:rsidP="0088341A">
      <w:pPr>
        <w:pStyle w:val="AERbodytext"/>
        <w:numPr>
          <w:ilvl w:val="0"/>
          <w:numId w:val="1"/>
        </w:numPr>
      </w:pPr>
      <w:r>
        <w:t>SP AusNet</w:t>
      </w:r>
      <w:r w:rsidR="0088341A">
        <w:t xml:space="preserve"> underspent its asset works opex forecast by $</w:t>
      </w:r>
      <w:r w:rsidR="005658E4">
        <w:t>44.3</w:t>
      </w:r>
      <w:r w:rsidR="0088341A">
        <w:t xml:space="preserve"> million</w:t>
      </w:r>
      <w:r w:rsidR="005658E4">
        <w:rPr>
          <w:rStyle w:val="FootnoteReference"/>
        </w:rPr>
        <w:footnoteReference w:id="71"/>
      </w:r>
      <w:r w:rsidR="0088341A">
        <w:t xml:space="preserve"> (4</w:t>
      </w:r>
      <w:r w:rsidR="005658E4">
        <w:t>4</w:t>
      </w:r>
      <w:r w:rsidR="0088341A">
        <w:t xml:space="preserve"> per cent) during the 2008–14 regulatory control period, for which it </w:t>
      </w:r>
      <w:r>
        <w:t>gave the following reasons</w:t>
      </w:r>
      <w:r w:rsidR="0088341A">
        <w:t xml:space="preserve">: </w:t>
      </w:r>
    </w:p>
    <w:p w:rsidR="0088341A" w:rsidRPr="00DF4B8E" w:rsidRDefault="00B36182" w:rsidP="0088341A">
      <w:pPr>
        <w:pStyle w:val="AERbulletlistfirststyle"/>
      </w:pPr>
      <w:r>
        <w:t>f</w:t>
      </w:r>
      <w:r w:rsidR="0088341A">
        <w:t>orecasting inaccuracies</w:t>
      </w:r>
      <w:r w:rsidR="0088341A" w:rsidRPr="00DF4B8E">
        <w:rPr>
          <w:rStyle w:val="FootnoteReference"/>
        </w:rPr>
        <w:footnoteReference w:id="72"/>
      </w:r>
      <w:r w:rsidR="0088341A" w:rsidRPr="00DF4B8E">
        <w:t xml:space="preserve">  </w:t>
      </w:r>
    </w:p>
    <w:p w:rsidR="0088341A" w:rsidRPr="00DF4B8E" w:rsidRDefault="00B36182" w:rsidP="0088341A">
      <w:pPr>
        <w:pStyle w:val="AERbulletlistfirststyle"/>
      </w:pPr>
      <w:r>
        <w:lastRenderedPageBreak/>
        <w:t>d</w:t>
      </w:r>
      <w:r w:rsidR="0088341A">
        <w:t>eferrals</w:t>
      </w:r>
      <w:r>
        <w:t xml:space="preserve"> </w:t>
      </w:r>
      <w:r w:rsidR="0088341A">
        <w:t>–</w:t>
      </w:r>
      <w:r>
        <w:t xml:space="preserve"> </w:t>
      </w:r>
      <w:r w:rsidR="0088341A">
        <w:t>financing const</w:t>
      </w:r>
      <w:r w:rsidR="0088341A" w:rsidRPr="00DF4B8E">
        <w:t>raints during the global financial crisis led SP AusNet to defer asset works opex to enable the continued delivery of its overall capex program (transmission, distribution and gas capex program)</w:t>
      </w:r>
      <w:r w:rsidR="0088341A" w:rsidRPr="00DF4B8E">
        <w:rPr>
          <w:rStyle w:val="FootnoteReference"/>
        </w:rPr>
        <w:footnoteReference w:id="73"/>
      </w:r>
      <w:r w:rsidR="0088341A" w:rsidRPr="00DF4B8E">
        <w:t xml:space="preserve"> </w:t>
      </w:r>
    </w:p>
    <w:p w:rsidR="0088341A" w:rsidRPr="00DF4B8E" w:rsidRDefault="00B36182" w:rsidP="0088341A">
      <w:pPr>
        <w:pStyle w:val="AERbulletlistfirststyle"/>
      </w:pPr>
      <w:r>
        <w:t>c</w:t>
      </w:r>
      <w:r w:rsidR="0088341A">
        <w:t>apitalisation of asset works</w:t>
      </w:r>
      <w:r>
        <w:t xml:space="preserve"> </w:t>
      </w:r>
      <w:r w:rsidR="0088341A">
        <w:t>–</w:t>
      </w:r>
      <w:r>
        <w:t xml:space="preserve"> </w:t>
      </w:r>
      <w:r w:rsidR="0088341A">
        <w:t>optimisation of the capex portfolio which meant that a number of asset works projects were delivered as capex rather than opex</w:t>
      </w:r>
      <w:r w:rsidR="0088341A" w:rsidRPr="00DF4B8E">
        <w:rPr>
          <w:rStyle w:val="FootnoteReference"/>
        </w:rPr>
        <w:footnoteReference w:id="74"/>
      </w:r>
      <w:r w:rsidR="0088341A" w:rsidRPr="00DF4B8E">
        <w:t xml:space="preserve">    </w:t>
      </w:r>
    </w:p>
    <w:p w:rsidR="0088341A" w:rsidRPr="00DF4B8E" w:rsidRDefault="00B36182" w:rsidP="0088341A">
      <w:pPr>
        <w:pStyle w:val="AERbulletlistfirststyle"/>
      </w:pPr>
      <w:r>
        <w:t>c</w:t>
      </w:r>
      <w:r w:rsidR="0088341A">
        <w:t>ost savings–realised through delivering projects in–house rather than outsourcing.</w:t>
      </w:r>
      <w:r w:rsidR="0088341A" w:rsidRPr="00DF4B8E">
        <w:rPr>
          <w:rStyle w:val="FootnoteReference"/>
        </w:rPr>
        <w:footnoteReference w:id="75"/>
      </w:r>
      <w:r w:rsidR="0088341A" w:rsidRPr="00DF4B8E">
        <w:t xml:space="preserve">  </w:t>
      </w:r>
    </w:p>
    <w:p w:rsidR="00246317" w:rsidRDefault="0088341A" w:rsidP="00A673C8">
      <w:pPr>
        <w:pStyle w:val="AERbodytext"/>
        <w:numPr>
          <w:ilvl w:val="0"/>
          <w:numId w:val="1"/>
        </w:numPr>
      </w:pPr>
      <w:r w:rsidRPr="002E3C67">
        <w:t xml:space="preserve">EMCa found SP AusNet's method for planning and costing its </w:t>
      </w:r>
      <w:r w:rsidR="00246317">
        <w:t>expenditure</w:t>
      </w:r>
      <w:r w:rsidR="00246317" w:rsidRPr="002E3C67">
        <w:t xml:space="preserve"> </w:t>
      </w:r>
      <w:r w:rsidRPr="002E3C67">
        <w:t>program is reasonable as a bottom up process,</w:t>
      </w:r>
      <w:r w:rsidR="00246317">
        <w:t xml:space="preserve"> but</w:t>
      </w:r>
      <w:r w:rsidRPr="002E3C67">
        <w:t xml:space="preserve"> it </w:t>
      </w:r>
      <w:r>
        <w:t xml:space="preserve">noted that as SP AusNet develops its commitment plans for asset works, </w:t>
      </w:r>
      <w:r w:rsidR="005658E4">
        <w:t xml:space="preserve">it </w:t>
      </w:r>
      <w:r>
        <w:t xml:space="preserve">will find that the actual work required is less than the indicative programs as </w:t>
      </w:r>
      <w:r w:rsidR="00193A95">
        <w:t xml:space="preserve">was </w:t>
      </w:r>
      <w:r>
        <w:t>the case in the 2008–14 regulatory control period.</w:t>
      </w:r>
      <w:r>
        <w:rPr>
          <w:rStyle w:val="FootnoteReference"/>
        </w:rPr>
        <w:footnoteReference w:id="76"/>
      </w:r>
      <w:r w:rsidRPr="002E3C67">
        <w:t xml:space="preserve"> For its 2014–17 forecast, SP AusNet used a process similar to how it built up its asset works forecast for the 2008–14 regulatory control period. Given its significant underspend in 2008–14, we consider this approach to be a weakness in the proposal, and one that led to over-forecasting the expenditure needs for the next regulatory period. </w:t>
      </w:r>
      <w:r w:rsidR="00246317">
        <w:t>Consequently, we are not satisfied that the methodology used by SP AusNet results in forecast opex for achieving the opex objectives</w:t>
      </w:r>
      <w:r w:rsidR="00246317">
        <w:rPr>
          <w:rStyle w:val="FootnoteReference"/>
        </w:rPr>
        <w:footnoteReference w:id="77"/>
      </w:r>
      <w:r w:rsidR="00246317" w:rsidRPr="00EE00CA">
        <w:t xml:space="preserve"> </w:t>
      </w:r>
      <w:r w:rsidR="00246317">
        <w:t xml:space="preserve">that reasonably reflect the opex criteria.  </w:t>
      </w:r>
    </w:p>
    <w:p w:rsidR="0088341A" w:rsidRDefault="0088341A" w:rsidP="00A673C8">
      <w:pPr>
        <w:rPr>
          <w:rStyle w:val="AERtextitalic"/>
        </w:rPr>
      </w:pPr>
      <w:r w:rsidRPr="00A673C8">
        <w:rPr>
          <w:rStyle w:val="AERbodytextChar"/>
          <w:rFonts w:eastAsia="Calibri"/>
        </w:rPr>
        <w:t>By</w:t>
      </w:r>
      <w:r w:rsidR="00607F6B" w:rsidRPr="00A673C8">
        <w:rPr>
          <w:rStyle w:val="AERbodytextChar"/>
          <w:rFonts w:eastAsia="Calibri"/>
        </w:rPr>
        <w:t xml:space="preserve"> </w:t>
      </w:r>
      <w:r w:rsidRPr="00A673C8">
        <w:rPr>
          <w:rStyle w:val="AERbodytextChar"/>
          <w:rFonts w:eastAsia="Calibri"/>
        </w:rPr>
        <w:t xml:space="preserve">contrast to </w:t>
      </w:r>
      <w:r w:rsidR="0009574F">
        <w:rPr>
          <w:rStyle w:val="AERbodytextChar"/>
          <w:rFonts w:eastAsia="Calibri"/>
        </w:rPr>
        <w:t>SP AusNet</w:t>
      </w:r>
      <w:r w:rsidRPr="00A673C8">
        <w:rPr>
          <w:rStyle w:val="AERbodytextChar"/>
          <w:rFonts w:eastAsia="Calibri"/>
        </w:rPr>
        <w:t>'s bottom up method, our revealed costs method has the advantage of linking past expenditure to forecast expenditure</w:t>
      </w:r>
      <w:r w:rsidR="00607F6B" w:rsidRPr="00A673C8">
        <w:rPr>
          <w:rStyle w:val="AERbodytextChar"/>
          <w:rFonts w:eastAsia="Calibri"/>
        </w:rPr>
        <w:t xml:space="preserve">. </w:t>
      </w:r>
      <w:r w:rsidR="00607F6B">
        <w:rPr>
          <w:rStyle w:val="AERbodytextChar"/>
          <w:rFonts w:eastAsia="Calibri"/>
        </w:rPr>
        <w:t xml:space="preserve">We consider the </w:t>
      </w:r>
      <w:r w:rsidR="00607F6B" w:rsidRPr="00A673C8">
        <w:rPr>
          <w:rStyle w:val="AERbodytextChar"/>
          <w:rFonts w:eastAsia="Calibri"/>
        </w:rPr>
        <w:t xml:space="preserve">revealed cost approach </w:t>
      </w:r>
      <w:r w:rsidR="00607F6B">
        <w:rPr>
          <w:rStyle w:val="AERbodytextChar"/>
          <w:rFonts w:eastAsia="Calibri"/>
        </w:rPr>
        <w:t xml:space="preserve">reasonably reflects the opex criteria because it </w:t>
      </w:r>
      <w:r w:rsidR="00607F6B" w:rsidRPr="00A673C8">
        <w:rPr>
          <w:rStyle w:val="AERbodytextChar"/>
          <w:rFonts w:eastAsia="Calibri"/>
        </w:rPr>
        <w:t>works in tandem with the incentive framework to provide a forecast of efficient recurrent operating expenditure.</w:t>
      </w:r>
      <w:r w:rsidR="00607F6B" w:rsidRPr="00A673C8">
        <w:rPr>
          <w:rStyle w:val="AERsuperscript"/>
        </w:rPr>
        <w:footnoteReference w:id="78"/>
      </w:r>
      <w:r w:rsidR="00607F6B" w:rsidRPr="00A673C8">
        <w:rPr>
          <w:rStyle w:val="AERbodytextChar"/>
          <w:rFonts w:eastAsia="Calibri"/>
        </w:rPr>
        <w:t xml:space="preserve"> Where a TNSP has operated under an effective incentive framework, actual past expenditure </w:t>
      </w:r>
      <w:r w:rsidR="00552661">
        <w:rPr>
          <w:rStyle w:val="AERbodytextChar"/>
          <w:rFonts w:eastAsia="Calibri"/>
        </w:rPr>
        <w:t>will</w:t>
      </w:r>
      <w:r w:rsidR="00607F6B" w:rsidRPr="00A673C8">
        <w:rPr>
          <w:rStyle w:val="AERbodytextChar"/>
          <w:rFonts w:eastAsia="Calibri"/>
        </w:rPr>
        <w:t xml:space="preserve"> be a good indicator of the efficient expenditure the TNSP requires in the future. The ex ante incentive regime provides an incentive to reduce expenditure because TNSPs can retain a portion of cost savings (i.e. by spending less than the AER's allowance) made during the regulatory control period.</w:t>
      </w:r>
      <w:r w:rsidR="008F5CAE">
        <w:t>T</w:t>
      </w:r>
      <w:r w:rsidR="00607F6B">
        <w:t xml:space="preserve">here was an efficiency benefit scheme operating in the year that SP AusNet nominated as a suitable base year. </w:t>
      </w:r>
    </w:p>
    <w:p w:rsidR="00607F6B" w:rsidRPr="005B6CF6" w:rsidRDefault="00607F6B" w:rsidP="005B6CF6">
      <w:pPr>
        <w:pStyle w:val="Heading2"/>
        <w:keepNext w:val="0"/>
        <w:keepLines w:val="0"/>
        <w:numPr>
          <w:ilvl w:val="2"/>
          <w:numId w:val="20"/>
        </w:numPr>
      </w:pPr>
      <w:bookmarkStart w:id="88" w:name="_Toc365283260"/>
      <w:r w:rsidRPr="005B6CF6">
        <w:t>SP AusNet</w:t>
      </w:r>
      <w:r w:rsidRPr="005B6CF6">
        <w:rPr>
          <w:rFonts w:hint="eastAsia"/>
        </w:rPr>
        <w:t>’</w:t>
      </w:r>
      <w:r w:rsidRPr="005B6CF6">
        <w:t>s bottom up forecasts for controllable opex</w:t>
      </w:r>
      <w:bookmarkEnd w:id="88"/>
      <w:r w:rsidRPr="005B6CF6">
        <w:t xml:space="preserve"> </w:t>
      </w:r>
    </w:p>
    <w:p w:rsidR="0088341A" w:rsidRDefault="0088341A" w:rsidP="0088341A">
      <w:pPr>
        <w:pStyle w:val="AERbodytext"/>
        <w:numPr>
          <w:ilvl w:val="0"/>
          <w:numId w:val="1"/>
        </w:numPr>
      </w:pPr>
      <w:r>
        <w:t xml:space="preserve">We applied the revealed cost opex forecasting method to assess SP AusNet's opex forecast and, to derive a substitute opex forecast. We engaged with </w:t>
      </w:r>
      <w:r w:rsidR="00956424">
        <w:t xml:space="preserve">certain </w:t>
      </w:r>
      <w:r>
        <w:t xml:space="preserve">aspects of SP AusNet's controllable opex proposal in some detail—namely, </w:t>
      </w:r>
      <w:r w:rsidR="00607F6B">
        <w:t xml:space="preserve">the bottom-up controllable opex items: </w:t>
      </w:r>
      <w:r>
        <w:t xml:space="preserve">asset works, and insurance. </w:t>
      </w:r>
    </w:p>
    <w:p w:rsidR="0088341A" w:rsidRPr="00AA076E" w:rsidRDefault="0088341A" w:rsidP="00F80035">
      <w:pPr>
        <w:pStyle w:val="HeadingBoldBlue"/>
      </w:pPr>
      <w:r w:rsidRPr="00AA076E">
        <w:rPr>
          <w:rStyle w:val="AERtextitalic"/>
          <w:i w:val="0"/>
        </w:rPr>
        <w:t>Asset works</w:t>
      </w:r>
      <w:r w:rsidRPr="00AA076E">
        <w:t xml:space="preserve"> </w:t>
      </w:r>
    </w:p>
    <w:p w:rsidR="0088341A" w:rsidRPr="00085659" w:rsidRDefault="0088341A" w:rsidP="0088341A">
      <w:pPr>
        <w:pStyle w:val="AERbodytext"/>
        <w:numPr>
          <w:ilvl w:val="0"/>
          <w:numId w:val="1"/>
        </w:numPr>
      </w:pPr>
      <w:r>
        <w:t xml:space="preserve">We do not accept SP AusNet's proposed asset works forecast of $28.4 million. We assessed asset works in conjunction with three proposed step changes </w:t>
      </w:r>
      <w:r w:rsidR="00956424">
        <w:t>that</w:t>
      </w:r>
      <w:r>
        <w:t xml:space="preserve"> SP AusNet classified (although relabelled) as asset works during 2008</w:t>
      </w:r>
      <w:r w:rsidR="00A17D31">
        <w:t>–</w:t>
      </w:r>
      <w:r>
        <w:t xml:space="preserve">14: line condition assessments ($3.9 million), corrosion risk mitigation ($9.5 million) and communications infrastructure ($2.6 million). </w:t>
      </w:r>
      <w:r w:rsidRPr="00085659">
        <w:t xml:space="preserve">We do not accept </w:t>
      </w:r>
      <w:r>
        <w:t>the total $44.4 million opex forecast</w:t>
      </w:r>
      <w:r w:rsidRPr="00085659">
        <w:t xml:space="preserve"> because: </w:t>
      </w:r>
    </w:p>
    <w:p w:rsidR="0088341A" w:rsidRPr="00085659" w:rsidRDefault="00956424" w:rsidP="0088341A">
      <w:pPr>
        <w:pStyle w:val="AERbulletlistfirststyle"/>
      </w:pPr>
      <w:r>
        <w:t>i</w:t>
      </w:r>
      <w:r w:rsidR="0088341A" w:rsidRPr="00085659">
        <w:t xml:space="preserve">t </w:t>
      </w:r>
      <w:r w:rsidR="0088341A">
        <w:t>does not reasonably reflect</w:t>
      </w:r>
      <w:r w:rsidR="0088341A" w:rsidRPr="00085659">
        <w:t xml:space="preserve"> the opex criteria, as it does not reasonably reflect the efficient cost of achieving the opex objectives and a realistic expectation of the cost inputs required to </w:t>
      </w:r>
      <w:r w:rsidR="0088341A" w:rsidRPr="00085659">
        <w:lastRenderedPageBreak/>
        <w:t xml:space="preserve">achieve those objectives. </w:t>
      </w:r>
      <w:r w:rsidR="0088341A">
        <w:t>T</w:t>
      </w:r>
      <w:r w:rsidR="0088341A" w:rsidRPr="00AE6E12">
        <w:t xml:space="preserve">he proposed </w:t>
      </w:r>
      <w:r w:rsidR="0088341A">
        <w:t xml:space="preserve">expenditure </w:t>
      </w:r>
      <w:r w:rsidR="0088341A" w:rsidRPr="00AE6E12">
        <w:t>is significantly more than the revealed costs</w:t>
      </w:r>
      <w:r w:rsidR="0088341A">
        <w:t xml:space="preserve"> forecast ($16.1 million).</w:t>
      </w:r>
      <w:r w:rsidR="0088341A">
        <w:rPr>
          <w:rStyle w:val="FootnoteReference"/>
        </w:rPr>
        <w:footnoteReference w:id="79"/>
      </w:r>
    </w:p>
    <w:p w:rsidR="0088341A" w:rsidRPr="00085659" w:rsidRDefault="00956424" w:rsidP="0088341A">
      <w:pPr>
        <w:pStyle w:val="AERbulletlistfirststyle"/>
      </w:pPr>
      <w:r>
        <w:t>u</w:t>
      </w:r>
      <w:r w:rsidR="0088341A" w:rsidRPr="00085659">
        <w:t>nder the incentive framework in which SP AusNet operates, if we accept the forecast opex as proposed, Victorian transmission users would not fairly share in the efficiencies gains which SP AusNet has achieved, which is contrary to the i</w:t>
      </w:r>
      <w:r w:rsidR="005C7E6C">
        <w:t>ntent of the efficiency benefit sharing scheme (EBSS) and the NER</w:t>
      </w:r>
      <w:r w:rsidR="0088341A" w:rsidRPr="00085659">
        <w:t>.</w:t>
      </w:r>
    </w:p>
    <w:p w:rsidR="0088341A" w:rsidRPr="00085659" w:rsidRDefault="0088341A" w:rsidP="0088341A">
      <w:pPr>
        <w:pStyle w:val="AERbulletlistfirststyle"/>
      </w:pPr>
      <w:r w:rsidRPr="00085659">
        <w:t xml:space="preserve">SP AusNet would retain about </w:t>
      </w:r>
      <w:r>
        <w:t>140</w:t>
      </w:r>
      <w:r w:rsidRPr="00085659">
        <w:t xml:space="preserve"> per cent of the efficiency benefit, when the intention of the EBSS is to share the benefits with customers at a ratio of 70 per cent to customers and 30 per cent to the business. </w:t>
      </w:r>
    </w:p>
    <w:p w:rsidR="0088341A" w:rsidRPr="00085659" w:rsidRDefault="0088341A" w:rsidP="0088341A">
      <w:pPr>
        <w:pStyle w:val="AERbulletlistfirststyle"/>
      </w:pPr>
      <w:r w:rsidRPr="00085659">
        <w:t xml:space="preserve">Victorian electricity transmission users would </w:t>
      </w:r>
      <w:r w:rsidR="00193A95">
        <w:t>be</w:t>
      </w:r>
      <w:r w:rsidRPr="00085659">
        <w:t xml:space="preserve"> pay</w:t>
      </w:r>
      <w:r w:rsidR="00193A95">
        <w:t>ing</w:t>
      </w:r>
      <w:r w:rsidRPr="00085659">
        <w:t xml:space="preserve"> twice for the same work</w:t>
      </w:r>
      <w:r>
        <w:t>,</w:t>
      </w:r>
      <w:r w:rsidRPr="00085659">
        <w:t xml:space="preserve"> which is contrary to the </w:t>
      </w:r>
      <w:r w:rsidRPr="00DF4B8E">
        <w:t>National Electricity Objective</w:t>
      </w:r>
      <w:r>
        <w:t xml:space="preserve"> (NEO)</w:t>
      </w:r>
      <w:r w:rsidRPr="00DF4B8E">
        <w:rPr>
          <w:rStyle w:val="FootnoteReference"/>
        </w:rPr>
        <w:footnoteReference w:id="80"/>
      </w:r>
      <w:r w:rsidRPr="00DF4B8E">
        <w:t xml:space="preserve"> </w:t>
      </w:r>
      <w:r w:rsidRPr="00085659">
        <w:t>and not in the long term interests of</w:t>
      </w:r>
      <w:r w:rsidR="005C7E6C">
        <w:t xml:space="preserve"> users. </w:t>
      </w:r>
    </w:p>
    <w:p w:rsidR="0088341A" w:rsidRDefault="00956424" w:rsidP="0088341A">
      <w:pPr>
        <w:pStyle w:val="AERbulletlistfirststyle"/>
      </w:pPr>
      <w:r>
        <w:t>i</w:t>
      </w:r>
      <w:r w:rsidR="0088341A" w:rsidRPr="00085659">
        <w:t>t is contrary to the Revenue and Pricing Principles</w:t>
      </w:r>
      <w:r w:rsidR="0088341A">
        <w:t xml:space="preserve"> </w:t>
      </w:r>
      <w:r w:rsidR="005C7E6C">
        <w:t xml:space="preserve">in the NEL, </w:t>
      </w:r>
      <w:r w:rsidR="0088341A">
        <w:t xml:space="preserve">because </w:t>
      </w:r>
      <w:r w:rsidR="0088341A" w:rsidRPr="00085659">
        <w:t>it undermines the incentive framework and does not provide an effective incentive to promote economic efficiency.</w:t>
      </w:r>
      <w:r w:rsidR="0088341A" w:rsidRPr="000C66DB">
        <w:rPr>
          <w:rStyle w:val="FootnoteReference"/>
        </w:rPr>
        <w:footnoteReference w:id="81"/>
      </w:r>
      <w:r w:rsidR="0088341A" w:rsidRPr="00085659">
        <w:t xml:space="preserve"> </w:t>
      </w:r>
    </w:p>
    <w:p w:rsidR="00607F6B" w:rsidRDefault="0088341A" w:rsidP="0088341A">
      <w:pPr>
        <w:pStyle w:val="AERbodytext"/>
        <w:numPr>
          <w:ilvl w:val="0"/>
          <w:numId w:val="1"/>
        </w:numPr>
      </w:pPr>
      <w:r>
        <w:t xml:space="preserve">The asset works component of our </w:t>
      </w:r>
      <w:r w:rsidR="005C7E6C">
        <w:t xml:space="preserve">total </w:t>
      </w:r>
      <w:r>
        <w:t xml:space="preserve">revealed costs </w:t>
      </w:r>
      <w:r w:rsidR="005C7E6C">
        <w:t xml:space="preserve">opex </w:t>
      </w:r>
      <w:r>
        <w:t>forecast is $16.1 million. We consider that our forecast opex allowance will be sufficient for SP AusNet to achieve its opex objectives.</w:t>
      </w:r>
      <w:r>
        <w:rPr>
          <w:rStyle w:val="FootnoteReference"/>
        </w:rPr>
        <w:footnoteReference w:id="82"/>
      </w:r>
      <w:r>
        <w:t xml:space="preserve"> </w:t>
      </w:r>
    </w:p>
    <w:p w:rsidR="0088341A" w:rsidRDefault="005C7E6C" w:rsidP="0088341A">
      <w:pPr>
        <w:pStyle w:val="AERbodytext"/>
        <w:numPr>
          <w:ilvl w:val="0"/>
          <w:numId w:val="1"/>
        </w:numPr>
      </w:pPr>
      <w:r>
        <w:t>Appendix E stets out our detailed consideration of asset works opex.</w:t>
      </w:r>
    </w:p>
    <w:p w:rsidR="0088341A" w:rsidRPr="0086416D" w:rsidRDefault="0088341A" w:rsidP="00A673C8">
      <w:pPr>
        <w:pStyle w:val="HeadingBoldBlue"/>
      </w:pPr>
      <w:r w:rsidRPr="0086416D">
        <w:t xml:space="preserve">Insurance </w:t>
      </w:r>
    </w:p>
    <w:p w:rsidR="0088341A" w:rsidRPr="002C73C5" w:rsidRDefault="0088341A" w:rsidP="0088341A">
      <w:pPr>
        <w:pStyle w:val="AERbodytext"/>
        <w:numPr>
          <w:ilvl w:val="0"/>
          <w:numId w:val="1"/>
        </w:numPr>
      </w:pPr>
      <w:r>
        <w:t>We do not accept SP AusNet's insurance forecast of $19.0 million because i</w:t>
      </w:r>
      <w:r w:rsidRPr="002C73C5">
        <w:t>t does not reasonably r</w:t>
      </w:r>
      <w:r w:rsidR="005C7E6C">
        <w:t xml:space="preserve">eflect the opex criteria. The forecast </w:t>
      </w:r>
      <w:r w:rsidRPr="002C73C5">
        <w:t xml:space="preserve">does not reasonably reflect the efficient cost of achieving the opex objectives and a realistic expectation of the cost inputs required </w:t>
      </w:r>
      <w:r w:rsidR="005C7E6C">
        <w:t>to achieve those objectives. Further, the</w:t>
      </w:r>
      <w:r w:rsidRPr="002C73C5">
        <w:t xml:space="preserve"> proposed expenditure is significantly more than the revealed costs forecast ($1</w:t>
      </w:r>
      <w:r>
        <w:t>1.0</w:t>
      </w:r>
      <w:r w:rsidRPr="002C73C5">
        <w:t xml:space="preserve"> million). </w:t>
      </w:r>
    </w:p>
    <w:p w:rsidR="0088341A" w:rsidRDefault="0088341A" w:rsidP="0088341A">
      <w:pPr>
        <w:pStyle w:val="AERbodytext"/>
        <w:numPr>
          <w:ilvl w:val="0"/>
          <w:numId w:val="1"/>
        </w:numPr>
      </w:pPr>
      <w:r>
        <w:t xml:space="preserve">We accepted AM Actuaries’ advice that SP AusNet's </w:t>
      </w:r>
      <w:r w:rsidRPr="00C91DBD">
        <w:t xml:space="preserve">proposed premium escalation factors are higher than a reasonable expectation of future premium increases for each class of insurance. </w:t>
      </w:r>
      <w:r>
        <w:t xml:space="preserve">SP AusNet </w:t>
      </w:r>
      <w:r w:rsidRPr="00C91DBD">
        <w:t xml:space="preserve">increased the share of its insurance costs allocated to its transmission business for some of its insurances but did not provide sufficient evidence to justify this reallocation. Further, it included some insurance costs associated with its un-regulated businesses as well as </w:t>
      </w:r>
      <w:r w:rsidR="005C7E6C">
        <w:t>a fire services levy (FSL) that</w:t>
      </w:r>
      <w:r w:rsidRPr="00C91DBD">
        <w:t xml:space="preserve"> ceased on </w:t>
      </w:r>
      <w:r>
        <w:t>1 </w:t>
      </w:r>
      <w:r w:rsidRPr="00C91DBD">
        <w:t>July</w:t>
      </w:r>
      <w:r>
        <w:t> </w:t>
      </w:r>
      <w:r w:rsidRPr="00C91DBD">
        <w:t>2013</w:t>
      </w:r>
      <w:r>
        <w:t xml:space="preserve">. </w:t>
      </w:r>
    </w:p>
    <w:p w:rsidR="0088341A" w:rsidRDefault="0088341A" w:rsidP="0088341A">
      <w:pPr>
        <w:pStyle w:val="AERbodytext"/>
        <w:numPr>
          <w:ilvl w:val="0"/>
          <w:numId w:val="1"/>
        </w:numPr>
      </w:pPr>
      <w:r>
        <w:t xml:space="preserve">We substituted a forecast of $11.0 million for insurance using the revealed costs method. We applied step changes to: remove the FSL and unregulated costs; allow for </w:t>
      </w:r>
      <w:r w:rsidR="00330E3D">
        <w:t xml:space="preserve">specific </w:t>
      </w:r>
      <w:r>
        <w:t xml:space="preserve">increased costs and to </w:t>
      </w:r>
      <w:r w:rsidRPr="00E6387A">
        <w:t xml:space="preserve">capture </w:t>
      </w:r>
      <w:r>
        <w:t>SP AusNet’s most recent premiums (2012–13). The net impact is a negative step change.</w:t>
      </w:r>
    </w:p>
    <w:p w:rsidR="0088341A" w:rsidRPr="00783639" w:rsidRDefault="005C7E6C" w:rsidP="0088341A">
      <w:pPr>
        <w:pStyle w:val="AERbodytext"/>
        <w:numPr>
          <w:ilvl w:val="0"/>
          <w:numId w:val="1"/>
        </w:numPr>
      </w:pPr>
      <w:r>
        <w:t>Appendix B sets out our detailed</w:t>
      </w:r>
      <w:r w:rsidR="0088341A">
        <w:t xml:space="preserve"> consideration of this</w:t>
      </w:r>
      <w:r>
        <w:t xml:space="preserve"> issue</w:t>
      </w:r>
      <w:r w:rsidR="0088341A">
        <w:t>.</w:t>
      </w:r>
    </w:p>
    <w:p w:rsidR="00607F6B" w:rsidRPr="009D0A1D" w:rsidRDefault="00607F6B" w:rsidP="009D0A1D">
      <w:pPr>
        <w:pStyle w:val="Heading3"/>
        <w:numPr>
          <w:ilvl w:val="3"/>
          <w:numId w:val="20"/>
        </w:numPr>
      </w:pPr>
      <w:r w:rsidRPr="009D0A1D">
        <w:lastRenderedPageBreak/>
        <w:t>Base-step-trend forecast for controllable opex</w:t>
      </w:r>
    </w:p>
    <w:p w:rsidR="0088341A" w:rsidRPr="0086416D" w:rsidRDefault="0088341A" w:rsidP="00A673C8">
      <w:pPr>
        <w:pStyle w:val="HeadingBoldBlue"/>
      </w:pPr>
      <w:r w:rsidRPr="0086416D">
        <w:t>Efficient base year costs</w:t>
      </w:r>
    </w:p>
    <w:p w:rsidR="0088341A" w:rsidRDefault="0088341A" w:rsidP="0088341A">
      <w:pPr>
        <w:pStyle w:val="AERbodytext"/>
        <w:numPr>
          <w:ilvl w:val="0"/>
          <w:numId w:val="1"/>
        </w:numPr>
      </w:pPr>
      <w:r w:rsidRPr="00907EEF">
        <w:t>SP AusNet proposed 2011</w:t>
      </w:r>
      <w:r>
        <w:t>–</w:t>
      </w:r>
      <w:r w:rsidRPr="00907EEF">
        <w:t xml:space="preserve">12 as a base year for its maintenance and support opex (but not </w:t>
      </w:r>
      <w:r w:rsidR="005C7E6C">
        <w:t xml:space="preserve">for </w:t>
      </w:r>
      <w:r w:rsidRPr="00907EEF">
        <w:t>insurance or asset works</w:t>
      </w:r>
      <w:r w:rsidR="005C7E6C">
        <w:t xml:space="preserve"> opex</w:t>
      </w:r>
      <w:r w:rsidRPr="00907EEF">
        <w:t xml:space="preserve">). We accept the year </w:t>
      </w:r>
      <w:r>
        <w:t xml:space="preserve">as a reference, </w:t>
      </w:r>
      <w:r w:rsidRPr="00907EEF">
        <w:t xml:space="preserve">but do not accept </w:t>
      </w:r>
      <w:r>
        <w:t>the</w:t>
      </w:r>
      <w:r w:rsidRPr="00907EEF">
        <w:t xml:space="preserve"> forecast because </w:t>
      </w:r>
      <w:r>
        <w:t>SP AusNet</w:t>
      </w:r>
      <w:r w:rsidRPr="00907EEF">
        <w:t xml:space="preserve"> </w:t>
      </w:r>
      <w:r>
        <w:t xml:space="preserve">included some costs in its base year for accrued </w:t>
      </w:r>
      <w:r w:rsidRPr="00907EEF">
        <w:t xml:space="preserve">provisional </w:t>
      </w:r>
      <w:r>
        <w:t>liabilities ($0.62 million) that do not represent actual</w:t>
      </w:r>
      <w:r w:rsidR="005C7E6C">
        <w:t xml:space="preserve"> costs incurred in the year. SP AusNet thus overestimated the</w:t>
      </w:r>
      <w:r>
        <w:t xml:space="preserve"> base-year component of its forecast. </w:t>
      </w:r>
    </w:p>
    <w:p w:rsidR="0088341A" w:rsidRDefault="0088341A" w:rsidP="0088341A">
      <w:pPr>
        <w:pStyle w:val="AERbodytext"/>
        <w:numPr>
          <w:ilvl w:val="0"/>
          <w:numId w:val="1"/>
        </w:numPr>
      </w:pPr>
      <w:r>
        <w:t>Our substitute forecast used base year costs for all controllable opex (including insurance and asset works) and adjusted to remove the provisional liabilities for employee entitlements.</w:t>
      </w:r>
    </w:p>
    <w:p w:rsidR="0088341A" w:rsidRDefault="0088341A" w:rsidP="00A673C8">
      <w:pPr>
        <w:pStyle w:val="HeadingBoldBlue"/>
      </w:pPr>
      <w:r>
        <w:t xml:space="preserve">Step changes </w:t>
      </w:r>
    </w:p>
    <w:p w:rsidR="0088341A" w:rsidRDefault="0088341A" w:rsidP="0088341A">
      <w:pPr>
        <w:pStyle w:val="AERnumberedlistfirststyle"/>
        <w:numPr>
          <w:ilvl w:val="0"/>
          <w:numId w:val="0"/>
        </w:numPr>
      </w:pPr>
      <w:r w:rsidRPr="0090227D">
        <w:t>We</w:t>
      </w:r>
      <w:r w:rsidR="005C7E6C">
        <w:t xml:space="preserve"> may </w:t>
      </w:r>
      <w:r w:rsidRPr="0090227D">
        <w:t xml:space="preserve">add step changes for other efficient costs not reflected in base opex. The main consideration for step changes is </w:t>
      </w:r>
      <w:r w:rsidR="005C7E6C">
        <w:t>whether</w:t>
      </w:r>
      <w:r w:rsidRPr="0090227D">
        <w:t xml:space="preserve"> regulatory obligations</w:t>
      </w:r>
      <w:r w:rsidR="005C7E6C">
        <w:t xml:space="preserve"> have changed</w:t>
      </w:r>
      <w:r w:rsidRPr="0090227D">
        <w:t xml:space="preserve">. </w:t>
      </w:r>
      <w:r w:rsidR="005C7E6C">
        <w:t>A s</w:t>
      </w:r>
      <w:r w:rsidRPr="0090227D">
        <w:t>tep change</w:t>
      </w:r>
      <w:r>
        <w:t xml:space="preserve"> should</w:t>
      </w:r>
      <w:r w:rsidRPr="0090227D">
        <w:t xml:space="preserve"> relate to an </w:t>
      </w:r>
      <w:r w:rsidR="005C7E6C">
        <w:t xml:space="preserve">new or changed </w:t>
      </w:r>
      <w:r w:rsidRPr="0090227D">
        <w:t xml:space="preserve">obligation placed upon the </w:t>
      </w:r>
      <w:r>
        <w:t>T</w:t>
      </w:r>
      <w:r w:rsidRPr="0090227D">
        <w:t>NSP</w:t>
      </w:r>
      <w:r w:rsidR="005C7E6C">
        <w:t xml:space="preserve">, </w:t>
      </w:r>
      <w:r w:rsidRPr="0090227D">
        <w:t xml:space="preserve">or </w:t>
      </w:r>
      <w:r w:rsidR="005C7E6C">
        <w:t xml:space="preserve">to </w:t>
      </w:r>
      <w:r w:rsidRPr="0090227D">
        <w:t>some change in its operating environment beyond its control. A step change should not be provided if a</w:t>
      </w:r>
      <w:r>
        <w:t xml:space="preserve"> T</w:t>
      </w:r>
      <w:r w:rsidRPr="0090227D">
        <w:t xml:space="preserve">NSP simply wants to </w:t>
      </w:r>
      <w:r w:rsidR="005C7E6C">
        <w:t>operate</w:t>
      </w:r>
      <w:r w:rsidRPr="0090227D">
        <w:t xml:space="preserve"> differently.</w:t>
      </w:r>
      <w:r>
        <w:t xml:space="preserve"> </w:t>
      </w:r>
    </w:p>
    <w:p w:rsidR="00BC2954" w:rsidRDefault="0088341A" w:rsidP="00BC2954">
      <w:pPr>
        <w:pStyle w:val="AERnumberedlistfirststyle"/>
        <w:numPr>
          <w:ilvl w:val="0"/>
          <w:numId w:val="0"/>
        </w:numPr>
      </w:pPr>
      <w:r w:rsidRPr="00E02156">
        <w:t xml:space="preserve">We </w:t>
      </w:r>
      <w:r>
        <w:t xml:space="preserve">do not accept the amount of </w:t>
      </w:r>
      <w:r w:rsidRPr="00E02156">
        <w:t>1</w:t>
      </w:r>
      <w:r>
        <w:t>1</w:t>
      </w:r>
      <w:r w:rsidRPr="00E02156">
        <w:t xml:space="preserve"> of </w:t>
      </w:r>
      <w:r>
        <w:t>the</w:t>
      </w:r>
      <w:r w:rsidRPr="00E02156">
        <w:t xml:space="preserve"> 12 proposed step changes ($32.5 million) </w:t>
      </w:r>
      <w:r>
        <w:t xml:space="preserve">because the expenditure </w:t>
      </w:r>
      <w:r w:rsidR="007C18AF">
        <w:t>does</w:t>
      </w:r>
      <w:r w:rsidRPr="00E02156">
        <w:t xml:space="preserve"> not </w:t>
      </w:r>
      <w:r>
        <w:t>reasonably reflect</w:t>
      </w:r>
      <w:r w:rsidRPr="00E02156">
        <w:t xml:space="preserve"> the opex objectives.</w:t>
      </w:r>
      <w:r>
        <w:t xml:space="preserve"> We found most o</w:t>
      </w:r>
      <w:r w:rsidR="007C18AF">
        <w:t>f the proposed step changes are</w:t>
      </w:r>
      <w:r>
        <w:t xml:space="preserve"> not driven by </w:t>
      </w:r>
      <w:r w:rsidR="007C18AF">
        <w:t>new obligations or, if they are</w:t>
      </w:r>
      <w:r>
        <w:t>, SP AusNet has no requirement for incremental expenditure. SP AusNet did not provide evidence of the current expenditure, so we could not be satisfied that the proposed costs are net of current expenditure. EMCa</w:t>
      </w:r>
      <w:r w:rsidRPr="00C91DBD">
        <w:t xml:space="preserve"> </w:t>
      </w:r>
      <w:r>
        <w:t xml:space="preserve">also </w:t>
      </w:r>
      <w:r w:rsidRPr="00C91DBD">
        <w:t xml:space="preserve">found </w:t>
      </w:r>
      <w:r>
        <w:t>some</w:t>
      </w:r>
      <w:r w:rsidRPr="00C91DBD">
        <w:t xml:space="preserve"> double counting</w:t>
      </w:r>
      <w:r>
        <w:t xml:space="preserve"> in some of the proposed step changes. </w:t>
      </w:r>
      <w:r w:rsidR="00BC2954">
        <w:t xml:space="preserve">However, we accept that SP AusNet has an additional opex requirement for two of the step changes, but we do not accept the amount proposed. </w:t>
      </w:r>
    </w:p>
    <w:p w:rsidR="0088341A" w:rsidRDefault="0088341A" w:rsidP="0088341A">
      <w:pPr>
        <w:pStyle w:val="AERnumberedlistfirststyle"/>
        <w:numPr>
          <w:ilvl w:val="0"/>
          <w:numId w:val="0"/>
        </w:numPr>
      </w:pPr>
      <w:r>
        <w:t xml:space="preserve">These are set out in </w:t>
      </w:r>
      <w:r>
        <w:fldChar w:fldCharType="begin"/>
      </w:r>
      <w:r>
        <w:instrText xml:space="preserve"> REF _Ref360728196 \h </w:instrText>
      </w:r>
      <w:r>
        <w:fldChar w:fldCharType="separate"/>
      </w:r>
      <w:r w:rsidR="004F35AA" w:rsidRPr="00E02156">
        <w:t xml:space="preserve">Table </w:t>
      </w:r>
      <w:r w:rsidR="004F35AA">
        <w:rPr>
          <w:noProof/>
        </w:rPr>
        <w:t>8</w:t>
      </w:r>
      <w:r w:rsidR="004F35AA">
        <w:t>.</w:t>
      </w:r>
      <w:r w:rsidR="004F35AA">
        <w:rPr>
          <w:noProof/>
        </w:rPr>
        <w:t>3</w:t>
      </w:r>
      <w:r>
        <w:fldChar w:fldCharType="end"/>
      </w:r>
      <w:r>
        <w:t>.</w:t>
      </w:r>
    </w:p>
    <w:p w:rsidR="0088341A" w:rsidRPr="00A673C8" w:rsidRDefault="0088341A" w:rsidP="00A673C8">
      <w:pPr>
        <w:pStyle w:val="HeadingBoldItalic"/>
        <w:rPr>
          <w:rStyle w:val="AERtextitalic"/>
          <w:i/>
        </w:rPr>
      </w:pPr>
      <w:r w:rsidRPr="00A673C8">
        <w:rPr>
          <w:rStyle w:val="AERtextitalic"/>
          <w:i/>
        </w:rPr>
        <w:t>SCADA enhancements–controller simulator training ($0.9 million)</w:t>
      </w:r>
    </w:p>
    <w:p w:rsidR="0088341A" w:rsidRPr="008411E2" w:rsidRDefault="0088341A" w:rsidP="0088341A">
      <w:pPr>
        <w:pStyle w:val="AERbodytext"/>
        <w:numPr>
          <w:ilvl w:val="0"/>
          <w:numId w:val="1"/>
        </w:numPr>
        <w:rPr>
          <w:rStyle w:val="AERsuperscript"/>
        </w:rPr>
      </w:pPr>
      <w:r w:rsidRPr="00DB275C">
        <w:t>SP AusNet proposed new IT opex totalling $0.9 million for the development of a new training system for network controllers. Currently, it trains staff using the live network under supervised controls but as part of its capex proposal, it proposed to develop a controller simulation training program (which we accept meets the capex objectives).</w:t>
      </w:r>
      <w:r w:rsidRPr="008411E2">
        <w:rPr>
          <w:rStyle w:val="AERsuperscript"/>
        </w:rPr>
        <w:footnoteReference w:id="83"/>
      </w:r>
      <w:r w:rsidRPr="008411E2">
        <w:rPr>
          <w:rStyle w:val="AERsuperscript"/>
        </w:rPr>
        <w:t xml:space="preserve"> </w:t>
      </w:r>
      <w:r w:rsidRPr="00DB275C">
        <w:t>This step change is for additional 1.5 full time equivalent staff to develop and build test scenarios in relation to that capex program.</w:t>
      </w:r>
      <w:r>
        <w:t xml:space="preserve"> </w:t>
      </w:r>
      <w:r w:rsidRPr="00DB275C">
        <w:t>We accept this step change because it represents good industry practice and reflects what many other TNSPs are implementing. We consider the reduction in risk from the program’s development directly benefits consumers. EMCa recommended accepting the step change, noting the program is good industry practice and used by other TNSPs internationally.</w:t>
      </w:r>
      <w:r w:rsidRPr="008411E2">
        <w:rPr>
          <w:rStyle w:val="AERsuperscript"/>
        </w:rPr>
        <w:footnoteReference w:id="84"/>
      </w:r>
      <w:r w:rsidRPr="008411E2">
        <w:rPr>
          <w:rStyle w:val="AERsuperscript"/>
        </w:rPr>
        <w:t xml:space="preserve"> </w:t>
      </w:r>
      <w:r w:rsidRPr="008411E2">
        <w:rPr>
          <w:rStyle w:val="AERsuperscript"/>
        </w:rPr>
        <w:footnoteReference w:id="85"/>
      </w:r>
    </w:p>
    <w:p w:rsidR="0088341A" w:rsidRPr="00A673C8" w:rsidRDefault="0088341A" w:rsidP="00A673C8">
      <w:pPr>
        <w:pStyle w:val="HeadingBoldItalic"/>
      </w:pPr>
      <w:r w:rsidRPr="00A673C8">
        <w:t>Transitional arrangements for the Economic Regulation of NSPs rule change ($1.8 million)</w:t>
      </w:r>
    </w:p>
    <w:p w:rsidR="0088341A" w:rsidRDefault="0088341A" w:rsidP="0088341A">
      <w:pPr>
        <w:pStyle w:val="AERbodytext"/>
        <w:numPr>
          <w:ilvl w:val="0"/>
          <w:numId w:val="1"/>
        </w:numPr>
      </w:pPr>
      <w:r>
        <w:t xml:space="preserve">SP AusNet proposed a $2.8 million step change </w:t>
      </w:r>
      <w:r w:rsidRPr="00DD1643">
        <w:t>for the transitional arrangements resulting from the Australian Energy Market Commission’s (AEMC) rule change for the economic regulation of network service providers.</w:t>
      </w:r>
      <w:r w:rsidRPr="00DD1643">
        <w:rPr>
          <w:rStyle w:val="FootnoteReference"/>
        </w:rPr>
        <w:footnoteReference w:id="86"/>
      </w:r>
      <w:r w:rsidRPr="00DD1643">
        <w:t xml:space="preserve"> We do not accept this step change </w:t>
      </w:r>
      <w:r>
        <w:t xml:space="preserve">costs </w:t>
      </w:r>
      <w:r w:rsidRPr="00DD1643">
        <w:t>a</w:t>
      </w:r>
      <w:r>
        <w:t xml:space="preserve">s proposed, because we consider SP AusNet's </w:t>
      </w:r>
      <w:r w:rsidRPr="00DD1643">
        <w:t xml:space="preserve">proposed opex is more than </w:t>
      </w:r>
      <w:r>
        <w:t xml:space="preserve">what is </w:t>
      </w:r>
      <w:r w:rsidRPr="00DD1643">
        <w:t xml:space="preserve">reasonably required to meet the opex objectives. </w:t>
      </w:r>
      <w:r>
        <w:lastRenderedPageBreak/>
        <w:t xml:space="preserve">But we do </w:t>
      </w:r>
      <w:r w:rsidRPr="00DD1643">
        <w:t>accept a one-off (non-recurrent) step change of $1.9 million is required</w:t>
      </w:r>
      <w:r>
        <w:t>.</w:t>
      </w:r>
      <w:r w:rsidRPr="00DD1643">
        <w:t xml:space="preserve"> We used actual costs in </w:t>
      </w:r>
      <w:r>
        <w:t>2012–13</w:t>
      </w:r>
      <w:r w:rsidRPr="00DD1643">
        <w:t xml:space="preserve"> and </w:t>
      </w:r>
      <w:r>
        <w:t>2013–14</w:t>
      </w:r>
      <w:r w:rsidRPr="00DD1643">
        <w:t xml:space="preserve"> to estimate the cost of preparing a future transmission regulatory proposal.</w:t>
      </w:r>
    </w:p>
    <w:p w:rsidR="0088341A" w:rsidRDefault="0088341A" w:rsidP="00A673C8">
      <w:pPr>
        <w:pStyle w:val="HeadingBoldItalic"/>
      </w:pPr>
      <w:r>
        <w:t>Security of criti</w:t>
      </w:r>
      <w:r w:rsidR="004D1525">
        <w:t>cal infrastructure (C-i-C)</w:t>
      </w:r>
    </w:p>
    <w:p w:rsidR="0088341A" w:rsidRDefault="0088341A" w:rsidP="0088341A">
      <w:pPr>
        <w:pStyle w:val="AERbodytext"/>
        <w:numPr>
          <w:ilvl w:val="0"/>
          <w:numId w:val="1"/>
        </w:numPr>
      </w:pPr>
      <w:r>
        <w:t>We do not accept SP AusNe</w:t>
      </w:r>
      <w:r w:rsidR="008A785B">
        <w:t>t's proposed step change of $4.8</w:t>
      </w:r>
      <w:r>
        <w:t xml:space="preserve"> million for the security of critical infrastructure. Most costs associated with this step change are not driven by new business or legislative requirements. And much of this step change comprises practices that we expect a prudent TNSP would already undertake. Further, the TNSP should demonstrate opex savings as a result of undertaking the proposed activities. However, we do recognise some additional costs are required due to legislative requirements. </w:t>
      </w:r>
    </w:p>
    <w:p w:rsidR="0088341A" w:rsidRPr="00E02156" w:rsidRDefault="0088341A" w:rsidP="00115E8B">
      <w:pPr>
        <w:pStyle w:val="Caption"/>
        <w:keepLines/>
      </w:pPr>
      <w:bookmarkStart w:id="89" w:name="_Ref360728196"/>
      <w:r w:rsidRPr="00E02156">
        <w:t xml:space="preserve">Table </w:t>
      </w:r>
      <w:fldSimple w:instr=" STYLEREF 1 \s ">
        <w:r w:rsidR="004F35AA">
          <w:rPr>
            <w:noProof/>
          </w:rPr>
          <w:t>8</w:t>
        </w:r>
      </w:fldSimple>
      <w:r w:rsidR="00C56A87">
        <w:t>.</w:t>
      </w:r>
      <w:fldSimple w:instr=" SEQ Table \* ARABIC \s 1 ">
        <w:r w:rsidR="004F35AA">
          <w:rPr>
            <w:noProof/>
          </w:rPr>
          <w:t>3</w:t>
        </w:r>
      </w:fldSimple>
      <w:bookmarkEnd w:id="89"/>
      <w:r w:rsidRPr="00E02156">
        <w:tab/>
      </w:r>
      <w:r w:rsidR="007C18AF">
        <w:t>AER’s draft decision on SP AusNet’s proposed opex step changes</w:t>
      </w:r>
      <w:r w:rsidRPr="00E02156">
        <w:t xml:space="preserve"> ($ million, 2013–14)</w:t>
      </w:r>
    </w:p>
    <w:tbl>
      <w:tblPr>
        <w:tblStyle w:val="AERtable-text"/>
        <w:tblW w:w="5181" w:type="pct"/>
        <w:tblLayout w:type="fixed"/>
        <w:tblLook w:val="04A0" w:firstRow="1" w:lastRow="0" w:firstColumn="1" w:lastColumn="0" w:noHBand="0" w:noVBand="1"/>
      </w:tblPr>
      <w:tblGrid>
        <w:gridCol w:w="1872"/>
        <w:gridCol w:w="736"/>
        <w:gridCol w:w="734"/>
        <w:gridCol w:w="881"/>
        <w:gridCol w:w="5354"/>
      </w:tblGrid>
      <w:tr w:rsidR="0088341A" w:rsidRPr="005658E4" w:rsidTr="00115E8B">
        <w:trPr>
          <w:cnfStyle w:val="100000000000" w:firstRow="1" w:lastRow="0" w:firstColumn="0" w:lastColumn="0" w:oddVBand="0" w:evenVBand="0" w:oddHBand="0" w:evenHBand="0" w:firstRowFirstColumn="0" w:firstRowLastColumn="0" w:lastRowFirstColumn="0" w:lastRowLastColumn="0"/>
        </w:trPr>
        <w:tc>
          <w:tcPr>
            <w:tcW w:w="978" w:type="pct"/>
          </w:tcPr>
          <w:p w:rsidR="0088341A" w:rsidRPr="00D77DC9" w:rsidRDefault="0088341A" w:rsidP="00155765">
            <w:pPr>
              <w:pStyle w:val="AERtabletextleft"/>
              <w:rPr>
                <w:b w:val="0"/>
                <w:color w:val="auto"/>
                <w:lang w:eastAsia="en-US"/>
              </w:rPr>
            </w:pPr>
            <w:r w:rsidRPr="005658E4">
              <w:t>Proposed step change</w:t>
            </w:r>
          </w:p>
        </w:tc>
        <w:tc>
          <w:tcPr>
            <w:tcW w:w="384" w:type="pct"/>
          </w:tcPr>
          <w:p w:rsidR="0088341A" w:rsidRPr="00155765" w:rsidRDefault="0088341A" w:rsidP="00155765">
            <w:pPr>
              <w:pStyle w:val="AERtabletextright"/>
            </w:pPr>
            <w:r w:rsidRPr="005658E4">
              <w:t>SPA</w:t>
            </w:r>
          </w:p>
        </w:tc>
        <w:tc>
          <w:tcPr>
            <w:tcW w:w="383" w:type="pct"/>
          </w:tcPr>
          <w:p w:rsidR="0088341A" w:rsidRPr="00155765" w:rsidRDefault="0088341A" w:rsidP="00155765">
            <w:pPr>
              <w:pStyle w:val="AERtabletextright"/>
            </w:pPr>
            <w:r w:rsidRPr="005658E4">
              <w:t>AER</w:t>
            </w:r>
          </w:p>
        </w:tc>
        <w:tc>
          <w:tcPr>
            <w:tcW w:w="460" w:type="pct"/>
          </w:tcPr>
          <w:p w:rsidR="0088341A" w:rsidRPr="00155765" w:rsidRDefault="0088341A" w:rsidP="00155765">
            <w:pPr>
              <w:pStyle w:val="AERtabletextleft"/>
            </w:pPr>
          </w:p>
        </w:tc>
        <w:tc>
          <w:tcPr>
            <w:tcW w:w="2794" w:type="pct"/>
          </w:tcPr>
          <w:p w:rsidR="0088341A" w:rsidRPr="00155765" w:rsidRDefault="0088341A" w:rsidP="00155765">
            <w:pPr>
              <w:pStyle w:val="AERtabletextleft"/>
            </w:pPr>
            <w:r w:rsidRPr="005658E4">
              <w:t>AER's reasons</w:t>
            </w:r>
          </w:p>
        </w:tc>
      </w:tr>
      <w:tr w:rsidR="0088341A" w:rsidRPr="005658E4" w:rsidTr="00115E8B">
        <w:tc>
          <w:tcPr>
            <w:tcW w:w="978" w:type="pct"/>
          </w:tcPr>
          <w:p w:rsidR="0088341A" w:rsidRPr="00D77DC9" w:rsidRDefault="0088341A" w:rsidP="00155765">
            <w:pPr>
              <w:pStyle w:val="AERtabletextleft"/>
              <w:rPr>
                <w:lang w:eastAsia="en-US"/>
              </w:rPr>
            </w:pPr>
            <w:r w:rsidRPr="005658E4">
              <w:t>Overhead line condition assessment</w:t>
            </w:r>
          </w:p>
        </w:tc>
        <w:tc>
          <w:tcPr>
            <w:tcW w:w="384" w:type="pct"/>
          </w:tcPr>
          <w:p w:rsidR="0088341A" w:rsidRPr="00155765" w:rsidRDefault="0088341A" w:rsidP="00155765">
            <w:pPr>
              <w:pStyle w:val="AERtabletextright"/>
            </w:pPr>
            <w:r w:rsidRPr="005658E4">
              <w:t>3.9</w:t>
            </w:r>
          </w:p>
        </w:tc>
        <w:tc>
          <w:tcPr>
            <w:tcW w:w="383" w:type="pct"/>
          </w:tcPr>
          <w:p w:rsidR="0088341A" w:rsidRPr="00155765" w:rsidRDefault="00155765" w:rsidP="00155765">
            <w:pPr>
              <w:pStyle w:val="AERtabletextright"/>
            </w:pPr>
            <w:r>
              <w:t>0</w:t>
            </w:r>
            <w:r w:rsidR="0088341A" w:rsidRPr="005658E4">
              <w:t>.0</w:t>
            </w:r>
          </w:p>
        </w:tc>
        <w:tc>
          <w:tcPr>
            <w:tcW w:w="460" w:type="pct"/>
          </w:tcPr>
          <w:p w:rsidR="0088341A" w:rsidRPr="00155765" w:rsidRDefault="0088341A" w:rsidP="00155765">
            <w:pPr>
              <w:pStyle w:val="AERtabletextleft"/>
            </w:pPr>
            <w:r w:rsidRPr="005658E4">
              <w:t>Not accept</w:t>
            </w:r>
          </w:p>
        </w:tc>
        <w:tc>
          <w:tcPr>
            <w:tcW w:w="2794" w:type="pct"/>
          </w:tcPr>
          <w:p w:rsidR="0088341A" w:rsidRPr="00155765" w:rsidRDefault="0088341A" w:rsidP="00155765">
            <w:pPr>
              <w:pStyle w:val="AERtabletextleft"/>
            </w:pPr>
            <w:r w:rsidRPr="005658E4">
              <w:t xml:space="preserve">See assessment of asset works opex </w:t>
            </w:r>
          </w:p>
        </w:tc>
      </w:tr>
      <w:tr w:rsidR="0088341A" w:rsidRPr="005658E4" w:rsidTr="00115E8B">
        <w:trPr>
          <w:cnfStyle w:val="000000010000" w:firstRow="0" w:lastRow="0" w:firstColumn="0" w:lastColumn="0" w:oddVBand="0" w:evenVBand="0" w:oddHBand="0" w:evenHBand="1" w:firstRowFirstColumn="0" w:firstRowLastColumn="0" w:lastRowFirstColumn="0" w:lastRowLastColumn="0"/>
        </w:trPr>
        <w:tc>
          <w:tcPr>
            <w:tcW w:w="978" w:type="pct"/>
          </w:tcPr>
          <w:p w:rsidR="0088341A" w:rsidRPr="00D77DC9" w:rsidRDefault="0088341A" w:rsidP="00155765">
            <w:pPr>
              <w:pStyle w:val="AERtabletextleft"/>
              <w:rPr>
                <w:b/>
                <w:bCs/>
                <w:color w:val="E36C0A"/>
                <w:lang w:eastAsia="en-US"/>
              </w:rPr>
            </w:pPr>
            <w:r w:rsidRPr="005658E4">
              <w:t>Corrosion risk mitigation</w:t>
            </w:r>
          </w:p>
        </w:tc>
        <w:tc>
          <w:tcPr>
            <w:tcW w:w="384" w:type="pct"/>
          </w:tcPr>
          <w:p w:rsidR="0088341A" w:rsidRPr="00155765" w:rsidRDefault="0088341A" w:rsidP="00155765">
            <w:pPr>
              <w:pStyle w:val="AERtabletextright"/>
            </w:pPr>
            <w:r w:rsidRPr="005658E4">
              <w:t>9.5</w:t>
            </w:r>
          </w:p>
        </w:tc>
        <w:tc>
          <w:tcPr>
            <w:tcW w:w="383" w:type="pct"/>
          </w:tcPr>
          <w:p w:rsidR="0088341A" w:rsidRPr="00155765" w:rsidRDefault="0088341A" w:rsidP="00155765">
            <w:pPr>
              <w:pStyle w:val="AERtabletextright"/>
            </w:pPr>
            <w:r w:rsidRPr="005658E4">
              <w:t>0.0</w:t>
            </w:r>
          </w:p>
        </w:tc>
        <w:tc>
          <w:tcPr>
            <w:tcW w:w="460" w:type="pct"/>
          </w:tcPr>
          <w:p w:rsidR="0088341A" w:rsidRPr="00155765" w:rsidRDefault="0088341A" w:rsidP="00155765">
            <w:pPr>
              <w:pStyle w:val="AERtabletextleft"/>
            </w:pPr>
            <w:r w:rsidRPr="005658E4">
              <w:t>Not accept</w:t>
            </w:r>
          </w:p>
        </w:tc>
        <w:tc>
          <w:tcPr>
            <w:tcW w:w="2794" w:type="pct"/>
          </w:tcPr>
          <w:p w:rsidR="0088341A" w:rsidRPr="00155765" w:rsidRDefault="0088341A" w:rsidP="00155765">
            <w:pPr>
              <w:pStyle w:val="AERtabletextleft"/>
            </w:pPr>
            <w:r w:rsidRPr="005658E4">
              <w:t xml:space="preserve">See assessment of asset works opex. </w:t>
            </w:r>
          </w:p>
        </w:tc>
      </w:tr>
      <w:tr w:rsidR="0088341A" w:rsidRPr="005658E4" w:rsidTr="00115E8B">
        <w:tc>
          <w:tcPr>
            <w:tcW w:w="978" w:type="pct"/>
          </w:tcPr>
          <w:p w:rsidR="0088341A" w:rsidRPr="00D77DC9" w:rsidRDefault="0088341A" w:rsidP="00155765">
            <w:pPr>
              <w:pStyle w:val="AERtabletextleft"/>
              <w:rPr>
                <w:b/>
                <w:bCs/>
                <w:color w:val="E36C0A"/>
                <w:lang w:eastAsia="en-US"/>
              </w:rPr>
            </w:pPr>
            <w:r w:rsidRPr="005658E4">
              <w:t>AEMO outage planning requirements</w:t>
            </w:r>
          </w:p>
        </w:tc>
        <w:tc>
          <w:tcPr>
            <w:tcW w:w="384" w:type="pct"/>
          </w:tcPr>
          <w:p w:rsidR="0088341A" w:rsidRPr="00155765" w:rsidRDefault="0088341A" w:rsidP="00155765">
            <w:pPr>
              <w:pStyle w:val="AERtabletextright"/>
            </w:pPr>
            <w:r w:rsidRPr="005658E4">
              <w:t>0.6</w:t>
            </w:r>
          </w:p>
        </w:tc>
        <w:tc>
          <w:tcPr>
            <w:tcW w:w="383" w:type="pct"/>
          </w:tcPr>
          <w:p w:rsidR="0088341A" w:rsidRPr="00155765" w:rsidRDefault="0088341A" w:rsidP="00155765">
            <w:pPr>
              <w:pStyle w:val="AERtabletextright"/>
            </w:pPr>
            <w:r w:rsidRPr="005658E4">
              <w:t>0.0</w:t>
            </w:r>
          </w:p>
        </w:tc>
        <w:tc>
          <w:tcPr>
            <w:tcW w:w="460" w:type="pct"/>
          </w:tcPr>
          <w:p w:rsidR="0088341A" w:rsidRPr="00155765" w:rsidRDefault="0088341A" w:rsidP="00155765">
            <w:pPr>
              <w:pStyle w:val="AERtabletextleft"/>
            </w:pPr>
            <w:r w:rsidRPr="005658E4">
              <w:t>Not accept</w:t>
            </w:r>
          </w:p>
        </w:tc>
        <w:tc>
          <w:tcPr>
            <w:tcW w:w="2794" w:type="pct"/>
          </w:tcPr>
          <w:p w:rsidR="0088341A" w:rsidRPr="005658E4" w:rsidRDefault="0088341A" w:rsidP="00155765">
            <w:pPr>
              <w:pStyle w:val="AERtabletextleft"/>
              <w:rPr>
                <w:b/>
                <w:bCs/>
                <w:color w:val="E36C0A"/>
                <w:lang w:eastAsia="en-US"/>
              </w:rPr>
            </w:pPr>
            <w:r w:rsidRPr="005658E4">
              <w:t xml:space="preserve">This is a new obligation, but will not require additional staff because the data collection and collation is currently being done, only the interface has changed. Therefore no additional work is required, and in fact, efficiency benefits may result. </w:t>
            </w:r>
            <w:r w:rsidRPr="00DA706F">
              <w:rPr>
                <w:rStyle w:val="AERsuperscript"/>
              </w:rPr>
              <w:footnoteReference w:id="87"/>
            </w:r>
          </w:p>
        </w:tc>
      </w:tr>
      <w:tr w:rsidR="0088341A" w:rsidRPr="005658E4" w:rsidTr="00115E8B">
        <w:trPr>
          <w:cnfStyle w:val="000000010000" w:firstRow="0" w:lastRow="0" w:firstColumn="0" w:lastColumn="0" w:oddVBand="0" w:evenVBand="0" w:oddHBand="0" w:evenHBand="1" w:firstRowFirstColumn="0" w:firstRowLastColumn="0" w:lastRowFirstColumn="0" w:lastRowLastColumn="0"/>
        </w:trPr>
        <w:tc>
          <w:tcPr>
            <w:tcW w:w="978" w:type="pct"/>
          </w:tcPr>
          <w:p w:rsidR="0088341A" w:rsidRPr="00D77DC9" w:rsidRDefault="0088341A" w:rsidP="00155765">
            <w:pPr>
              <w:pStyle w:val="AERtabletextleft"/>
              <w:rPr>
                <w:b/>
                <w:bCs/>
                <w:color w:val="E36C0A"/>
                <w:lang w:eastAsia="en-US"/>
              </w:rPr>
            </w:pPr>
            <w:r w:rsidRPr="005658E4">
              <w:t>Security of critical infrastructure (terminal stations)</w:t>
            </w:r>
          </w:p>
        </w:tc>
        <w:tc>
          <w:tcPr>
            <w:tcW w:w="384" w:type="pct"/>
          </w:tcPr>
          <w:p w:rsidR="0088341A" w:rsidRPr="00155765" w:rsidRDefault="0088341A" w:rsidP="00155765">
            <w:pPr>
              <w:pStyle w:val="AERtabletextright"/>
            </w:pPr>
            <w:r w:rsidRPr="005658E4">
              <w:t>4.8</w:t>
            </w:r>
          </w:p>
        </w:tc>
        <w:tc>
          <w:tcPr>
            <w:tcW w:w="383" w:type="pct"/>
          </w:tcPr>
          <w:p w:rsidR="0088341A" w:rsidRPr="00155765" w:rsidRDefault="004D1525" w:rsidP="00155765">
            <w:pPr>
              <w:pStyle w:val="AERtabletextright"/>
            </w:pPr>
            <w:r>
              <w:t>CIC</w:t>
            </w:r>
          </w:p>
        </w:tc>
        <w:tc>
          <w:tcPr>
            <w:tcW w:w="460" w:type="pct"/>
          </w:tcPr>
          <w:p w:rsidR="0088341A" w:rsidRPr="00155765" w:rsidRDefault="0088341A" w:rsidP="00155765">
            <w:pPr>
              <w:pStyle w:val="AERtabletextleft"/>
            </w:pPr>
            <w:r w:rsidRPr="005658E4">
              <w:t>Accept driver but not cost</w:t>
            </w:r>
          </w:p>
        </w:tc>
        <w:tc>
          <w:tcPr>
            <w:tcW w:w="2794" w:type="pct"/>
          </w:tcPr>
          <w:p w:rsidR="0088341A" w:rsidRPr="005658E4" w:rsidRDefault="0088341A" w:rsidP="00155765">
            <w:pPr>
              <w:pStyle w:val="AERtabletextleft"/>
              <w:rPr>
                <w:rFonts w:eastAsia="Calibri"/>
                <w:b/>
                <w:bCs/>
                <w:color w:val="E36C0A"/>
                <w:lang w:eastAsia="en-US"/>
              </w:rPr>
            </w:pPr>
            <w:r w:rsidRPr="005658E4">
              <w:rPr>
                <w:rFonts w:eastAsia="Calibri"/>
              </w:rPr>
              <w:t>This is not a new business requirement and a prudent business should already be undertaking these kinds of operations. It is not clear how the 2003 legislation drives the additional opex. We were unable to be satisfied of the opex already in the base year, but it is likely that security costs are in the base year. No opex savings have been demonstrated for the outsourcing of works.  We applied an adjustment for some demonstrated increased costs driven by legislation change (CIC)</w:t>
            </w:r>
            <w:r w:rsidRPr="00DA706F">
              <w:rPr>
                <w:rStyle w:val="AERsuperscript"/>
              </w:rPr>
              <w:footnoteReference w:id="88"/>
            </w:r>
          </w:p>
        </w:tc>
      </w:tr>
      <w:tr w:rsidR="0088341A" w:rsidRPr="005658E4" w:rsidTr="00115E8B">
        <w:tc>
          <w:tcPr>
            <w:tcW w:w="978" w:type="pct"/>
          </w:tcPr>
          <w:p w:rsidR="0088341A" w:rsidRPr="00D77DC9" w:rsidRDefault="0088341A" w:rsidP="00155765">
            <w:pPr>
              <w:pStyle w:val="AERtabletextleft"/>
              <w:rPr>
                <w:b/>
                <w:bCs/>
                <w:color w:val="E36C0A"/>
                <w:lang w:eastAsia="en-US"/>
              </w:rPr>
            </w:pPr>
            <w:r w:rsidRPr="005658E4">
              <w:t xml:space="preserve">Impact of the ‘Clean </w:t>
            </w:r>
            <w:r w:rsidRPr="00D77DC9">
              <w:t>Energy Future’ plan on SF6 top ups</w:t>
            </w:r>
          </w:p>
        </w:tc>
        <w:tc>
          <w:tcPr>
            <w:tcW w:w="384" w:type="pct"/>
          </w:tcPr>
          <w:p w:rsidR="0088341A" w:rsidRPr="00155765" w:rsidRDefault="0088341A" w:rsidP="00155765">
            <w:pPr>
              <w:pStyle w:val="AERtabletextright"/>
            </w:pPr>
            <w:r w:rsidRPr="005658E4">
              <w:t>2.5</w:t>
            </w:r>
          </w:p>
        </w:tc>
        <w:tc>
          <w:tcPr>
            <w:tcW w:w="383" w:type="pct"/>
          </w:tcPr>
          <w:p w:rsidR="0088341A" w:rsidRPr="00155765" w:rsidRDefault="0088341A" w:rsidP="00155765">
            <w:pPr>
              <w:pStyle w:val="AERtabletextright"/>
            </w:pPr>
            <w:r w:rsidRPr="005658E4">
              <w:t>0.0</w:t>
            </w:r>
          </w:p>
        </w:tc>
        <w:tc>
          <w:tcPr>
            <w:tcW w:w="460" w:type="pct"/>
          </w:tcPr>
          <w:p w:rsidR="0088341A" w:rsidRPr="00155765" w:rsidRDefault="0088341A" w:rsidP="00155765">
            <w:pPr>
              <w:pStyle w:val="AERtabletextleft"/>
            </w:pPr>
            <w:r w:rsidRPr="005658E4">
              <w:t>Not accept</w:t>
            </w:r>
          </w:p>
        </w:tc>
        <w:tc>
          <w:tcPr>
            <w:tcW w:w="2794" w:type="pct"/>
          </w:tcPr>
          <w:p w:rsidR="0088341A" w:rsidRPr="005658E4" w:rsidRDefault="0088341A" w:rsidP="00155765">
            <w:pPr>
              <w:pStyle w:val="AERtabletextleft"/>
              <w:rPr>
                <w:b/>
                <w:bCs/>
                <w:color w:val="E36C0A"/>
                <w:lang w:eastAsia="en-US"/>
              </w:rPr>
            </w:pPr>
            <w:r w:rsidRPr="005658E4">
              <w:t xml:space="preserve">The capex program will reduce SF6 leaks. Use of 2009–10 leaks is not reflective of future state of the network. Cost of $29/t is too high, given recent political announcements and treasury estimates. </w:t>
            </w:r>
            <w:r w:rsidRPr="00DA706F">
              <w:rPr>
                <w:rStyle w:val="AERsuperscript"/>
              </w:rPr>
              <w:footnoteReference w:id="89"/>
            </w:r>
          </w:p>
        </w:tc>
      </w:tr>
      <w:tr w:rsidR="0088341A" w:rsidRPr="005658E4" w:rsidTr="00115E8B">
        <w:trPr>
          <w:cnfStyle w:val="000000010000" w:firstRow="0" w:lastRow="0" w:firstColumn="0" w:lastColumn="0" w:oddVBand="0" w:evenVBand="0" w:oddHBand="0" w:evenHBand="1" w:firstRowFirstColumn="0" w:firstRowLastColumn="0" w:lastRowFirstColumn="0" w:lastRowLastColumn="0"/>
        </w:trPr>
        <w:tc>
          <w:tcPr>
            <w:tcW w:w="978" w:type="pct"/>
          </w:tcPr>
          <w:p w:rsidR="0088341A" w:rsidRPr="00D77DC9" w:rsidRDefault="0088341A" w:rsidP="00155765">
            <w:pPr>
              <w:pStyle w:val="AERtabletextleft"/>
              <w:rPr>
                <w:b/>
                <w:bCs/>
                <w:color w:val="E36C0A"/>
                <w:lang w:eastAsia="en-US"/>
              </w:rPr>
            </w:pPr>
            <w:r w:rsidRPr="005658E4">
              <w:t>Transitional arrangements for the Economic Regulation of NSPs rule change</w:t>
            </w:r>
          </w:p>
        </w:tc>
        <w:tc>
          <w:tcPr>
            <w:tcW w:w="384" w:type="pct"/>
          </w:tcPr>
          <w:p w:rsidR="0088341A" w:rsidRPr="00155765" w:rsidRDefault="0088341A" w:rsidP="00155765">
            <w:pPr>
              <w:pStyle w:val="AERtabletextright"/>
            </w:pPr>
            <w:r w:rsidRPr="005658E4">
              <w:t>2.8</w:t>
            </w:r>
          </w:p>
        </w:tc>
        <w:tc>
          <w:tcPr>
            <w:tcW w:w="383" w:type="pct"/>
          </w:tcPr>
          <w:p w:rsidR="0088341A" w:rsidRPr="00155765" w:rsidRDefault="0088341A" w:rsidP="00155765">
            <w:pPr>
              <w:pStyle w:val="AERtabletextright"/>
            </w:pPr>
            <w:r w:rsidRPr="005658E4">
              <w:t>1.9</w:t>
            </w:r>
          </w:p>
        </w:tc>
        <w:tc>
          <w:tcPr>
            <w:tcW w:w="460" w:type="pct"/>
          </w:tcPr>
          <w:p w:rsidR="0088341A" w:rsidRPr="00155765" w:rsidRDefault="0088341A" w:rsidP="00155765">
            <w:pPr>
              <w:pStyle w:val="AERtabletextleft"/>
            </w:pPr>
            <w:r w:rsidRPr="005658E4">
              <w:t>Accept driver but not cost</w:t>
            </w:r>
          </w:p>
        </w:tc>
        <w:tc>
          <w:tcPr>
            <w:tcW w:w="2794" w:type="pct"/>
          </w:tcPr>
          <w:p w:rsidR="0088341A" w:rsidRPr="005658E4" w:rsidRDefault="0088341A" w:rsidP="00155765">
            <w:pPr>
              <w:pStyle w:val="AERtabletextleft"/>
              <w:rPr>
                <w:b/>
                <w:bCs/>
                <w:color w:val="E36C0A"/>
                <w:lang w:eastAsia="en-US"/>
              </w:rPr>
            </w:pPr>
            <w:r w:rsidRPr="005658E4">
              <w:t xml:space="preserve">We accept the requirement for additional opex (incremental to base year) to prepare a transmission regulatory proposal. However, proposed cost exceeds reasonable requirements. We used actual costs in 2012–13 and 2013–14 to estimate future requirements. </w:t>
            </w:r>
            <w:r w:rsidRPr="00DA706F">
              <w:rPr>
                <w:rStyle w:val="AERsuperscript"/>
              </w:rPr>
              <w:footnoteReference w:id="90"/>
            </w:r>
          </w:p>
        </w:tc>
      </w:tr>
      <w:tr w:rsidR="0088341A" w:rsidRPr="005658E4" w:rsidTr="00115E8B">
        <w:tc>
          <w:tcPr>
            <w:tcW w:w="978" w:type="pct"/>
          </w:tcPr>
          <w:p w:rsidR="0088341A" w:rsidRPr="00D77DC9" w:rsidRDefault="0088341A" w:rsidP="00155765">
            <w:pPr>
              <w:pStyle w:val="AERtabletextleft"/>
              <w:rPr>
                <w:b/>
                <w:bCs/>
                <w:color w:val="E36C0A"/>
                <w:lang w:eastAsia="en-US"/>
              </w:rPr>
            </w:pPr>
            <w:r w:rsidRPr="005658E4">
              <w:t>Potential transfer of planning responsibilities</w:t>
            </w:r>
          </w:p>
        </w:tc>
        <w:tc>
          <w:tcPr>
            <w:tcW w:w="384" w:type="pct"/>
          </w:tcPr>
          <w:p w:rsidR="0088341A" w:rsidRPr="00155765" w:rsidRDefault="0088341A" w:rsidP="00155765">
            <w:pPr>
              <w:pStyle w:val="AERtabletextright"/>
            </w:pPr>
            <w:r w:rsidRPr="005658E4">
              <w:t>n/a</w:t>
            </w:r>
          </w:p>
        </w:tc>
        <w:tc>
          <w:tcPr>
            <w:tcW w:w="383" w:type="pct"/>
          </w:tcPr>
          <w:p w:rsidR="0088341A" w:rsidRPr="00155765" w:rsidRDefault="0088341A" w:rsidP="00155765">
            <w:pPr>
              <w:pStyle w:val="AERtabletextright"/>
            </w:pPr>
            <w:r w:rsidRPr="005658E4">
              <w:t>n/a</w:t>
            </w:r>
          </w:p>
        </w:tc>
        <w:tc>
          <w:tcPr>
            <w:tcW w:w="460" w:type="pct"/>
          </w:tcPr>
          <w:p w:rsidR="0088341A" w:rsidRPr="00155765" w:rsidRDefault="0088341A" w:rsidP="00155765">
            <w:pPr>
              <w:pStyle w:val="AERtabletextleft"/>
            </w:pPr>
            <w:r w:rsidRPr="005658E4">
              <w:t>Not assessed</w:t>
            </w:r>
          </w:p>
        </w:tc>
        <w:tc>
          <w:tcPr>
            <w:tcW w:w="2794" w:type="pct"/>
          </w:tcPr>
          <w:p w:rsidR="0088341A" w:rsidRPr="00155765" w:rsidRDefault="0088341A" w:rsidP="00155765">
            <w:pPr>
              <w:pStyle w:val="AERtabletextleft"/>
            </w:pPr>
            <w:r w:rsidRPr="005658E4">
              <w:t xml:space="preserve">No opex proposed. </w:t>
            </w:r>
          </w:p>
        </w:tc>
      </w:tr>
      <w:tr w:rsidR="0088341A" w:rsidRPr="005658E4" w:rsidTr="00115E8B">
        <w:trPr>
          <w:cnfStyle w:val="000000010000" w:firstRow="0" w:lastRow="0" w:firstColumn="0" w:lastColumn="0" w:oddVBand="0" w:evenVBand="0" w:oddHBand="0" w:evenHBand="1" w:firstRowFirstColumn="0" w:firstRowLastColumn="0" w:lastRowFirstColumn="0" w:lastRowLastColumn="0"/>
        </w:trPr>
        <w:tc>
          <w:tcPr>
            <w:tcW w:w="978" w:type="pct"/>
          </w:tcPr>
          <w:p w:rsidR="0088341A" w:rsidRPr="00D77DC9" w:rsidRDefault="0088341A" w:rsidP="00155765">
            <w:pPr>
              <w:pStyle w:val="AERtabletextleft"/>
              <w:rPr>
                <w:b/>
                <w:bCs/>
                <w:color w:val="E36C0A"/>
                <w:lang w:eastAsia="en-US"/>
              </w:rPr>
            </w:pPr>
            <w:r w:rsidRPr="005658E4">
              <w:t>SCADA enhancements – controller simulator training</w:t>
            </w:r>
          </w:p>
        </w:tc>
        <w:tc>
          <w:tcPr>
            <w:tcW w:w="384" w:type="pct"/>
          </w:tcPr>
          <w:p w:rsidR="0088341A" w:rsidRPr="00155765" w:rsidRDefault="0088341A" w:rsidP="00155765">
            <w:pPr>
              <w:pStyle w:val="AERtabletextright"/>
            </w:pPr>
            <w:r w:rsidRPr="005658E4">
              <w:t>0.9</w:t>
            </w:r>
          </w:p>
        </w:tc>
        <w:tc>
          <w:tcPr>
            <w:tcW w:w="383" w:type="pct"/>
          </w:tcPr>
          <w:p w:rsidR="0088341A" w:rsidRPr="00155765" w:rsidRDefault="0088341A" w:rsidP="00155765">
            <w:pPr>
              <w:pStyle w:val="AERtabletextright"/>
            </w:pPr>
            <w:r w:rsidRPr="005658E4">
              <w:t>0.9</w:t>
            </w:r>
          </w:p>
        </w:tc>
        <w:tc>
          <w:tcPr>
            <w:tcW w:w="460" w:type="pct"/>
          </w:tcPr>
          <w:p w:rsidR="0088341A" w:rsidRPr="00155765" w:rsidRDefault="0088341A" w:rsidP="00155765">
            <w:pPr>
              <w:pStyle w:val="AERtabletextleft"/>
            </w:pPr>
            <w:r w:rsidRPr="005658E4">
              <w:t>Accept</w:t>
            </w:r>
          </w:p>
        </w:tc>
        <w:tc>
          <w:tcPr>
            <w:tcW w:w="2794" w:type="pct"/>
          </w:tcPr>
          <w:p w:rsidR="0088341A" w:rsidRPr="00155765" w:rsidRDefault="0088341A" w:rsidP="00155765">
            <w:pPr>
              <w:pStyle w:val="AERtabletextleft"/>
            </w:pPr>
            <w:r w:rsidRPr="005658E4">
              <w:t xml:space="preserve">Good industry practice with benefits of reducing network and operational risk. </w:t>
            </w:r>
          </w:p>
        </w:tc>
      </w:tr>
      <w:tr w:rsidR="0088341A" w:rsidRPr="005658E4" w:rsidTr="00115E8B">
        <w:tc>
          <w:tcPr>
            <w:tcW w:w="978" w:type="pct"/>
          </w:tcPr>
          <w:p w:rsidR="0088341A" w:rsidRPr="00D77DC9" w:rsidRDefault="0088341A" w:rsidP="00155765">
            <w:pPr>
              <w:pStyle w:val="AERtabletextleft"/>
              <w:rPr>
                <w:b/>
                <w:bCs/>
                <w:color w:val="E36C0A"/>
                <w:lang w:eastAsia="en-US"/>
              </w:rPr>
            </w:pPr>
            <w:r w:rsidRPr="005658E4">
              <w:lastRenderedPageBreak/>
              <w:t>SCADA security – Software QA/QC environment</w:t>
            </w:r>
          </w:p>
        </w:tc>
        <w:tc>
          <w:tcPr>
            <w:tcW w:w="384" w:type="pct"/>
          </w:tcPr>
          <w:p w:rsidR="0088341A" w:rsidRPr="00155765" w:rsidRDefault="0088341A" w:rsidP="00155765">
            <w:pPr>
              <w:pStyle w:val="AERtabletextright"/>
            </w:pPr>
            <w:r w:rsidRPr="005658E4">
              <w:t>0.6</w:t>
            </w:r>
          </w:p>
        </w:tc>
        <w:tc>
          <w:tcPr>
            <w:tcW w:w="383" w:type="pct"/>
          </w:tcPr>
          <w:p w:rsidR="0088341A" w:rsidRPr="00155765" w:rsidRDefault="0088341A" w:rsidP="00155765">
            <w:pPr>
              <w:pStyle w:val="AERtabletextright"/>
            </w:pPr>
            <w:r w:rsidRPr="005658E4">
              <w:t>0.0</w:t>
            </w:r>
          </w:p>
        </w:tc>
        <w:tc>
          <w:tcPr>
            <w:tcW w:w="460" w:type="pct"/>
          </w:tcPr>
          <w:p w:rsidR="0088341A" w:rsidRPr="00155765" w:rsidRDefault="0088341A" w:rsidP="00155765">
            <w:pPr>
              <w:pStyle w:val="AERtabletextleft"/>
            </w:pPr>
            <w:r w:rsidRPr="005658E4">
              <w:t>Not accept</w:t>
            </w:r>
          </w:p>
        </w:tc>
        <w:tc>
          <w:tcPr>
            <w:tcW w:w="2794" w:type="pct"/>
          </w:tcPr>
          <w:p w:rsidR="0088341A" w:rsidRPr="00155765" w:rsidRDefault="0088341A" w:rsidP="00155765">
            <w:pPr>
              <w:pStyle w:val="AERtabletextleft"/>
            </w:pPr>
            <w:r w:rsidRPr="005658E4">
              <w:t xml:space="preserve">This is not a new obligation. A prudent TNSP would already have embedded security processes/systems. Security included in capex program. </w:t>
            </w:r>
          </w:p>
        </w:tc>
      </w:tr>
      <w:tr w:rsidR="0088341A" w:rsidRPr="005658E4" w:rsidTr="00115E8B">
        <w:trPr>
          <w:cnfStyle w:val="000000010000" w:firstRow="0" w:lastRow="0" w:firstColumn="0" w:lastColumn="0" w:oddVBand="0" w:evenVBand="0" w:oddHBand="0" w:evenHBand="1" w:firstRowFirstColumn="0" w:firstRowLastColumn="0" w:lastRowFirstColumn="0" w:lastRowLastColumn="0"/>
        </w:trPr>
        <w:tc>
          <w:tcPr>
            <w:tcW w:w="978" w:type="pct"/>
          </w:tcPr>
          <w:p w:rsidR="0088341A" w:rsidRPr="00D77DC9" w:rsidRDefault="0088341A" w:rsidP="00155765">
            <w:pPr>
              <w:pStyle w:val="AERtabletextleft"/>
              <w:rPr>
                <w:b/>
                <w:bCs/>
                <w:color w:val="E36C0A"/>
                <w:lang w:eastAsia="en-US"/>
              </w:rPr>
            </w:pPr>
            <w:r w:rsidRPr="005658E4">
              <w:t>IT network security</w:t>
            </w:r>
          </w:p>
        </w:tc>
        <w:tc>
          <w:tcPr>
            <w:tcW w:w="384" w:type="pct"/>
          </w:tcPr>
          <w:p w:rsidR="0088341A" w:rsidRPr="00155765" w:rsidRDefault="0088341A" w:rsidP="00155765">
            <w:pPr>
              <w:pStyle w:val="AERtabletextright"/>
            </w:pPr>
            <w:r w:rsidRPr="005658E4">
              <w:t>0.8</w:t>
            </w:r>
          </w:p>
        </w:tc>
        <w:tc>
          <w:tcPr>
            <w:tcW w:w="383" w:type="pct"/>
          </w:tcPr>
          <w:p w:rsidR="0088341A" w:rsidRPr="00155765" w:rsidRDefault="0088341A" w:rsidP="00155765">
            <w:pPr>
              <w:pStyle w:val="AERtabletextright"/>
            </w:pPr>
            <w:r w:rsidRPr="005658E4">
              <w:t>0.0</w:t>
            </w:r>
          </w:p>
        </w:tc>
        <w:tc>
          <w:tcPr>
            <w:tcW w:w="460" w:type="pct"/>
          </w:tcPr>
          <w:p w:rsidR="0088341A" w:rsidRPr="00155765" w:rsidRDefault="0088341A" w:rsidP="00155765">
            <w:pPr>
              <w:pStyle w:val="AERtabletextleft"/>
            </w:pPr>
            <w:r w:rsidRPr="005658E4">
              <w:t>Not accept</w:t>
            </w:r>
          </w:p>
        </w:tc>
        <w:tc>
          <w:tcPr>
            <w:tcW w:w="2794" w:type="pct"/>
          </w:tcPr>
          <w:p w:rsidR="0088341A" w:rsidRPr="00155765" w:rsidRDefault="0088341A" w:rsidP="00155765">
            <w:pPr>
              <w:pStyle w:val="AERtabletextleft"/>
            </w:pPr>
            <w:r w:rsidRPr="005658E4">
              <w:t>This is not a new obligation. Prudent TNSP would already have embedded security processes/systems.</w:t>
            </w:r>
          </w:p>
        </w:tc>
      </w:tr>
      <w:tr w:rsidR="0088341A" w:rsidRPr="005658E4" w:rsidTr="00115E8B">
        <w:tc>
          <w:tcPr>
            <w:tcW w:w="978" w:type="pct"/>
          </w:tcPr>
          <w:p w:rsidR="0088341A" w:rsidRPr="00D77DC9" w:rsidRDefault="0088341A" w:rsidP="00155765">
            <w:pPr>
              <w:pStyle w:val="AERtabletextleft"/>
              <w:rPr>
                <w:b/>
                <w:bCs/>
                <w:color w:val="E36C0A"/>
                <w:lang w:eastAsia="en-US"/>
              </w:rPr>
            </w:pPr>
            <w:r w:rsidRPr="005658E4">
              <w:t xml:space="preserve">Service standard reporting tools – enable market reporting </w:t>
            </w:r>
          </w:p>
        </w:tc>
        <w:tc>
          <w:tcPr>
            <w:tcW w:w="384" w:type="pct"/>
          </w:tcPr>
          <w:p w:rsidR="0088341A" w:rsidRPr="00155765" w:rsidRDefault="0088341A" w:rsidP="00155765">
            <w:pPr>
              <w:pStyle w:val="AERtabletextright"/>
            </w:pPr>
            <w:r w:rsidRPr="005658E4">
              <w:t>0.5</w:t>
            </w:r>
          </w:p>
        </w:tc>
        <w:tc>
          <w:tcPr>
            <w:tcW w:w="383" w:type="pct"/>
          </w:tcPr>
          <w:p w:rsidR="0088341A" w:rsidRPr="00155765" w:rsidRDefault="0088341A" w:rsidP="00155765">
            <w:pPr>
              <w:pStyle w:val="AERtabletextright"/>
            </w:pPr>
            <w:r w:rsidRPr="005658E4">
              <w:t>0.0</w:t>
            </w:r>
          </w:p>
        </w:tc>
        <w:tc>
          <w:tcPr>
            <w:tcW w:w="460" w:type="pct"/>
          </w:tcPr>
          <w:p w:rsidR="0088341A" w:rsidRPr="00155765" w:rsidRDefault="0088341A" w:rsidP="00155765">
            <w:pPr>
              <w:pStyle w:val="AERtabletextleft"/>
            </w:pPr>
            <w:r w:rsidRPr="005658E4">
              <w:t>Not accept</w:t>
            </w:r>
          </w:p>
        </w:tc>
        <w:tc>
          <w:tcPr>
            <w:tcW w:w="2794" w:type="pct"/>
          </w:tcPr>
          <w:p w:rsidR="0088341A" w:rsidRPr="005658E4" w:rsidRDefault="0088341A" w:rsidP="00155765">
            <w:pPr>
              <w:pStyle w:val="AERtabletextleft"/>
              <w:rPr>
                <w:b/>
                <w:bCs/>
                <w:color w:val="E36C0A"/>
                <w:lang w:eastAsia="en-US"/>
              </w:rPr>
            </w:pPr>
            <w:r w:rsidRPr="005658E4">
              <w:t xml:space="preserve">This is a new obligation, but no requirement for additional opex. Further, any additional opex offset by cost savings. </w:t>
            </w:r>
            <w:r w:rsidRPr="00DA706F">
              <w:rPr>
                <w:rStyle w:val="AERsuperscript"/>
              </w:rPr>
              <w:footnoteReference w:id="91"/>
            </w:r>
          </w:p>
        </w:tc>
      </w:tr>
      <w:tr w:rsidR="0088341A" w:rsidRPr="005658E4" w:rsidTr="00115E8B">
        <w:trPr>
          <w:cnfStyle w:val="000000010000" w:firstRow="0" w:lastRow="0" w:firstColumn="0" w:lastColumn="0" w:oddVBand="0" w:evenVBand="0" w:oddHBand="0" w:evenHBand="1" w:firstRowFirstColumn="0" w:firstRowLastColumn="0" w:lastRowFirstColumn="0" w:lastRowLastColumn="0"/>
        </w:trPr>
        <w:tc>
          <w:tcPr>
            <w:tcW w:w="978" w:type="pct"/>
          </w:tcPr>
          <w:p w:rsidR="0088341A" w:rsidRPr="00D77DC9" w:rsidRDefault="0088341A" w:rsidP="00155765">
            <w:pPr>
              <w:pStyle w:val="AERtabletextleft"/>
              <w:rPr>
                <w:b/>
                <w:bCs/>
                <w:color w:val="E36C0A"/>
                <w:lang w:eastAsia="en-US"/>
              </w:rPr>
            </w:pPr>
            <w:r w:rsidRPr="005658E4">
              <w:t>Technology innovation program</w:t>
            </w:r>
          </w:p>
        </w:tc>
        <w:tc>
          <w:tcPr>
            <w:tcW w:w="384" w:type="pct"/>
          </w:tcPr>
          <w:p w:rsidR="0088341A" w:rsidRPr="00155765" w:rsidRDefault="0088341A" w:rsidP="00155765">
            <w:pPr>
              <w:pStyle w:val="AERtabletextright"/>
            </w:pPr>
            <w:r w:rsidRPr="005658E4">
              <w:t>1.7</w:t>
            </w:r>
          </w:p>
        </w:tc>
        <w:tc>
          <w:tcPr>
            <w:tcW w:w="383" w:type="pct"/>
          </w:tcPr>
          <w:p w:rsidR="0088341A" w:rsidRPr="00155765" w:rsidRDefault="0088341A" w:rsidP="00155765">
            <w:pPr>
              <w:pStyle w:val="AERtabletextright"/>
            </w:pPr>
            <w:r w:rsidRPr="005658E4">
              <w:t>0.0</w:t>
            </w:r>
          </w:p>
        </w:tc>
        <w:tc>
          <w:tcPr>
            <w:tcW w:w="460" w:type="pct"/>
          </w:tcPr>
          <w:p w:rsidR="0088341A" w:rsidRPr="00155765" w:rsidRDefault="0088341A" w:rsidP="00155765">
            <w:pPr>
              <w:pStyle w:val="AERtabletextleft"/>
            </w:pPr>
            <w:r w:rsidRPr="005658E4">
              <w:t>Not accept</w:t>
            </w:r>
          </w:p>
        </w:tc>
        <w:tc>
          <w:tcPr>
            <w:tcW w:w="2794" w:type="pct"/>
          </w:tcPr>
          <w:p w:rsidR="0088341A" w:rsidRPr="00155765" w:rsidRDefault="0088341A" w:rsidP="00155765">
            <w:pPr>
              <w:pStyle w:val="AERtabletextleft"/>
            </w:pPr>
            <w:r w:rsidRPr="005658E4">
              <w:t xml:space="preserve">This is a self-funding innovation program. </w:t>
            </w:r>
          </w:p>
        </w:tc>
      </w:tr>
      <w:tr w:rsidR="0088341A" w:rsidRPr="005658E4" w:rsidTr="00115E8B">
        <w:tc>
          <w:tcPr>
            <w:tcW w:w="978" w:type="pct"/>
          </w:tcPr>
          <w:p w:rsidR="0088341A" w:rsidRPr="00D77DC9" w:rsidRDefault="0088341A" w:rsidP="00155765">
            <w:pPr>
              <w:pStyle w:val="AERtabletextleft"/>
              <w:rPr>
                <w:b/>
                <w:bCs/>
                <w:color w:val="E36C0A"/>
                <w:lang w:eastAsia="en-US"/>
              </w:rPr>
            </w:pPr>
            <w:r w:rsidRPr="005658E4">
              <w:t>Communications infrastructure</w:t>
            </w:r>
          </w:p>
        </w:tc>
        <w:tc>
          <w:tcPr>
            <w:tcW w:w="384" w:type="pct"/>
          </w:tcPr>
          <w:p w:rsidR="0088341A" w:rsidRPr="00155765" w:rsidRDefault="0088341A" w:rsidP="00155765">
            <w:pPr>
              <w:pStyle w:val="AERtabletextright"/>
            </w:pPr>
            <w:r w:rsidRPr="005658E4">
              <w:t>2.6</w:t>
            </w:r>
          </w:p>
        </w:tc>
        <w:tc>
          <w:tcPr>
            <w:tcW w:w="383" w:type="pct"/>
          </w:tcPr>
          <w:p w:rsidR="0088341A" w:rsidRPr="00155765" w:rsidRDefault="0088341A" w:rsidP="00155765">
            <w:pPr>
              <w:pStyle w:val="AERtabletextright"/>
            </w:pPr>
            <w:r w:rsidRPr="005658E4">
              <w:t>0.0</w:t>
            </w:r>
          </w:p>
        </w:tc>
        <w:tc>
          <w:tcPr>
            <w:tcW w:w="460" w:type="pct"/>
          </w:tcPr>
          <w:p w:rsidR="0088341A" w:rsidRPr="00155765" w:rsidRDefault="0088341A" w:rsidP="00155765">
            <w:pPr>
              <w:pStyle w:val="AERtabletextleft"/>
            </w:pPr>
            <w:r w:rsidRPr="005658E4">
              <w:t>Not accept</w:t>
            </w:r>
          </w:p>
        </w:tc>
        <w:tc>
          <w:tcPr>
            <w:tcW w:w="2794" w:type="pct"/>
          </w:tcPr>
          <w:p w:rsidR="0088341A" w:rsidRPr="005658E4" w:rsidRDefault="0088341A" w:rsidP="00155765">
            <w:pPr>
              <w:pStyle w:val="AERtabletextleft"/>
              <w:rPr>
                <w:b/>
                <w:bCs/>
                <w:color w:val="E36C0A"/>
                <w:lang w:eastAsia="en-US"/>
              </w:rPr>
            </w:pPr>
            <w:r w:rsidRPr="005658E4">
              <w:t xml:space="preserve">This step change double counts communications opex which is in the base year.  See also asset works. </w:t>
            </w:r>
            <w:r w:rsidRPr="00DA706F">
              <w:rPr>
                <w:rStyle w:val="AERsuperscript"/>
              </w:rPr>
              <w:footnoteReference w:id="92"/>
            </w:r>
          </w:p>
        </w:tc>
      </w:tr>
      <w:tr w:rsidR="0088341A" w:rsidRPr="005658E4" w:rsidTr="00115E8B">
        <w:trPr>
          <w:cnfStyle w:val="000000010000" w:firstRow="0" w:lastRow="0" w:firstColumn="0" w:lastColumn="0" w:oddVBand="0" w:evenVBand="0" w:oddHBand="0" w:evenHBand="1" w:firstRowFirstColumn="0" w:firstRowLastColumn="0" w:lastRowFirstColumn="0" w:lastRowLastColumn="0"/>
        </w:trPr>
        <w:tc>
          <w:tcPr>
            <w:tcW w:w="978" w:type="pct"/>
          </w:tcPr>
          <w:p w:rsidR="0088341A" w:rsidRPr="00D77DC9" w:rsidRDefault="0088341A" w:rsidP="00155765">
            <w:pPr>
              <w:pStyle w:val="AERtabletextleft"/>
              <w:rPr>
                <w:b/>
                <w:bCs/>
                <w:color w:val="E36C0A"/>
                <w:lang w:eastAsia="en-US"/>
              </w:rPr>
            </w:pPr>
            <w:r w:rsidRPr="005658E4">
              <w:t>Other: capex-opex trade-off</w:t>
            </w:r>
          </w:p>
        </w:tc>
        <w:tc>
          <w:tcPr>
            <w:tcW w:w="384" w:type="pct"/>
          </w:tcPr>
          <w:p w:rsidR="0088341A" w:rsidRPr="00155765" w:rsidRDefault="0088341A" w:rsidP="00155765">
            <w:pPr>
              <w:pStyle w:val="AERtabletextright"/>
            </w:pPr>
            <w:r w:rsidRPr="005658E4">
              <w:t>–0.8</w:t>
            </w:r>
          </w:p>
        </w:tc>
        <w:tc>
          <w:tcPr>
            <w:tcW w:w="383" w:type="pct"/>
          </w:tcPr>
          <w:p w:rsidR="0088341A" w:rsidRPr="00155765" w:rsidRDefault="0088341A" w:rsidP="00155765">
            <w:pPr>
              <w:pStyle w:val="AERtabletextright"/>
            </w:pPr>
            <w:r w:rsidRPr="005658E4">
              <w:t>0.0</w:t>
            </w:r>
          </w:p>
        </w:tc>
        <w:tc>
          <w:tcPr>
            <w:tcW w:w="460" w:type="pct"/>
          </w:tcPr>
          <w:p w:rsidR="0088341A" w:rsidRPr="00155765" w:rsidRDefault="0088341A" w:rsidP="00155765">
            <w:pPr>
              <w:pStyle w:val="AERtabletextleft"/>
            </w:pPr>
            <w:r w:rsidRPr="005658E4">
              <w:t>Not accept</w:t>
            </w:r>
          </w:p>
        </w:tc>
        <w:tc>
          <w:tcPr>
            <w:tcW w:w="2794" w:type="pct"/>
          </w:tcPr>
          <w:p w:rsidR="0088341A" w:rsidRPr="005658E4" w:rsidRDefault="0088341A" w:rsidP="00DA706F">
            <w:pPr>
              <w:pStyle w:val="AERtabletextleft"/>
              <w:rPr>
                <w:b/>
                <w:bCs/>
                <w:color w:val="E36C0A"/>
                <w:lang w:eastAsia="en-US"/>
              </w:rPr>
            </w:pPr>
            <w:r w:rsidRPr="005658E4">
              <w:t xml:space="preserve">SP AusNet proposed a reduction to its opex allowance for efficiency benefits it expects to achieve by spending $16.8 million on strategic IT capex in the same period, 2014–17 (Attachment 2). We did not accept the proposed IT capex (total of $47.9 million) because we did not accept the strategic IT costs met the capex criteria. Consistent with our decision on capex, we do not accept SP AusNet's proposed IT efficiency adjustment of $0.8 million because this was for benefits it expected to achieve from the $16.8 million strategic capital expenditure in the same period. </w:t>
            </w:r>
            <w:r w:rsidRPr="00DA706F">
              <w:rPr>
                <w:rStyle w:val="AERsuperscript"/>
              </w:rPr>
              <w:footnoteReference w:id="93"/>
            </w:r>
          </w:p>
        </w:tc>
      </w:tr>
      <w:tr w:rsidR="0088341A" w:rsidRPr="005658E4" w:rsidTr="00115E8B">
        <w:tc>
          <w:tcPr>
            <w:tcW w:w="978" w:type="pct"/>
          </w:tcPr>
          <w:p w:rsidR="0088341A" w:rsidRPr="00D77DC9" w:rsidRDefault="0088341A" w:rsidP="00155765">
            <w:pPr>
              <w:pStyle w:val="AERtabletextleft"/>
              <w:rPr>
                <w:b/>
                <w:bCs/>
                <w:color w:val="E36C0A"/>
                <w:lang w:eastAsia="en-US"/>
              </w:rPr>
            </w:pPr>
            <w:r w:rsidRPr="005658E4">
              <w:t>Total step change opex</w:t>
            </w:r>
          </w:p>
        </w:tc>
        <w:tc>
          <w:tcPr>
            <w:tcW w:w="384" w:type="pct"/>
          </w:tcPr>
          <w:p w:rsidR="0088341A" w:rsidRPr="00155765" w:rsidRDefault="0088341A" w:rsidP="00155765">
            <w:pPr>
              <w:pStyle w:val="AERtabletextright"/>
            </w:pPr>
            <w:r w:rsidRPr="005658E4">
              <w:t>31.7</w:t>
            </w:r>
          </w:p>
        </w:tc>
        <w:tc>
          <w:tcPr>
            <w:tcW w:w="383" w:type="pct"/>
          </w:tcPr>
          <w:p w:rsidR="0088341A" w:rsidRPr="00155765" w:rsidRDefault="0088341A" w:rsidP="00155765">
            <w:pPr>
              <w:pStyle w:val="AERtabletextright"/>
            </w:pPr>
            <w:r w:rsidRPr="005658E4">
              <w:t>2.8</w:t>
            </w:r>
          </w:p>
        </w:tc>
        <w:tc>
          <w:tcPr>
            <w:tcW w:w="460" w:type="pct"/>
          </w:tcPr>
          <w:p w:rsidR="0088341A" w:rsidRPr="00155765" w:rsidRDefault="0088341A" w:rsidP="00155765">
            <w:pPr>
              <w:pStyle w:val="AERtabletextleft"/>
            </w:pPr>
          </w:p>
        </w:tc>
        <w:tc>
          <w:tcPr>
            <w:tcW w:w="2794" w:type="pct"/>
          </w:tcPr>
          <w:p w:rsidR="0088341A" w:rsidRPr="00155765" w:rsidRDefault="0088341A" w:rsidP="00155765">
            <w:pPr>
              <w:pStyle w:val="AERtabletextleft"/>
            </w:pPr>
            <w:r w:rsidRPr="005658E4">
              <w:t>[This does not include the insurance step change</w:t>
            </w:r>
            <w:r w:rsidR="00BC2954">
              <w:t xml:space="preserve"> or the security step change</w:t>
            </w:r>
            <w:r w:rsidRPr="005658E4">
              <w:t>]</w:t>
            </w:r>
          </w:p>
        </w:tc>
      </w:tr>
    </w:tbl>
    <w:p w:rsidR="00DC345D" w:rsidRDefault="00DC345D" w:rsidP="00DC345D">
      <w:pPr>
        <w:pStyle w:val="AERtablesource"/>
        <w:keepNext/>
        <w:keepLines/>
      </w:pPr>
      <w:r w:rsidRPr="00E02156">
        <w:t>Sources:</w:t>
      </w:r>
      <w:r w:rsidRPr="00E02156">
        <w:tab/>
        <w:t xml:space="preserve">SP AusNet, </w:t>
      </w:r>
      <w:r w:rsidRPr="00E02156">
        <w:rPr>
          <w:rStyle w:val="AERtextitalic"/>
        </w:rPr>
        <w:t>Revenue proposal</w:t>
      </w:r>
      <w:r w:rsidRPr="00E02156">
        <w:t xml:space="preserve">, pp. 128–36; EMCa, </w:t>
      </w:r>
      <w:r w:rsidRPr="00E02156">
        <w:rPr>
          <w:rStyle w:val="AERtextitalic"/>
        </w:rPr>
        <w:t>SP AusNet technical review</w:t>
      </w:r>
      <w:r w:rsidR="007C18AF">
        <w:t>, August</w:t>
      </w:r>
      <w:r w:rsidRPr="00E02156">
        <w:t xml:space="preserve"> </w:t>
      </w:r>
      <w:r w:rsidR="007C18AF">
        <w:t xml:space="preserve"> 2013</w:t>
      </w:r>
      <w:r w:rsidRPr="00E02156">
        <w:t>; AER analysis.</w:t>
      </w:r>
    </w:p>
    <w:p w:rsidR="0088341A" w:rsidRPr="00E02156" w:rsidRDefault="0088341A" w:rsidP="0088341A">
      <w:pPr>
        <w:pStyle w:val="AERtablesource"/>
        <w:keepNext/>
        <w:keepLines/>
      </w:pPr>
      <w:r w:rsidRPr="00E02156">
        <w:t>Note:</w:t>
      </w:r>
      <w:r w:rsidRPr="00E02156">
        <w:tab/>
        <w:t>n/a not applicable</w:t>
      </w:r>
      <w:r w:rsidR="00BF7EE5">
        <w:t>.</w:t>
      </w:r>
      <w:r w:rsidR="0032398A">
        <w:t xml:space="preserve"> CIC = Commercial in confidence. QA/QC = quality assurance/quality control. </w:t>
      </w:r>
    </w:p>
    <w:p w:rsidR="0088341A" w:rsidRDefault="0088341A" w:rsidP="00A673C8">
      <w:pPr>
        <w:pStyle w:val="HeadingBoldBlue"/>
      </w:pPr>
      <w:r>
        <w:t>Trends – rate of change increases</w:t>
      </w:r>
    </w:p>
    <w:p w:rsidR="0088341A" w:rsidRPr="00E528E5" w:rsidRDefault="0088341A" w:rsidP="00A673C8">
      <w:pPr>
        <w:pStyle w:val="HeadingBoldItalic"/>
      </w:pPr>
      <w:r>
        <w:t>Real cost escalation</w:t>
      </w:r>
      <w:r w:rsidRPr="00E528E5">
        <w:t xml:space="preserve"> </w:t>
      </w:r>
    </w:p>
    <w:p w:rsidR="0088341A" w:rsidRPr="007F769B" w:rsidRDefault="0088341A" w:rsidP="007F769B">
      <w:pPr>
        <w:pStyle w:val="AERbodytext"/>
      </w:pPr>
      <w:r w:rsidRPr="007F769B">
        <w:t>We do not accept SP AusNet's proposed real cost escalators reasonably reflect a realistic expectation of the cost inputs required to achieve the opex and capex objectives over the 2014–17 regulatory control period. Attachment 1</w:t>
      </w:r>
      <w:r w:rsidR="0032398A">
        <w:t xml:space="preserve"> sets out the detailed reasons for our draft decision on SP AusNet’s proposed real cost escalators</w:t>
      </w:r>
      <w:r w:rsidRPr="007F769B">
        <w:t>.</w:t>
      </w:r>
    </w:p>
    <w:p w:rsidR="0088341A" w:rsidRPr="007F769B" w:rsidRDefault="0088341A" w:rsidP="007F769B">
      <w:pPr>
        <w:pStyle w:val="AERbodytext"/>
      </w:pPr>
      <w:r w:rsidRPr="007F769B">
        <w:t>We applied individual real cost escalators for each year of the 2004–17 regulatory control period. Our application differs from SP AusNet's proposal which applied an average of the forecast real cost escalators in each year. We consider our approach more reliably reflects the year on year movements in real cost escalation over the forecast. Our approach is consistent with SP AusNet's approach for its proposed capex forecast. This adjustment reduced SP AusNet's total opex requirements by $1.6 million</w:t>
      </w:r>
      <w:r w:rsidR="007F769B" w:rsidRPr="007F769B">
        <w:t>.</w:t>
      </w:r>
    </w:p>
    <w:p w:rsidR="0088341A" w:rsidRPr="00E528E5" w:rsidRDefault="0088341A" w:rsidP="00A673C8">
      <w:pPr>
        <w:pStyle w:val="HeadingBoldItalic"/>
      </w:pPr>
      <w:r w:rsidRPr="00E528E5">
        <w:rPr>
          <w:rStyle w:val="AERtextitalic"/>
          <w:i/>
        </w:rPr>
        <w:t>Network growth</w:t>
      </w:r>
      <w:r w:rsidRPr="00E528E5">
        <w:t xml:space="preserve"> </w:t>
      </w:r>
    </w:p>
    <w:p w:rsidR="0088341A" w:rsidRDefault="0088341A" w:rsidP="0088341A">
      <w:pPr>
        <w:pStyle w:val="AERbodytext"/>
        <w:numPr>
          <w:ilvl w:val="0"/>
          <w:numId w:val="1"/>
        </w:numPr>
      </w:pPr>
      <w:r w:rsidRPr="00944042">
        <w:t xml:space="preserve">We accept </w:t>
      </w:r>
      <w:r>
        <w:t xml:space="preserve">SP AusNet's </w:t>
      </w:r>
      <w:r w:rsidRPr="0084474A">
        <w:t xml:space="preserve">proposed approach </w:t>
      </w:r>
      <w:r>
        <w:t>to</w:t>
      </w:r>
      <w:r w:rsidRPr="0084474A">
        <w:t xml:space="preserve"> estimating the network growth escalator over the 2008–14 regulato</w:t>
      </w:r>
      <w:r>
        <w:t>ry control period. It used its Group 3 asset roll in</w:t>
      </w:r>
      <w:r w:rsidRPr="0084474A">
        <w:t xml:space="preserve"> (network augmentation) to estimate a network growth escalator of 3</w:t>
      </w:r>
      <w:r>
        <w:t>.0</w:t>
      </w:r>
      <w:r w:rsidRPr="0084474A">
        <w:t xml:space="preserve"> per cent which</w:t>
      </w:r>
      <w:r>
        <w:t>,</w:t>
      </w:r>
      <w:r w:rsidRPr="0084474A">
        <w:t xml:space="preserve"> reflects the net change in ratio between the </w:t>
      </w:r>
      <w:r>
        <w:t>RAB</w:t>
      </w:r>
      <w:r w:rsidRPr="0084474A">
        <w:t xml:space="preserve"> </w:t>
      </w:r>
      <w:r w:rsidRPr="0084474A">
        <w:lastRenderedPageBreak/>
        <w:t>and non-regulated asset base.</w:t>
      </w:r>
      <w:r w:rsidRPr="0084474A">
        <w:rPr>
          <w:rStyle w:val="FootnoteReference"/>
        </w:rPr>
        <w:footnoteReference w:id="94"/>
      </w:r>
      <w:r w:rsidRPr="0084474A">
        <w:t xml:space="preserve"> We applied this same approach in our 2008 final decision</w:t>
      </w:r>
      <w:r>
        <w:t>,</w:t>
      </w:r>
      <w:r w:rsidRPr="0084474A">
        <w:t xml:space="preserve"> and we consider </w:t>
      </w:r>
      <w:r>
        <w:t>the</w:t>
      </w:r>
      <w:r w:rsidRPr="0084474A">
        <w:t xml:space="preserve"> approach remains reasonable. </w:t>
      </w:r>
      <w:r>
        <w:t>But, i</w:t>
      </w:r>
      <w:r w:rsidRPr="0084474A">
        <w:t xml:space="preserve">n accepting </w:t>
      </w:r>
      <w:r>
        <w:t xml:space="preserve">SP AusNet's </w:t>
      </w:r>
      <w:r w:rsidRPr="0084474A">
        <w:t xml:space="preserve">approach, we updated </w:t>
      </w:r>
      <w:r>
        <w:t xml:space="preserve">SP AusNet's </w:t>
      </w:r>
      <w:r w:rsidRPr="0084474A">
        <w:t xml:space="preserve">opening RAB value at 1 April 2014 (an input) to reflect our draft decision. </w:t>
      </w:r>
      <w:r>
        <w:t>So, we revised the network growth factor from 3.06 per cent to 2.91 per cent.</w:t>
      </w:r>
    </w:p>
    <w:p w:rsidR="0088341A" w:rsidRPr="00E528E5" w:rsidRDefault="0088341A" w:rsidP="00A673C8">
      <w:pPr>
        <w:pStyle w:val="HeadingBoldItalic"/>
      </w:pPr>
      <w:r w:rsidRPr="00E528E5">
        <w:rPr>
          <w:rStyle w:val="AERtextitalic"/>
          <w:i/>
        </w:rPr>
        <w:t>Economies of scale</w:t>
      </w:r>
      <w:r w:rsidRPr="00E528E5">
        <w:t xml:space="preserve"> </w:t>
      </w:r>
    </w:p>
    <w:p w:rsidR="00C4680C" w:rsidRDefault="00C4680C" w:rsidP="00C4680C">
      <w:pPr>
        <w:pStyle w:val="AERbodytext"/>
      </w:pPr>
      <w:r>
        <w:t>SP AusNet applied a scale factor of 70 per cent to routine maintenance and maintenance support and 100 per cent to</w:t>
      </w:r>
      <w:r w:rsidRPr="00C91DBD">
        <w:t xml:space="preserve"> corporate support costs. We</w:t>
      </w:r>
      <w:r>
        <w:t xml:space="preserve"> </w:t>
      </w:r>
      <w:r w:rsidRPr="00C91DBD">
        <w:t xml:space="preserve">do not </w:t>
      </w:r>
      <w:r>
        <w:t>consider the proposed scale factors</w:t>
      </w:r>
      <w:r w:rsidRPr="00C91DBD">
        <w:t xml:space="preserve"> </w:t>
      </w:r>
      <w:r>
        <w:t>reasonably reflect the costs that a prudent operator in the circumstances of the relevant TNSP would require to achieve the opex objectives.</w:t>
      </w:r>
      <w:r>
        <w:rPr>
          <w:rStyle w:val="FootnoteReference"/>
        </w:rPr>
        <w:footnoteReference w:id="95"/>
      </w:r>
      <w:r>
        <w:t xml:space="preserve"> </w:t>
      </w:r>
      <w:r w:rsidRPr="00FE2FBE">
        <w:t xml:space="preserve">We benchmarked the </w:t>
      </w:r>
      <w:r>
        <w:t xml:space="preserve">routine maintenance, maintenance support and corporate </w:t>
      </w:r>
      <w:r w:rsidRPr="00FE2FBE">
        <w:t>support scale factors against those of other TNSPs</w:t>
      </w:r>
      <w:r>
        <w:t>. We</w:t>
      </w:r>
      <w:r w:rsidRPr="00FE2FBE">
        <w:t xml:space="preserve"> found that a factor of </w:t>
      </w:r>
      <w:r>
        <w:t xml:space="preserve">95 per cent for routine maintenance, </w:t>
      </w:r>
      <w:r w:rsidRPr="00FE2FBE">
        <w:t>25 per cent for</w:t>
      </w:r>
      <w:r>
        <w:t xml:space="preserve"> maintenance support and 10 per cent for corporate support would achieve the opex objectives.</w:t>
      </w:r>
      <w:r>
        <w:rPr>
          <w:rStyle w:val="FootnoteReference"/>
        </w:rPr>
        <w:footnoteReference w:id="96"/>
      </w:r>
      <w:r w:rsidRPr="005654DB">
        <w:t xml:space="preserve"> </w:t>
      </w:r>
    </w:p>
    <w:p w:rsidR="00C4680C" w:rsidRPr="00C91DBD" w:rsidRDefault="00C4680C" w:rsidP="00C4680C">
      <w:pPr>
        <w:pStyle w:val="AERbodytext"/>
      </w:pPr>
      <w:r>
        <w:t>The combined effect of changing the network growth escalator and the economies of scale factors reduces the amount of opex needed to account for network growth to $3.4 million, from the $5.2 million SP AusNet proposed.</w:t>
      </w:r>
    </w:p>
    <w:p w:rsidR="0088341A" w:rsidRPr="00A907E9" w:rsidRDefault="0088341A" w:rsidP="0088341A">
      <w:pPr>
        <w:pStyle w:val="Heading3"/>
        <w:numPr>
          <w:ilvl w:val="3"/>
          <w:numId w:val="20"/>
        </w:numPr>
      </w:pPr>
      <w:r w:rsidRPr="00A907E9">
        <w:t>Assessment of non-controllable opex</w:t>
      </w:r>
    </w:p>
    <w:p w:rsidR="0088341A" w:rsidRPr="009353E5" w:rsidRDefault="0088341A" w:rsidP="0088341A">
      <w:pPr>
        <w:pStyle w:val="HeadingBoldBlue"/>
      </w:pPr>
      <w:r w:rsidRPr="009353E5">
        <w:rPr>
          <w:rStyle w:val="AERtextitalic"/>
          <w:i w:val="0"/>
        </w:rPr>
        <w:t>Self-insurance</w:t>
      </w:r>
      <w:r w:rsidRPr="009353E5">
        <w:t xml:space="preserve"> </w:t>
      </w:r>
    </w:p>
    <w:p w:rsidR="0088341A" w:rsidRDefault="0088341A" w:rsidP="0088341A">
      <w:pPr>
        <w:pStyle w:val="AERbodytext"/>
        <w:numPr>
          <w:ilvl w:val="0"/>
          <w:numId w:val="1"/>
        </w:numPr>
      </w:pPr>
      <w:r>
        <w:t>Our substitute allowance for self-insurance is $5.0 million. We adjusted SP AusNet's proposed forecast of $6.4 million to remove the risk margin</w:t>
      </w:r>
      <w:r w:rsidR="000A50D1">
        <w:t xml:space="preserve"> it proposed</w:t>
      </w:r>
      <w:r>
        <w:t xml:space="preserve">, and to remove allowances SP AusNet proposed for risks compensated through its opex allowance or which we consider are not reasonable. Our full reasoning is set out in Appendix C. </w:t>
      </w:r>
    </w:p>
    <w:p w:rsidR="0088341A" w:rsidRPr="009353E5" w:rsidRDefault="0088341A" w:rsidP="0088341A">
      <w:pPr>
        <w:pStyle w:val="HeadingBoldBlue"/>
      </w:pPr>
      <w:r w:rsidRPr="009353E5">
        <w:rPr>
          <w:rStyle w:val="AERtextitalic"/>
          <w:i w:val="0"/>
        </w:rPr>
        <w:t>Equity raising costs</w:t>
      </w:r>
      <w:r w:rsidRPr="009353E5">
        <w:t xml:space="preserve"> </w:t>
      </w:r>
    </w:p>
    <w:p w:rsidR="0088341A" w:rsidRDefault="0088341A" w:rsidP="0088341A">
      <w:pPr>
        <w:pStyle w:val="AERbodytext"/>
        <w:numPr>
          <w:ilvl w:val="0"/>
          <w:numId w:val="1"/>
        </w:numPr>
      </w:pPr>
      <w:r>
        <w:t>W</w:t>
      </w:r>
      <w:r w:rsidRPr="00C91DBD">
        <w:t>e converted the allowance</w:t>
      </w:r>
      <w:r>
        <w:t xml:space="preserve"> for equity raising costs</w:t>
      </w:r>
      <w:r w:rsidRPr="00C91DBD">
        <w:t xml:space="preserve"> from perpetuity to an amoun</w:t>
      </w:r>
      <w:r>
        <w:t>t for capitalisation in the RAB. C</w:t>
      </w:r>
      <w:r w:rsidRPr="00C91DBD">
        <w:t xml:space="preserve">onsequently, the equity raising costs </w:t>
      </w:r>
      <w:r w:rsidR="00292C86" w:rsidRPr="00B70483">
        <w:t xml:space="preserve">associated with SP AusNet's 2003 opening RAB and capex incurred over the 2003–08 regulatory control period </w:t>
      </w:r>
      <w:r w:rsidRPr="00C91DBD">
        <w:t xml:space="preserve">will be provided through the regulatory depreciation and return on capital building blocks. </w:t>
      </w:r>
      <w:r>
        <w:t>So</w:t>
      </w:r>
      <w:r w:rsidRPr="00C91DBD">
        <w:t xml:space="preserve">, we will not provide </w:t>
      </w:r>
      <w:r w:rsidR="0032398A">
        <w:t xml:space="preserve">for </w:t>
      </w:r>
      <w:r w:rsidRPr="00C91DBD">
        <w:t>these equity raising costs in the opex building block</w:t>
      </w:r>
      <w:r>
        <w:t>.</w:t>
      </w:r>
    </w:p>
    <w:p w:rsidR="0088341A" w:rsidRPr="00483603" w:rsidRDefault="0088341A" w:rsidP="0088341A">
      <w:pPr>
        <w:pStyle w:val="HeadingBoldBlue"/>
        <w:rPr>
          <w:rStyle w:val="AERtextitalic"/>
          <w:i w:val="0"/>
        </w:rPr>
      </w:pPr>
      <w:r w:rsidRPr="00483603">
        <w:rPr>
          <w:rStyle w:val="AERtextitalic"/>
          <w:i w:val="0"/>
        </w:rPr>
        <w:t>Debt raising costs</w:t>
      </w:r>
    </w:p>
    <w:p w:rsidR="0088341A" w:rsidRPr="00C91DBD" w:rsidRDefault="0088341A" w:rsidP="0088341A">
      <w:pPr>
        <w:pStyle w:val="AERbodytext"/>
        <w:numPr>
          <w:ilvl w:val="0"/>
          <w:numId w:val="1"/>
        </w:numPr>
      </w:pPr>
      <w:r>
        <w:rPr>
          <w:rStyle w:val="AERbody"/>
        </w:rPr>
        <w:t>W</w:t>
      </w:r>
      <w:r w:rsidRPr="00BD78BF">
        <w:rPr>
          <w:rStyle w:val="AERbody"/>
        </w:rPr>
        <w:t xml:space="preserve">e </w:t>
      </w:r>
      <w:r>
        <w:rPr>
          <w:rStyle w:val="AERbody"/>
        </w:rPr>
        <w:t xml:space="preserve">accept SP AusNet's method but </w:t>
      </w:r>
      <w:r w:rsidRPr="00BD78BF">
        <w:rPr>
          <w:rStyle w:val="AERbody"/>
        </w:rPr>
        <w:t xml:space="preserve">updated </w:t>
      </w:r>
      <w:r>
        <w:rPr>
          <w:rStyle w:val="AERbody"/>
        </w:rPr>
        <w:t>its</w:t>
      </w:r>
      <w:r w:rsidRPr="00BD78BF">
        <w:rPr>
          <w:rStyle w:val="AERbody"/>
        </w:rPr>
        <w:t xml:space="preserve"> proposed benchmark unit rate for debt raising costs to reflect the indicative WACC. We also updated the benchmark unit rate to reflect the number of 'standard' bond issuances required over the 2014–17 regulatory control period to finance the debt portion of </w:t>
      </w:r>
      <w:r>
        <w:rPr>
          <w:rStyle w:val="AERbody"/>
        </w:rPr>
        <w:t xml:space="preserve">SP AusNet's </w:t>
      </w:r>
      <w:r w:rsidRPr="00BD78BF">
        <w:rPr>
          <w:rStyle w:val="AERbody"/>
        </w:rPr>
        <w:t xml:space="preserve">RAB. This update resulted in a benchmark unit rate for debt raising costs of </w:t>
      </w:r>
      <w:r>
        <w:rPr>
          <w:rStyle w:val="AERbody"/>
        </w:rPr>
        <w:t>9</w:t>
      </w:r>
      <w:r w:rsidRPr="00BD78BF">
        <w:rPr>
          <w:rStyle w:val="AERbody"/>
        </w:rPr>
        <w:t> basis points per year. Accordingly, we determined a benchmark debt raising cost allowance of $</w:t>
      </w:r>
      <w:r>
        <w:rPr>
          <w:rStyle w:val="AERbody"/>
        </w:rPr>
        <w:t>4.5</w:t>
      </w:r>
      <w:r w:rsidRPr="00BD78BF">
        <w:rPr>
          <w:rStyle w:val="AERbody"/>
        </w:rPr>
        <w:t> </w:t>
      </w:r>
      <w:r>
        <w:rPr>
          <w:rStyle w:val="AERbody"/>
        </w:rPr>
        <w:t>million</w:t>
      </w:r>
      <w:r w:rsidR="005040F9">
        <w:rPr>
          <w:rStyle w:val="AERbody"/>
        </w:rPr>
        <w:t xml:space="preserve"> ($2013–14)</w:t>
      </w:r>
      <w:r w:rsidR="00917346">
        <w:rPr>
          <w:rStyle w:val="AERbody"/>
        </w:rPr>
        <w:t xml:space="preserve"> in total for the 2014–17 regulatory control period</w:t>
      </w:r>
      <w:r>
        <w:rPr>
          <w:rStyle w:val="AERbody"/>
        </w:rPr>
        <w:t>.</w:t>
      </w:r>
    </w:p>
    <w:p w:rsidR="0088341A" w:rsidRPr="009353E5" w:rsidRDefault="0088341A" w:rsidP="0088341A">
      <w:pPr>
        <w:pStyle w:val="HeadingBoldBlue"/>
        <w:rPr>
          <w:rStyle w:val="AERtextitalic"/>
          <w:i w:val="0"/>
        </w:rPr>
      </w:pPr>
      <w:r>
        <w:rPr>
          <w:rStyle w:val="AERtextitalic"/>
          <w:i w:val="0"/>
        </w:rPr>
        <w:lastRenderedPageBreak/>
        <w:t>Availability incentive s</w:t>
      </w:r>
      <w:r w:rsidRPr="009353E5">
        <w:rPr>
          <w:rStyle w:val="AERtextitalic"/>
          <w:i w:val="0"/>
        </w:rPr>
        <w:t xml:space="preserve">cheme rebate </w:t>
      </w:r>
    </w:p>
    <w:p w:rsidR="0088341A" w:rsidRDefault="0088341A" w:rsidP="0088341A">
      <w:pPr>
        <w:pStyle w:val="AERbodytext"/>
        <w:numPr>
          <w:ilvl w:val="0"/>
          <w:numId w:val="1"/>
        </w:numPr>
        <w:rPr>
          <w:rStyle w:val="AERbody"/>
        </w:rPr>
      </w:pPr>
      <w:r>
        <w:t xml:space="preserve">SP AusNet </w:t>
      </w:r>
      <w:r w:rsidRPr="00134C63">
        <w:t>is currently subject to the Availability Incentive Scheme</w:t>
      </w:r>
      <w:r>
        <w:t xml:space="preserve"> (AIS)</w:t>
      </w:r>
      <w:r w:rsidRPr="00134C63">
        <w:t>. Under th</w:t>
      </w:r>
      <w:r>
        <w:t>is scheme</w:t>
      </w:r>
      <w:r w:rsidRPr="00134C63">
        <w:t xml:space="preserve">, </w:t>
      </w:r>
      <w:r>
        <w:t xml:space="preserve">SP AusNet </w:t>
      </w:r>
      <w:r w:rsidRPr="00134C63">
        <w:t>must pay rebates to AEMO for out</w:t>
      </w:r>
      <w:r>
        <w:t xml:space="preserve">ages on its network. The </w:t>
      </w:r>
      <w:r w:rsidRPr="00134C63">
        <w:t>rebates paid depend on the particular asset that is out of service and the time when the outage occurs (</w:t>
      </w:r>
      <w:r w:rsidR="0032398A">
        <w:t>for example,</w:t>
      </w:r>
      <w:r w:rsidRPr="00134C63">
        <w:t xml:space="preserve"> off–peak, shoulder, peak).</w:t>
      </w:r>
      <w:r>
        <w:t xml:space="preserve"> I</w:t>
      </w:r>
      <w:r w:rsidRPr="00134C63">
        <w:t xml:space="preserve">n its revenue proposal, </w:t>
      </w:r>
      <w:r>
        <w:t xml:space="preserve">SP AusNet </w:t>
      </w:r>
      <w:r w:rsidRPr="00134C63">
        <w:t>provided a ‘placeholder’ rebate forecast</w:t>
      </w:r>
      <w:r>
        <w:t xml:space="preserve"> of $9.9 million because this scheme was under review by AEMO. On 16 July, </w:t>
      </w:r>
      <w:r w:rsidRPr="00134C63">
        <w:t xml:space="preserve">AEMO </w:t>
      </w:r>
      <w:r>
        <w:t>confirmed</w:t>
      </w:r>
      <w:r w:rsidRPr="00134C63">
        <w:t xml:space="preserve"> it</w:t>
      </w:r>
      <w:r>
        <w:t>s</w:t>
      </w:r>
      <w:r w:rsidRPr="00134C63">
        <w:t xml:space="preserve"> inten</w:t>
      </w:r>
      <w:r>
        <w:t>t</w:t>
      </w:r>
      <w:r w:rsidRPr="00134C63">
        <w:t xml:space="preserve"> to maintain the AIS for 2014–17</w:t>
      </w:r>
      <w:r>
        <w:t xml:space="preserve">. During our ongoing engagement with SP AusNet, we were informed that it would submit a revised AIS rebate forecast if AEMO decided to maintain the scheme for the 2014–17 regulatory control period.  We will assess that forecast when it is received. On this basis, we have not provided any opex for AIS rebates in this draft decision. </w:t>
      </w:r>
    </w:p>
    <w:p w:rsidR="0088341A" w:rsidRPr="00FA2E96" w:rsidRDefault="0088341A" w:rsidP="009D0A1D">
      <w:pPr>
        <w:pStyle w:val="Heading1"/>
        <w:numPr>
          <w:ilvl w:val="1"/>
          <w:numId w:val="20"/>
        </w:numPr>
      </w:pPr>
      <w:bookmarkStart w:id="90" w:name="_Toc365283261"/>
      <w:bookmarkStart w:id="91" w:name="_Toc365461989"/>
      <w:r w:rsidRPr="00FA2E96">
        <w:lastRenderedPageBreak/>
        <w:t>Efficiency benefit sharing scheme</w:t>
      </w:r>
      <w:bookmarkEnd w:id="90"/>
      <w:bookmarkEnd w:id="91"/>
    </w:p>
    <w:p w:rsidR="00F80035" w:rsidRPr="00FA2E96" w:rsidRDefault="00F80035" w:rsidP="00FA2E96">
      <w:r w:rsidRPr="00FA2E96">
        <w:t xml:space="preserve">The efficiency benefit sharing scheme (EBSS) is a key component of incentive regulation employed under the </w:t>
      </w:r>
      <w:r w:rsidR="0032398A">
        <w:t>NER</w:t>
      </w:r>
      <w:r w:rsidRPr="00FA2E96">
        <w:t>. Because opex is largely recurrent and predictable, opex in one period is generally a good indicator of opex in the next period. We use a TNSP's actual opex incurred in a chosen base year of the regulatory control period to forecast opex for the next regulatory control period. To encourage TNSPs to become more efficient we need to permit them to keep a portion of any reductions in opex they achieve. This is done through the EBSS which lets TNSPs keep efficiency gains for a set number of years, usually five. They thus have a continuous incentive to achieve efficiency gains.</w:t>
      </w:r>
    </w:p>
    <w:p w:rsidR="00F80035" w:rsidRPr="00FA2E96" w:rsidRDefault="00F80035" w:rsidP="00FA2E96">
      <w:r w:rsidRPr="00FA2E96">
        <w:t>Under the EBSS, TNSPs are rewarded for underspending and penalised for overspending the opex allowance. Consumers benefit from an underspend through lower prices in the next regulatory control period-that is, forecast opex in the next regulatory control period will reflect the TNSP's lower level of opex in the current regulatory control period, so regulated prices will be lower too.</w:t>
      </w:r>
    </w:p>
    <w:p w:rsidR="00F80035" w:rsidRPr="00FA2E96" w:rsidRDefault="00F80035" w:rsidP="009D0A1D">
      <w:pPr>
        <w:pStyle w:val="Heading2"/>
        <w:numPr>
          <w:ilvl w:val="2"/>
          <w:numId w:val="20"/>
        </w:numPr>
      </w:pPr>
      <w:bookmarkStart w:id="92" w:name="_Toc365283262"/>
      <w:r w:rsidRPr="00FA2E96">
        <w:t>Draft decision</w:t>
      </w:r>
      <w:bookmarkEnd w:id="92"/>
    </w:p>
    <w:p w:rsidR="0088341A" w:rsidRPr="00FA2E96" w:rsidRDefault="0088341A" w:rsidP="00FA2E96">
      <w:r w:rsidRPr="00FA2E96">
        <w:t xml:space="preserve">We are not satisfied SP AusNet's proposed EBSS carryover of $47.1 million from the 2008–14 regulatory control period complies with the scheme requirements. Rather, we determined that a carryover of $37.2 million complies with the scheme requirements. The difference in the EBSS carryover proposed by SP AusNet and the amount we approve arose </w:t>
      </w:r>
      <w:r w:rsidR="006136EA" w:rsidRPr="00FA2E96">
        <w:t xml:space="preserve">mainly </w:t>
      </w:r>
      <w:r w:rsidRPr="00FA2E96">
        <w:t xml:space="preserve">because we applied a five year carryover period for efficiency gains accrued in 2008–14 and SP AusNet applied a six year carryover period. </w:t>
      </w:r>
      <w:r w:rsidRPr="00FA2E96">
        <w:fldChar w:fldCharType="begin"/>
      </w:r>
      <w:r w:rsidRPr="00FA2E96">
        <w:instrText xml:space="preserve"> REF _Ref362533376 \h </w:instrText>
      </w:r>
      <w:r w:rsidR="00FA2E96">
        <w:instrText xml:space="preserve"> \* MERGEFORMAT </w:instrText>
      </w:r>
      <w:r w:rsidRPr="00FA2E96">
        <w:fldChar w:fldCharType="separate"/>
      </w:r>
      <w:r w:rsidR="004F35AA">
        <w:t>Table 9.1</w:t>
      </w:r>
      <w:r w:rsidRPr="00FA2E96">
        <w:fldChar w:fldCharType="end"/>
      </w:r>
      <w:r w:rsidRPr="00FA2E96">
        <w:t xml:space="preserve"> shows the carryover amounts that we consider comply with the EBSS. It also shows the adjusted opex forecasts for the EBSS for the 2014–17 regulatory control period. </w:t>
      </w:r>
    </w:p>
    <w:p w:rsidR="0088341A" w:rsidRPr="00E347BB" w:rsidRDefault="0088341A" w:rsidP="0088341A">
      <w:pPr>
        <w:pStyle w:val="Caption"/>
      </w:pPr>
      <w:bookmarkStart w:id="93" w:name="_Ref362533376"/>
      <w:r>
        <w:t xml:space="preserve">Table </w:t>
      </w:r>
      <w:fldSimple w:instr=" STYLEREF 1 \s ">
        <w:r w:rsidR="004F35AA">
          <w:rPr>
            <w:noProof/>
          </w:rPr>
          <w:t>9</w:t>
        </w:r>
      </w:fldSimple>
      <w:r w:rsidR="00C56A87">
        <w:t>.</w:t>
      </w:r>
      <w:fldSimple w:instr=" SEQ Table \* ARABIC \s 1 ">
        <w:r w:rsidR="004F35AA">
          <w:rPr>
            <w:noProof/>
          </w:rPr>
          <w:t>1</w:t>
        </w:r>
      </w:fldSimple>
      <w:bookmarkEnd w:id="93"/>
      <w:r>
        <w:tab/>
        <w:t>AER's draft decision on SP AusNet</w:t>
      </w:r>
      <w:r w:rsidRPr="00A3346F">
        <w:t xml:space="preserve">'s </w:t>
      </w:r>
      <w:r>
        <w:t>carryover amounts and adjusted opex forecast for the EBSS ($ million, 2013–14)</w:t>
      </w:r>
    </w:p>
    <w:tbl>
      <w:tblPr>
        <w:tblStyle w:val="AERtable-numbers"/>
        <w:tblW w:w="0" w:type="auto"/>
        <w:tblLook w:val="04A0" w:firstRow="1" w:lastRow="0" w:firstColumn="1" w:lastColumn="0" w:noHBand="0" w:noVBand="1"/>
      </w:tblPr>
      <w:tblGrid>
        <w:gridCol w:w="2943"/>
        <w:gridCol w:w="1524"/>
        <w:gridCol w:w="1524"/>
        <w:gridCol w:w="1524"/>
        <w:gridCol w:w="1524"/>
      </w:tblGrid>
      <w:tr w:rsidR="0088341A" w:rsidRPr="005658E4" w:rsidTr="00775B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88341A" w:rsidRPr="00775BB9" w:rsidRDefault="0088341A" w:rsidP="00775BB9">
            <w:pPr>
              <w:pStyle w:val="AERtablesource"/>
            </w:pPr>
          </w:p>
        </w:tc>
        <w:tc>
          <w:tcPr>
            <w:tcW w:w="1524" w:type="dxa"/>
          </w:tcPr>
          <w:p w:rsidR="0088341A" w:rsidRPr="00775BB9" w:rsidRDefault="0088341A" w:rsidP="005658E4">
            <w:pPr>
              <w:pStyle w:val="AERtabletextright"/>
              <w:cnfStyle w:val="100000000000" w:firstRow="1" w:lastRow="0" w:firstColumn="0" w:lastColumn="0" w:oddVBand="0" w:evenVBand="0" w:oddHBand="0" w:evenHBand="0" w:firstRowFirstColumn="0" w:firstRowLastColumn="0" w:lastRowFirstColumn="0" w:lastRowLastColumn="0"/>
            </w:pPr>
            <w:r w:rsidRPr="005658E4">
              <w:t>2014–15</w:t>
            </w:r>
          </w:p>
        </w:tc>
        <w:tc>
          <w:tcPr>
            <w:tcW w:w="1524" w:type="dxa"/>
          </w:tcPr>
          <w:p w:rsidR="0088341A" w:rsidRPr="00775BB9" w:rsidRDefault="0088341A" w:rsidP="00D77DC9">
            <w:pPr>
              <w:pStyle w:val="AERtabletextright"/>
              <w:cnfStyle w:val="100000000000" w:firstRow="1" w:lastRow="0" w:firstColumn="0" w:lastColumn="0" w:oddVBand="0" w:evenVBand="0" w:oddHBand="0" w:evenHBand="0" w:firstRowFirstColumn="0" w:firstRowLastColumn="0" w:lastRowFirstColumn="0" w:lastRowLastColumn="0"/>
            </w:pPr>
            <w:r w:rsidRPr="005658E4">
              <w:t>2015–16</w:t>
            </w:r>
          </w:p>
        </w:tc>
        <w:tc>
          <w:tcPr>
            <w:tcW w:w="1524" w:type="dxa"/>
          </w:tcPr>
          <w:p w:rsidR="0088341A" w:rsidRPr="00775BB9" w:rsidRDefault="0088341A">
            <w:pPr>
              <w:pStyle w:val="AERtabletextright"/>
              <w:cnfStyle w:val="100000000000" w:firstRow="1" w:lastRow="0" w:firstColumn="0" w:lastColumn="0" w:oddVBand="0" w:evenVBand="0" w:oddHBand="0" w:evenHBand="0" w:firstRowFirstColumn="0" w:firstRowLastColumn="0" w:lastRowFirstColumn="0" w:lastRowLastColumn="0"/>
            </w:pPr>
            <w:r w:rsidRPr="005658E4">
              <w:t>2016–17</w:t>
            </w:r>
          </w:p>
        </w:tc>
        <w:tc>
          <w:tcPr>
            <w:tcW w:w="1524" w:type="dxa"/>
          </w:tcPr>
          <w:p w:rsidR="0088341A" w:rsidRPr="00775BB9" w:rsidRDefault="0088341A">
            <w:pPr>
              <w:pStyle w:val="AERtabletextright"/>
              <w:cnfStyle w:val="100000000000" w:firstRow="1" w:lastRow="0" w:firstColumn="0" w:lastColumn="0" w:oddVBand="0" w:evenVBand="0" w:oddHBand="0" w:evenHBand="0" w:firstRowFirstColumn="0" w:firstRowLastColumn="0" w:lastRowFirstColumn="0" w:lastRowLastColumn="0"/>
            </w:pPr>
            <w:r w:rsidRPr="005658E4">
              <w:t>Total</w:t>
            </w:r>
          </w:p>
        </w:tc>
      </w:tr>
      <w:tr w:rsidR="0088341A" w:rsidRPr="005658E4" w:rsidTr="00775BB9">
        <w:tc>
          <w:tcPr>
            <w:cnfStyle w:val="001000000000" w:firstRow="0" w:lastRow="0" w:firstColumn="1" w:lastColumn="0" w:oddVBand="0" w:evenVBand="0" w:oddHBand="0" w:evenHBand="0" w:firstRowFirstColumn="0" w:firstRowLastColumn="0" w:lastRowFirstColumn="0" w:lastRowLastColumn="0"/>
            <w:tcW w:w="2943" w:type="dxa"/>
          </w:tcPr>
          <w:p w:rsidR="0088341A" w:rsidRPr="00D77DC9" w:rsidRDefault="0088341A" w:rsidP="00775BB9">
            <w:pPr>
              <w:pStyle w:val="AERtablesource"/>
              <w:rPr>
                <w:lang w:eastAsia="en-US"/>
              </w:rPr>
            </w:pPr>
            <w:r w:rsidRPr="005658E4">
              <w:t>EBSS carryover</w:t>
            </w:r>
            <w:r w:rsidRPr="00D77DC9">
              <w:t xml:space="preserve"> amount</w:t>
            </w:r>
          </w:p>
        </w:tc>
        <w:tc>
          <w:tcPr>
            <w:tcW w:w="1524" w:type="dxa"/>
          </w:tcPr>
          <w:p w:rsidR="0088341A" w:rsidRPr="00775BB9" w:rsidRDefault="0088341A" w:rsidP="00775BB9">
            <w:pPr>
              <w:pStyle w:val="AERtabletextright"/>
              <w:cnfStyle w:val="000000000000" w:firstRow="0" w:lastRow="0" w:firstColumn="0" w:lastColumn="0" w:oddVBand="0" w:evenVBand="0" w:oddHBand="0" w:evenHBand="0" w:firstRowFirstColumn="0" w:firstRowLastColumn="0" w:lastRowFirstColumn="0" w:lastRowLastColumn="0"/>
            </w:pPr>
            <w:r w:rsidRPr="005658E4">
              <w:t>17.9</w:t>
            </w:r>
          </w:p>
        </w:tc>
        <w:tc>
          <w:tcPr>
            <w:tcW w:w="1524" w:type="dxa"/>
          </w:tcPr>
          <w:p w:rsidR="0088341A" w:rsidRPr="00775BB9" w:rsidRDefault="0088341A" w:rsidP="00775BB9">
            <w:pPr>
              <w:pStyle w:val="AERtabletextright"/>
              <w:cnfStyle w:val="000000000000" w:firstRow="0" w:lastRow="0" w:firstColumn="0" w:lastColumn="0" w:oddVBand="0" w:evenVBand="0" w:oddHBand="0" w:evenHBand="0" w:firstRowFirstColumn="0" w:firstRowLastColumn="0" w:lastRowFirstColumn="0" w:lastRowLastColumn="0"/>
            </w:pPr>
            <w:r w:rsidRPr="005658E4">
              <w:t>15.4</w:t>
            </w:r>
          </w:p>
        </w:tc>
        <w:tc>
          <w:tcPr>
            <w:tcW w:w="1524" w:type="dxa"/>
          </w:tcPr>
          <w:p w:rsidR="0088341A" w:rsidRPr="00775BB9" w:rsidRDefault="0088341A" w:rsidP="00775BB9">
            <w:pPr>
              <w:pStyle w:val="AERtabletextright"/>
              <w:cnfStyle w:val="000000000000" w:firstRow="0" w:lastRow="0" w:firstColumn="0" w:lastColumn="0" w:oddVBand="0" w:evenVBand="0" w:oddHBand="0" w:evenHBand="0" w:firstRowFirstColumn="0" w:firstRowLastColumn="0" w:lastRowFirstColumn="0" w:lastRowLastColumn="0"/>
            </w:pPr>
            <w:r w:rsidRPr="005658E4">
              <w:t>3.9</w:t>
            </w:r>
          </w:p>
        </w:tc>
        <w:tc>
          <w:tcPr>
            <w:tcW w:w="1524" w:type="dxa"/>
          </w:tcPr>
          <w:p w:rsidR="0088341A" w:rsidRPr="00775BB9" w:rsidRDefault="0088341A" w:rsidP="00775BB9">
            <w:pPr>
              <w:pStyle w:val="AERtabletextright"/>
              <w:cnfStyle w:val="000000000000" w:firstRow="0" w:lastRow="0" w:firstColumn="0" w:lastColumn="0" w:oddVBand="0" w:evenVBand="0" w:oddHBand="0" w:evenHBand="0" w:firstRowFirstColumn="0" w:firstRowLastColumn="0" w:lastRowFirstColumn="0" w:lastRowLastColumn="0"/>
            </w:pPr>
            <w:r w:rsidRPr="005658E4">
              <w:t>37.2</w:t>
            </w:r>
          </w:p>
        </w:tc>
      </w:tr>
      <w:tr w:rsidR="0088341A" w:rsidRPr="005658E4" w:rsidTr="00775B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88341A" w:rsidRPr="00D77DC9" w:rsidRDefault="0088341A" w:rsidP="00775BB9">
            <w:pPr>
              <w:pStyle w:val="AERtablesource"/>
              <w:rPr>
                <w:lang w:eastAsia="en-US"/>
              </w:rPr>
            </w:pPr>
            <w:r w:rsidRPr="005658E4">
              <w:t xml:space="preserve">Adjusted </w:t>
            </w:r>
            <w:r w:rsidRPr="00D77DC9">
              <w:t xml:space="preserve">opex forecast for EBSS </w:t>
            </w:r>
          </w:p>
        </w:tc>
        <w:tc>
          <w:tcPr>
            <w:tcW w:w="1524" w:type="dxa"/>
          </w:tcPr>
          <w:p w:rsidR="0088341A" w:rsidRPr="00775BB9" w:rsidRDefault="0088341A" w:rsidP="00775BB9">
            <w:pPr>
              <w:pStyle w:val="AERtabletextright"/>
              <w:cnfStyle w:val="000000010000" w:firstRow="0" w:lastRow="0" w:firstColumn="0" w:lastColumn="0" w:oddVBand="0" w:evenVBand="0" w:oddHBand="0" w:evenHBand="1" w:firstRowFirstColumn="0" w:firstRowLastColumn="0" w:lastRowFirstColumn="0" w:lastRowLastColumn="0"/>
            </w:pPr>
            <w:r w:rsidRPr="00775BB9">
              <w:t xml:space="preserve">75.1 </w:t>
            </w:r>
          </w:p>
        </w:tc>
        <w:tc>
          <w:tcPr>
            <w:tcW w:w="1524" w:type="dxa"/>
          </w:tcPr>
          <w:p w:rsidR="0088341A" w:rsidRPr="00775BB9" w:rsidRDefault="0088341A" w:rsidP="00775BB9">
            <w:pPr>
              <w:pStyle w:val="AERtabletextright"/>
              <w:cnfStyle w:val="000000010000" w:firstRow="0" w:lastRow="0" w:firstColumn="0" w:lastColumn="0" w:oddVBand="0" w:evenVBand="0" w:oddHBand="0" w:evenHBand="1" w:firstRowFirstColumn="0" w:firstRowLastColumn="0" w:lastRowFirstColumn="0" w:lastRowLastColumn="0"/>
            </w:pPr>
            <w:r w:rsidRPr="00775BB9">
              <w:t xml:space="preserve">76.6 </w:t>
            </w:r>
          </w:p>
        </w:tc>
        <w:tc>
          <w:tcPr>
            <w:tcW w:w="1524" w:type="dxa"/>
          </w:tcPr>
          <w:p w:rsidR="0088341A" w:rsidRPr="00775BB9" w:rsidRDefault="0088341A" w:rsidP="00775BB9">
            <w:pPr>
              <w:pStyle w:val="AERtabletextright"/>
              <w:cnfStyle w:val="000000010000" w:firstRow="0" w:lastRow="0" w:firstColumn="0" w:lastColumn="0" w:oddVBand="0" w:evenVBand="0" w:oddHBand="0" w:evenHBand="1" w:firstRowFirstColumn="0" w:firstRowLastColumn="0" w:lastRowFirstColumn="0" w:lastRowLastColumn="0"/>
            </w:pPr>
            <w:r w:rsidRPr="00775BB9">
              <w:t xml:space="preserve">76.7 </w:t>
            </w:r>
          </w:p>
        </w:tc>
        <w:tc>
          <w:tcPr>
            <w:tcW w:w="1524" w:type="dxa"/>
          </w:tcPr>
          <w:p w:rsidR="0088341A" w:rsidRPr="00775BB9" w:rsidRDefault="0088341A" w:rsidP="00775BB9">
            <w:pPr>
              <w:pStyle w:val="AERtabletextright"/>
              <w:cnfStyle w:val="000000010000" w:firstRow="0" w:lastRow="0" w:firstColumn="0" w:lastColumn="0" w:oddVBand="0" w:evenVBand="0" w:oddHBand="0" w:evenHBand="1" w:firstRowFirstColumn="0" w:firstRowLastColumn="0" w:lastRowFirstColumn="0" w:lastRowLastColumn="0"/>
            </w:pPr>
            <w:r w:rsidRPr="00775BB9">
              <w:t xml:space="preserve">228.4 </w:t>
            </w:r>
          </w:p>
        </w:tc>
      </w:tr>
    </w:tbl>
    <w:p w:rsidR="0088341A" w:rsidRDefault="0088341A" w:rsidP="0088341A">
      <w:pPr>
        <w:pStyle w:val="Caption"/>
      </w:pPr>
    </w:p>
    <w:p w:rsidR="0088341A" w:rsidRDefault="0088341A" w:rsidP="00115E8B">
      <w:pPr>
        <w:pStyle w:val="Heading2"/>
        <w:numPr>
          <w:ilvl w:val="2"/>
          <w:numId w:val="20"/>
        </w:numPr>
      </w:pPr>
      <w:bookmarkStart w:id="94" w:name="_Toc365283263"/>
      <w:r>
        <w:t>Summary of analysis and reasons</w:t>
      </w:r>
      <w:bookmarkEnd w:id="94"/>
    </w:p>
    <w:p w:rsidR="0088341A" w:rsidRDefault="0088341A" w:rsidP="0088341A">
      <w:pPr>
        <w:pStyle w:val="AERbodytext"/>
        <w:numPr>
          <w:ilvl w:val="0"/>
          <w:numId w:val="1"/>
        </w:numPr>
      </w:pPr>
      <w:r w:rsidRPr="00154A80">
        <w:t xml:space="preserve">The </w:t>
      </w:r>
      <w:r>
        <w:t>scheme</w:t>
      </w:r>
      <w:r w:rsidRPr="00154A80">
        <w:t xml:space="preserve"> that applied to </w:t>
      </w:r>
      <w:r>
        <w:t>SP AusNet</w:t>
      </w:r>
      <w:r w:rsidRPr="00154A80">
        <w:t xml:space="preserve"> during </w:t>
      </w:r>
      <w:r>
        <w:t>the 2008–14</w:t>
      </w:r>
      <w:r w:rsidRPr="00154A80">
        <w:t xml:space="preserve"> reg</w:t>
      </w:r>
      <w:r>
        <w:t>ulatory control period was the first proposed EBSS</w:t>
      </w:r>
      <w:r w:rsidRPr="00154A80">
        <w:t>.</w:t>
      </w:r>
      <w:r>
        <w:rPr>
          <w:rStyle w:val="FootnoteReference"/>
        </w:rPr>
        <w:footnoteReference w:id="97"/>
      </w:r>
      <w:r>
        <w:t xml:space="preserve"> </w:t>
      </w:r>
      <w:r w:rsidRPr="00154A80">
        <w:t xml:space="preserve">The </w:t>
      </w:r>
      <w:r>
        <w:t>scheme</w:t>
      </w:r>
      <w:r w:rsidRPr="00154A80">
        <w:t xml:space="preserve"> that will apply to </w:t>
      </w:r>
      <w:r>
        <w:t>SP AusNet</w:t>
      </w:r>
      <w:r w:rsidRPr="00154A80">
        <w:t xml:space="preserve"> for the 201</w:t>
      </w:r>
      <w:r>
        <w:t>4</w:t>
      </w:r>
      <w:r w:rsidRPr="00154A80">
        <w:t>–1</w:t>
      </w:r>
      <w:r>
        <w:t>7</w:t>
      </w:r>
      <w:r w:rsidRPr="00154A80">
        <w:t xml:space="preserve"> regulatory control period is </w:t>
      </w:r>
      <w:r>
        <w:t>version one of the EBSS for electricity TNSPs</w:t>
      </w:r>
      <w:r w:rsidRPr="00154A80">
        <w:t>.</w:t>
      </w:r>
      <w:r>
        <w:rPr>
          <w:rStyle w:val="FootnoteReference"/>
        </w:rPr>
        <w:footnoteReference w:id="98"/>
      </w:r>
      <w:r>
        <w:t xml:space="preserve"> </w:t>
      </w:r>
      <w:r w:rsidRPr="00154A80">
        <w:t xml:space="preserve">The </w:t>
      </w:r>
      <w:r>
        <w:t xml:space="preserve">NER </w:t>
      </w:r>
      <w:r w:rsidRPr="00154A80">
        <w:t>require</w:t>
      </w:r>
      <w:r>
        <w:t>s</w:t>
      </w:r>
      <w:r w:rsidRPr="00154A80">
        <w:t xml:space="preserve"> </w:t>
      </w:r>
      <w:r>
        <w:t>us</w:t>
      </w:r>
      <w:r w:rsidRPr="00154A80">
        <w:t xml:space="preserve"> to </w:t>
      </w:r>
      <w:r>
        <w:t>decide:</w:t>
      </w:r>
      <w:r>
        <w:rPr>
          <w:rStyle w:val="FootnoteReference"/>
        </w:rPr>
        <w:footnoteReference w:id="99"/>
      </w:r>
    </w:p>
    <w:p w:rsidR="0088341A" w:rsidRDefault="0088341A" w:rsidP="0088341A">
      <w:pPr>
        <w:pStyle w:val="AERbulletlistfirststyle"/>
      </w:pPr>
      <w:r w:rsidRPr="00154A80">
        <w:t>the carryover amounts that arise from appl</w:t>
      </w:r>
      <w:r>
        <w:t>ying</w:t>
      </w:r>
      <w:r w:rsidRPr="00154A80">
        <w:t xml:space="preserve"> the EBSS during the 2008</w:t>
      </w:r>
      <w:r>
        <w:t>–14 regulatory control period</w:t>
      </w:r>
      <w:r w:rsidRPr="004C12FF">
        <w:t xml:space="preserve"> </w:t>
      </w:r>
    </w:p>
    <w:p w:rsidR="0088341A" w:rsidRDefault="0088341A" w:rsidP="0088341A">
      <w:pPr>
        <w:pStyle w:val="AERbulletlistfirststyle"/>
      </w:pPr>
      <w:r w:rsidRPr="00154A80">
        <w:t xml:space="preserve">how the EBSS will apply to </w:t>
      </w:r>
      <w:r>
        <w:t>SP AusNet</w:t>
      </w:r>
      <w:r w:rsidRPr="00154A80">
        <w:t xml:space="preserve"> in the 201</w:t>
      </w:r>
      <w:r>
        <w:t>4</w:t>
      </w:r>
      <w:r w:rsidRPr="00154A80">
        <w:t>–1</w:t>
      </w:r>
      <w:r>
        <w:t>7</w:t>
      </w:r>
      <w:r w:rsidRPr="00154A80">
        <w:t xml:space="preserve"> regulatory control period.</w:t>
      </w:r>
    </w:p>
    <w:p w:rsidR="00791BAE" w:rsidRDefault="00791BAE" w:rsidP="00791BAE">
      <w:pPr>
        <w:pStyle w:val="AERbodytext"/>
        <w:numPr>
          <w:ilvl w:val="0"/>
          <w:numId w:val="3"/>
        </w:numPr>
      </w:pPr>
      <w:r>
        <w:lastRenderedPageBreak/>
        <w:t>We are</w:t>
      </w:r>
      <w:r w:rsidRPr="00574B9A">
        <w:t xml:space="preserve"> </w:t>
      </w:r>
      <w:r>
        <w:t xml:space="preserve">not </w:t>
      </w:r>
      <w:r w:rsidRPr="00574B9A">
        <w:t xml:space="preserve">satisfied </w:t>
      </w:r>
      <w:r>
        <w:t>SP AusNet's proposed</w:t>
      </w:r>
      <w:r w:rsidRPr="00574B9A">
        <w:t xml:space="preserve"> EBSS carryover</w:t>
      </w:r>
      <w:r>
        <w:t xml:space="preserve"> of </w:t>
      </w:r>
      <w:r w:rsidRPr="00574B9A">
        <w:t>$</w:t>
      </w:r>
      <w:r>
        <w:t>47.1 million</w:t>
      </w:r>
      <w:r w:rsidRPr="00574B9A">
        <w:t xml:space="preserve"> </w:t>
      </w:r>
      <w:r>
        <w:t>from the 2008–14 regulatory control period</w:t>
      </w:r>
      <w:r w:rsidRPr="00574B9A">
        <w:t xml:space="preserve"> compl</w:t>
      </w:r>
      <w:r>
        <w:t>ies</w:t>
      </w:r>
      <w:r w:rsidRPr="00574B9A">
        <w:t xml:space="preserve"> with the </w:t>
      </w:r>
      <w:r>
        <w:t xml:space="preserve">scheme </w:t>
      </w:r>
      <w:r w:rsidRPr="00574B9A">
        <w:t>requirements.</w:t>
      </w:r>
      <w:r>
        <w:t xml:space="preserve"> Rather, we determine that a carryover of $37.2 million complies with the scheme requirements, on the basis of our determination of opex. The difference is because:</w:t>
      </w:r>
    </w:p>
    <w:p w:rsidR="00791BAE" w:rsidRDefault="00791BAE" w:rsidP="00791BAE">
      <w:pPr>
        <w:pStyle w:val="AERbulletlistfirststyle"/>
      </w:pPr>
      <w:r>
        <w:t>we applied a five year carryover period consistent with the provisions of the first proposed EBSS and not a six year carryover period as SP AusNet proposed (–$6.9 million)</w:t>
      </w:r>
    </w:p>
    <w:p w:rsidR="00791BAE" w:rsidRDefault="00791BAE" w:rsidP="00791BAE">
      <w:pPr>
        <w:pStyle w:val="AERbulletlistfirststyle"/>
      </w:pPr>
      <w:r>
        <w:t>when we</w:t>
      </w:r>
      <w:r w:rsidRPr="00534334">
        <w:t xml:space="preserve"> calcu</w:t>
      </w:r>
      <w:r>
        <w:t>lated</w:t>
      </w:r>
      <w:r w:rsidRPr="00534334">
        <w:t xml:space="preserve"> the carryover adjustments, </w:t>
      </w:r>
      <w:r>
        <w:t>we</w:t>
      </w:r>
      <w:r w:rsidRPr="00534334">
        <w:t xml:space="preserve"> removed the movement in provisions from</w:t>
      </w:r>
      <w:r>
        <w:t xml:space="preserve"> SP AusNet’s</w:t>
      </w:r>
      <w:r w:rsidRPr="00534334">
        <w:t xml:space="preserve"> actual opex as well as back cast and removed the movement in provisions in the</w:t>
      </w:r>
      <w:r>
        <w:t xml:space="preserve"> </w:t>
      </w:r>
      <w:r w:rsidRPr="00534334">
        <w:t xml:space="preserve">allowance set at </w:t>
      </w:r>
      <w:r>
        <w:t>our</w:t>
      </w:r>
      <w:r w:rsidRPr="00534334">
        <w:t xml:space="preserve"> last determination</w:t>
      </w:r>
      <w:r>
        <w:t xml:space="preserve"> (–$0.3 million)</w:t>
      </w:r>
    </w:p>
    <w:p w:rsidR="00791BAE" w:rsidRDefault="00791BAE" w:rsidP="00791BAE">
      <w:pPr>
        <w:pStyle w:val="AERbulletlistfirststyle"/>
      </w:pPr>
      <w:r>
        <w:t>we updated 2012–13 (estimated) data with audited data ($–2.5 million).</w:t>
      </w:r>
    </w:p>
    <w:p w:rsidR="0088341A" w:rsidRDefault="0088341A" w:rsidP="00791BAE">
      <w:pPr>
        <w:pStyle w:val="AERbodytext"/>
        <w:numPr>
          <w:ilvl w:val="0"/>
          <w:numId w:val="1"/>
        </w:numPr>
      </w:pPr>
      <w:r w:rsidRPr="00937EDD">
        <w:t>SP AusNet’s current 2008</w:t>
      </w:r>
      <w:r w:rsidR="00C27D6D">
        <w:t>–</w:t>
      </w:r>
      <w:r w:rsidRPr="00937EDD">
        <w:t xml:space="preserve">14 regulatory control period is six years. However, the </w:t>
      </w:r>
      <w:r>
        <w:t>first p</w:t>
      </w:r>
      <w:r w:rsidRPr="00937EDD">
        <w:t>roposed EBSS only contemplates a five year regulatory control period</w:t>
      </w:r>
      <w:r w:rsidR="006136EA">
        <w:t xml:space="preserve"> and prescribes a five year carryover period</w:t>
      </w:r>
      <w:r w:rsidRPr="00937EDD">
        <w:t>.</w:t>
      </w:r>
      <w:r w:rsidRPr="00937EDD">
        <w:rPr>
          <w:rStyle w:val="FootnoteReference"/>
        </w:rPr>
        <w:footnoteReference w:id="100"/>
      </w:r>
      <w:r w:rsidRPr="00937EDD">
        <w:t xml:space="preserve"> We </w:t>
      </w:r>
      <w:r>
        <w:t>determine</w:t>
      </w:r>
      <w:r w:rsidRPr="00937EDD">
        <w:t xml:space="preserve"> a five year carryover period because</w:t>
      </w:r>
      <w:r>
        <w:t xml:space="preserve"> it is consistent with the first p</w:t>
      </w:r>
      <w:r w:rsidRPr="00937EDD">
        <w:t>roposed EB</w:t>
      </w:r>
      <w:r>
        <w:t>SS.</w:t>
      </w:r>
      <w:r w:rsidR="006136EA">
        <w:t xml:space="preserve"> This reduces the carryover amount by $6.9 million.</w:t>
      </w:r>
    </w:p>
    <w:p w:rsidR="00791BAE" w:rsidRDefault="00791BAE" w:rsidP="0088341A">
      <w:r>
        <w:t xml:space="preserve">Our draft decision on EBSS is linked </w:t>
      </w:r>
      <w:r w:rsidR="00C04552">
        <w:t>to</w:t>
      </w:r>
      <w:r w:rsidR="00782E04">
        <w:t xml:space="preserve"> </w:t>
      </w:r>
      <w:r>
        <w:t xml:space="preserve">our assessment of opex. The approved carryover amount of $37.2 million rewards SP AusNet for achieving sustained efficiency gains that it must share with customers. This is achieved when we use </w:t>
      </w:r>
      <w:r w:rsidR="00C04552">
        <w:t xml:space="preserve">the </w:t>
      </w:r>
      <w:r>
        <w:t xml:space="preserve">revealed costs </w:t>
      </w:r>
      <w:r w:rsidR="00C04552">
        <w:t xml:space="preserve">method </w:t>
      </w:r>
      <w:r>
        <w:t>to forecast opex in conjunction with an EBSS carryover. I</w:t>
      </w:r>
      <w:r w:rsidRPr="009E7ACF">
        <w:t>f we were to change our decision on opex in the final decision</w:t>
      </w:r>
      <w:r>
        <w:t>,</w:t>
      </w:r>
      <w:r w:rsidRPr="009E7ACF">
        <w:t xml:space="preserve"> we would </w:t>
      </w:r>
      <w:r>
        <w:t xml:space="preserve">also need to </w:t>
      </w:r>
      <w:r w:rsidRPr="009E7ACF">
        <w:t>review our decision on the EBSS.</w:t>
      </w:r>
    </w:p>
    <w:p w:rsidR="0088341A" w:rsidRDefault="0088341A" w:rsidP="0088341A">
      <w:r>
        <w:t xml:space="preserve">When we calculate the carryover amounts for the 2014–17 regulatory control period: </w:t>
      </w:r>
    </w:p>
    <w:p w:rsidR="0088341A" w:rsidRPr="00C2604B" w:rsidRDefault="0088341A" w:rsidP="0088341A">
      <w:pPr>
        <w:pStyle w:val="AERbulletlistfirststyle"/>
      </w:pPr>
      <w:r>
        <w:t>w</w:t>
      </w:r>
      <w:r w:rsidRPr="00C2604B">
        <w:t>e will not adjust forecast opex for changes in demand</w:t>
      </w:r>
    </w:p>
    <w:p w:rsidR="0088341A" w:rsidRDefault="0088341A" w:rsidP="0088341A">
      <w:pPr>
        <w:pStyle w:val="AERbulletlistfirststyle"/>
      </w:pPr>
      <w:r>
        <w:t>w</w:t>
      </w:r>
      <w:r w:rsidRPr="00C2604B">
        <w:t xml:space="preserve">e will exclude the </w:t>
      </w:r>
      <w:r>
        <w:t xml:space="preserve">following </w:t>
      </w:r>
      <w:r w:rsidRPr="00C2604B">
        <w:t>cost categories</w:t>
      </w:r>
      <w:r>
        <w:t>:</w:t>
      </w:r>
    </w:p>
    <w:p w:rsidR="0088341A" w:rsidRPr="00147ED3" w:rsidRDefault="0088341A" w:rsidP="0088341A">
      <w:pPr>
        <w:pStyle w:val="AERbulletlistsecondstyle"/>
      </w:pPr>
      <w:r w:rsidRPr="00147ED3">
        <w:t>easement land tax</w:t>
      </w:r>
    </w:p>
    <w:p w:rsidR="0088341A" w:rsidRPr="00147ED3" w:rsidRDefault="0088341A" w:rsidP="0088341A">
      <w:pPr>
        <w:pStyle w:val="AERbulletlistsecondstyle"/>
      </w:pPr>
      <w:r w:rsidRPr="00147ED3">
        <w:t xml:space="preserve">self-insurance </w:t>
      </w:r>
    </w:p>
    <w:p w:rsidR="0088341A" w:rsidRPr="00147ED3" w:rsidRDefault="0088341A" w:rsidP="0088341A">
      <w:pPr>
        <w:pStyle w:val="AERbulletlistsecondstyle"/>
      </w:pPr>
      <w:r w:rsidRPr="00147ED3">
        <w:t xml:space="preserve">rebates made under the Availability Incentive Scheme </w:t>
      </w:r>
    </w:p>
    <w:p w:rsidR="0088341A" w:rsidRDefault="0088341A" w:rsidP="0088341A">
      <w:pPr>
        <w:pStyle w:val="AERbulletlistsecondstyle"/>
      </w:pPr>
      <w:r w:rsidRPr="00147ED3">
        <w:t>debt raising costs</w:t>
      </w:r>
    </w:p>
    <w:p w:rsidR="0088341A" w:rsidRPr="00C2604B" w:rsidRDefault="0088341A" w:rsidP="0088341A">
      <w:pPr>
        <w:pStyle w:val="AERbulletlistsecondstyle"/>
      </w:pPr>
      <w:r>
        <w:t>the cost of priority projects approved</w:t>
      </w:r>
      <w:r w:rsidRPr="008370DE">
        <w:t xml:space="preserve"> under the network capability component of the </w:t>
      </w:r>
      <w:r w:rsidR="00C04552">
        <w:t>service target performance incentive scheme (</w:t>
      </w:r>
      <w:r w:rsidRPr="008370DE">
        <w:t>STPIS</w:t>
      </w:r>
      <w:r w:rsidR="00C04552">
        <w:t>)</w:t>
      </w:r>
      <w:r w:rsidRPr="008370DE">
        <w:t>.</w:t>
      </w:r>
    </w:p>
    <w:p w:rsidR="0088341A" w:rsidRPr="00C2604B" w:rsidRDefault="0088341A" w:rsidP="0088341A">
      <w:pPr>
        <w:pStyle w:val="AERbulletlistfirststyle"/>
      </w:pPr>
      <w:r>
        <w:t>w</w:t>
      </w:r>
      <w:r w:rsidRPr="00C2604B">
        <w:t>e will adjust actual opex to reverse movements in provisions</w:t>
      </w:r>
    </w:p>
    <w:p w:rsidR="0088341A" w:rsidRPr="00C2604B" w:rsidRDefault="0088341A" w:rsidP="0088341A">
      <w:pPr>
        <w:pStyle w:val="AERbulletlistfirststyle"/>
      </w:pPr>
      <w:r>
        <w:t>t</w:t>
      </w:r>
      <w:r w:rsidRPr="00962B5C">
        <w:t>he length of the carryover period will be contingent on the length of the regulatory control period commencing in 2017.</w:t>
      </w:r>
    </w:p>
    <w:p w:rsidR="0088341A" w:rsidRPr="00C27D6D" w:rsidRDefault="0088341A" w:rsidP="00C27D6D">
      <w:r w:rsidRPr="00C27D6D">
        <w:t xml:space="preserve">Attachment 10 sets out the detailed reasons for our draft decision on </w:t>
      </w:r>
      <w:r w:rsidR="00115E8B" w:rsidRPr="00C27D6D">
        <w:t>the EBSS.</w:t>
      </w:r>
    </w:p>
    <w:p w:rsidR="0088341A" w:rsidRPr="00C27D6D" w:rsidRDefault="0088341A" w:rsidP="00C27D6D">
      <w:pPr>
        <w:pStyle w:val="Heading1"/>
        <w:numPr>
          <w:ilvl w:val="1"/>
          <w:numId w:val="20"/>
        </w:numPr>
      </w:pPr>
      <w:bookmarkStart w:id="95" w:name="_Toc365283264"/>
      <w:bookmarkStart w:id="96" w:name="_Toc365461990"/>
      <w:r w:rsidRPr="00C27D6D">
        <w:lastRenderedPageBreak/>
        <w:t>Corporate income tax</w:t>
      </w:r>
      <w:bookmarkEnd w:id="95"/>
      <w:bookmarkEnd w:id="96"/>
    </w:p>
    <w:p w:rsidR="0088341A" w:rsidRPr="00C27D6D" w:rsidRDefault="0088341A" w:rsidP="00C27D6D">
      <w:r w:rsidRPr="00C27D6D">
        <w:t xml:space="preserve">The estimated cost of corporate income tax is one of the building blocks used to determine the total revenue requirements for SP AusNet over the 2014–17 regulatory control period. We calculated total revenue requirements using our </w:t>
      </w:r>
      <w:r w:rsidR="00C04552">
        <w:t>post tax revenue model (</w:t>
      </w:r>
      <w:r w:rsidRPr="00C27D6D">
        <w:t>PTRM</w:t>
      </w:r>
      <w:r w:rsidR="00C04552">
        <w:t>)</w:t>
      </w:r>
      <w:r w:rsidRPr="00C27D6D">
        <w:t xml:space="preserve">. We used the PTRM to produce an estimate of the taxable income that would be earned by an efficient benchmark company operating the Victorian transmission network. It offsets all tax expenses against SP AusNet's forecast revenue to estimate the taxable income. We then applied the statutory income tax rate of 30 per cent  to the estimated taxable income to arrive at a notional amount of tax payable. And we applied a discount to this amount, to account for the assumed use of imputation credits (gamma). We included this estimated tax amount as a separate building block to determine SP AusNet's total revenue. This amount enables SP AusNet to recover the costs associated with the estimated corporate income tax payable during the 2014–17 regulatory control period. </w:t>
      </w:r>
    </w:p>
    <w:p w:rsidR="0088341A" w:rsidRPr="00C27D6D" w:rsidRDefault="0088341A" w:rsidP="00C27D6D">
      <w:r w:rsidRPr="00C27D6D">
        <w:t>Attachment 7 sets out the detailed reasons for our draft decision on SP AusNet's estimated cost of corporate income tax.</w:t>
      </w:r>
    </w:p>
    <w:p w:rsidR="0088341A" w:rsidRPr="00C27D6D" w:rsidRDefault="0088341A" w:rsidP="00C27D6D">
      <w:pPr>
        <w:pStyle w:val="Heading2"/>
        <w:numPr>
          <w:ilvl w:val="2"/>
          <w:numId w:val="20"/>
        </w:numPr>
      </w:pPr>
      <w:bookmarkStart w:id="97" w:name="_Toc341686735"/>
      <w:bookmarkStart w:id="98" w:name="_Toc365283265"/>
      <w:r w:rsidRPr="00C27D6D">
        <w:t>Draft decision</w:t>
      </w:r>
      <w:bookmarkEnd w:id="97"/>
      <w:bookmarkEnd w:id="98"/>
    </w:p>
    <w:p w:rsidR="0088341A" w:rsidRPr="00C27D6D" w:rsidRDefault="0088341A" w:rsidP="00C27D6D">
      <w:r w:rsidRPr="00C27D6D">
        <w:t xml:space="preserve">We do not accept SP AusNet's proposed corporate income tax allowance of $24.6 million ($ nominal). </w:t>
      </w:r>
      <w:r w:rsidRPr="00C27D6D">
        <w:fldChar w:fldCharType="begin"/>
      </w:r>
      <w:r w:rsidRPr="00C27D6D">
        <w:instrText xml:space="preserve"> REF _Ref339292142 \h </w:instrText>
      </w:r>
      <w:r w:rsidR="00C27D6D">
        <w:instrText xml:space="preserve"> \* MERGEFORMAT </w:instrText>
      </w:r>
      <w:r w:rsidRPr="00C27D6D">
        <w:fldChar w:fldCharType="separate"/>
      </w:r>
      <w:r w:rsidR="004F35AA">
        <w:t>Table 10.1</w:t>
      </w:r>
      <w:r w:rsidRPr="00C27D6D">
        <w:fldChar w:fldCharType="end"/>
      </w:r>
      <w:r w:rsidRPr="00C27D6D">
        <w:t xml:space="preserve"> shows our draft decision on this allowance for the 2014–17 regulatory control period. </w:t>
      </w:r>
    </w:p>
    <w:p w:rsidR="0088341A" w:rsidRDefault="0088341A" w:rsidP="0088341A">
      <w:pPr>
        <w:pStyle w:val="Caption"/>
      </w:pPr>
      <w:bookmarkStart w:id="99" w:name="_Ref339292142"/>
      <w:r>
        <w:t xml:space="preserve">Table </w:t>
      </w:r>
      <w:fldSimple w:instr=" STYLEREF 1 \s ">
        <w:r w:rsidR="004F35AA">
          <w:rPr>
            <w:noProof/>
          </w:rPr>
          <w:t>10</w:t>
        </w:r>
      </w:fldSimple>
      <w:r w:rsidR="00C56A87">
        <w:t>.</w:t>
      </w:r>
      <w:fldSimple w:instr=" SEQ Table \* ARABIC \s 1 ">
        <w:r w:rsidR="004F35AA">
          <w:rPr>
            <w:noProof/>
          </w:rPr>
          <w:t>1</w:t>
        </w:r>
      </w:fldSimple>
      <w:bookmarkEnd w:id="99"/>
      <w:r>
        <w:tab/>
        <w:t>AER's draft decision on SP AusNet's corporate income tax allowance ($million, nominal)</w:t>
      </w:r>
    </w:p>
    <w:tbl>
      <w:tblPr>
        <w:tblW w:w="4990" w:type="pct"/>
        <w:tblBorders>
          <w:bottom w:val="single" w:sz="4" w:space="0" w:color="365F91"/>
        </w:tblBorders>
        <w:tblLook w:val="01E0" w:firstRow="1" w:lastRow="1" w:firstColumn="1" w:lastColumn="1" w:noHBand="0" w:noVBand="0"/>
      </w:tblPr>
      <w:tblGrid>
        <w:gridCol w:w="3623"/>
        <w:gridCol w:w="1404"/>
        <w:gridCol w:w="1404"/>
        <w:gridCol w:w="1402"/>
        <w:gridCol w:w="1391"/>
      </w:tblGrid>
      <w:tr w:rsidR="0088341A" w:rsidRPr="00D405D5" w:rsidTr="00501137">
        <w:trPr>
          <w:trHeight w:val="635"/>
        </w:trPr>
        <w:tc>
          <w:tcPr>
            <w:tcW w:w="1964" w:type="pct"/>
            <w:shd w:val="clear" w:color="auto" w:fill="365F91"/>
            <w:vAlign w:val="center"/>
          </w:tcPr>
          <w:p w:rsidR="0088341A" w:rsidRPr="00C86317" w:rsidRDefault="0088341A" w:rsidP="00501137">
            <w:pPr>
              <w:spacing w:before="120"/>
              <w:rPr>
                <w:b/>
                <w:color w:val="FFFFFF"/>
                <w:sz w:val="16"/>
              </w:rPr>
            </w:pPr>
          </w:p>
        </w:tc>
        <w:tc>
          <w:tcPr>
            <w:tcW w:w="761" w:type="pct"/>
            <w:shd w:val="clear" w:color="auto" w:fill="365F91"/>
            <w:vAlign w:val="center"/>
          </w:tcPr>
          <w:p w:rsidR="0088341A" w:rsidRPr="00C86317" w:rsidRDefault="0088341A" w:rsidP="00501137">
            <w:pPr>
              <w:pStyle w:val="AERtabletextleft"/>
              <w:jc w:val="right"/>
              <w:rPr>
                <w:b/>
                <w:color w:val="FFFFFF"/>
              </w:rPr>
            </w:pPr>
            <w:r w:rsidRPr="00C86317">
              <w:rPr>
                <w:b/>
                <w:color w:val="FFFFFF"/>
              </w:rPr>
              <w:t>2014–15</w:t>
            </w:r>
          </w:p>
        </w:tc>
        <w:tc>
          <w:tcPr>
            <w:tcW w:w="761" w:type="pct"/>
            <w:shd w:val="clear" w:color="auto" w:fill="365F91"/>
            <w:vAlign w:val="center"/>
          </w:tcPr>
          <w:p w:rsidR="0088341A" w:rsidRPr="00C86317" w:rsidRDefault="0088341A" w:rsidP="00501137">
            <w:pPr>
              <w:pStyle w:val="AERtabletextleft"/>
              <w:jc w:val="right"/>
              <w:rPr>
                <w:b/>
                <w:color w:val="FFFFFF"/>
              </w:rPr>
            </w:pPr>
            <w:r w:rsidRPr="00C86317">
              <w:rPr>
                <w:b/>
                <w:color w:val="FFFFFF"/>
              </w:rPr>
              <w:t>2015–16</w:t>
            </w:r>
          </w:p>
        </w:tc>
        <w:tc>
          <w:tcPr>
            <w:tcW w:w="760" w:type="pct"/>
            <w:shd w:val="clear" w:color="auto" w:fill="365F91"/>
            <w:vAlign w:val="center"/>
          </w:tcPr>
          <w:p w:rsidR="0088341A" w:rsidRPr="00C86317" w:rsidRDefault="0088341A" w:rsidP="00501137">
            <w:pPr>
              <w:pStyle w:val="AERtabletextleft"/>
              <w:jc w:val="right"/>
              <w:rPr>
                <w:b/>
                <w:color w:val="FFFFFF"/>
              </w:rPr>
            </w:pPr>
            <w:r w:rsidRPr="00C86317">
              <w:rPr>
                <w:b/>
                <w:color w:val="FFFFFF"/>
              </w:rPr>
              <w:t>2016–17</w:t>
            </w:r>
          </w:p>
        </w:tc>
        <w:tc>
          <w:tcPr>
            <w:tcW w:w="754" w:type="pct"/>
            <w:shd w:val="clear" w:color="auto" w:fill="365F91"/>
            <w:vAlign w:val="center"/>
          </w:tcPr>
          <w:p w:rsidR="0088341A" w:rsidRPr="00C86317" w:rsidRDefault="0088341A" w:rsidP="00501137">
            <w:pPr>
              <w:pStyle w:val="AERtabletextleft"/>
              <w:jc w:val="right"/>
              <w:rPr>
                <w:b/>
                <w:color w:val="FFFFFF"/>
              </w:rPr>
            </w:pPr>
            <w:r w:rsidRPr="00C86317">
              <w:rPr>
                <w:b/>
                <w:color w:val="FFFFFF"/>
              </w:rPr>
              <w:t>Total</w:t>
            </w:r>
          </w:p>
        </w:tc>
      </w:tr>
      <w:tr w:rsidR="0088341A" w:rsidRPr="00D405D5" w:rsidTr="00501137">
        <w:trPr>
          <w:trHeight w:val="450"/>
        </w:trPr>
        <w:tc>
          <w:tcPr>
            <w:tcW w:w="1964" w:type="pct"/>
            <w:shd w:val="clear" w:color="auto" w:fill="auto"/>
            <w:vAlign w:val="center"/>
          </w:tcPr>
          <w:p w:rsidR="0088341A" w:rsidRPr="00C541EF" w:rsidRDefault="0088341A" w:rsidP="00501137">
            <w:pPr>
              <w:pStyle w:val="AERtabletextleft"/>
            </w:pPr>
            <w:r w:rsidRPr="00C541EF">
              <w:t>Tax payable</w:t>
            </w:r>
          </w:p>
        </w:tc>
        <w:tc>
          <w:tcPr>
            <w:tcW w:w="761" w:type="pct"/>
            <w:shd w:val="clear" w:color="auto" w:fill="auto"/>
            <w:vAlign w:val="bottom"/>
          </w:tcPr>
          <w:p w:rsidR="0088341A" w:rsidRPr="00C541EF" w:rsidRDefault="0088341A" w:rsidP="00501137">
            <w:pPr>
              <w:pStyle w:val="AERtabletextright"/>
            </w:pPr>
            <w:r w:rsidRPr="00C541EF">
              <w:t xml:space="preserve">           </w:t>
            </w:r>
            <w:r>
              <w:t>23.4</w:t>
            </w:r>
            <w:r w:rsidRPr="00C541EF">
              <w:t xml:space="preserve"> </w:t>
            </w:r>
          </w:p>
        </w:tc>
        <w:tc>
          <w:tcPr>
            <w:tcW w:w="761" w:type="pct"/>
            <w:shd w:val="clear" w:color="auto" w:fill="auto"/>
            <w:vAlign w:val="bottom"/>
          </w:tcPr>
          <w:p w:rsidR="0088341A" w:rsidRPr="00C541EF" w:rsidRDefault="0088341A" w:rsidP="00501137">
            <w:pPr>
              <w:pStyle w:val="AERtabletextright"/>
            </w:pPr>
            <w:r w:rsidRPr="00C541EF">
              <w:t xml:space="preserve">           </w:t>
            </w:r>
            <w:r>
              <w:t>23.0</w:t>
            </w:r>
            <w:r w:rsidRPr="00C541EF">
              <w:t xml:space="preserve"> </w:t>
            </w:r>
          </w:p>
        </w:tc>
        <w:tc>
          <w:tcPr>
            <w:tcW w:w="760" w:type="pct"/>
            <w:shd w:val="clear" w:color="auto" w:fill="auto"/>
            <w:vAlign w:val="bottom"/>
          </w:tcPr>
          <w:p w:rsidR="0088341A" w:rsidRPr="00C541EF" w:rsidRDefault="0088341A" w:rsidP="00501137">
            <w:pPr>
              <w:pStyle w:val="AERtabletextright"/>
            </w:pPr>
            <w:r w:rsidRPr="00C541EF">
              <w:t xml:space="preserve">           </w:t>
            </w:r>
            <w:r>
              <w:t>24.5</w:t>
            </w:r>
            <w:r w:rsidRPr="00C541EF">
              <w:t xml:space="preserve"> </w:t>
            </w:r>
          </w:p>
        </w:tc>
        <w:tc>
          <w:tcPr>
            <w:tcW w:w="754" w:type="pct"/>
            <w:shd w:val="clear" w:color="auto" w:fill="auto"/>
            <w:vAlign w:val="center"/>
          </w:tcPr>
          <w:p w:rsidR="0088341A" w:rsidRPr="00C541EF" w:rsidRDefault="0088341A" w:rsidP="00501137">
            <w:pPr>
              <w:pStyle w:val="AERtabletextright"/>
            </w:pPr>
            <w:r>
              <w:t>70.9</w:t>
            </w:r>
          </w:p>
        </w:tc>
      </w:tr>
      <w:tr w:rsidR="0088341A" w:rsidRPr="00D405D5" w:rsidTr="00501137">
        <w:trPr>
          <w:trHeight w:val="458"/>
        </w:trPr>
        <w:tc>
          <w:tcPr>
            <w:tcW w:w="1964" w:type="pct"/>
            <w:shd w:val="clear" w:color="auto" w:fill="DBE5F1"/>
            <w:vAlign w:val="center"/>
          </w:tcPr>
          <w:p w:rsidR="0088341A" w:rsidRPr="00C541EF" w:rsidRDefault="0088341A" w:rsidP="00501137">
            <w:pPr>
              <w:pStyle w:val="AERtabletextleft"/>
            </w:pPr>
            <w:r w:rsidRPr="00C541EF">
              <w:rPr>
                <w:rStyle w:val="AERtextitalic"/>
              </w:rPr>
              <w:t>Less</w:t>
            </w:r>
            <w:r w:rsidRPr="00C541EF">
              <w:t>: value of imputation credits</w:t>
            </w:r>
          </w:p>
        </w:tc>
        <w:tc>
          <w:tcPr>
            <w:tcW w:w="761" w:type="pct"/>
            <w:shd w:val="clear" w:color="auto" w:fill="DBE5F1"/>
            <w:vAlign w:val="bottom"/>
          </w:tcPr>
          <w:p w:rsidR="0088341A" w:rsidRPr="00C541EF" w:rsidRDefault="0088341A" w:rsidP="00501137">
            <w:pPr>
              <w:pStyle w:val="AERtabletextright"/>
            </w:pPr>
            <w:r>
              <w:t xml:space="preserve">           15.2</w:t>
            </w:r>
            <w:r w:rsidRPr="00C541EF">
              <w:t xml:space="preserve"> </w:t>
            </w:r>
          </w:p>
        </w:tc>
        <w:tc>
          <w:tcPr>
            <w:tcW w:w="761" w:type="pct"/>
            <w:shd w:val="clear" w:color="auto" w:fill="DBE5F1"/>
            <w:vAlign w:val="bottom"/>
          </w:tcPr>
          <w:p w:rsidR="0088341A" w:rsidRPr="00C541EF" w:rsidRDefault="0088341A" w:rsidP="00501137">
            <w:pPr>
              <w:pStyle w:val="AERtabletextright"/>
            </w:pPr>
            <w:r w:rsidRPr="00C541EF">
              <w:t xml:space="preserve">           </w:t>
            </w:r>
            <w:r>
              <w:t>14.9</w:t>
            </w:r>
            <w:r w:rsidRPr="00C541EF">
              <w:t xml:space="preserve"> </w:t>
            </w:r>
          </w:p>
        </w:tc>
        <w:tc>
          <w:tcPr>
            <w:tcW w:w="760" w:type="pct"/>
            <w:shd w:val="clear" w:color="auto" w:fill="DBE5F1"/>
            <w:vAlign w:val="bottom"/>
          </w:tcPr>
          <w:p w:rsidR="0088341A" w:rsidRPr="00C541EF" w:rsidRDefault="0088341A" w:rsidP="00501137">
            <w:pPr>
              <w:pStyle w:val="AERtabletextright"/>
            </w:pPr>
            <w:r w:rsidRPr="00C541EF">
              <w:t xml:space="preserve">           15.9 </w:t>
            </w:r>
          </w:p>
        </w:tc>
        <w:tc>
          <w:tcPr>
            <w:tcW w:w="754" w:type="pct"/>
            <w:shd w:val="clear" w:color="auto" w:fill="DBE5F1"/>
            <w:vAlign w:val="center"/>
          </w:tcPr>
          <w:p w:rsidR="0088341A" w:rsidRPr="00C541EF" w:rsidRDefault="0088341A" w:rsidP="00501137">
            <w:pPr>
              <w:pStyle w:val="AERtabletextright"/>
            </w:pPr>
            <w:r>
              <w:t>46.1</w:t>
            </w:r>
          </w:p>
        </w:tc>
      </w:tr>
      <w:tr w:rsidR="0088341A" w:rsidRPr="00D405D5" w:rsidTr="00501137">
        <w:trPr>
          <w:trHeight w:val="458"/>
        </w:trPr>
        <w:tc>
          <w:tcPr>
            <w:tcW w:w="1964" w:type="pct"/>
            <w:shd w:val="clear" w:color="auto" w:fill="auto"/>
            <w:vAlign w:val="center"/>
          </w:tcPr>
          <w:p w:rsidR="0088341A" w:rsidRPr="00D91D2A" w:rsidRDefault="0088341A" w:rsidP="00501137">
            <w:pPr>
              <w:pStyle w:val="AERtabletextleft"/>
            </w:pPr>
            <w:r w:rsidRPr="00D91D2A">
              <w:t>Net corporate income tax allowance</w:t>
            </w:r>
          </w:p>
        </w:tc>
        <w:tc>
          <w:tcPr>
            <w:tcW w:w="761" w:type="pct"/>
            <w:shd w:val="clear" w:color="auto" w:fill="auto"/>
            <w:vAlign w:val="bottom"/>
          </w:tcPr>
          <w:p w:rsidR="0088341A" w:rsidRPr="00D91D2A" w:rsidRDefault="0088341A" w:rsidP="00501137">
            <w:pPr>
              <w:pStyle w:val="AERtabletextright"/>
            </w:pPr>
            <w:r w:rsidRPr="00D91D2A">
              <w:t xml:space="preserve">       8.2 </w:t>
            </w:r>
          </w:p>
        </w:tc>
        <w:tc>
          <w:tcPr>
            <w:tcW w:w="761" w:type="pct"/>
            <w:shd w:val="clear" w:color="auto" w:fill="auto"/>
            <w:vAlign w:val="bottom"/>
          </w:tcPr>
          <w:p w:rsidR="0088341A" w:rsidRPr="00D91D2A" w:rsidRDefault="0088341A" w:rsidP="00501137">
            <w:pPr>
              <w:pStyle w:val="AERtabletextright"/>
            </w:pPr>
            <w:r w:rsidRPr="00D91D2A">
              <w:t xml:space="preserve">       </w:t>
            </w:r>
            <w:r>
              <w:t>8.0</w:t>
            </w:r>
            <w:r w:rsidRPr="00D91D2A">
              <w:t xml:space="preserve"> </w:t>
            </w:r>
          </w:p>
        </w:tc>
        <w:tc>
          <w:tcPr>
            <w:tcW w:w="760" w:type="pct"/>
            <w:shd w:val="clear" w:color="auto" w:fill="auto"/>
            <w:vAlign w:val="bottom"/>
          </w:tcPr>
          <w:p w:rsidR="0088341A" w:rsidRPr="00D91D2A" w:rsidRDefault="0088341A" w:rsidP="00501137">
            <w:pPr>
              <w:pStyle w:val="AERtabletextright"/>
            </w:pPr>
            <w:r w:rsidRPr="00D91D2A">
              <w:t xml:space="preserve">       8.</w:t>
            </w:r>
            <w:r>
              <w:t>6</w:t>
            </w:r>
            <w:r w:rsidRPr="00D91D2A">
              <w:t xml:space="preserve"> </w:t>
            </w:r>
          </w:p>
        </w:tc>
        <w:tc>
          <w:tcPr>
            <w:tcW w:w="754" w:type="pct"/>
            <w:shd w:val="clear" w:color="auto" w:fill="auto"/>
            <w:vAlign w:val="bottom"/>
          </w:tcPr>
          <w:p w:rsidR="0088341A" w:rsidRPr="00D91D2A" w:rsidRDefault="0088341A" w:rsidP="00501137">
            <w:pPr>
              <w:pStyle w:val="AERtabletextright"/>
            </w:pPr>
            <w:r w:rsidRPr="00D91D2A">
              <w:t xml:space="preserve">       24.8 </w:t>
            </w:r>
          </w:p>
        </w:tc>
      </w:tr>
    </w:tbl>
    <w:p w:rsidR="0088341A" w:rsidRPr="00403FF8" w:rsidRDefault="0088341A" w:rsidP="0088341A">
      <w:pPr>
        <w:pStyle w:val="AERtablesource"/>
      </w:pPr>
      <w:r w:rsidRPr="00403FF8">
        <w:t>Source:</w:t>
      </w:r>
      <w:r w:rsidRPr="00403FF8">
        <w:tab/>
        <w:t>AER analysis.</w:t>
      </w:r>
    </w:p>
    <w:p w:rsidR="0088341A" w:rsidRDefault="0088341A" w:rsidP="009D00FE">
      <w:pPr>
        <w:pStyle w:val="Heading2"/>
        <w:numPr>
          <w:ilvl w:val="2"/>
          <w:numId w:val="20"/>
        </w:numPr>
      </w:pPr>
      <w:bookmarkStart w:id="100" w:name="_Toc341686736"/>
      <w:bookmarkStart w:id="101" w:name="_Toc365283266"/>
      <w:r w:rsidRPr="00C27D6D">
        <w:t>Summary</w:t>
      </w:r>
      <w:r w:rsidRPr="009237D4">
        <w:t xml:space="preserve"> of analysis and reasons</w:t>
      </w:r>
      <w:bookmarkEnd w:id="100"/>
      <w:bookmarkEnd w:id="101"/>
    </w:p>
    <w:p w:rsidR="0088341A" w:rsidRDefault="0088341A" w:rsidP="0088341A">
      <w:pPr>
        <w:pStyle w:val="AERbodytext"/>
        <w:numPr>
          <w:ilvl w:val="0"/>
          <w:numId w:val="1"/>
        </w:numPr>
      </w:pPr>
      <w:r>
        <w:t xml:space="preserve">We do not accept SP AusNet's proposed corporate income tax allowance of $24.6 million ($ nominal) for the 2014–17 regulatory control period. We determine a substitute forecast of $24.8 million ($ nominal), which represents an increase of $0.3 million (or 1.0 per cent) on the proposal. This increase reflects the following reasoning: </w:t>
      </w:r>
    </w:p>
    <w:p w:rsidR="0088341A" w:rsidRDefault="0088341A" w:rsidP="0088341A">
      <w:pPr>
        <w:pStyle w:val="AERbulletlistfirststyle"/>
      </w:pPr>
      <w:r>
        <w:t xml:space="preserve">We accept SP AusNet's proposed method of establishing the opening tax asset base (TAB) at 1 April 2014. However, we increased SP AusNet's proposed TAB at 1 April 2014 to $2199 million ($ nominal) from $2171 million, due to our adjustments to the asset base </w:t>
      </w:r>
      <w:r w:rsidR="00C04552">
        <w:t>roll forward model (</w:t>
      </w:r>
      <w:r>
        <w:t>RFM</w:t>
      </w:r>
      <w:r w:rsidR="00C04552">
        <w:t>)</w:t>
      </w:r>
      <w:r>
        <w:t>.  As discussed in attachment 5, we capitalised in the RAB the perpetuity equity raising costs provided for SP AusNet in the 2002 revenue cap decision. Therefore, we included $53.4 million in the opening TAB, to be consistent with the RAB.  Our adjustments to the</w:t>
      </w:r>
      <w:r w:rsidRPr="007E3333">
        <w:t xml:space="preserve"> actual capex values</w:t>
      </w:r>
      <w:r>
        <w:t xml:space="preserve"> in the RFM also affect the opening TAB value.  </w:t>
      </w:r>
    </w:p>
    <w:p w:rsidR="0088341A" w:rsidRPr="00AD74FF" w:rsidRDefault="0088341A" w:rsidP="0088341A">
      <w:pPr>
        <w:pStyle w:val="AERbulletlistfirststyle"/>
      </w:pPr>
      <w:r>
        <w:t>We</w:t>
      </w:r>
      <w:r w:rsidRPr="00AD74FF">
        <w:t xml:space="preserve"> accept </w:t>
      </w:r>
      <w:r>
        <w:t>SP AusNet's</w:t>
      </w:r>
      <w:r w:rsidRPr="00AD74FF">
        <w:t xml:space="preserve"> proposed standard tax asset lives</w:t>
      </w:r>
      <w:r>
        <w:t xml:space="preserve"> for its asset classes. We determined a standard tax asset life of five years for the equity raising costs asset class for tax depreciation.</w:t>
      </w:r>
    </w:p>
    <w:p w:rsidR="0088341A" w:rsidRDefault="0088341A" w:rsidP="0088341A">
      <w:pPr>
        <w:pStyle w:val="AERbulletlistfirststyle"/>
      </w:pPr>
      <w:r>
        <w:lastRenderedPageBreak/>
        <w:t>We accept SP AusNet's</w:t>
      </w:r>
      <w:r w:rsidRPr="00AD74FF">
        <w:t xml:space="preserve"> </w:t>
      </w:r>
      <w:r>
        <w:t xml:space="preserve">proposed weighted average method to calculate the remaining tax asset lives at 1 April 2014. In accepting the weighted average method, we updated the proposed remaining tax asset lives to reflect our adjustments to SP AusNet's actual capex for 2008–14 in the RFM. </w:t>
      </w:r>
      <w:r w:rsidRPr="00AD74FF">
        <w:t xml:space="preserve"> </w:t>
      </w:r>
    </w:p>
    <w:p w:rsidR="0088341A" w:rsidRDefault="0088341A" w:rsidP="0088341A">
      <w:pPr>
        <w:pStyle w:val="AERbulletlistfirststyle"/>
      </w:pPr>
      <w:r>
        <w:t>Our determinations on other building blocks, including forecast opex (attachment 3) and forecast capex (attachment 2) also affected the estimated corporate income tax allowance.</w:t>
      </w:r>
      <w:r>
        <w:rPr>
          <w:rStyle w:val="FootnoteReference"/>
        </w:rPr>
        <w:footnoteReference w:id="101"/>
      </w:r>
      <w:r>
        <w:t xml:space="preserve"> </w:t>
      </w:r>
    </w:p>
    <w:p w:rsidR="0088341A" w:rsidRDefault="0088341A" w:rsidP="0088341A">
      <w:pPr>
        <w:pStyle w:val="AERbodytext"/>
        <w:numPr>
          <w:ilvl w:val="0"/>
          <w:numId w:val="0"/>
        </w:numPr>
      </w:pPr>
    </w:p>
    <w:p w:rsidR="0088341A" w:rsidRDefault="0088341A" w:rsidP="00CA279F">
      <w:pPr>
        <w:pStyle w:val="Heading1"/>
        <w:numPr>
          <w:ilvl w:val="1"/>
          <w:numId w:val="20"/>
        </w:numPr>
      </w:pPr>
      <w:bookmarkStart w:id="102" w:name="_Toc365283267"/>
      <w:bookmarkStart w:id="103" w:name="_Toc365461991"/>
      <w:r>
        <w:lastRenderedPageBreak/>
        <w:t>Contingent projects</w:t>
      </w:r>
      <w:bookmarkEnd w:id="102"/>
      <w:bookmarkEnd w:id="103"/>
    </w:p>
    <w:p w:rsidR="0088341A" w:rsidRDefault="0088341A" w:rsidP="0088341A">
      <w:r>
        <w:t>Contingent projects are significant capex projects that may arise in the regulatory control period. A TNSP's forecast capex does not include expenditure for these projects, because they are linked to unique investment drivers known as trigger events. The occurrence of the trigger event must be probable.</w:t>
      </w:r>
      <w:r>
        <w:rPr>
          <w:rStyle w:val="FootnoteReference"/>
        </w:rPr>
        <w:footnoteReference w:id="102"/>
      </w:r>
      <w:r>
        <w:t xml:space="preserve"> However, the event or the costs associated with the event must be uncertain.</w:t>
      </w:r>
      <w:r>
        <w:rPr>
          <w:rStyle w:val="FootnoteReference"/>
        </w:rPr>
        <w:footnoteReference w:id="103"/>
      </w:r>
      <w:r>
        <w:t xml:space="preserve"> If a trigger event occurs during the 2014–17 regulatory control period, then we will assess the contingent project's costs on application by SP AusNet. If we approve the contingent project's costs at that time, then we will amend SP AusNet's revenue determination to account for the increased costs associated with the contingent project.</w:t>
      </w:r>
    </w:p>
    <w:p w:rsidR="0088341A" w:rsidRDefault="0088341A" w:rsidP="0088341A">
      <w:pPr>
        <w:pStyle w:val="Heading2"/>
        <w:numPr>
          <w:ilvl w:val="2"/>
          <w:numId w:val="20"/>
        </w:numPr>
      </w:pPr>
      <w:bookmarkStart w:id="104" w:name="_Toc365283268"/>
      <w:r>
        <w:t>Draft decision</w:t>
      </w:r>
      <w:bookmarkEnd w:id="104"/>
    </w:p>
    <w:p w:rsidR="0088341A" w:rsidRDefault="0088341A" w:rsidP="0088341A">
      <w:pPr>
        <w:pStyle w:val="AERbodytext"/>
        <w:numPr>
          <w:ilvl w:val="0"/>
          <w:numId w:val="1"/>
        </w:numPr>
      </w:pPr>
      <w:r>
        <w:t xml:space="preserve">We do not accept the three contingent projects </w:t>
      </w:r>
      <w:r w:rsidR="00C04552">
        <w:t xml:space="preserve">that </w:t>
      </w:r>
      <w:r>
        <w:t>SP AusNet proposed for the 2014–17 regulatory control period. We consider each proposed contingent project:</w:t>
      </w:r>
    </w:p>
    <w:p w:rsidR="0088341A" w:rsidRDefault="0088341A" w:rsidP="0088341A">
      <w:pPr>
        <w:pStyle w:val="AERbulletlistfirststyle"/>
      </w:pPr>
      <w:r>
        <w:t>is not reasonably required to meet the capex objectives; and</w:t>
      </w:r>
    </w:p>
    <w:p w:rsidR="0088341A" w:rsidRDefault="0088341A" w:rsidP="0088341A">
      <w:pPr>
        <w:pStyle w:val="AERbulletlistfirststyle"/>
      </w:pPr>
      <w:r>
        <w:t>does not have an appropriate trigger event.</w:t>
      </w:r>
      <w:r>
        <w:rPr>
          <w:rStyle w:val="FootnoteReference"/>
        </w:rPr>
        <w:footnoteReference w:id="104"/>
      </w:r>
      <w:r>
        <w:t xml:space="preserve"> </w:t>
      </w:r>
    </w:p>
    <w:p w:rsidR="0088341A" w:rsidRDefault="0088341A" w:rsidP="0088341A">
      <w:pPr>
        <w:pStyle w:val="Heading2"/>
        <w:numPr>
          <w:ilvl w:val="2"/>
          <w:numId w:val="20"/>
        </w:numPr>
      </w:pPr>
      <w:bookmarkStart w:id="105" w:name="_Toc365283269"/>
      <w:r>
        <w:t>Summary of analysis and reasons</w:t>
      </w:r>
      <w:bookmarkEnd w:id="105"/>
    </w:p>
    <w:p w:rsidR="0088341A" w:rsidRDefault="0088341A" w:rsidP="0088341A">
      <w:r>
        <w:t xml:space="preserve">SP AusNet proposed three contingent projects. One relates to events at the South Morang terminal station (the other two projects involve commercially sensitive information, so our analysis of them is not included here). The terminal station at South Morang has two aging transformer banks: H1 and H2. SP AusNet proposed a staged replacement, whereby stage 1 involves replacing the H2 bank in the 2014–17 regulatory control period. Stage 2 (scheduled for the </w:t>
      </w:r>
      <w:r w:rsidR="00C04552">
        <w:t xml:space="preserve">2021–25 regulatory control </w:t>
      </w:r>
      <w:r>
        <w:t xml:space="preserve">period) involves replacing the H1 bank. SP AusNet's proposed forecast capex for 2014–17 includes the cost of stage 1 only. </w:t>
      </w:r>
    </w:p>
    <w:p w:rsidR="0088341A" w:rsidRDefault="0088341A" w:rsidP="0088341A">
      <w:r>
        <w:t>SP AusNet's proposed contingent project is to bring forward stage 2 into the 2014–17 regulatory control period</w:t>
      </w:r>
      <w:r w:rsidRPr="008516A5">
        <w:t xml:space="preserve"> </w:t>
      </w:r>
      <w:r>
        <w:t>if either of the H1 or H2 transformer banks fail. It proposed the trigger event as the 'Failure of any phase or phases of either the H1 or H2 transformers at South Morang Terminal Station before 31 March 2017'.</w:t>
      </w:r>
      <w:r>
        <w:rPr>
          <w:rStyle w:val="FootnoteReference"/>
        </w:rPr>
        <w:footnoteReference w:id="105"/>
      </w:r>
      <w:r>
        <w:t xml:space="preserve">  </w:t>
      </w:r>
      <w:r w:rsidRPr="00A279B9">
        <w:t>We do not</w:t>
      </w:r>
      <w:r>
        <w:t xml:space="preserve"> consider</w:t>
      </w:r>
      <w:r w:rsidRPr="00A279B9">
        <w:t xml:space="preserve"> </w:t>
      </w:r>
      <w:r>
        <w:t xml:space="preserve">the </w:t>
      </w:r>
      <w:r w:rsidRPr="00A279B9">
        <w:t>proposed contingent project to replace the H1 transformer bank is reasonably required to satisfy the capex objectives. Stage 1 will achieve that objective without the further assurance of a contingent project.</w:t>
      </w:r>
      <w:r>
        <w:t xml:space="preserve"> Also, the proposed trigger event is not appropriate because it is unlikely to occur in the 2014–17 regulatory control period. For these reasons, we do not approve the proposed contingent project for the South Morang terminal station.</w:t>
      </w:r>
    </w:p>
    <w:p w:rsidR="0088341A" w:rsidRDefault="0088341A" w:rsidP="0088341A">
      <w:pPr>
        <w:pStyle w:val="Heading1"/>
        <w:numPr>
          <w:ilvl w:val="1"/>
          <w:numId w:val="20"/>
        </w:numPr>
      </w:pPr>
      <w:bookmarkStart w:id="106" w:name="_Toc365283270"/>
      <w:bookmarkStart w:id="107" w:name="_Toc365461992"/>
      <w:r>
        <w:lastRenderedPageBreak/>
        <w:t>Service target performance incentive scheme</w:t>
      </w:r>
      <w:bookmarkEnd w:id="106"/>
      <w:bookmarkEnd w:id="107"/>
    </w:p>
    <w:p w:rsidR="0088341A" w:rsidRDefault="0088341A" w:rsidP="0088341A">
      <w:pPr>
        <w:pStyle w:val="AERbodytext"/>
        <w:numPr>
          <w:ilvl w:val="0"/>
          <w:numId w:val="1"/>
        </w:numPr>
      </w:pPr>
      <w:r>
        <w:t>We released a new service target performance incentive scheme (STPIS) in December 2012, which will apply to SP AusNet for the 2014–17 regulatory control period.</w:t>
      </w:r>
      <w:r>
        <w:rPr>
          <w:rStyle w:val="FootnoteReference"/>
        </w:rPr>
        <w:footnoteReference w:id="106"/>
      </w:r>
      <w:r>
        <w:t xml:space="preserve"> The new STPIS comprises three components: a service component, a network capability component and a market impact component. First, the service component is a financial incentive for SP AusNet to improve and maintain its service performance. This incentive counters the financial incentive under revenue regulation to reduce costs at the expense of service performance. SP AusNet's performance is compared against the performance target for each parameter during the regulatory control period. It may receive a financial bonus for service improvements, or a financial penalty for declines in service performance. The financial bonus (or penalty) is limited to 1 per cent of its MAR for the relevant calendar year.</w:t>
      </w:r>
    </w:p>
    <w:p w:rsidR="0088341A" w:rsidRDefault="0088341A" w:rsidP="0088341A">
      <w:pPr>
        <w:pStyle w:val="AERbodytext"/>
        <w:numPr>
          <w:ilvl w:val="0"/>
          <w:numId w:val="1"/>
        </w:numPr>
      </w:pPr>
      <w:r>
        <w:t>Second, the network capability component funds and incentivises TNSPs to identify and implement incremental changes that would improve the capability of the network when it is most needed.</w:t>
      </w:r>
      <w:r w:rsidRPr="00C85765">
        <w:t xml:space="preserve"> </w:t>
      </w:r>
      <w:r>
        <w:t>Each year, SP AusNet will receive an incentive payment equal to 1.5 per cent of its MAR for each year except the final year of the 2014–17 regulatory control period. If the TNSP achieves its priority project improvement target for each priority project, then it will receive an incentive payment of 1.5 per cent of its MAR in the final year. If it does not achieve each priority project target, then we may reduce the incentive payment in the final year. We can reduce the final payment to –2 per cent of MAR if the TNSP does not achieve any of its proposed priority project improvement targets.</w:t>
      </w:r>
      <w:r>
        <w:rPr>
          <w:rStyle w:val="FootnoteReference"/>
        </w:rPr>
        <w:footnoteReference w:id="107"/>
      </w:r>
    </w:p>
    <w:p w:rsidR="0088341A" w:rsidRDefault="0088341A" w:rsidP="0088341A">
      <w:pPr>
        <w:pStyle w:val="AERbodytext"/>
        <w:numPr>
          <w:ilvl w:val="0"/>
          <w:numId w:val="1"/>
        </w:numPr>
      </w:pPr>
      <w:r>
        <w:t>Finally, the market impact component provides financial rewards to SP AusNet for improvements in its performance against a target. The TNSP can earn an additional increment of up to 2 per cent of its MAR for the relevant calendar year.</w:t>
      </w:r>
      <w:r>
        <w:rPr>
          <w:rStyle w:val="FootnoteReference"/>
        </w:rPr>
        <w:footnoteReference w:id="108"/>
      </w:r>
      <w:r>
        <w:t xml:space="preserve"> Unlike for the service component, no financial penalty is associated with the market impact component.</w:t>
      </w:r>
    </w:p>
    <w:p w:rsidR="0088341A" w:rsidRPr="00AA56FF" w:rsidRDefault="0088341A" w:rsidP="0088341A">
      <w:pPr>
        <w:pStyle w:val="AERbodytext"/>
        <w:numPr>
          <w:ilvl w:val="0"/>
          <w:numId w:val="1"/>
        </w:numPr>
      </w:pPr>
      <w:r>
        <w:t xml:space="preserve">Attachment </w:t>
      </w:r>
      <w:r w:rsidR="00C04552">
        <w:t>9</w:t>
      </w:r>
      <w:r>
        <w:t xml:space="preserve"> sets out </w:t>
      </w:r>
      <w:r w:rsidRPr="00AA56FF">
        <w:t>our detailed reasons for our draft decision on the STPIS.</w:t>
      </w:r>
    </w:p>
    <w:p w:rsidR="0088341A" w:rsidRDefault="0088341A" w:rsidP="0088341A">
      <w:pPr>
        <w:pStyle w:val="Heading2"/>
        <w:numPr>
          <w:ilvl w:val="2"/>
          <w:numId w:val="20"/>
        </w:numPr>
      </w:pPr>
      <w:bookmarkStart w:id="108" w:name="_Toc365283271"/>
      <w:r>
        <w:t>Draft decision</w:t>
      </w:r>
      <w:bookmarkEnd w:id="108"/>
    </w:p>
    <w:p w:rsidR="0088341A" w:rsidRPr="00C85765" w:rsidRDefault="0088341A" w:rsidP="0088341A">
      <w:pPr>
        <w:pStyle w:val="HeadingBoldBlue"/>
      </w:pPr>
      <w:r w:rsidRPr="00C85765">
        <w:t>Service component</w:t>
      </w:r>
    </w:p>
    <w:p w:rsidR="0088341A" w:rsidRPr="00C85765" w:rsidRDefault="0088341A" w:rsidP="0088341A">
      <w:pPr>
        <w:pStyle w:val="AERbodytext"/>
        <w:numPr>
          <w:ilvl w:val="0"/>
          <w:numId w:val="1"/>
        </w:numPr>
      </w:pPr>
      <w:r>
        <w:t xml:space="preserve">We do not accept SP AusNet's </w:t>
      </w:r>
      <w:r w:rsidRPr="00C85765">
        <w:t>proposed service component parameter values because they do not comply with the requirements in clauses 3.3 and 3.5 of the STPIS. Specifically, SP AusNet's proposed adjustment to the loss of supply sub</w:t>
      </w:r>
      <w:r>
        <w:t xml:space="preserve"> </w:t>
      </w:r>
      <w:r w:rsidRPr="00C85765">
        <w:t xml:space="preserve">parameter targets is not justified, and the distributions used to calculate caps and collars are inappropriate. </w:t>
      </w:r>
      <w:r>
        <w:t xml:space="preserve">We consider the caps and collars calculated using our principled approach will result in a materially stronger incentive to improve and maintain service performance. </w:t>
      </w:r>
      <w:r w:rsidR="00154153">
        <w:fldChar w:fldCharType="begin"/>
      </w:r>
      <w:r w:rsidR="00154153">
        <w:instrText xml:space="preserve"> REF _Ref365291115 \h </w:instrText>
      </w:r>
      <w:r w:rsidR="00154153">
        <w:fldChar w:fldCharType="separate"/>
      </w:r>
      <w:r w:rsidR="004F35AA">
        <w:t xml:space="preserve">Table </w:t>
      </w:r>
      <w:r w:rsidR="004F35AA">
        <w:rPr>
          <w:noProof/>
        </w:rPr>
        <w:t>12</w:t>
      </w:r>
      <w:r w:rsidR="004F35AA">
        <w:t>.</w:t>
      </w:r>
      <w:r w:rsidR="004F35AA">
        <w:rPr>
          <w:noProof/>
        </w:rPr>
        <w:t>1</w:t>
      </w:r>
      <w:r w:rsidR="00154153">
        <w:fldChar w:fldCharType="end"/>
      </w:r>
      <w:r w:rsidR="00154153">
        <w:t xml:space="preserve"> </w:t>
      </w:r>
      <w:r w:rsidRPr="00C85765">
        <w:t xml:space="preserve">sets out our draft decision on SP AusNet's service component parameter values. </w:t>
      </w:r>
    </w:p>
    <w:p w:rsidR="0088341A" w:rsidRDefault="0088341A" w:rsidP="0088341A">
      <w:pPr>
        <w:pStyle w:val="Caption"/>
        <w:keepLines/>
      </w:pPr>
      <w:bookmarkStart w:id="109" w:name="_Ref365291115"/>
      <w:r>
        <w:lastRenderedPageBreak/>
        <w:t xml:space="preserve">Table </w:t>
      </w:r>
      <w:fldSimple w:instr=" STYLEREF 1 \s ">
        <w:r w:rsidR="004F35AA">
          <w:rPr>
            <w:noProof/>
          </w:rPr>
          <w:t>12</w:t>
        </w:r>
      </w:fldSimple>
      <w:r w:rsidR="00C56A87">
        <w:t>.</w:t>
      </w:r>
      <w:fldSimple w:instr=" SEQ Table \* ARABIC \s 1 ">
        <w:r w:rsidR="004F35AA">
          <w:rPr>
            <w:noProof/>
          </w:rPr>
          <w:t>1</w:t>
        </w:r>
      </w:fldSimple>
      <w:bookmarkEnd w:id="109"/>
      <w:r>
        <w:tab/>
        <w:t>AER's draft decision on SP AusNet's parameter values and weightings for the service component of the STPIS</w:t>
      </w:r>
    </w:p>
    <w:tbl>
      <w:tblPr>
        <w:tblW w:w="0" w:type="auto"/>
        <w:tblBorders>
          <w:bottom w:val="single" w:sz="4" w:space="0" w:color="365F91"/>
        </w:tblBorders>
        <w:tblLook w:val="04A0" w:firstRow="1" w:lastRow="0" w:firstColumn="1" w:lastColumn="0" w:noHBand="0" w:noVBand="1"/>
      </w:tblPr>
      <w:tblGrid>
        <w:gridCol w:w="3085"/>
        <w:gridCol w:w="1539"/>
        <w:gridCol w:w="1539"/>
        <w:gridCol w:w="1539"/>
        <w:gridCol w:w="1540"/>
      </w:tblGrid>
      <w:tr w:rsidR="0088341A" w:rsidTr="00501137">
        <w:tc>
          <w:tcPr>
            <w:tcW w:w="3085" w:type="dxa"/>
            <w:shd w:val="clear" w:color="auto" w:fill="365F91"/>
            <w:vAlign w:val="center"/>
          </w:tcPr>
          <w:p w:rsidR="0088341A" w:rsidRPr="00FD7C44" w:rsidRDefault="0088341A" w:rsidP="00501137">
            <w:pPr>
              <w:pStyle w:val="AERbodytext"/>
              <w:keepNext/>
              <w:keepLines/>
              <w:numPr>
                <w:ilvl w:val="0"/>
                <w:numId w:val="1"/>
              </w:numPr>
              <w:spacing w:before="120"/>
              <w:rPr>
                <w:b/>
                <w:color w:val="FFFFFF"/>
                <w:sz w:val="16"/>
              </w:rPr>
            </w:pPr>
          </w:p>
        </w:tc>
        <w:tc>
          <w:tcPr>
            <w:tcW w:w="1539" w:type="dxa"/>
            <w:shd w:val="clear" w:color="auto" w:fill="365F91"/>
            <w:vAlign w:val="center"/>
          </w:tcPr>
          <w:p w:rsidR="0088341A" w:rsidRPr="00FD7C44" w:rsidRDefault="0088341A" w:rsidP="00501137">
            <w:pPr>
              <w:pStyle w:val="AERtabletextright"/>
              <w:keepNext/>
              <w:keepLines/>
              <w:rPr>
                <w:b/>
                <w:color w:val="FFFFFF"/>
              </w:rPr>
            </w:pPr>
            <w:r w:rsidRPr="00FD7C44">
              <w:rPr>
                <w:b/>
                <w:color w:val="FFFFFF"/>
              </w:rPr>
              <w:t>Collar</w:t>
            </w:r>
          </w:p>
        </w:tc>
        <w:tc>
          <w:tcPr>
            <w:tcW w:w="1539" w:type="dxa"/>
            <w:shd w:val="clear" w:color="auto" w:fill="365F91"/>
            <w:vAlign w:val="center"/>
          </w:tcPr>
          <w:p w:rsidR="0088341A" w:rsidRPr="00FD7C44" w:rsidRDefault="0088341A" w:rsidP="00501137">
            <w:pPr>
              <w:pStyle w:val="AERtabletextright"/>
              <w:keepNext/>
              <w:keepLines/>
              <w:rPr>
                <w:b/>
                <w:color w:val="FFFFFF"/>
              </w:rPr>
            </w:pPr>
            <w:r w:rsidRPr="00FD7C44">
              <w:rPr>
                <w:b/>
                <w:color w:val="FFFFFF"/>
              </w:rPr>
              <w:t>Target</w:t>
            </w:r>
          </w:p>
        </w:tc>
        <w:tc>
          <w:tcPr>
            <w:tcW w:w="1539" w:type="dxa"/>
            <w:shd w:val="clear" w:color="auto" w:fill="365F91"/>
            <w:vAlign w:val="center"/>
          </w:tcPr>
          <w:p w:rsidR="0088341A" w:rsidRPr="00FD7C44" w:rsidRDefault="0088341A" w:rsidP="00501137">
            <w:pPr>
              <w:pStyle w:val="AERtabletextright"/>
              <w:keepNext/>
              <w:keepLines/>
              <w:rPr>
                <w:b/>
                <w:color w:val="FFFFFF"/>
              </w:rPr>
            </w:pPr>
            <w:r w:rsidRPr="00FD7C44">
              <w:rPr>
                <w:b/>
                <w:color w:val="FFFFFF"/>
              </w:rPr>
              <w:t>Cap</w:t>
            </w:r>
          </w:p>
        </w:tc>
        <w:tc>
          <w:tcPr>
            <w:tcW w:w="1540" w:type="dxa"/>
            <w:shd w:val="clear" w:color="auto" w:fill="365F91"/>
            <w:vAlign w:val="center"/>
          </w:tcPr>
          <w:p w:rsidR="0088341A" w:rsidRPr="00FD7C44" w:rsidRDefault="0088341A" w:rsidP="00501137">
            <w:pPr>
              <w:pStyle w:val="AERtabletextright"/>
              <w:keepNext/>
              <w:keepLines/>
              <w:rPr>
                <w:b/>
                <w:color w:val="FFFFFF"/>
              </w:rPr>
            </w:pPr>
            <w:r w:rsidRPr="00FD7C44">
              <w:rPr>
                <w:b/>
                <w:color w:val="FFFFFF"/>
              </w:rPr>
              <w:t xml:space="preserve">Weighting </w:t>
            </w:r>
            <w:r w:rsidRPr="00FD7C44">
              <w:rPr>
                <w:b/>
                <w:color w:val="FFFFFF"/>
              </w:rPr>
              <w:br/>
              <w:t>(% of MAR)</w:t>
            </w:r>
          </w:p>
        </w:tc>
      </w:tr>
      <w:tr w:rsidR="0088341A" w:rsidTr="00501137">
        <w:tc>
          <w:tcPr>
            <w:tcW w:w="3085" w:type="dxa"/>
            <w:shd w:val="clear" w:color="auto" w:fill="auto"/>
            <w:vAlign w:val="center"/>
          </w:tcPr>
          <w:p w:rsidR="0088341A" w:rsidRPr="00FD7C44" w:rsidRDefault="0088341A" w:rsidP="00501137">
            <w:pPr>
              <w:pStyle w:val="AERbodytext"/>
              <w:keepNext/>
              <w:keepLines/>
              <w:numPr>
                <w:ilvl w:val="0"/>
                <w:numId w:val="1"/>
              </w:numPr>
              <w:spacing w:before="120"/>
              <w:rPr>
                <w:rStyle w:val="AERtextbold"/>
                <w:sz w:val="16"/>
              </w:rPr>
            </w:pPr>
            <w:r w:rsidRPr="00FD7C44">
              <w:rPr>
                <w:rStyle w:val="AERtextbold"/>
                <w:sz w:val="16"/>
              </w:rPr>
              <w:t>Average circuit outage rate</w:t>
            </w:r>
          </w:p>
        </w:tc>
        <w:tc>
          <w:tcPr>
            <w:tcW w:w="1539" w:type="dxa"/>
            <w:shd w:val="clear" w:color="auto" w:fill="auto"/>
            <w:vAlign w:val="center"/>
          </w:tcPr>
          <w:p w:rsidR="0088341A" w:rsidRPr="00307477" w:rsidRDefault="0088341A" w:rsidP="00501137">
            <w:pPr>
              <w:pStyle w:val="AERtabletextright"/>
              <w:keepNext/>
              <w:keepLines/>
            </w:pPr>
          </w:p>
        </w:tc>
        <w:tc>
          <w:tcPr>
            <w:tcW w:w="1539" w:type="dxa"/>
            <w:shd w:val="clear" w:color="auto" w:fill="auto"/>
            <w:vAlign w:val="center"/>
          </w:tcPr>
          <w:p w:rsidR="0088341A" w:rsidRPr="00307477" w:rsidRDefault="0088341A" w:rsidP="00501137">
            <w:pPr>
              <w:pStyle w:val="AERtabletextright"/>
              <w:keepNext/>
              <w:keepLines/>
            </w:pPr>
          </w:p>
        </w:tc>
        <w:tc>
          <w:tcPr>
            <w:tcW w:w="1539" w:type="dxa"/>
            <w:shd w:val="clear" w:color="auto" w:fill="auto"/>
            <w:vAlign w:val="center"/>
          </w:tcPr>
          <w:p w:rsidR="0088341A" w:rsidRPr="00307477" w:rsidRDefault="0088341A" w:rsidP="00501137">
            <w:pPr>
              <w:pStyle w:val="AERtabletextright"/>
              <w:keepNext/>
              <w:keepLines/>
            </w:pPr>
          </w:p>
        </w:tc>
        <w:tc>
          <w:tcPr>
            <w:tcW w:w="1540" w:type="dxa"/>
            <w:shd w:val="clear" w:color="auto" w:fill="auto"/>
            <w:vAlign w:val="center"/>
          </w:tcPr>
          <w:p w:rsidR="0088341A" w:rsidRPr="00AA56FF" w:rsidRDefault="0088341A" w:rsidP="00501137">
            <w:pPr>
              <w:pStyle w:val="AERtabletextright"/>
              <w:keepNext/>
              <w:keepLines/>
            </w:pPr>
            <w:r>
              <w:t>0.2</w:t>
            </w:r>
          </w:p>
        </w:tc>
      </w:tr>
      <w:tr w:rsidR="0088341A" w:rsidTr="00501137">
        <w:tc>
          <w:tcPr>
            <w:tcW w:w="3085" w:type="dxa"/>
            <w:shd w:val="clear" w:color="auto" w:fill="DBE5F1"/>
            <w:vAlign w:val="center"/>
          </w:tcPr>
          <w:p w:rsidR="0088341A" w:rsidRPr="00FD7C44" w:rsidRDefault="0088341A" w:rsidP="00501137">
            <w:pPr>
              <w:pStyle w:val="AERbodytext"/>
              <w:keepNext/>
              <w:keepLines/>
              <w:numPr>
                <w:ilvl w:val="0"/>
                <w:numId w:val="1"/>
              </w:numPr>
              <w:spacing w:before="120"/>
              <w:rPr>
                <w:sz w:val="16"/>
              </w:rPr>
            </w:pPr>
            <w:r w:rsidRPr="00FD7C44">
              <w:rPr>
                <w:sz w:val="16"/>
              </w:rPr>
              <w:t>Line outage – fault</w:t>
            </w:r>
          </w:p>
        </w:tc>
        <w:tc>
          <w:tcPr>
            <w:tcW w:w="1539" w:type="dxa"/>
            <w:shd w:val="clear" w:color="auto" w:fill="DBE5F1"/>
            <w:vAlign w:val="center"/>
          </w:tcPr>
          <w:p w:rsidR="0088341A" w:rsidRPr="00AA56FF" w:rsidRDefault="0088341A" w:rsidP="00501137">
            <w:pPr>
              <w:pStyle w:val="AERtabletextright"/>
              <w:keepNext/>
              <w:keepLines/>
            </w:pPr>
            <w:r>
              <w:t>42.0</w:t>
            </w:r>
          </w:p>
        </w:tc>
        <w:tc>
          <w:tcPr>
            <w:tcW w:w="1539" w:type="dxa"/>
            <w:shd w:val="clear" w:color="auto" w:fill="DBE5F1"/>
            <w:vAlign w:val="center"/>
          </w:tcPr>
          <w:p w:rsidR="0088341A" w:rsidRPr="00307477" w:rsidRDefault="0088341A" w:rsidP="00501137">
            <w:pPr>
              <w:pStyle w:val="AERtabletextright"/>
              <w:keepNext/>
              <w:keepLines/>
            </w:pPr>
            <w:r w:rsidRPr="00307477">
              <w:t>25.9%</w:t>
            </w:r>
          </w:p>
        </w:tc>
        <w:tc>
          <w:tcPr>
            <w:tcW w:w="1539" w:type="dxa"/>
            <w:shd w:val="clear" w:color="auto" w:fill="DBE5F1"/>
            <w:vAlign w:val="center"/>
          </w:tcPr>
          <w:p w:rsidR="0088341A" w:rsidRPr="00AA56FF" w:rsidRDefault="0088341A" w:rsidP="00501137">
            <w:pPr>
              <w:pStyle w:val="AERtabletextright"/>
              <w:keepNext/>
              <w:keepLines/>
            </w:pPr>
            <w:r>
              <w:t>14.8</w:t>
            </w:r>
          </w:p>
        </w:tc>
        <w:tc>
          <w:tcPr>
            <w:tcW w:w="1540" w:type="dxa"/>
            <w:shd w:val="clear" w:color="auto" w:fill="DBE5F1"/>
            <w:vAlign w:val="center"/>
          </w:tcPr>
          <w:p w:rsidR="0088341A" w:rsidRPr="00AA56FF" w:rsidRDefault="0088341A" w:rsidP="00501137">
            <w:pPr>
              <w:pStyle w:val="AERtabletextright"/>
              <w:keepNext/>
              <w:keepLines/>
            </w:pPr>
            <w:r>
              <w:t>0.2</w:t>
            </w:r>
          </w:p>
        </w:tc>
      </w:tr>
      <w:tr w:rsidR="0088341A" w:rsidTr="00501137">
        <w:tc>
          <w:tcPr>
            <w:tcW w:w="3085" w:type="dxa"/>
            <w:shd w:val="clear" w:color="auto" w:fill="auto"/>
            <w:vAlign w:val="center"/>
          </w:tcPr>
          <w:p w:rsidR="0088341A" w:rsidRPr="00FD7C44" w:rsidRDefault="0088341A" w:rsidP="00501137">
            <w:pPr>
              <w:pStyle w:val="AERbodytext"/>
              <w:keepNext/>
              <w:keepLines/>
              <w:numPr>
                <w:ilvl w:val="0"/>
                <w:numId w:val="1"/>
              </w:numPr>
              <w:spacing w:before="120"/>
              <w:rPr>
                <w:sz w:val="16"/>
              </w:rPr>
            </w:pPr>
            <w:r w:rsidRPr="00FD7C44">
              <w:rPr>
                <w:sz w:val="16"/>
              </w:rPr>
              <w:t>Transformer outage – fault</w:t>
            </w:r>
          </w:p>
        </w:tc>
        <w:tc>
          <w:tcPr>
            <w:tcW w:w="1539" w:type="dxa"/>
            <w:shd w:val="clear" w:color="auto" w:fill="auto"/>
            <w:vAlign w:val="center"/>
          </w:tcPr>
          <w:p w:rsidR="0088341A" w:rsidRPr="00AA56FF" w:rsidRDefault="0088341A" w:rsidP="00501137">
            <w:pPr>
              <w:pStyle w:val="AERtabletextright"/>
              <w:keepNext/>
              <w:keepLines/>
            </w:pPr>
            <w:r>
              <w:t>31.7</w:t>
            </w:r>
          </w:p>
        </w:tc>
        <w:tc>
          <w:tcPr>
            <w:tcW w:w="1539" w:type="dxa"/>
            <w:shd w:val="clear" w:color="auto" w:fill="auto"/>
            <w:vAlign w:val="center"/>
          </w:tcPr>
          <w:p w:rsidR="0088341A" w:rsidRPr="00307477" w:rsidRDefault="0088341A" w:rsidP="00501137">
            <w:pPr>
              <w:pStyle w:val="AERtabletextright"/>
              <w:keepNext/>
              <w:keepLines/>
            </w:pPr>
            <w:r w:rsidRPr="00307477">
              <w:t>16.1%</w:t>
            </w:r>
          </w:p>
        </w:tc>
        <w:tc>
          <w:tcPr>
            <w:tcW w:w="1539" w:type="dxa"/>
            <w:shd w:val="clear" w:color="auto" w:fill="auto"/>
            <w:vAlign w:val="center"/>
          </w:tcPr>
          <w:p w:rsidR="0088341A" w:rsidRPr="00AA56FF" w:rsidRDefault="0088341A" w:rsidP="00501137">
            <w:pPr>
              <w:pStyle w:val="AERtabletextright"/>
              <w:keepNext/>
              <w:keepLines/>
            </w:pPr>
            <w:r>
              <w:t>7.4</w:t>
            </w:r>
          </w:p>
        </w:tc>
        <w:tc>
          <w:tcPr>
            <w:tcW w:w="1540" w:type="dxa"/>
            <w:shd w:val="clear" w:color="auto" w:fill="auto"/>
            <w:vAlign w:val="center"/>
          </w:tcPr>
          <w:p w:rsidR="0088341A" w:rsidRPr="00AA56FF" w:rsidRDefault="0088341A" w:rsidP="00501137">
            <w:pPr>
              <w:pStyle w:val="AERtabletextright"/>
              <w:keepNext/>
              <w:keepLines/>
            </w:pPr>
            <w:r>
              <w:t>0.2</w:t>
            </w:r>
          </w:p>
        </w:tc>
      </w:tr>
      <w:tr w:rsidR="0088341A" w:rsidTr="00501137">
        <w:tc>
          <w:tcPr>
            <w:tcW w:w="3085" w:type="dxa"/>
            <w:shd w:val="clear" w:color="auto" w:fill="DBE5F1"/>
            <w:vAlign w:val="center"/>
          </w:tcPr>
          <w:p w:rsidR="0088341A" w:rsidRPr="00FD7C44" w:rsidRDefault="0088341A" w:rsidP="00501137">
            <w:pPr>
              <w:pStyle w:val="AERbodytext"/>
              <w:keepNext/>
              <w:keepLines/>
              <w:numPr>
                <w:ilvl w:val="0"/>
                <w:numId w:val="1"/>
              </w:numPr>
              <w:spacing w:before="120"/>
              <w:rPr>
                <w:sz w:val="16"/>
              </w:rPr>
            </w:pPr>
            <w:r w:rsidRPr="00FD7C44">
              <w:rPr>
                <w:sz w:val="16"/>
              </w:rPr>
              <w:t xml:space="preserve">Reactive plant – fault </w:t>
            </w:r>
          </w:p>
        </w:tc>
        <w:tc>
          <w:tcPr>
            <w:tcW w:w="1539" w:type="dxa"/>
            <w:shd w:val="clear" w:color="auto" w:fill="DBE5F1"/>
            <w:vAlign w:val="center"/>
          </w:tcPr>
          <w:p w:rsidR="0088341A" w:rsidRPr="00AA56FF" w:rsidRDefault="0088341A" w:rsidP="00501137">
            <w:pPr>
              <w:pStyle w:val="AERtabletextright"/>
              <w:keepNext/>
              <w:keepLines/>
            </w:pPr>
            <w:r>
              <w:t>43.8</w:t>
            </w:r>
          </w:p>
        </w:tc>
        <w:tc>
          <w:tcPr>
            <w:tcW w:w="1539" w:type="dxa"/>
            <w:shd w:val="clear" w:color="auto" w:fill="DBE5F1"/>
            <w:vAlign w:val="center"/>
          </w:tcPr>
          <w:p w:rsidR="0088341A" w:rsidRPr="00307477" w:rsidRDefault="0088341A" w:rsidP="00501137">
            <w:pPr>
              <w:pStyle w:val="AERtabletextright"/>
              <w:keepNext/>
              <w:keepLines/>
            </w:pPr>
            <w:r w:rsidRPr="00307477">
              <w:t>32.5%</w:t>
            </w:r>
          </w:p>
        </w:tc>
        <w:tc>
          <w:tcPr>
            <w:tcW w:w="1539" w:type="dxa"/>
            <w:shd w:val="clear" w:color="auto" w:fill="DBE5F1"/>
            <w:vAlign w:val="center"/>
          </w:tcPr>
          <w:p w:rsidR="0088341A" w:rsidRPr="00AA56FF" w:rsidRDefault="0088341A" w:rsidP="00501137">
            <w:pPr>
              <w:pStyle w:val="AERtabletextright"/>
              <w:keepNext/>
              <w:keepLines/>
            </w:pPr>
            <w:r>
              <w:t>23.4</w:t>
            </w:r>
          </w:p>
        </w:tc>
        <w:tc>
          <w:tcPr>
            <w:tcW w:w="1540" w:type="dxa"/>
            <w:shd w:val="clear" w:color="auto" w:fill="DBE5F1"/>
            <w:vAlign w:val="center"/>
          </w:tcPr>
          <w:p w:rsidR="0088341A" w:rsidRPr="00AA56FF" w:rsidRDefault="0088341A" w:rsidP="00501137">
            <w:pPr>
              <w:pStyle w:val="AERtabletextright"/>
              <w:keepNext/>
              <w:keepLines/>
            </w:pPr>
            <w:r>
              <w:t>0.1</w:t>
            </w:r>
          </w:p>
        </w:tc>
      </w:tr>
      <w:tr w:rsidR="0088341A" w:rsidTr="00501137">
        <w:tc>
          <w:tcPr>
            <w:tcW w:w="3085" w:type="dxa"/>
            <w:shd w:val="clear" w:color="auto" w:fill="auto"/>
            <w:vAlign w:val="center"/>
          </w:tcPr>
          <w:p w:rsidR="0088341A" w:rsidRPr="00FD7C44" w:rsidRDefault="0088341A" w:rsidP="00501137">
            <w:pPr>
              <w:pStyle w:val="AERbodytext"/>
              <w:keepNext/>
              <w:keepLines/>
              <w:numPr>
                <w:ilvl w:val="0"/>
                <w:numId w:val="1"/>
              </w:numPr>
              <w:spacing w:before="120"/>
              <w:rPr>
                <w:sz w:val="16"/>
              </w:rPr>
            </w:pPr>
            <w:r w:rsidRPr="00FD7C44">
              <w:rPr>
                <w:sz w:val="16"/>
              </w:rPr>
              <w:t>Line outage – forced outage</w:t>
            </w:r>
          </w:p>
        </w:tc>
        <w:tc>
          <w:tcPr>
            <w:tcW w:w="1539" w:type="dxa"/>
            <w:shd w:val="clear" w:color="auto" w:fill="auto"/>
            <w:vAlign w:val="center"/>
          </w:tcPr>
          <w:p w:rsidR="0088341A" w:rsidRPr="00AA56FF" w:rsidRDefault="0088341A" w:rsidP="00501137">
            <w:pPr>
              <w:pStyle w:val="AERtabletextright"/>
              <w:keepNext/>
              <w:keepLines/>
            </w:pPr>
            <w:r>
              <w:t>17.7</w:t>
            </w:r>
          </w:p>
        </w:tc>
        <w:tc>
          <w:tcPr>
            <w:tcW w:w="1539" w:type="dxa"/>
            <w:shd w:val="clear" w:color="auto" w:fill="auto"/>
            <w:vAlign w:val="center"/>
          </w:tcPr>
          <w:p w:rsidR="0088341A" w:rsidRPr="00307477" w:rsidRDefault="0088341A" w:rsidP="00501137">
            <w:pPr>
              <w:pStyle w:val="AERtabletextright"/>
              <w:keepNext/>
              <w:keepLines/>
            </w:pPr>
            <w:r w:rsidRPr="00307477">
              <w:t>14.9%</w:t>
            </w:r>
          </w:p>
        </w:tc>
        <w:tc>
          <w:tcPr>
            <w:tcW w:w="1539" w:type="dxa"/>
            <w:shd w:val="clear" w:color="auto" w:fill="auto"/>
            <w:vAlign w:val="center"/>
          </w:tcPr>
          <w:p w:rsidR="0088341A" w:rsidRPr="00AA56FF" w:rsidRDefault="0088341A" w:rsidP="00501137">
            <w:pPr>
              <w:pStyle w:val="AERtabletextright"/>
              <w:keepNext/>
              <w:keepLines/>
            </w:pPr>
            <w:r>
              <w:t>12.3</w:t>
            </w:r>
          </w:p>
        </w:tc>
        <w:tc>
          <w:tcPr>
            <w:tcW w:w="1540" w:type="dxa"/>
            <w:shd w:val="clear" w:color="auto" w:fill="auto"/>
            <w:vAlign w:val="center"/>
          </w:tcPr>
          <w:p w:rsidR="0088341A" w:rsidRPr="00AA56FF" w:rsidRDefault="0088341A" w:rsidP="00501137">
            <w:pPr>
              <w:pStyle w:val="AERtabletextright"/>
              <w:keepNext/>
              <w:keepLines/>
            </w:pPr>
            <w:r>
              <w:t>0.0</w:t>
            </w:r>
          </w:p>
        </w:tc>
      </w:tr>
      <w:tr w:rsidR="0088341A" w:rsidTr="00501137">
        <w:tc>
          <w:tcPr>
            <w:tcW w:w="3085" w:type="dxa"/>
            <w:shd w:val="clear" w:color="auto" w:fill="DBE5F1"/>
            <w:vAlign w:val="center"/>
          </w:tcPr>
          <w:p w:rsidR="0088341A" w:rsidRPr="00FD7C44" w:rsidRDefault="0088341A" w:rsidP="00501137">
            <w:pPr>
              <w:pStyle w:val="AERbodytext"/>
              <w:keepNext/>
              <w:keepLines/>
              <w:numPr>
                <w:ilvl w:val="0"/>
                <w:numId w:val="1"/>
              </w:numPr>
              <w:spacing w:before="120"/>
              <w:rPr>
                <w:sz w:val="16"/>
              </w:rPr>
            </w:pPr>
            <w:r w:rsidRPr="00FD7C44">
              <w:rPr>
                <w:sz w:val="16"/>
              </w:rPr>
              <w:t>Transformer outage – forced outage</w:t>
            </w:r>
          </w:p>
        </w:tc>
        <w:tc>
          <w:tcPr>
            <w:tcW w:w="1539" w:type="dxa"/>
            <w:shd w:val="clear" w:color="auto" w:fill="DBE5F1"/>
            <w:vAlign w:val="center"/>
          </w:tcPr>
          <w:p w:rsidR="0088341A" w:rsidRPr="00AA56FF" w:rsidRDefault="0088341A" w:rsidP="00501137">
            <w:pPr>
              <w:pStyle w:val="AERtabletextright"/>
              <w:keepNext/>
              <w:keepLines/>
            </w:pPr>
            <w:r>
              <w:t>17.6</w:t>
            </w:r>
          </w:p>
        </w:tc>
        <w:tc>
          <w:tcPr>
            <w:tcW w:w="1539" w:type="dxa"/>
            <w:shd w:val="clear" w:color="auto" w:fill="DBE5F1"/>
            <w:vAlign w:val="center"/>
          </w:tcPr>
          <w:p w:rsidR="0088341A" w:rsidRPr="00307477" w:rsidRDefault="0088341A" w:rsidP="00501137">
            <w:pPr>
              <w:pStyle w:val="AERtabletextright"/>
              <w:keepNext/>
              <w:keepLines/>
            </w:pPr>
            <w:r w:rsidRPr="00307477">
              <w:t>12.0%</w:t>
            </w:r>
          </w:p>
        </w:tc>
        <w:tc>
          <w:tcPr>
            <w:tcW w:w="1539" w:type="dxa"/>
            <w:shd w:val="clear" w:color="auto" w:fill="DBE5F1"/>
            <w:vAlign w:val="center"/>
          </w:tcPr>
          <w:p w:rsidR="0088341A" w:rsidRPr="00AA56FF" w:rsidRDefault="0088341A" w:rsidP="00501137">
            <w:pPr>
              <w:pStyle w:val="AERtabletextright"/>
              <w:keepNext/>
              <w:keepLines/>
            </w:pPr>
            <w:r>
              <w:t>6.2</w:t>
            </w:r>
          </w:p>
        </w:tc>
        <w:tc>
          <w:tcPr>
            <w:tcW w:w="1540" w:type="dxa"/>
            <w:shd w:val="clear" w:color="auto" w:fill="DBE5F1"/>
            <w:vAlign w:val="center"/>
          </w:tcPr>
          <w:p w:rsidR="0088341A" w:rsidRPr="00AA56FF" w:rsidRDefault="0088341A" w:rsidP="00501137">
            <w:pPr>
              <w:pStyle w:val="AERtabletextright"/>
              <w:keepNext/>
              <w:keepLines/>
            </w:pPr>
            <w:r>
              <w:t>0.0</w:t>
            </w:r>
          </w:p>
        </w:tc>
      </w:tr>
      <w:tr w:rsidR="0088341A" w:rsidTr="00501137">
        <w:tc>
          <w:tcPr>
            <w:tcW w:w="3085" w:type="dxa"/>
            <w:shd w:val="clear" w:color="auto" w:fill="auto"/>
            <w:vAlign w:val="center"/>
          </w:tcPr>
          <w:p w:rsidR="0088341A" w:rsidRPr="00FD7C44" w:rsidRDefault="0088341A" w:rsidP="00501137">
            <w:pPr>
              <w:pStyle w:val="AERbodytext"/>
              <w:keepNext/>
              <w:keepLines/>
              <w:numPr>
                <w:ilvl w:val="0"/>
                <w:numId w:val="1"/>
              </w:numPr>
              <w:spacing w:before="120"/>
              <w:rPr>
                <w:sz w:val="16"/>
              </w:rPr>
            </w:pPr>
            <w:r w:rsidRPr="00FD7C44">
              <w:rPr>
                <w:sz w:val="16"/>
              </w:rPr>
              <w:t>Reactive plant – forced outage</w:t>
            </w:r>
          </w:p>
        </w:tc>
        <w:tc>
          <w:tcPr>
            <w:tcW w:w="1539" w:type="dxa"/>
            <w:shd w:val="clear" w:color="auto" w:fill="auto"/>
            <w:vAlign w:val="center"/>
          </w:tcPr>
          <w:p w:rsidR="0088341A" w:rsidRPr="00AA56FF" w:rsidRDefault="0088341A" w:rsidP="00501137">
            <w:pPr>
              <w:pStyle w:val="AERtabletextright"/>
              <w:keepNext/>
              <w:keepLines/>
            </w:pPr>
            <w:r>
              <w:t>28.3</w:t>
            </w:r>
          </w:p>
        </w:tc>
        <w:tc>
          <w:tcPr>
            <w:tcW w:w="1539" w:type="dxa"/>
            <w:shd w:val="clear" w:color="auto" w:fill="auto"/>
            <w:vAlign w:val="center"/>
          </w:tcPr>
          <w:p w:rsidR="0088341A" w:rsidRPr="00307477" w:rsidRDefault="0088341A" w:rsidP="00501137">
            <w:pPr>
              <w:pStyle w:val="AERtabletextright"/>
              <w:keepNext/>
              <w:keepLines/>
            </w:pPr>
            <w:r w:rsidRPr="00307477">
              <w:t>14.8%</w:t>
            </w:r>
          </w:p>
        </w:tc>
        <w:tc>
          <w:tcPr>
            <w:tcW w:w="1539" w:type="dxa"/>
            <w:shd w:val="clear" w:color="auto" w:fill="auto"/>
            <w:vAlign w:val="center"/>
          </w:tcPr>
          <w:p w:rsidR="0088341A" w:rsidRPr="00AA56FF" w:rsidRDefault="0088341A" w:rsidP="00501137">
            <w:pPr>
              <w:pStyle w:val="AERtabletextright"/>
              <w:keepNext/>
              <w:keepLines/>
            </w:pPr>
            <w:r>
              <w:t>3.7</w:t>
            </w:r>
          </w:p>
        </w:tc>
        <w:tc>
          <w:tcPr>
            <w:tcW w:w="1540" w:type="dxa"/>
            <w:shd w:val="clear" w:color="auto" w:fill="auto"/>
            <w:vAlign w:val="center"/>
          </w:tcPr>
          <w:p w:rsidR="0088341A" w:rsidRPr="00AA56FF" w:rsidRDefault="0088341A" w:rsidP="00501137">
            <w:pPr>
              <w:pStyle w:val="AERtabletextright"/>
              <w:keepNext/>
              <w:keepLines/>
            </w:pPr>
            <w:r>
              <w:t>0.0</w:t>
            </w:r>
          </w:p>
        </w:tc>
      </w:tr>
      <w:tr w:rsidR="0088341A" w:rsidTr="00501137">
        <w:tc>
          <w:tcPr>
            <w:tcW w:w="3085" w:type="dxa"/>
            <w:shd w:val="clear" w:color="auto" w:fill="DBE5F1"/>
            <w:vAlign w:val="center"/>
          </w:tcPr>
          <w:p w:rsidR="0088341A" w:rsidRPr="00FD7C44" w:rsidRDefault="0088341A" w:rsidP="00501137">
            <w:pPr>
              <w:pStyle w:val="AERbodytext"/>
              <w:keepNext/>
              <w:keepLines/>
              <w:numPr>
                <w:ilvl w:val="0"/>
                <w:numId w:val="1"/>
              </w:numPr>
              <w:spacing w:before="120"/>
              <w:rPr>
                <w:rStyle w:val="AERtextbold"/>
                <w:sz w:val="16"/>
              </w:rPr>
            </w:pPr>
            <w:r w:rsidRPr="00FD7C44">
              <w:rPr>
                <w:rStyle w:val="AERtextbold"/>
                <w:sz w:val="16"/>
              </w:rPr>
              <w:t>Loss of supply event frequency</w:t>
            </w:r>
          </w:p>
        </w:tc>
        <w:tc>
          <w:tcPr>
            <w:tcW w:w="1539" w:type="dxa"/>
            <w:shd w:val="clear" w:color="auto" w:fill="DBE5F1"/>
            <w:vAlign w:val="center"/>
          </w:tcPr>
          <w:p w:rsidR="0088341A" w:rsidRPr="00307477" w:rsidRDefault="0088341A" w:rsidP="00501137">
            <w:pPr>
              <w:pStyle w:val="AERtabletextright"/>
              <w:keepNext/>
              <w:keepLines/>
            </w:pPr>
          </w:p>
        </w:tc>
        <w:tc>
          <w:tcPr>
            <w:tcW w:w="1539" w:type="dxa"/>
            <w:shd w:val="clear" w:color="auto" w:fill="DBE5F1"/>
            <w:vAlign w:val="center"/>
          </w:tcPr>
          <w:p w:rsidR="0088341A" w:rsidRPr="00A96D2E" w:rsidRDefault="0088341A" w:rsidP="00501137">
            <w:pPr>
              <w:pStyle w:val="AERtabletextright"/>
              <w:keepNext/>
              <w:keepLines/>
            </w:pPr>
          </w:p>
        </w:tc>
        <w:tc>
          <w:tcPr>
            <w:tcW w:w="1539" w:type="dxa"/>
            <w:shd w:val="clear" w:color="auto" w:fill="DBE5F1"/>
            <w:vAlign w:val="center"/>
          </w:tcPr>
          <w:p w:rsidR="0088341A" w:rsidRPr="00307477" w:rsidRDefault="0088341A" w:rsidP="00501137">
            <w:pPr>
              <w:pStyle w:val="AERtabletextright"/>
              <w:keepNext/>
              <w:keepLines/>
            </w:pPr>
          </w:p>
        </w:tc>
        <w:tc>
          <w:tcPr>
            <w:tcW w:w="1540" w:type="dxa"/>
            <w:shd w:val="clear" w:color="auto" w:fill="DBE5F1"/>
            <w:vAlign w:val="center"/>
          </w:tcPr>
          <w:p w:rsidR="0088341A" w:rsidRPr="00307477" w:rsidRDefault="0088341A" w:rsidP="00501137">
            <w:pPr>
              <w:pStyle w:val="AERtabletextright"/>
              <w:keepNext/>
              <w:keepLines/>
            </w:pPr>
          </w:p>
        </w:tc>
      </w:tr>
      <w:tr w:rsidR="0088341A" w:rsidTr="00501137">
        <w:tc>
          <w:tcPr>
            <w:tcW w:w="3085" w:type="dxa"/>
            <w:shd w:val="clear" w:color="auto" w:fill="auto"/>
            <w:vAlign w:val="center"/>
          </w:tcPr>
          <w:p w:rsidR="0088341A" w:rsidRPr="00AA56FF" w:rsidRDefault="0088341A" w:rsidP="00501137">
            <w:pPr>
              <w:pStyle w:val="AERtabletextleft"/>
              <w:keepNext/>
              <w:keepLines/>
            </w:pPr>
            <w:r>
              <w:t>&gt;0.0</w:t>
            </w:r>
            <w:r w:rsidRPr="00AA56FF">
              <w:t>5 system minutes</w:t>
            </w:r>
          </w:p>
        </w:tc>
        <w:tc>
          <w:tcPr>
            <w:tcW w:w="1539" w:type="dxa"/>
            <w:shd w:val="clear" w:color="auto" w:fill="auto"/>
            <w:vAlign w:val="center"/>
          </w:tcPr>
          <w:p w:rsidR="0088341A" w:rsidRPr="00AA56FF" w:rsidRDefault="0088341A" w:rsidP="00501137">
            <w:pPr>
              <w:pStyle w:val="AERtabletextright"/>
              <w:keepNext/>
              <w:keepLines/>
            </w:pPr>
            <w:r>
              <w:t>6</w:t>
            </w:r>
          </w:p>
        </w:tc>
        <w:tc>
          <w:tcPr>
            <w:tcW w:w="1539" w:type="dxa"/>
            <w:shd w:val="clear" w:color="auto" w:fill="auto"/>
            <w:vAlign w:val="center"/>
          </w:tcPr>
          <w:p w:rsidR="0088341A" w:rsidRPr="00AA56FF" w:rsidRDefault="0088341A" w:rsidP="00501137">
            <w:pPr>
              <w:pStyle w:val="AERtabletextright"/>
              <w:keepNext/>
              <w:keepLines/>
            </w:pPr>
            <w:r>
              <w:t>2</w:t>
            </w:r>
          </w:p>
        </w:tc>
        <w:tc>
          <w:tcPr>
            <w:tcW w:w="1539" w:type="dxa"/>
            <w:shd w:val="clear" w:color="auto" w:fill="auto"/>
            <w:vAlign w:val="center"/>
          </w:tcPr>
          <w:p w:rsidR="0088341A" w:rsidRPr="00AA56FF" w:rsidRDefault="0088341A" w:rsidP="00501137">
            <w:pPr>
              <w:pStyle w:val="AERtabletextright"/>
              <w:keepNext/>
              <w:keepLines/>
            </w:pPr>
            <w:r>
              <w:t>0</w:t>
            </w:r>
          </w:p>
        </w:tc>
        <w:tc>
          <w:tcPr>
            <w:tcW w:w="1540" w:type="dxa"/>
            <w:shd w:val="clear" w:color="auto" w:fill="auto"/>
            <w:vAlign w:val="center"/>
          </w:tcPr>
          <w:p w:rsidR="0088341A" w:rsidRPr="00AA56FF" w:rsidRDefault="0088341A" w:rsidP="00501137">
            <w:pPr>
              <w:pStyle w:val="AERtabletextright"/>
              <w:keepNext/>
              <w:keepLines/>
            </w:pPr>
            <w:r>
              <w:t>0.15</w:t>
            </w:r>
          </w:p>
        </w:tc>
      </w:tr>
      <w:tr w:rsidR="0088341A" w:rsidTr="00501137">
        <w:tc>
          <w:tcPr>
            <w:tcW w:w="3085" w:type="dxa"/>
            <w:shd w:val="clear" w:color="auto" w:fill="DBE5F1"/>
            <w:vAlign w:val="center"/>
          </w:tcPr>
          <w:p w:rsidR="0088341A" w:rsidRPr="00FD7C44" w:rsidRDefault="0088341A" w:rsidP="00501137">
            <w:pPr>
              <w:pStyle w:val="AERbodytext"/>
              <w:keepNext/>
              <w:keepLines/>
              <w:numPr>
                <w:ilvl w:val="0"/>
                <w:numId w:val="1"/>
              </w:numPr>
              <w:spacing w:before="120"/>
              <w:rPr>
                <w:sz w:val="16"/>
              </w:rPr>
            </w:pPr>
            <w:r w:rsidRPr="00FD7C44">
              <w:rPr>
                <w:sz w:val="16"/>
              </w:rPr>
              <w:t>&gt;0.3 system minutes</w:t>
            </w:r>
          </w:p>
        </w:tc>
        <w:tc>
          <w:tcPr>
            <w:tcW w:w="1539" w:type="dxa"/>
            <w:shd w:val="clear" w:color="auto" w:fill="DBE5F1"/>
            <w:vAlign w:val="center"/>
          </w:tcPr>
          <w:p w:rsidR="0088341A" w:rsidRPr="00AA56FF" w:rsidRDefault="0088341A" w:rsidP="00501137">
            <w:pPr>
              <w:pStyle w:val="AERtabletextright"/>
              <w:keepNext/>
              <w:keepLines/>
            </w:pPr>
            <w:r>
              <w:t>2</w:t>
            </w:r>
          </w:p>
        </w:tc>
        <w:tc>
          <w:tcPr>
            <w:tcW w:w="1539" w:type="dxa"/>
            <w:shd w:val="clear" w:color="auto" w:fill="DBE5F1"/>
            <w:vAlign w:val="center"/>
          </w:tcPr>
          <w:p w:rsidR="0088341A" w:rsidRPr="00AA56FF" w:rsidRDefault="0088341A" w:rsidP="00501137">
            <w:pPr>
              <w:pStyle w:val="AERtabletextright"/>
              <w:keepNext/>
              <w:keepLines/>
            </w:pPr>
            <w:r>
              <w:t>1</w:t>
            </w:r>
          </w:p>
        </w:tc>
        <w:tc>
          <w:tcPr>
            <w:tcW w:w="1539" w:type="dxa"/>
            <w:shd w:val="clear" w:color="auto" w:fill="DBE5F1"/>
            <w:vAlign w:val="center"/>
          </w:tcPr>
          <w:p w:rsidR="0088341A" w:rsidRPr="00AA56FF" w:rsidRDefault="0088341A" w:rsidP="00501137">
            <w:pPr>
              <w:pStyle w:val="AERtabletextright"/>
              <w:keepNext/>
              <w:keepLines/>
            </w:pPr>
            <w:r>
              <w:t>0</w:t>
            </w:r>
          </w:p>
        </w:tc>
        <w:tc>
          <w:tcPr>
            <w:tcW w:w="1540" w:type="dxa"/>
            <w:shd w:val="clear" w:color="auto" w:fill="DBE5F1"/>
            <w:vAlign w:val="center"/>
          </w:tcPr>
          <w:p w:rsidR="0088341A" w:rsidRPr="00AA56FF" w:rsidRDefault="0088341A" w:rsidP="00501137">
            <w:pPr>
              <w:pStyle w:val="AERtabletextright"/>
              <w:keepNext/>
              <w:keepLines/>
            </w:pPr>
            <w:r>
              <w:t>0.15</w:t>
            </w:r>
          </w:p>
        </w:tc>
      </w:tr>
      <w:tr w:rsidR="0088341A" w:rsidTr="00501137">
        <w:tc>
          <w:tcPr>
            <w:tcW w:w="3085" w:type="dxa"/>
            <w:shd w:val="clear" w:color="auto" w:fill="auto"/>
            <w:vAlign w:val="center"/>
          </w:tcPr>
          <w:p w:rsidR="0088341A" w:rsidRPr="00FD7C44" w:rsidRDefault="0088341A" w:rsidP="00501137">
            <w:pPr>
              <w:pStyle w:val="AERbodytext"/>
              <w:keepNext/>
              <w:keepLines/>
              <w:numPr>
                <w:ilvl w:val="0"/>
                <w:numId w:val="1"/>
              </w:numPr>
              <w:spacing w:before="120"/>
              <w:rPr>
                <w:rStyle w:val="AERtextbold"/>
                <w:sz w:val="16"/>
              </w:rPr>
            </w:pPr>
            <w:r w:rsidRPr="00FD7C44">
              <w:rPr>
                <w:rStyle w:val="AERtextbold"/>
                <w:sz w:val="16"/>
              </w:rPr>
              <w:t>Average outage duration</w:t>
            </w:r>
          </w:p>
        </w:tc>
        <w:tc>
          <w:tcPr>
            <w:tcW w:w="1539" w:type="dxa"/>
            <w:shd w:val="clear" w:color="auto" w:fill="auto"/>
            <w:vAlign w:val="center"/>
          </w:tcPr>
          <w:p w:rsidR="0088341A" w:rsidRPr="00307477" w:rsidRDefault="0088341A" w:rsidP="00501137">
            <w:pPr>
              <w:pStyle w:val="AERtabletextright"/>
              <w:keepNext/>
              <w:keepLines/>
            </w:pPr>
          </w:p>
        </w:tc>
        <w:tc>
          <w:tcPr>
            <w:tcW w:w="1539" w:type="dxa"/>
            <w:shd w:val="clear" w:color="auto" w:fill="auto"/>
            <w:vAlign w:val="center"/>
          </w:tcPr>
          <w:p w:rsidR="0088341A" w:rsidRPr="00A96D2E" w:rsidRDefault="0088341A" w:rsidP="00501137">
            <w:pPr>
              <w:pStyle w:val="AERtabletextright"/>
              <w:keepNext/>
              <w:keepLines/>
            </w:pPr>
          </w:p>
        </w:tc>
        <w:tc>
          <w:tcPr>
            <w:tcW w:w="1539" w:type="dxa"/>
            <w:shd w:val="clear" w:color="auto" w:fill="auto"/>
            <w:vAlign w:val="center"/>
          </w:tcPr>
          <w:p w:rsidR="0088341A" w:rsidRPr="00307477" w:rsidRDefault="0088341A" w:rsidP="00501137">
            <w:pPr>
              <w:pStyle w:val="AERtabletextright"/>
              <w:keepNext/>
              <w:keepLines/>
            </w:pPr>
          </w:p>
        </w:tc>
        <w:tc>
          <w:tcPr>
            <w:tcW w:w="1540" w:type="dxa"/>
            <w:shd w:val="clear" w:color="auto" w:fill="auto"/>
            <w:vAlign w:val="center"/>
          </w:tcPr>
          <w:p w:rsidR="0088341A" w:rsidRPr="00307477" w:rsidRDefault="0088341A" w:rsidP="00501137">
            <w:pPr>
              <w:pStyle w:val="AERtabletextright"/>
              <w:keepNext/>
              <w:keepLines/>
            </w:pPr>
          </w:p>
        </w:tc>
      </w:tr>
      <w:tr w:rsidR="0088341A" w:rsidTr="00501137">
        <w:tc>
          <w:tcPr>
            <w:tcW w:w="3085" w:type="dxa"/>
            <w:shd w:val="clear" w:color="auto" w:fill="DBE5F1"/>
            <w:vAlign w:val="center"/>
          </w:tcPr>
          <w:p w:rsidR="0088341A" w:rsidRPr="00FD7C44" w:rsidRDefault="0088341A" w:rsidP="00501137">
            <w:pPr>
              <w:pStyle w:val="AERbodytext"/>
              <w:keepNext/>
              <w:keepLines/>
              <w:numPr>
                <w:ilvl w:val="0"/>
                <w:numId w:val="1"/>
              </w:numPr>
              <w:spacing w:before="120"/>
              <w:rPr>
                <w:sz w:val="16"/>
              </w:rPr>
            </w:pPr>
            <w:r w:rsidRPr="00FD7C44">
              <w:rPr>
                <w:sz w:val="16"/>
              </w:rPr>
              <w:t>Average outage duration</w:t>
            </w:r>
          </w:p>
        </w:tc>
        <w:tc>
          <w:tcPr>
            <w:tcW w:w="1539" w:type="dxa"/>
            <w:shd w:val="clear" w:color="auto" w:fill="DBE5F1"/>
            <w:vAlign w:val="center"/>
          </w:tcPr>
          <w:p w:rsidR="0088341A" w:rsidRPr="00AA56FF" w:rsidRDefault="0088341A" w:rsidP="00501137">
            <w:pPr>
              <w:pStyle w:val="AERtabletextright"/>
              <w:keepNext/>
              <w:keepLines/>
            </w:pPr>
            <w:r>
              <w:t>293.5</w:t>
            </w:r>
          </w:p>
        </w:tc>
        <w:tc>
          <w:tcPr>
            <w:tcW w:w="1539" w:type="dxa"/>
            <w:shd w:val="clear" w:color="auto" w:fill="DBE5F1"/>
            <w:vAlign w:val="center"/>
          </w:tcPr>
          <w:p w:rsidR="0088341A" w:rsidRPr="00AA56FF" w:rsidRDefault="0088341A" w:rsidP="00501137">
            <w:pPr>
              <w:pStyle w:val="AERtabletextright"/>
              <w:keepNext/>
              <w:keepLines/>
            </w:pPr>
            <w:r>
              <w:t>98.0</w:t>
            </w:r>
          </w:p>
        </w:tc>
        <w:tc>
          <w:tcPr>
            <w:tcW w:w="1539" w:type="dxa"/>
            <w:shd w:val="clear" w:color="auto" w:fill="DBE5F1"/>
            <w:vAlign w:val="center"/>
          </w:tcPr>
          <w:p w:rsidR="0088341A" w:rsidRPr="00AA56FF" w:rsidRDefault="0088341A" w:rsidP="00501137">
            <w:pPr>
              <w:pStyle w:val="AERtabletextright"/>
              <w:keepNext/>
              <w:keepLines/>
            </w:pPr>
            <w:r>
              <w:t>5</w:t>
            </w:r>
          </w:p>
        </w:tc>
        <w:tc>
          <w:tcPr>
            <w:tcW w:w="1540" w:type="dxa"/>
            <w:shd w:val="clear" w:color="auto" w:fill="DBE5F1"/>
            <w:vAlign w:val="center"/>
          </w:tcPr>
          <w:p w:rsidR="0088341A" w:rsidRPr="00AA56FF" w:rsidRDefault="0088341A" w:rsidP="00501137">
            <w:pPr>
              <w:pStyle w:val="AERtabletextright"/>
              <w:keepNext/>
              <w:keepLines/>
            </w:pPr>
            <w:r>
              <w:t>0.2</w:t>
            </w:r>
          </w:p>
        </w:tc>
      </w:tr>
      <w:tr w:rsidR="0088341A" w:rsidTr="00501137">
        <w:tc>
          <w:tcPr>
            <w:tcW w:w="3085" w:type="dxa"/>
            <w:shd w:val="clear" w:color="auto" w:fill="auto"/>
            <w:vAlign w:val="center"/>
          </w:tcPr>
          <w:p w:rsidR="0088341A" w:rsidRPr="00FD7C44" w:rsidRDefault="0088341A" w:rsidP="00501137">
            <w:pPr>
              <w:pStyle w:val="AERbodytext"/>
              <w:keepNext/>
              <w:keepLines/>
              <w:numPr>
                <w:ilvl w:val="0"/>
                <w:numId w:val="1"/>
              </w:numPr>
              <w:spacing w:before="120"/>
              <w:rPr>
                <w:rStyle w:val="AERtextbold"/>
                <w:sz w:val="16"/>
              </w:rPr>
            </w:pPr>
            <w:r w:rsidRPr="00FD7C44">
              <w:rPr>
                <w:rStyle w:val="AERtextbold"/>
                <w:sz w:val="16"/>
              </w:rPr>
              <w:t>Proper operation of equipment</w:t>
            </w:r>
          </w:p>
        </w:tc>
        <w:tc>
          <w:tcPr>
            <w:tcW w:w="1539" w:type="dxa"/>
            <w:shd w:val="clear" w:color="auto" w:fill="auto"/>
            <w:vAlign w:val="center"/>
          </w:tcPr>
          <w:p w:rsidR="0088341A" w:rsidRPr="00307477" w:rsidRDefault="0088341A" w:rsidP="00501137">
            <w:pPr>
              <w:pStyle w:val="AERtabletextright"/>
              <w:keepNext/>
              <w:keepLines/>
            </w:pPr>
          </w:p>
        </w:tc>
        <w:tc>
          <w:tcPr>
            <w:tcW w:w="1539" w:type="dxa"/>
            <w:shd w:val="clear" w:color="auto" w:fill="auto"/>
            <w:vAlign w:val="center"/>
          </w:tcPr>
          <w:p w:rsidR="0088341A" w:rsidRPr="00A96D2E" w:rsidRDefault="0088341A" w:rsidP="00501137">
            <w:pPr>
              <w:pStyle w:val="AERtabletextright"/>
              <w:keepNext/>
              <w:keepLines/>
            </w:pPr>
          </w:p>
        </w:tc>
        <w:tc>
          <w:tcPr>
            <w:tcW w:w="1539" w:type="dxa"/>
            <w:shd w:val="clear" w:color="auto" w:fill="auto"/>
            <w:vAlign w:val="center"/>
          </w:tcPr>
          <w:p w:rsidR="0088341A" w:rsidRPr="00307477" w:rsidRDefault="0088341A" w:rsidP="00501137">
            <w:pPr>
              <w:pStyle w:val="AERtabletextright"/>
              <w:keepNext/>
              <w:keepLines/>
            </w:pPr>
          </w:p>
        </w:tc>
        <w:tc>
          <w:tcPr>
            <w:tcW w:w="1540" w:type="dxa"/>
            <w:shd w:val="clear" w:color="auto" w:fill="auto"/>
            <w:vAlign w:val="center"/>
          </w:tcPr>
          <w:p w:rsidR="0088341A" w:rsidRPr="00307477" w:rsidRDefault="0088341A" w:rsidP="00501137">
            <w:pPr>
              <w:pStyle w:val="AERtabletextright"/>
              <w:keepNext/>
              <w:keepLines/>
            </w:pPr>
          </w:p>
        </w:tc>
      </w:tr>
      <w:tr w:rsidR="0088341A" w:rsidTr="00501137">
        <w:tc>
          <w:tcPr>
            <w:tcW w:w="3085" w:type="dxa"/>
            <w:shd w:val="clear" w:color="auto" w:fill="DBE5F1"/>
            <w:vAlign w:val="center"/>
          </w:tcPr>
          <w:p w:rsidR="0088341A" w:rsidRPr="00FD7C44" w:rsidRDefault="0088341A" w:rsidP="00501137">
            <w:pPr>
              <w:pStyle w:val="AERbodytext"/>
              <w:keepNext/>
              <w:keepLines/>
              <w:numPr>
                <w:ilvl w:val="0"/>
                <w:numId w:val="1"/>
              </w:numPr>
              <w:spacing w:before="120"/>
              <w:rPr>
                <w:sz w:val="16"/>
              </w:rPr>
            </w:pPr>
            <w:r w:rsidRPr="00FD7C44">
              <w:rPr>
                <w:sz w:val="16"/>
              </w:rPr>
              <w:t>Failure of protection system</w:t>
            </w:r>
          </w:p>
        </w:tc>
        <w:tc>
          <w:tcPr>
            <w:tcW w:w="1539" w:type="dxa"/>
            <w:shd w:val="clear" w:color="auto" w:fill="DBE5F1"/>
            <w:vAlign w:val="center"/>
          </w:tcPr>
          <w:p w:rsidR="0088341A" w:rsidRPr="00AA56FF" w:rsidRDefault="0088341A" w:rsidP="00501137">
            <w:pPr>
              <w:pStyle w:val="AERtabletextright"/>
              <w:keepNext/>
              <w:keepLines/>
            </w:pPr>
            <w:r>
              <w:t>n/a</w:t>
            </w:r>
          </w:p>
        </w:tc>
        <w:tc>
          <w:tcPr>
            <w:tcW w:w="1539" w:type="dxa"/>
            <w:shd w:val="clear" w:color="auto" w:fill="DBE5F1"/>
            <w:vAlign w:val="center"/>
          </w:tcPr>
          <w:p w:rsidR="0088341A" w:rsidRPr="00AA56FF" w:rsidRDefault="0088341A" w:rsidP="00501137">
            <w:pPr>
              <w:pStyle w:val="AERtabletextright"/>
              <w:keepNext/>
              <w:keepLines/>
            </w:pPr>
            <w:r>
              <w:t>n/a</w:t>
            </w:r>
          </w:p>
        </w:tc>
        <w:tc>
          <w:tcPr>
            <w:tcW w:w="1539" w:type="dxa"/>
            <w:shd w:val="clear" w:color="auto" w:fill="DBE5F1"/>
            <w:vAlign w:val="center"/>
          </w:tcPr>
          <w:p w:rsidR="0088341A" w:rsidRPr="00AA56FF" w:rsidRDefault="0088341A" w:rsidP="00501137">
            <w:pPr>
              <w:pStyle w:val="AERtabletextright"/>
              <w:keepNext/>
              <w:keepLines/>
            </w:pPr>
            <w:r>
              <w:t>n/a</w:t>
            </w:r>
          </w:p>
        </w:tc>
        <w:tc>
          <w:tcPr>
            <w:tcW w:w="1540" w:type="dxa"/>
            <w:shd w:val="clear" w:color="auto" w:fill="DBE5F1"/>
            <w:vAlign w:val="center"/>
          </w:tcPr>
          <w:p w:rsidR="0088341A" w:rsidRPr="00AA56FF" w:rsidRDefault="0088341A" w:rsidP="00501137">
            <w:pPr>
              <w:pStyle w:val="AERtabletextright"/>
              <w:keepNext/>
              <w:keepLines/>
            </w:pPr>
            <w:r>
              <w:t>0.0</w:t>
            </w:r>
          </w:p>
        </w:tc>
      </w:tr>
      <w:tr w:rsidR="0088341A" w:rsidTr="00501137">
        <w:tc>
          <w:tcPr>
            <w:tcW w:w="3085" w:type="dxa"/>
            <w:shd w:val="clear" w:color="auto" w:fill="auto"/>
            <w:vAlign w:val="center"/>
          </w:tcPr>
          <w:p w:rsidR="0088341A" w:rsidRPr="00FD7C44" w:rsidRDefault="0088341A" w:rsidP="00501137">
            <w:pPr>
              <w:pStyle w:val="AERbodytext"/>
              <w:keepNext/>
              <w:keepLines/>
              <w:numPr>
                <w:ilvl w:val="0"/>
                <w:numId w:val="1"/>
              </w:numPr>
              <w:spacing w:before="120"/>
              <w:rPr>
                <w:sz w:val="16"/>
              </w:rPr>
            </w:pPr>
            <w:r w:rsidRPr="00FD7C44">
              <w:rPr>
                <w:sz w:val="16"/>
              </w:rPr>
              <w:t>Material failure of SCADA</w:t>
            </w:r>
          </w:p>
        </w:tc>
        <w:tc>
          <w:tcPr>
            <w:tcW w:w="1539" w:type="dxa"/>
            <w:shd w:val="clear" w:color="auto" w:fill="auto"/>
            <w:vAlign w:val="center"/>
          </w:tcPr>
          <w:p w:rsidR="0088341A" w:rsidRPr="00AA56FF" w:rsidRDefault="0088341A" w:rsidP="00501137">
            <w:pPr>
              <w:pStyle w:val="AERtabletextright"/>
              <w:keepNext/>
              <w:keepLines/>
            </w:pPr>
            <w:r>
              <w:t>2</w:t>
            </w:r>
          </w:p>
        </w:tc>
        <w:tc>
          <w:tcPr>
            <w:tcW w:w="1539" w:type="dxa"/>
            <w:shd w:val="clear" w:color="auto" w:fill="auto"/>
            <w:vAlign w:val="center"/>
          </w:tcPr>
          <w:p w:rsidR="0088341A" w:rsidRPr="00AA56FF" w:rsidRDefault="0088341A" w:rsidP="00501137">
            <w:pPr>
              <w:pStyle w:val="AERtabletextright"/>
              <w:keepNext/>
              <w:keepLines/>
            </w:pPr>
            <w:r>
              <w:t>1</w:t>
            </w:r>
          </w:p>
        </w:tc>
        <w:tc>
          <w:tcPr>
            <w:tcW w:w="1539" w:type="dxa"/>
            <w:shd w:val="clear" w:color="auto" w:fill="auto"/>
            <w:vAlign w:val="center"/>
          </w:tcPr>
          <w:p w:rsidR="0088341A" w:rsidRPr="00AA56FF" w:rsidRDefault="0088341A" w:rsidP="00501137">
            <w:pPr>
              <w:pStyle w:val="AERtabletextright"/>
              <w:keepNext/>
              <w:keepLines/>
            </w:pPr>
            <w:r>
              <w:t>0</w:t>
            </w:r>
          </w:p>
        </w:tc>
        <w:tc>
          <w:tcPr>
            <w:tcW w:w="1540" w:type="dxa"/>
            <w:shd w:val="clear" w:color="auto" w:fill="auto"/>
            <w:vAlign w:val="center"/>
          </w:tcPr>
          <w:p w:rsidR="0088341A" w:rsidRPr="00AA56FF" w:rsidRDefault="0088341A" w:rsidP="00501137">
            <w:pPr>
              <w:pStyle w:val="AERtabletextright"/>
              <w:keepNext/>
              <w:keepLines/>
            </w:pPr>
            <w:r>
              <w:t>0.0</w:t>
            </w:r>
          </w:p>
        </w:tc>
      </w:tr>
      <w:tr w:rsidR="0088341A" w:rsidTr="00501137">
        <w:tc>
          <w:tcPr>
            <w:tcW w:w="3085" w:type="dxa"/>
            <w:shd w:val="clear" w:color="auto" w:fill="DBE5F1"/>
            <w:vAlign w:val="center"/>
          </w:tcPr>
          <w:p w:rsidR="0088341A" w:rsidRPr="00FD7C44" w:rsidRDefault="0088341A" w:rsidP="00501137">
            <w:pPr>
              <w:pStyle w:val="AERbodytext"/>
              <w:keepNext/>
              <w:keepLines/>
              <w:numPr>
                <w:ilvl w:val="0"/>
                <w:numId w:val="1"/>
              </w:numPr>
              <w:spacing w:before="120"/>
              <w:rPr>
                <w:sz w:val="16"/>
              </w:rPr>
            </w:pPr>
            <w:r w:rsidRPr="00FD7C44">
              <w:rPr>
                <w:sz w:val="16"/>
              </w:rPr>
              <w:t>Incorrect operational isolation of primary or secondary equipment</w:t>
            </w:r>
          </w:p>
        </w:tc>
        <w:tc>
          <w:tcPr>
            <w:tcW w:w="1539" w:type="dxa"/>
            <w:shd w:val="clear" w:color="auto" w:fill="DBE5F1"/>
            <w:vAlign w:val="center"/>
          </w:tcPr>
          <w:p w:rsidR="0088341A" w:rsidRPr="00AA56FF" w:rsidRDefault="0088341A" w:rsidP="00501137">
            <w:pPr>
              <w:pStyle w:val="AERtabletextright"/>
              <w:keepNext/>
              <w:keepLines/>
            </w:pPr>
            <w:r>
              <w:t>n/a</w:t>
            </w:r>
          </w:p>
        </w:tc>
        <w:tc>
          <w:tcPr>
            <w:tcW w:w="1539" w:type="dxa"/>
            <w:shd w:val="clear" w:color="auto" w:fill="DBE5F1"/>
            <w:vAlign w:val="center"/>
          </w:tcPr>
          <w:p w:rsidR="0088341A" w:rsidRPr="00AA56FF" w:rsidRDefault="0088341A" w:rsidP="00501137">
            <w:pPr>
              <w:pStyle w:val="AERtabletextright"/>
              <w:keepNext/>
              <w:keepLines/>
            </w:pPr>
            <w:r>
              <w:t>n/a</w:t>
            </w:r>
          </w:p>
        </w:tc>
        <w:tc>
          <w:tcPr>
            <w:tcW w:w="1539" w:type="dxa"/>
            <w:shd w:val="clear" w:color="auto" w:fill="DBE5F1"/>
            <w:vAlign w:val="center"/>
          </w:tcPr>
          <w:p w:rsidR="0088341A" w:rsidRPr="00AA56FF" w:rsidRDefault="0088341A" w:rsidP="00501137">
            <w:pPr>
              <w:pStyle w:val="AERtabletextright"/>
              <w:keepNext/>
              <w:keepLines/>
            </w:pPr>
            <w:r>
              <w:t>n/a</w:t>
            </w:r>
          </w:p>
        </w:tc>
        <w:tc>
          <w:tcPr>
            <w:tcW w:w="1540" w:type="dxa"/>
            <w:shd w:val="clear" w:color="auto" w:fill="DBE5F1"/>
            <w:vAlign w:val="center"/>
          </w:tcPr>
          <w:p w:rsidR="0088341A" w:rsidRPr="00AA56FF" w:rsidRDefault="0088341A" w:rsidP="00501137">
            <w:pPr>
              <w:pStyle w:val="AERtabletextright"/>
              <w:keepNext/>
              <w:keepLines/>
            </w:pPr>
            <w:r>
              <w:t>0.0</w:t>
            </w:r>
          </w:p>
        </w:tc>
      </w:tr>
    </w:tbl>
    <w:p w:rsidR="0088341A" w:rsidRPr="00AA56FF" w:rsidRDefault="0088341A" w:rsidP="0088341A">
      <w:pPr>
        <w:pStyle w:val="AERtablesource"/>
        <w:keepNext/>
        <w:keepLines/>
      </w:pPr>
      <w:r>
        <w:t>Source</w:t>
      </w:r>
      <w:r w:rsidRPr="00AA56FF">
        <w:t xml:space="preserve">s: SP AusNet, </w:t>
      </w:r>
      <w:r w:rsidRPr="00AA56FF">
        <w:rPr>
          <w:rStyle w:val="AERtextitalic"/>
        </w:rPr>
        <w:t>Revenue proposal</w:t>
      </w:r>
      <w:r w:rsidRPr="00AA56FF">
        <w:t>, p. 158; AER analysis.</w:t>
      </w:r>
    </w:p>
    <w:p w:rsidR="0088341A" w:rsidRDefault="0088341A" w:rsidP="0088341A">
      <w:pPr>
        <w:pStyle w:val="HeadingBoldBlue"/>
      </w:pPr>
      <w:r>
        <w:t>Network capability</w:t>
      </w:r>
      <w:r w:rsidRPr="00C85765">
        <w:t xml:space="preserve"> component</w:t>
      </w:r>
    </w:p>
    <w:p w:rsidR="0088341A" w:rsidRDefault="0088341A" w:rsidP="0088341A">
      <w:pPr>
        <w:pStyle w:val="AERbodytext"/>
        <w:numPr>
          <w:ilvl w:val="0"/>
          <w:numId w:val="1"/>
        </w:numPr>
      </w:pPr>
      <w:r>
        <w:t xml:space="preserve">We accept SP AusNet's proposed priority projects and improvement targets because we consider they meet the requirements of the STPIS. As required SP AusNet engaged with AEMO and we considered AEMO's endorsement in making our decision. </w:t>
      </w:r>
      <w:r w:rsidR="00154153">
        <w:fldChar w:fldCharType="begin"/>
      </w:r>
      <w:r w:rsidR="00154153">
        <w:instrText xml:space="preserve"> REF _Ref363640439 \h </w:instrText>
      </w:r>
      <w:r w:rsidR="00154153">
        <w:fldChar w:fldCharType="separate"/>
      </w:r>
      <w:r w:rsidR="004F35AA">
        <w:t xml:space="preserve">Table </w:t>
      </w:r>
      <w:r w:rsidR="004F35AA">
        <w:rPr>
          <w:noProof/>
        </w:rPr>
        <w:t>12</w:t>
      </w:r>
      <w:r w:rsidR="004F35AA">
        <w:t>.</w:t>
      </w:r>
      <w:r w:rsidR="004F35AA">
        <w:rPr>
          <w:noProof/>
        </w:rPr>
        <w:t>2</w:t>
      </w:r>
      <w:r w:rsidR="00154153">
        <w:fldChar w:fldCharType="end"/>
      </w:r>
      <w:r w:rsidR="00154153">
        <w:t xml:space="preserve"> </w:t>
      </w:r>
      <w:r>
        <w:t>sets out our draft decision on SP AusNet’s proposed priority projects, improvement targets and project ranking.</w:t>
      </w:r>
    </w:p>
    <w:p w:rsidR="0088341A" w:rsidRDefault="0088341A" w:rsidP="0088341A">
      <w:pPr>
        <w:pStyle w:val="Caption"/>
      </w:pPr>
      <w:bookmarkStart w:id="110" w:name="_Ref363640439"/>
      <w:r>
        <w:lastRenderedPageBreak/>
        <w:t xml:space="preserve">Table </w:t>
      </w:r>
      <w:fldSimple w:instr=" STYLEREF 1 \s ">
        <w:r w:rsidR="004F35AA">
          <w:rPr>
            <w:noProof/>
          </w:rPr>
          <w:t>12</w:t>
        </w:r>
      </w:fldSimple>
      <w:r w:rsidR="00C56A87">
        <w:t>.</w:t>
      </w:r>
      <w:fldSimple w:instr=" SEQ Table \* ARABIC \s 1 ">
        <w:r w:rsidR="004F35AA">
          <w:rPr>
            <w:noProof/>
          </w:rPr>
          <w:t>2</w:t>
        </w:r>
      </w:fldSimple>
      <w:bookmarkEnd w:id="110"/>
      <w:r>
        <w:tab/>
        <w:t>AER's draft decision on SP AusNet’s network capability priority projects</w:t>
      </w:r>
      <w:r w:rsidR="00F70634">
        <w:br/>
      </w:r>
      <w:r>
        <w:t>($ 000, 2013–14)</w:t>
      </w:r>
    </w:p>
    <w:tbl>
      <w:tblPr>
        <w:tblStyle w:val="AERtable-text"/>
        <w:tblW w:w="0" w:type="auto"/>
        <w:tblLook w:val="04A0" w:firstRow="1" w:lastRow="0" w:firstColumn="1" w:lastColumn="0" w:noHBand="0" w:noVBand="1"/>
      </w:tblPr>
      <w:tblGrid>
        <w:gridCol w:w="950"/>
        <w:gridCol w:w="7522"/>
        <w:gridCol w:w="708"/>
      </w:tblGrid>
      <w:tr w:rsidR="0088341A" w:rsidRPr="004D3EDB" w:rsidTr="004D3EDB">
        <w:trPr>
          <w:cnfStyle w:val="100000000000" w:firstRow="1" w:lastRow="0" w:firstColumn="0" w:lastColumn="0" w:oddVBand="0" w:evenVBand="0" w:oddHBand="0" w:evenHBand="0" w:firstRowFirstColumn="0" w:firstRowLastColumn="0" w:lastRowFirstColumn="0" w:lastRowLastColumn="0"/>
        </w:trPr>
        <w:tc>
          <w:tcPr>
            <w:tcW w:w="950" w:type="dxa"/>
          </w:tcPr>
          <w:p w:rsidR="0088341A" w:rsidRPr="004D3EDB" w:rsidRDefault="0088341A" w:rsidP="004D3EDB">
            <w:pPr>
              <w:pStyle w:val="AERtabletextleft"/>
            </w:pPr>
            <w:r w:rsidRPr="004D3EDB">
              <w:t>Ranking</w:t>
            </w:r>
          </w:p>
        </w:tc>
        <w:tc>
          <w:tcPr>
            <w:tcW w:w="7522" w:type="dxa"/>
          </w:tcPr>
          <w:p w:rsidR="0088341A" w:rsidRPr="004D3EDB" w:rsidRDefault="0088341A" w:rsidP="004D3EDB">
            <w:pPr>
              <w:pStyle w:val="AERtabletextleft"/>
            </w:pPr>
            <w:r w:rsidRPr="004D3EDB">
              <w:t>Project</w:t>
            </w:r>
          </w:p>
        </w:tc>
        <w:tc>
          <w:tcPr>
            <w:tcW w:w="708" w:type="dxa"/>
          </w:tcPr>
          <w:p w:rsidR="0088341A" w:rsidRPr="004D3EDB" w:rsidRDefault="0088341A" w:rsidP="004D3EDB">
            <w:pPr>
              <w:pStyle w:val="AERtabletextright"/>
            </w:pPr>
            <w:r w:rsidRPr="004D3EDB">
              <w:t>Cost</w:t>
            </w:r>
          </w:p>
        </w:tc>
      </w:tr>
      <w:tr w:rsidR="0088341A" w:rsidRPr="004D3EDB" w:rsidTr="004D3EDB">
        <w:tc>
          <w:tcPr>
            <w:tcW w:w="950" w:type="dxa"/>
          </w:tcPr>
          <w:p w:rsidR="0088341A" w:rsidRPr="004D3EDB" w:rsidRDefault="0088341A" w:rsidP="004D3EDB">
            <w:pPr>
              <w:pStyle w:val="AERtabletextleft"/>
            </w:pPr>
            <w:r w:rsidRPr="004D3EDB">
              <w:t>1</w:t>
            </w:r>
          </w:p>
        </w:tc>
        <w:tc>
          <w:tcPr>
            <w:tcW w:w="7522" w:type="dxa"/>
          </w:tcPr>
          <w:p w:rsidR="0088341A" w:rsidRPr="004D3EDB" w:rsidRDefault="0088341A" w:rsidP="004D3EDB">
            <w:pPr>
              <w:pStyle w:val="AERtabletextleft"/>
            </w:pPr>
            <w:r w:rsidRPr="004D3EDB">
              <w:t>Altona terminal station</w:t>
            </w:r>
          </w:p>
        </w:tc>
        <w:tc>
          <w:tcPr>
            <w:tcW w:w="708" w:type="dxa"/>
          </w:tcPr>
          <w:p w:rsidR="0088341A" w:rsidRPr="004D3EDB" w:rsidRDefault="0088341A" w:rsidP="004D3EDB">
            <w:pPr>
              <w:pStyle w:val="AERtabletextright"/>
            </w:pPr>
            <w:r w:rsidRPr="004D3EDB">
              <w:t>14</w:t>
            </w:r>
          </w:p>
        </w:tc>
      </w:tr>
      <w:tr w:rsidR="0088341A" w:rsidRPr="004D3EDB" w:rsidTr="004D3EDB">
        <w:trPr>
          <w:cnfStyle w:val="000000010000" w:firstRow="0" w:lastRow="0" w:firstColumn="0" w:lastColumn="0" w:oddVBand="0" w:evenVBand="0" w:oddHBand="0" w:evenHBand="1" w:firstRowFirstColumn="0" w:firstRowLastColumn="0" w:lastRowFirstColumn="0" w:lastRowLastColumn="0"/>
        </w:trPr>
        <w:tc>
          <w:tcPr>
            <w:tcW w:w="950" w:type="dxa"/>
          </w:tcPr>
          <w:p w:rsidR="0088341A" w:rsidRPr="004D3EDB" w:rsidRDefault="0088341A" w:rsidP="004D3EDB">
            <w:pPr>
              <w:pStyle w:val="AERtabletextleft"/>
            </w:pPr>
            <w:r w:rsidRPr="004D3EDB">
              <w:t>2</w:t>
            </w:r>
          </w:p>
        </w:tc>
        <w:tc>
          <w:tcPr>
            <w:tcW w:w="7522" w:type="dxa"/>
          </w:tcPr>
          <w:p w:rsidR="0088341A" w:rsidRPr="004D3EDB" w:rsidRDefault="0088341A" w:rsidP="004D3EDB">
            <w:pPr>
              <w:pStyle w:val="AERtabletextleft"/>
            </w:pPr>
            <w:r w:rsidRPr="004D3EDB">
              <w:t xml:space="preserve">Rowville – Malvern </w:t>
            </w:r>
            <w:r w:rsidR="00C04552">
              <w:t>n</w:t>
            </w:r>
            <w:r w:rsidRPr="004D3EDB">
              <w:t>o</w:t>
            </w:r>
            <w:r w:rsidR="00C04552">
              <w:t>.</w:t>
            </w:r>
            <w:r w:rsidRPr="004D3EDB">
              <w:t xml:space="preserve"> 1 &amp; 2 220 kV circuits</w:t>
            </w:r>
          </w:p>
        </w:tc>
        <w:tc>
          <w:tcPr>
            <w:tcW w:w="708" w:type="dxa"/>
          </w:tcPr>
          <w:p w:rsidR="0088341A" w:rsidRPr="004D3EDB" w:rsidRDefault="0088341A" w:rsidP="004D3EDB">
            <w:pPr>
              <w:pStyle w:val="AERtabletextright"/>
            </w:pPr>
            <w:r w:rsidRPr="004D3EDB">
              <w:t>400</w:t>
            </w:r>
          </w:p>
        </w:tc>
      </w:tr>
      <w:tr w:rsidR="0088341A" w:rsidRPr="004D3EDB" w:rsidTr="004D3EDB">
        <w:tc>
          <w:tcPr>
            <w:tcW w:w="950" w:type="dxa"/>
          </w:tcPr>
          <w:p w:rsidR="0088341A" w:rsidRPr="004D3EDB" w:rsidRDefault="0088341A" w:rsidP="004D3EDB">
            <w:pPr>
              <w:pStyle w:val="AERtabletextleft"/>
            </w:pPr>
            <w:r w:rsidRPr="004D3EDB">
              <w:t>3</w:t>
            </w:r>
          </w:p>
        </w:tc>
        <w:tc>
          <w:tcPr>
            <w:tcW w:w="7522" w:type="dxa"/>
          </w:tcPr>
          <w:p w:rsidR="0088341A" w:rsidRPr="004D3EDB" w:rsidRDefault="0088341A" w:rsidP="004D3EDB">
            <w:pPr>
              <w:pStyle w:val="AERtabletextleft"/>
            </w:pPr>
            <w:r w:rsidRPr="004D3EDB">
              <w:t>Dederang circuits</w:t>
            </w:r>
          </w:p>
        </w:tc>
        <w:tc>
          <w:tcPr>
            <w:tcW w:w="708" w:type="dxa"/>
          </w:tcPr>
          <w:p w:rsidR="0088341A" w:rsidRPr="004D3EDB" w:rsidRDefault="0088341A" w:rsidP="004D3EDB">
            <w:pPr>
              <w:pStyle w:val="AERtabletextright"/>
            </w:pPr>
            <w:r w:rsidRPr="004D3EDB">
              <w:t>586</w:t>
            </w:r>
          </w:p>
        </w:tc>
      </w:tr>
      <w:tr w:rsidR="0088341A" w:rsidRPr="004D3EDB" w:rsidTr="004D3EDB">
        <w:trPr>
          <w:cnfStyle w:val="000000010000" w:firstRow="0" w:lastRow="0" w:firstColumn="0" w:lastColumn="0" w:oddVBand="0" w:evenVBand="0" w:oddHBand="0" w:evenHBand="1" w:firstRowFirstColumn="0" w:firstRowLastColumn="0" w:lastRowFirstColumn="0" w:lastRowLastColumn="0"/>
        </w:trPr>
        <w:tc>
          <w:tcPr>
            <w:tcW w:w="950" w:type="dxa"/>
          </w:tcPr>
          <w:p w:rsidR="0088341A" w:rsidRPr="004D3EDB" w:rsidRDefault="0088341A" w:rsidP="004D3EDB">
            <w:pPr>
              <w:pStyle w:val="AERtabletextleft"/>
            </w:pPr>
            <w:r w:rsidRPr="004D3EDB">
              <w:t>4</w:t>
            </w:r>
          </w:p>
        </w:tc>
        <w:tc>
          <w:tcPr>
            <w:tcW w:w="7522" w:type="dxa"/>
          </w:tcPr>
          <w:p w:rsidR="0088341A" w:rsidRPr="004D3EDB" w:rsidRDefault="0088341A" w:rsidP="004D3EDB">
            <w:pPr>
              <w:pStyle w:val="AERtabletextleft"/>
            </w:pPr>
            <w:r w:rsidRPr="004D3EDB">
              <w:t xml:space="preserve">South Morang – Thomastown </w:t>
            </w:r>
            <w:r w:rsidR="00C04552">
              <w:t>n</w:t>
            </w:r>
            <w:r w:rsidRPr="004D3EDB">
              <w:t>o</w:t>
            </w:r>
            <w:r w:rsidR="00C04552">
              <w:t>.</w:t>
            </w:r>
            <w:r w:rsidRPr="004D3EDB">
              <w:t xml:space="preserve"> 1 &amp; 2 220 kv circuits</w:t>
            </w:r>
          </w:p>
        </w:tc>
        <w:tc>
          <w:tcPr>
            <w:tcW w:w="708" w:type="dxa"/>
          </w:tcPr>
          <w:p w:rsidR="0088341A" w:rsidRPr="004D3EDB" w:rsidRDefault="0088341A" w:rsidP="004D3EDB">
            <w:pPr>
              <w:pStyle w:val="AERtabletextright"/>
            </w:pPr>
            <w:r w:rsidRPr="004D3EDB">
              <w:t>600</w:t>
            </w:r>
          </w:p>
        </w:tc>
      </w:tr>
      <w:tr w:rsidR="0088341A" w:rsidRPr="004D3EDB" w:rsidTr="004D3EDB">
        <w:tc>
          <w:tcPr>
            <w:tcW w:w="950" w:type="dxa"/>
          </w:tcPr>
          <w:p w:rsidR="0088341A" w:rsidRPr="004D3EDB" w:rsidRDefault="0088341A" w:rsidP="004D3EDB">
            <w:pPr>
              <w:pStyle w:val="AERtabletextleft"/>
            </w:pPr>
            <w:r w:rsidRPr="004D3EDB">
              <w:t>5</w:t>
            </w:r>
          </w:p>
        </w:tc>
        <w:tc>
          <w:tcPr>
            <w:tcW w:w="7522" w:type="dxa"/>
          </w:tcPr>
          <w:p w:rsidR="0088341A" w:rsidRPr="004D3EDB" w:rsidRDefault="0088341A" w:rsidP="004D3EDB">
            <w:pPr>
              <w:pStyle w:val="AERtabletextleft"/>
            </w:pPr>
            <w:r w:rsidRPr="004D3EDB">
              <w:t xml:space="preserve">Wodonga </w:t>
            </w:r>
            <w:r w:rsidR="00C04552">
              <w:t>t</w:t>
            </w:r>
            <w:r w:rsidRPr="004D3EDB">
              <w:t xml:space="preserve">erminal </w:t>
            </w:r>
            <w:r w:rsidR="00C04552">
              <w:t>s</w:t>
            </w:r>
            <w:r w:rsidRPr="004D3EDB">
              <w:t>tation (WOTS)</w:t>
            </w:r>
          </w:p>
        </w:tc>
        <w:tc>
          <w:tcPr>
            <w:tcW w:w="708" w:type="dxa"/>
          </w:tcPr>
          <w:p w:rsidR="0088341A" w:rsidRPr="004D3EDB" w:rsidRDefault="0088341A" w:rsidP="004D3EDB">
            <w:pPr>
              <w:pStyle w:val="AERtabletextright"/>
            </w:pPr>
            <w:r w:rsidRPr="004D3EDB">
              <w:t>778</w:t>
            </w:r>
          </w:p>
        </w:tc>
      </w:tr>
      <w:tr w:rsidR="0088341A" w:rsidRPr="004D3EDB" w:rsidTr="004D3EDB">
        <w:trPr>
          <w:cnfStyle w:val="000000010000" w:firstRow="0" w:lastRow="0" w:firstColumn="0" w:lastColumn="0" w:oddVBand="0" w:evenVBand="0" w:oddHBand="0" w:evenHBand="1" w:firstRowFirstColumn="0" w:firstRowLastColumn="0" w:lastRowFirstColumn="0" w:lastRowLastColumn="0"/>
        </w:trPr>
        <w:tc>
          <w:tcPr>
            <w:tcW w:w="950" w:type="dxa"/>
          </w:tcPr>
          <w:p w:rsidR="0088341A" w:rsidRPr="004D3EDB" w:rsidRDefault="0088341A" w:rsidP="004D3EDB">
            <w:pPr>
              <w:pStyle w:val="AERtabletextleft"/>
            </w:pPr>
            <w:r w:rsidRPr="004D3EDB">
              <w:t>6</w:t>
            </w:r>
          </w:p>
        </w:tc>
        <w:tc>
          <w:tcPr>
            <w:tcW w:w="7522" w:type="dxa"/>
          </w:tcPr>
          <w:p w:rsidR="0088341A" w:rsidRPr="004D3EDB" w:rsidRDefault="0088341A" w:rsidP="004D3EDB">
            <w:pPr>
              <w:pStyle w:val="AERtabletextleft"/>
            </w:pPr>
            <w:r w:rsidRPr="004D3EDB">
              <w:t>Rowville–East Rowville 220kV circuits and Rowville–Springvale 220kV circuit</w:t>
            </w:r>
          </w:p>
        </w:tc>
        <w:tc>
          <w:tcPr>
            <w:tcW w:w="708" w:type="dxa"/>
          </w:tcPr>
          <w:p w:rsidR="0088341A" w:rsidRPr="004D3EDB" w:rsidRDefault="0088341A" w:rsidP="004D3EDB">
            <w:pPr>
              <w:pStyle w:val="AERtabletextright"/>
            </w:pPr>
            <w:r w:rsidRPr="004D3EDB">
              <w:t>999</w:t>
            </w:r>
          </w:p>
        </w:tc>
      </w:tr>
      <w:tr w:rsidR="0088341A" w:rsidRPr="004D3EDB" w:rsidTr="004D3EDB">
        <w:tc>
          <w:tcPr>
            <w:tcW w:w="950" w:type="dxa"/>
          </w:tcPr>
          <w:p w:rsidR="0088341A" w:rsidRPr="004D3EDB" w:rsidRDefault="0088341A" w:rsidP="004D3EDB">
            <w:pPr>
              <w:pStyle w:val="AERtabletextleft"/>
            </w:pPr>
            <w:r w:rsidRPr="004D3EDB">
              <w:t>7</w:t>
            </w:r>
          </w:p>
        </w:tc>
        <w:tc>
          <w:tcPr>
            <w:tcW w:w="7522" w:type="dxa"/>
          </w:tcPr>
          <w:p w:rsidR="0088341A" w:rsidRPr="004D3EDB" w:rsidRDefault="0088341A" w:rsidP="004D3EDB">
            <w:pPr>
              <w:pStyle w:val="AERtabletextleft"/>
            </w:pPr>
            <w:r w:rsidRPr="004D3EDB">
              <w:t>Hazelwood – Loy Yang 500kV circuits</w:t>
            </w:r>
          </w:p>
        </w:tc>
        <w:tc>
          <w:tcPr>
            <w:tcW w:w="708" w:type="dxa"/>
          </w:tcPr>
          <w:p w:rsidR="0088341A" w:rsidRPr="004D3EDB" w:rsidRDefault="0088341A" w:rsidP="004D3EDB">
            <w:pPr>
              <w:pStyle w:val="AERtabletextright"/>
            </w:pPr>
            <w:r w:rsidRPr="004D3EDB">
              <w:t>2</w:t>
            </w:r>
          </w:p>
        </w:tc>
      </w:tr>
      <w:tr w:rsidR="0088341A" w:rsidRPr="004D3EDB" w:rsidTr="004D3EDB">
        <w:trPr>
          <w:cnfStyle w:val="000000010000" w:firstRow="0" w:lastRow="0" w:firstColumn="0" w:lastColumn="0" w:oddVBand="0" w:evenVBand="0" w:oddHBand="0" w:evenHBand="1" w:firstRowFirstColumn="0" w:firstRowLastColumn="0" w:lastRowFirstColumn="0" w:lastRowLastColumn="0"/>
        </w:trPr>
        <w:tc>
          <w:tcPr>
            <w:tcW w:w="950" w:type="dxa"/>
          </w:tcPr>
          <w:p w:rsidR="0088341A" w:rsidRPr="004D3EDB" w:rsidRDefault="0088341A" w:rsidP="004D3EDB">
            <w:pPr>
              <w:pStyle w:val="AERtabletextleft"/>
            </w:pPr>
            <w:r w:rsidRPr="004D3EDB">
              <w:t>8</w:t>
            </w:r>
          </w:p>
        </w:tc>
        <w:tc>
          <w:tcPr>
            <w:tcW w:w="7522" w:type="dxa"/>
          </w:tcPr>
          <w:p w:rsidR="0088341A" w:rsidRPr="004D3EDB" w:rsidRDefault="0088341A" w:rsidP="004D3EDB">
            <w:pPr>
              <w:pStyle w:val="AERtabletextleft"/>
            </w:pPr>
            <w:r w:rsidRPr="004D3EDB">
              <w:t>Templestowe terminal station</w:t>
            </w:r>
          </w:p>
        </w:tc>
        <w:tc>
          <w:tcPr>
            <w:tcW w:w="708" w:type="dxa"/>
          </w:tcPr>
          <w:p w:rsidR="0088341A" w:rsidRPr="004D3EDB" w:rsidRDefault="0088341A" w:rsidP="004D3EDB">
            <w:pPr>
              <w:pStyle w:val="AERtabletextright"/>
            </w:pPr>
            <w:r w:rsidRPr="004D3EDB">
              <w:t>377</w:t>
            </w:r>
          </w:p>
        </w:tc>
      </w:tr>
      <w:tr w:rsidR="0088341A" w:rsidRPr="004D3EDB" w:rsidTr="004D3EDB">
        <w:tc>
          <w:tcPr>
            <w:tcW w:w="950" w:type="dxa"/>
          </w:tcPr>
          <w:p w:rsidR="0088341A" w:rsidRPr="004D3EDB" w:rsidRDefault="0088341A" w:rsidP="004D3EDB">
            <w:pPr>
              <w:pStyle w:val="AERtabletextleft"/>
            </w:pPr>
            <w:r w:rsidRPr="004D3EDB">
              <w:t>9</w:t>
            </w:r>
          </w:p>
        </w:tc>
        <w:tc>
          <w:tcPr>
            <w:tcW w:w="7522" w:type="dxa"/>
          </w:tcPr>
          <w:p w:rsidR="0088341A" w:rsidRPr="004D3EDB" w:rsidRDefault="0088341A" w:rsidP="004D3EDB">
            <w:pPr>
              <w:pStyle w:val="AERtabletextleft"/>
            </w:pPr>
            <w:r w:rsidRPr="004D3EDB">
              <w:t>South Morang – Dederang 330kV circuits</w:t>
            </w:r>
          </w:p>
        </w:tc>
        <w:tc>
          <w:tcPr>
            <w:tcW w:w="708" w:type="dxa"/>
          </w:tcPr>
          <w:p w:rsidR="0088341A" w:rsidRPr="004D3EDB" w:rsidRDefault="0088341A" w:rsidP="004D3EDB">
            <w:pPr>
              <w:pStyle w:val="AERtabletextright"/>
            </w:pPr>
            <w:r w:rsidRPr="004D3EDB">
              <w:t>72</w:t>
            </w:r>
          </w:p>
        </w:tc>
      </w:tr>
      <w:tr w:rsidR="0088341A" w:rsidRPr="004D3EDB" w:rsidTr="004D3EDB">
        <w:trPr>
          <w:cnfStyle w:val="000000010000" w:firstRow="0" w:lastRow="0" w:firstColumn="0" w:lastColumn="0" w:oddVBand="0" w:evenVBand="0" w:oddHBand="0" w:evenHBand="1" w:firstRowFirstColumn="0" w:firstRowLastColumn="0" w:lastRowFirstColumn="0" w:lastRowLastColumn="0"/>
        </w:trPr>
        <w:tc>
          <w:tcPr>
            <w:tcW w:w="950" w:type="dxa"/>
          </w:tcPr>
          <w:p w:rsidR="0088341A" w:rsidRPr="004D3EDB" w:rsidRDefault="0088341A" w:rsidP="004D3EDB">
            <w:pPr>
              <w:pStyle w:val="AERtabletextleft"/>
            </w:pPr>
            <w:r w:rsidRPr="004D3EDB">
              <w:t>10</w:t>
            </w:r>
          </w:p>
        </w:tc>
        <w:tc>
          <w:tcPr>
            <w:tcW w:w="7522" w:type="dxa"/>
          </w:tcPr>
          <w:p w:rsidR="0088341A" w:rsidRPr="004D3EDB" w:rsidRDefault="0088341A" w:rsidP="004D3EDB">
            <w:pPr>
              <w:pStyle w:val="AERtabletextleft"/>
            </w:pPr>
            <w:r w:rsidRPr="004D3EDB">
              <w:t>Aluminium Customer Substation and Mortlake intertrip control schemes</w:t>
            </w:r>
          </w:p>
        </w:tc>
        <w:tc>
          <w:tcPr>
            <w:tcW w:w="708" w:type="dxa"/>
          </w:tcPr>
          <w:p w:rsidR="0088341A" w:rsidRPr="004D3EDB" w:rsidRDefault="0088341A" w:rsidP="004D3EDB">
            <w:pPr>
              <w:pStyle w:val="AERtabletextright"/>
            </w:pPr>
            <w:r w:rsidRPr="004D3EDB">
              <w:t>400</w:t>
            </w:r>
          </w:p>
        </w:tc>
      </w:tr>
      <w:tr w:rsidR="0088341A" w:rsidRPr="004D3EDB" w:rsidTr="004D3EDB">
        <w:tc>
          <w:tcPr>
            <w:tcW w:w="950" w:type="dxa"/>
          </w:tcPr>
          <w:p w:rsidR="0088341A" w:rsidRPr="004D3EDB" w:rsidRDefault="0088341A" w:rsidP="004D3EDB">
            <w:pPr>
              <w:pStyle w:val="AERtabletextleft"/>
            </w:pPr>
            <w:r w:rsidRPr="004D3EDB">
              <w:t>11</w:t>
            </w:r>
          </w:p>
        </w:tc>
        <w:tc>
          <w:tcPr>
            <w:tcW w:w="7522" w:type="dxa"/>
          </w:tcPr>
          <w:p w:rsidR="0088341A" w:rsidRPr="004D3EDB" w:rsidRDefault="0088341A" w:rsidP="004D3EDB">
            <w:pPr>
              <w:pStyle w:val="AERtabletextleft"/>
            </w:pPr>
            <w:r w:rsidRPr="004D3EDB">
              <w:t>M2 contingency control scheme</w:t>
            </w:r>
          </w:p>
        </w:tc>
        <w:tc>
          <w:tcPr>
            <w:tcW w:w="708" w:type="dxa"/>
          </w:tcPr>
          <w:p w:rsidR="0088341A" w:rsidRPr="004D3EDB" w:rsidRDefault="0088341A" w:rsidP="004D3EDB">
            <w:pPr>
              <w:pStyle w:val="AERtabletextright"/>
            </w:pPr>
            <w:r w:rsidRPr="004D3EDB">
              <w:t>800</w:t>
            </w:r>
          </w:p>
        </w:tc>
      </w:tr>
      <w:tr w:rsidR="0088341A" w:rsidRPr="004D3EDB" w:rsidTr="004D3EDB">
        <w:trPr>
          <w:cnfStyle w:val="000000010000" w:firstRow="0" w:lastRow="0" w:firstColumn="0" w:lastColumn="0" w:oddVBand="0" w:evenVBand="0" w:oddHBand="0" w:evenHBand="1" w:firstRowFirstColumn="0" w:firstRowLastColumn="0" w:lastRowFirstColumn="0" w:lastRowLastColumn="0"/>
        </w:trPr>
        <w:tc>
          <w:tcPr>
            <w:tcW w:w="950" w:type="dxa"/>
          </w:tcPr>
          <w:p w:rsidR="0088341A" w:rsidRPr="004D3EDB" w:rsidRDefault="0088341A" w:rsidP="004D3EDB">
            <w:pPr>
              <w:pStyle w:val="AERtabletextleft"/>
            </w:pPr>
            <w:r w:rsidRPr="004D3EDB">
              <w:t>12</w:t>
            </w:r>
          </w:p>
        </w:tc>
        <w:tc>
          <w:tcPr>
            <w:tcW w:w="7522" w:type="dxa"/>
          </w:tcPr>
          <w:p w:rsidR="0088341A" w:rsidRPr="004D3EDB" w:rsidRDefault="0088341A" w:rsidP="004D3EDB">
            <w:pPr>
              <w:pStyle w:val="AERtabletextleft"/>
            </w:pPr>
            <w:r w:rsidRPr="004D3EDB">
              <w:t>East Rowville– Cranbourne 220kV circuits</w:t>
            </w:r>
          </w:p>
        </w:tc>
        <w:tc>
          <w:tcPr>
            <w:tcW w:w="708" w:type="dxa"/>
          </w:tcPr>
          <w:p w:rsidR="0088341A" w:rsidRPr="004D3EDB" w:rsidRDefault="0088341A" w:rsidP="004D3EDB">
            <w:pPr>
              <w:pStyle w:val="AERtabletextright"/>
            </w:pPr>
            <w:r w:rsidRPr="004D3EDB">
              <w:t>1033</w:t>
            </w:r>
          </w:p>
        </w:tc>
      </w:tr>
      <w:tr w:rsidR="0088341A" w:rsidRPr="004D3EDB" w:rsidTr="004D3EDB">
        <w:tc>
          <w:tcPr>
            <w:tcW w:w="950" w:type="dxa"/>
          </w:tcPr>
          <w:p w:rsidR="0088341A" w:rsidRPr="004D3EDB" w:rsidRDefault="0088341A" w:rsidP="004D3EDB">
            <w:pPr>
              <w:pStyle w:val="AERtabletextleft"/>
            </w:pPr>
            <w:r w:rsidRPr="004D3EDB">
              <w:t>13</w:t>
            </w:r>
          </w:p>
        </w:tc>
        <w:tc>
          <w:tcPr>
            <w:tcW w:w="7522" w:type="dxa"/>
          </w:tcPr>
          <w:p w:rsidR="0088341A" w:rsidRPr="004D3EDB" w:rsidRDefault="0088341A" w:rsidP="004D3EDB">
            <w:pPr>
              <w:pStyle w:val="AERtabletextleft"/>
            </w:pPr>
            <w:r w:rsidRPr="004D3EDB">
              <w:t>Keilor – Sydenham 500kV circuit and Keilor – South Morang 500kV circuit</w:t>
            </w:r>
          </w:p>
        </w:tc>
        <w:tc>
          <w:tcPr>
            <w:tcW w:w="708" w:type="dxa"/>
          </w:tcPr>
          <w:p w:rsidR="0088341A" w:rsidRPr="004D3EDB" w:rsidRDefault="0088341A" w:rsidP="004D3EDB">
            <w:pPr>
              <w:pStyle w:val="AERtabletextright"/>
            </w:pPr>
            <w:r w:rsidRPr="004D3EDB">
              <w:t>0</w:t>
            </w:r>
          </w:p>
        </w:tc>
      </w:tr>
      <w:tr w:rsidR="0088341A" w:rsidRPr="004D3EDB" w:rsidTr="004D3EDB">
        <w:trPr>
          <w:cnfStyle w:val="000000010000" w:firstRow="0" w:lastRow="0" w:firstColumn="0" w:lastColumn="0" w:oddVBand="0" w:evenVBand="0" w:oddHBand="0" w:evenHBand="1" w:firstRowFirstColumn="0" w:firstRowLastColumn="0" w:lastRowFirstColumn="0" w:lastRowLastColumn="0"/>
        </w:trPr>
        <w:tc>
          <w:tcPr>
            <w:tcW w:w="950" w:type="dxa"/>
          </w:tcPr>
          <w:p w:rsidR="0088341A" w:rsidRPr="004D3EDB" w:rsidRDefault="0088341A" w:rsidP="004D3EDB">
            <w:pPr>
              <w:pStyle w:val="AERtabletextleft"/>
            </w:pPr>
            <w:r w:rsidRPr="004D3EDB">
              <w:t>14</w:t>
            </w:r>
          </w:p>
        </w:tc>
        <w:tc>
          <w:tcPr>
            <w:tcW w:w="7522" w:type="dxa"/>
          </w:tcPr>
          <w:p w:rsidR="0088341A" w:rsidRPr="004D3EDB" w:rsidRDefault="0088341A" w:rsidP="004D3EDB">
            <w:pPr>
              <w:pStyle w:val="AERtabletextleft"/>
            </w:pPr>
            <w:r w:rsidRPr="004D3EDB">
              <w:t>Thomastown terminal station</w:t>
            </w:r>
          </w:p>
        </w:tc>
        <w:tc>
          <w:tcPr>
            <w:tcW w:w="708" w:type="dxa"/>
          </w:tcPr>
          <w:p w:rsidR="0088341A" w:rsidRPr="004D3EDB" w:rsidRDefault="0088341A" w:rsidP="004D3EDB">
            <w:pPr>
              <w:pStyle w:val="AERtabletextright"/>
            </w:pPr>
            <w:r w:rsidRPr="004D3EDB">
              <w:t>177</w:t>
            </w:r>
          </w:p>
        </w:tc>
      </w:tr>
      <w:tr w:rsidR="0088341A" w:rsidRPr="004D3EDB" w:rsidTr="004D3EDB">
        <w:tc>
          <w:tcPr>
            <w:tcW w:w="950" w:type="dxa"/>
          </w:tcPr>
          <w:p w:rsidR="0088341A" w:rsidRPr="004D3EDB" w:rsidRDefault="0088341A" w:rsidP="004D3EDB">
            <w:pPr>
              <w:pStyle w:val="AERtabletextleft"/>
            </w:pPr>
            <w:r w:rsidRPr="004D3EDB">
              <w:t>15</w:t>
            </w:r>
          </w:p>
        </w:tc>
        <w:tc>
          <w:tcPr>
            <w:tcW w:w="7522" w:type="dxa"/>
          </w:tcPr>
          <w:p w:rsidR="0088341A" w:rsidRPr="004D3EDB" w:rsidRDefault="0088341A" w:rsidP="004D3EDB">
            <w:pPr>
              <w:pStyle w:val="AERtabletextleft"/>
            </w:pPr>
            <w:r w:rsidRPr="004D3EDB">
              <w:t>Ringwood terminal station</w:t>
            </w:r>
          </w:p>
        </w:tc>
        <w:tc>
          <w:tcPr>
            <w:tcW w:w="708" w:type="dxa"/>
          </w:tcPr>
          <w:p w:rsidR="0088341A" w:rsidRPr="004D3EDB" w:rsidRDefault="0088341A" w:rsidP="004D3EDB">
            <w:pPr>
              <w:pStyle w:val="AERtabletextright"/>
            </w:pPr>
            <w:r w:rsidRPr="004D3EDB">
              <w:t>0</w:t>
            </w:r>
          </w:p>
        </w:tc>
      </w:tr>
      <w:tr w:rsidR="0088341A" w:rsidRPr="004D3EDB" w:rsidTr="004D3EDB">
        <w:trPr>
          <w:cnfStyle w:val="000000010000" w:firstRow="0" w:lastRow="0" w:firstColumn="0" w:lastColumn="0" w:oddVBand="0" w:evenVBand="0" w:oddHBand="0" w:evenHBand="1" w:firstRowFirstColumn="0" w:firstRowLastColumn="0" w:lastRowFirstColumn="0" w:lastRowLastColumn="0"/>
        </w:trPr>
        <w:tc>
          <w:tcPr>
            <w:tcW w:w="950" w:type="dxa"/>
          </w:tcPr>
          <w:p w:rsidR="0088341A" w:rsidRPr="004D3EDB" w:rsidRDefault="0088341A" w:rsidP="004D3EDB">
            <w:pPr>
              <w:pStyle w:val="AERtabletextleft"/>
            </w:pPr>
            <w:r w:rsidRPr="004D3EDB">
              <w:t>16</w:t>
            </w:r>
          </w:p>
        </w:tc>
        <w:tc>
          <w:tcPr>
            <w:tcW w:w="7522" w:type="dxa"/>
          </w:tcPr>
          <w:p w:rsidR="0088341A" w:rsidRPr="004D3EDB" w:rsidRDefault="0088341A" w:rsidP="004D3EDB">
            <w:pPr>
              <w:pStyle w:val="AERtabletextleft"/>
            </w:pPr>
            <w:r w:rsidRPr="004D3EDB">
              <w:t>Increase instrumentation range</w:t>
            </w:r>
          </w:p>
        </w:tc>
        <w:tc>
          <w:tcPr>
            <w:tcW w:w="708" w:type="dxa"/>
          </w:tcPr>
          <w:p w:rsidR="0088341A" w:rsidRPr="004D3EDB" w:rsidRDefault="0088341A" w:rsidP="004D3EDB">
            <w:pPr>
              <w:pStyle w:val="AERtabletextright"/>
            </w:pPr>
            <w:r w:rsidRPr="004D3EDB">
              <w:t>400</w:t>
            </w:r>
          </w:p>
        </w:tc>
      </w:tr>
      <w:tr w:rsidR="0088341A" w:rsidRPr="004D3EDB" w:rsidTr="004D3EDB">
        <w:tc>
          <w:tcPr>
            <w:tcW w:w="950" w:type="dxa"/>
          </w:tcPr>
          <w:p w:rsidR="0088341A" w:rsidRPr="004D3EDB" w:rsidRDefault="0088341A" w:rsidP="004D3EDB">
            <w:pPr>
              <w:pStyle w:val="AERtabletextleft"/>
            </w:pPr>
            <w:r w:rsidRPr="004D3EDB">
              <w:t>17</w:t>
            </w:r>
          </w:p>
        </w:tc>
        <w:tc>
          <w:tcPr>
            <w:tcW w:w="7522" w:type="dxa"/>
          </w:tcPr>
          <w:p w:rsidR="0088341A" w:rsidRPr="004D3EDB" w:rsidRDefault="0088341A" w:rsidP="004D3EDB">
            <w:pPr>
              <w:pStyle w:val="AERtabletextleft"/>
            </w:pPr>
            <w:r w:rsidRPr="004D3EDB">
              <w:t>Investigate fault level withstand capability of 220 kV switchyards</w:t>
            </w:r>
          </w:p>
        </w:tc>
        <w:tc>
          <w:tcPr>
            <w:tcW w:w="708" w:type="dxa"/>
          </w:tcPr>
          <w:p w:rsidR="0088341A" w:rsidRPr="004D3EDB" w:rsidRDefault="0088341A" w:rsidP="004D3EDB">
            <w:pPr>
              <w:pStyle w:val="AERtabletextright"/>
            </w:pPr>
            <w:r w:rsidRPr="004D3EDB">
              <w:t>5300</w:t>
            </w:r>
          </w:p>
        </w:tc>
      </w:tr>
      <w:tr w:rsidR="0088341A" w:rsidRPr="004D3EDB" w:rsidTr="004D3EDB">
        <w:trPr>
          <w:cnfStyle w:val="000000010000" w:firstRow="0" w:lastRow="0" w:firstColumn="0" w:lastColumn="0" w:oddVBand="0" w:evenVBand="0" w:oddHBand="0" w:evenHBand="1" w:firstRowFirstColumn="0" w:firstRowLastColumn="0" w:lastRowFirstColumn="0" w:lastRowLastColumn="0"/>
        </w:trPr>
        <w:tc>
          <w:tcPr>
            <w:tcW w:w="950" w:type="dxa"/>
          </w:tcPr>
          <w:p w:rsidR="0088341A" w:rsidRPr="004D3EDB" w:rsidRDefault="0088341A" w:rsidP="004D3EDB">
            <w:pPr>
              <w:pStyle w:val="AERtabletextleft"/>
            </w:pPr>
            <w:r w:rsidRPr="004D3EDB">
              <w:t>18</w:t>
            </w:r>
          </w:p>
        </w:tc>
        <w:tc>
          <w:tcPr>
            <w:tcW w:w="7522" w:type="dxa"/>
          </w:tcPr>
          <w:p w:rsidR="0088341A" w:rsidRPr="004D3EDB" w:rsidRDefault="0088341A" w:rsidP="004D3EDB">
            <w:pPr>
              <w:pStyle w:val="AERtabletextleft"/>
            </w:pPr>
            <w:r w:rsidRPr="004D3EDB">
              <w:t>Fault level withstand capability to 40 kA at 220 kV switchyards</w:t>
            </w:r>
          </w:p>
        </w:tc>
        <w:tc>
          <w:tcPr>
            <w:tcW w:w="708" w:type="dxa"/>
          </w:tcPr>
          <w:p w:rsidR="0088341A" w:rsidRPr="004D3EDB" w:rsidRDefault="0088341A" w:rsidP="004D3EDB">
            <w:pPr>
              <w:pStyle w:val="AERtabletextright"/>
            </w:pPr>
            <w:r w:rsidRPr="004D3EDB">
              <w:t>400</w:t>
            </w:r>
          </w:p>
        </w:tc>
      </w:tr>
      <w:tr w:rsidR="0088341A" w:rsidRPr="004D3EDB" w:rsidTr="004D3EDB">
        <w:tc>
          <w:tcPr>
            <w:tcW w:w="950" w:type="dxa"/>
          </w:tcPr>
          <w:p w:rsidR="0088341A" w:rsidRPr="004D3EDB" w:rsidRDefault="0088341A" w:rsidP="004D3EDB">
            <w:pPr>
              <w:pStyle w:val="AERtabletextleft"/>
            </w:pPr>
            <w:r w:rsidRPr="004D3EDB">
              <w:t>19</w:t>
            </w:r>
          </w:p>
        </w:tc>
        <w:tc>
          <w:tcPr>
            <w:tcW w:w="7522" w:type="dxa"/>
          </w:tcPr>
          <w:p w:rsidR="0088341A" w:rsidRPr="004D3EDB" w:rsidRDefault="0088341A" w:rsidP="004D3EDB">
            <w:pPr>
              <w:pStyle w:val="AERtabletextleft"/>
            </w:pPr>
            <w:r w:rsidRPr="004D3EDB">
              <w:t>Geelong – Moorabool 220kV circuits</w:t>
            </w:r>
          </w:p>
        </w:tc>
        <w:tc>
          <w:tcPr>
            <w:tcW w:w="708" w:type="dxa"/>
          </w:tcPr>
          <w:p w:rsidR="0088341A" w:rsidRPr="004D3EDB" w:rsidRDefault="0088341A" w:rsidP="004D3EDB">
            <w:pPr>
              <w:pStyle w:val="AERtabletextright"/>
            </w:pPr>
            <w:r w:rsidRPr="004D3EDB">
              <w:t>871</w:t>
            </w:r>
          </w:p>
        </w:tc>
      </w:tr>
      <w:tr w:rsidR="0088341A" w:rsidRPr="004D3EDB" w:rsidTr="004D3EDB">
        <w:trPr>
          <w:cnfStyle w:val="000000010000" w:firstRow="0" w:lastRow="0" w:firstColumn="0" w:lastColumn="0" w:oddVBand="0" w:evenVBand="0" w:oddHBand="0" w:evenHBand="1" w:firstRowFirstColumn="0" w:firstRowLastColumn="0" w:lastRowFirstColumn="0" w:lastRowLastColumn="0"/>
        </w:trPr>
        <w:tc>
          <w:tcPr>
            <w:tcW w:w="950" w:type="dxa"/>
          </w:tcPr>
          <w:p w:rsidR="0088341A" w:rsidRPr="004D3EDB" w:rsidRDefault="0088341A" w:rsidP="004D3EDB">
            <w:pPr>
              <w:pStyle w:val="AERtabletextleft"/>
            </w:pPr>
            <w:r w:rsidRPr="004D3EDB">
              <w:t>20</w:t>
            </w:r>
          </w:p>
        </w:tc>
        <w:tc>
          <w:tcPr>
            <w:tcW w:w="7522" w:type="dxa"/>
          </w:tcPr>
          <w:p w:rsidR="0088341A" w:rsidRPr="004D3EDB" w:rsidRDefault="0088341A" w:rsidP="004D3EDB">
            <w:pPr>
              <w:pStyle w:val="AERtabletextleft"/>
            </w:pPr>
            <w:r w:rsidRPr="004D3EDB">
              <w:t>Geelong terminal station</w:t>
            </w:r>
          </w:p>
        </w:tc>
        <w:tc>
          <w:tcPr>
            <w:tcW w:w="708" w:type="dxa"/>
          </w:tcPr>
          <w:p w:rsidR="0088341A" w:rsidRPr="004D3EDB" w:rsidRDefault="0088341A" w:rsidP="004D3EDB">
            <w:pPr>
              <w:pStyle w:val="AERtabletextright"/>
            </w:pPr>
            <w:r w:rsidRPr="004D3EDB">
              <w:t>0</w:t>
            </w:r>
          </w:p>
        </w:tc>
      </w:tr>
      <w:tr w:rsidR="0088341A" w:rsidRPr="004D3EDB" w:rsidTr="004D3EDB">
        <w:tc>
          <w:tcPr>
            <w:tcW w:w="950" w:type="dxa"/>
          </w:tcPr>
          <w:p w:rsidR="0088341A" w:rsidRPr="004D3EDB" w:rsidRDefault="0088341A" w:rsidP="004D3EDB">
            <w:pPr>
              <w:pStyle w:val="AERtabletextleft"/>
            </w:pPr>
            <w:r w:rsidRPr="004D3EDB">
              <w:t>21</w:t>
            </w:r>
          </w:p>
        </w:tc>
        <w:tc>
          <w:tcPr>
            <w:tcW w:w="7522" w:type="dxa"/>
          </w:tcPr>
          <w:p w:rsidR="0088341A" w:rsidRPr="004D3EDB" w:rsidRDefault="0088341A" w:rsidP="004D3EDB">
            <w:pPr>
              <w:pStyle w:val="AERtabletextleft"/>
            </w:pPr>
            <w:r w:rsidRPr="004D3EDB">
              <w:t>Moorabool – Mortlake 500kV circuit and Moorab</w:t>
            </w:r>
            <w:r w:rsidR="00C04552">
              <w:t>o</w:t>
            </w:r>
            <w:r w:rsidRPr="004D3EDB">
              <w:t>ol – Terang 500kV circuit</w:t>
            </w:r>
          </w:p>
        </w:tc>
        <w:tc>
          <w:tcPr>
            <w:tcW w:w="708" w:type="dxa"/>
          </w:tcPr>
          <w:p w:rsidR="0088341A" w:rsidRPr="004D3EDB" w:rsidRDefault="0088341A" w:rsidP="004D3EDB">
            <w:pPr>
              <w:pStyle w:val="AERtabletextright"/>
            </w:pPr>
            <w:r w:rsidRPr="004D3EDB">
              <w:t>0</w:t>
            </w:r>
          </w:p>
        </w:tc>
      </w:tr>
      <w:tr w:rsidR="0088341A" w:rsidRPr="004D3EDB" w:rsidTr="004D3EDB">
        <w:trPr>
          <w:cnfStyle w:val="000000010000" w:firstRow="0" w:lastRow="0" w:firstColumn="0" w:lastColumn="0" w:oddVBand="0" w:evenVBand="0" w:oddHBand="0" w:evenHBand="1" w:firstRowFirstColumn="0" w:firstRowLastColumn="0" w:lastRowFirstColumn="0" w:lastRowLastColumn="0"/>
        </w:trPr>
        <w:tc>
          <w:tcPr>
            <w:tcW w:w="950" w:type="dxa"/>
          </w:tcPr>
          <w:p w:rsidR="0088341A" w:rsidRPr="004D3EDB" w:rsidRDefault="0088341A" w:rsidP="004D3EDB">
            <w:pPr>
              <w:pStyle w:val="AERtabletextleft"/>
            </w:pPr>
            <w:r w:rsidRPr="004D3EDB">
              <w:t>22</w:t>
            </w:r>
          </w:p>
        </w:tc>
        <w:tc>
          <w:tcPr>
            <w:tcW w:w="7522" w:type="dxa"/>
          </w:tcPr>
          <w:p w:rsidR="0088341A" w:rsidRPr="004D3EDB" w:rsidRDefault="0088341A" w:rsidP="004D3EDB">
            <w:pPr>
              <w:pStyle w:val="AERtabletextleft"/>
            </w:pPr>
            <w:r w:rsidRPr="004D3EDB">
              <w:t>Horsham terminal station</w:t>
            </w:r>
          </w:p>
        </w:tc>
        <w:tc>
          <w:tcPr>
            <w:tcW w:w="708" w:type="dxa"/>
          </w:tcPr>
          <w:p w:rsidR="0088341A" w:rsidRPr="004D3EDB" w:rsidRDefault="0088341A" w:rsidP="004D3EDB">
            <w:pPr>
              <w:pStyle w:val="AERtabletextright"/>
            </w:pPr>
            <w:r w:rsidRPr="004D3EDB">
              <w:t>14</w:t>
            </w:r>
          </w:p>
        </w:tc>
      </w:tr>
      <w:tr w:rsidR="0088341A" w:rsidRPr="004D3EDB" w:rsidTr="004D3EDB">
        <w:tc>
          <w:tcPr>
            <w:tcW w:w="950" w:type="dxa"/>
          </w:tcPr>
          <w:p w:rsidR="0088341A" w:rsidRPr="004D3EDB" w:rsidRDefault="0088341A" w:rsidP="004D3EDB">
            <w:pPr>
              <w:pStyle w:val="AERtabletextleft"/>
            </w:pPr>
          </w:p>
        </w:tc>
        <w:tc>
          <w:tcPr>
            <w:tcW w:w="7522" w:type="dxa"/>
          </w:tcPr>
          <w:p w:rsidR="0088341A" w:rsidRPr="004D3EDB" w:rsidRDefault="0088341A" w:rsidP="004D3EDB">
            <w:pPr>
              <w:pStyle w:val="AERtabletextleft"/>
            </w:pPr>
            <w:r w:rsidRPr="004D3EDB">
              <w:t>Total cost</w:t>
            </w:r>
          </w:p>
        </w:tc>
        <w:tc>
          <w:tcPr>
            <w:tcW w:w="708" w:type="dxa"/>
          </w:tcPr>
          <w:p w:rsidR="0088341A" w:rsidRPr="004D3EDB" w:rsidRDefault="0088341A" w:rsidP="004D3EDB">
            <w:pPr>
              <w:pStyle w:val="AERtabletextright"/>
            </w:pPr>
            <w:r w:rsidRPr="004D3EDB">
              <w:t>13 220</w:t>
            </w:r>
          </w:p>
        </w:tc>
      </w:tr>
    </w:tbl>
    <w:p w:rsidR="0088341A" w:rsidRDefault="0088341A" w:rsidP="0088341A">
      <w:pPr>
        <w:pStyle w:val="AERbodytext"/>
        <w:numPr>
          <w:ilvl w:val="0"/>
          <w:numId w:val="1"/>
        </w:numPr>
      </w:pPr>
    </w:p>
    <w:p w:rsidR="0088341A" w:rsidRPr="00C85765" w:rsidRDefault="0088341A" w:rsidP="0088341A">
      <w:pPr>
        <w:pStyle w:val="HeadingBoldBlue"/>
      </w:pPr>
      <w:r>
        <w:t>Market impact component</w:t>
      </w:r>
    </w:p>
    <w:p w:rsidR="0088341A" w:rsidRDefault="0088341A" w:rsidP="0088341A">
      <w:pPr>
        <w:pStyle w:val="AERbodytext"/>
        <w:numPr>
          <w:ilvl w:val="0"/>
          <w:numId w:val="1"/>
        </w:numPr>
      </w:pPr>
      <w:r>
        <w:t xml:space="preserve">Under the latest version of the STPIS </w:t>
      </w:r>
      <w:r w:rsidR="00C04552">
        <w:t>that</w:t>
      </w:r>
      <w:r>
        <w:t xml:space="preserve"> applies to SP AusNet, we are not required to determine a market impact parameter target because it will be set as a rolling average during the 2014–17 regulatory control period. During this review of SP AusNet's revenue proposal, we will audit the latest performance data The target for the 2014 calendar year will be the average of the 2011, 2012 and 2013 market impact performance data. Likewise, the 2015 target will be set using the 2012, 2013 and 2014 data. We will publish these targets during our annual TNSP STPIS review process.</w:t>
      </w:r>
    </w:p>
    <w:p w:rsidR="0088341A" w:rsidRDefault="0088341A" w:rsidP="0088341A">
      <w:pPr>
        <w:pStyle w:val="Heading2"/>
        <w:numPr>
          <w:ilvl w:val="2"/>
          <w:numId w:val="20"/>
        </w:numPr>
      </w:pPr>
      <w:bookmarkStart w:id="111" w:name="_Toc365283272"/>
      <w:r>
        <w:lastRenderedPageBreak/>
        <w:t>Summary of analysis and reasons</w:t>
      </w:r>
      <w:bookmarkEnd w:id="111"/>
    </w:p>
    <w:p w:rsidR="0088341A" w:rsidRPr="00C85765" w:rsidRDefault="0088341A" w:rsidP="0088341A">
      <w:pPr>
        <w:pStyle w:val="HeadingBoldBlue"/>
      </w:pPr>
      <w:r w:rsidRPr="00C85765">
        <w:t>Service component</w:t>
      </w:r>
    </w:p>
    <w:p w:rsidR="0088341A" w:rsidRDefault="0088341A" w:rsidP="0088341A">
      <w:pPr>
        <w:pStyle w:val="AERbodytext"/>
        <w:numPr>
          <w:ilvl w:val="0"/>
          <w:numId w:val="1"/>
        </w:numPr>
      </w:pPr>
      <w:r>
        <w:t>We do not accept SP AusNet’s service component proposal because:</w:t>
      </w:r>
    </w:p>
    <w:p w:rsidR="0088341A" w:rsidRDefault="0088341A" w:rsidP="0088341A">
      <w:pPr>
        <w:pStyle w:val="AERbulletlistfirststyle"/>
      </w:pPr>
      <w:r>
        <w:t>the TNSP did not justify its proposed adjustments to performance targets for the two loss of supply subparameters</w:t>
      </w:r>
    </w:p>
    <w:p w:rsidR="0088341A" w:rsidRDefault="0088341A" w:rsidP="0088341A">
      <w:pPr>
        <w:pStyle w:val="AERbulletlistfirststyle"/>
      </w:pPr>
      <w:r>
        <w:t xml:space="preserve">the TNSP used inappropriate distributions to determine caps and collars </w:t>
      </w:r>
    </w:p>
    <w:p w:rsidR="0088341A" w:rsidRPr="00C9508E" w:rsidRDefault="0088341A" w:rsidP="0088341A">
      <w:pPr>
        <w:pStyle w:val="HeadingBoldItalic"/>
      </w:pPr>
      <w:r w:rsidRPr="00C9508E">
        <w:t>Adjustments to reliability targets for proposed capital works</w:t>
      </w:r>
    </w:p>
    <w:p w:rsidR="0088341A" w:rsidRPr="00AA56FF" w:rsidRDefault="0088341A" w:rsidP="0088341A">
      <w:pPr>
        <w:pStyle w:val="AERbodytext"/>
        <w:numPr>
          <w:ilvl w:val="0"/>
          <w:numId w:val="1"/>
        </w:numPr>
      </w:pPr>
      <w:r>
        <w:t xml:space="preserve">We do not accept SP AusNet's proposed adjustments to the targets for the two loss of supply subparameters. The TNSP calculated </w:t>
      </w:r>
      <w:r w:rsidRPr="00AA56FF">
        <w:t>the adjustment</w:t>
      </w:r>
      <w:r>
        <w:t>s using</w:t>
      </w:r>
      <w:r w:rsidRPr="00AA56FF">
        <w:t xml:space="preserve"> assumptions that are likely to result in an inaccurate figure. We consider adjustments should be made using a bottom up estimate of the effect of capital works on reliability.</w:t>
      </w:r>
    </w:p>
    <w:p w:rsidR="0088341A" w:rsidRDefault="0088341A" w:rsidP="0088341A">
      <w:pPr>
        <w:pStyle w:val="HeadingBoldItalic"/>
      </w:pPr>
      <w:r>
        <w:t>Caps and collars</w:t>
      </w:r>
    </w:p>
    <w:p w:rsidR="0088341A" w:rsidRPr="00CB7C54" w:rsidRDefault="0088341A" w:rsidP="0088341A">
      <w:pPr>
        <w:pStyle w:val="AERbodytext"/>
        <w:numPr>
          <w:ilvl w:val="0"/>
          <w:numId w:val="1"/>
        </w:numPr>
      </w:pPr>
      <w:r>
        <w:t xml:space="preserve">We do not accept SP AusNet’s proposed caps and collars because the TNSP's method of deriving them is not conceptually sound and reasonable. We applied a principled approach that uses a conceptually sound method, to test the reasonableness of SP AusNet's proposed caps and collars. We consider our principled approach results in caps and collars that provide a materially stronger incentive for the TNSP to improve and maintain service performance. We considered EMCa’s advice in arriving at our draft decision </w:t>
      </w:r>
      <w:r w:rsidR="00C04552">
        <w:t xml:space="preserve">on </w:t>
      </w:r>
      <w:r>
        <w:t>caps and collars.</w:t>
      </w:r>
    </w:p>
    <w:p w:rsidR="0088341A" w:rsidRDefault="0088341A" w:rsidP="0088341A">
      <w:pPr>
        <w:pStyle w:val="HeadingBoldBlue"/>
      </w:pPr>
      <w:r>
        <w:t>Network capability</w:t>
      </w:r>
      <w:r w:rsidRPr="00C85765">
        <w:t xml:space="preserve"> component</w:t>
      </w:r>
    </w:p>
    <w:p w:rsidR="0088341A" w:rsidRDefault="0088341A" w:rsidP="0088341A">
      <w:pPr>
        <w:pStyle w:val="AERbodytext"/>
        <w:numPr>
          <w:ilvl w:val="0"/>
          <w:numId w:val="1"/>
        </w:numPr>
      </w:pPr>
      <w:r>
        <w:t xml:space="preserve">We accept SP AusNet's proposed priority projects and priority project </w:t>
      </w:r>
      <w:r w:rsidRPr="00C23A9A">
        <w:t>improvement targets</w:t>
      </w:r>
      <w:r>
        <w:t>, as submitted on 8 August 2013</w:t>
      </w:r>
      <w:r w:rsidRPr="00C23A9A">
        <w:t xml:space="preserve">. </w:t>
      </w:r>
      <w:r>
        <w:t xml:space="preserve">We worked with AEMO and SP AusNet to develop a ranking of the proposed network capability projects. AEMO </w:t>
      </w:r>
      <w:r w:rsidR="00C04552">
        <w:t>reviewed</w:t>
      </w:r>
      <w:r>
        <w:t xml:space="preserve"> SP AusNet’s proposed projects and proposed an additional seven priority projects. AEMO then ranked the priority projects. </w:t>
      </w:r>
    </w:p>
    <w:p w:rsidR="0088341A" w:rsidRPr="00CE78F1" w:rsidRDefault="0088341A" w:rsidP="0088341A">
      <w:pPr>
        <w:pStyle w:val="AERbodytext"/>
        <w:numPr>
          <w:ilvl w:val="0"/>
          <w:numId w:val="1"/>
        </w:numPr>
      </w:pPr>
      <w:r>
        <w:t xml:space="preserve">Based on AEMO's review and our review of </w:t>
      </w:r>
      <w:r w:rsidRPr="00CE78F1">
        <w:t xml:space="preserve">SP AusNet’s revenue proposal, we accept SP AusNet's proposed priority projects and priority project improvement targets are consistent with the STPIS </w:t>
      </w:r>
      <w:r w:rsidR="00C04552">
        <w:t xml:space="preserve">and </w:t>
      </w:r>
      <w:r w:rsidRPr="00CE78F1">
        <w:t>will lead to a material benefit.</w:t>
      </w:r>
      <w:r w:rsidRPr="00CE78F1">
        <w:rPr>
          <w:rStyle w:val="FootnoteReference"/>
        </w:rPr>
        <w:footnoteReference w:id="109"/>
      </w:r>
      <w:r w:rsidRPr="00CE78F1">
        <w:t xml:space="preserve"> </w:t>
      </w:r>
    </w:p>
    <w:p w:rsidR="0088341A" w:rsidRPr="00C85765" w:rsidRDefault="0088341A" w:rsidP="0088341A">
      <w:pPr>
        <w:pStyle w:val="HeadingBoldBlue"/>
      </w:pPr>
      <w:r>
        <w:t>Market impact component</w:t>
      </w:r>
    </w:p>
    <w:p w:rsidR="0088341A" w:rsidRDefault="0088341A" w:rsidP="0088341A">
      <w:pPr>
        <w:pStyle w:val="AERbodytext"/>
        <w:numPr>
          <w:ilvl w:val="0"/>
          <w:numId w:val="1"/>
        </w:numPr>
      </w:pPr>
      <w:r>
        <w:t xml:space="preserve">SP AusNet submitted market impact component data with its revenue proposal. However, it did not incorporate an exclusion in the new STPIS </w:t>
      </w:r>
      <w:r w:rsidR="00C04552">
        <w:t>(</w:t>
      </w:r>
      <w:r>
        <w:t xml:space="preserve">which was released </w:t>
      </w:r>
      <w:r w:rsidR="00C04552">
        <w:t>shortly before SP AusNet’s</w:t>
      </w:r>
      <w:r>
        <w:t xml:space="preserve"> revenue proposal submission date</w:t>
      </w:r>
      <w:r w:rsidR="00C04552">
        <w:t>)</w:t>
      </w:r>
      <w:r>
        <w:t xml:space="preserve">. SP AusNet recalculated its data in accordance with the new scheme </w:t>
      </w:r>
      <w:r w:rsidR="00C04552">
        <w:t>and recently provided that data to us</w:t>
      </w:r>
      <w:r>
        <w:t>.  We will audit this data in time for our final decision and make any necessary</w:t>
      </w:r>
      <w:r w:rsidR="00C04552">
        <w:t xml:space="preserve"> adjustments</w:t>
      </w:r>
      <w:r>
        <w:t xml:space="preserve">.  </w:t>
      </w:r>
    </w:p>
    <w:p w:rsidR="0088341A" w:rsidRDefault="0088341A" w:rsidP="0088341A">
      <w:pPr>
        <w:pStyle w:val="Heading1"/>
        <w:numPr>
          <w:ilvl w:val="1"/>
          <w:numId w:val="20"/>
        </w:numPr>
      </w:pPr>
      <w:bookmarkStart w:id="112" w:name="_Toc365283273"/>
      <w:bookmarkStart w:id="113" w:name="_Toc365461993"/>
      <w:r>
        <w:lastRenderedPageBreak/>
        <w:t>Pricing methodology</w:t>
      </w:r>
      <w:bookmarkEnd w:id="112"/>
      <w:bookmarkEnd w:id="113"/>
    </w:p>
    <w:p w:rsidR="0088341A" w:rsidRDefault="0088341A" w:rsidP="0088341A">
      <w:pPr>
        <w:pStyle w:val="AERbodytext"/>
        <w:numPr>
          <w:ilvl w:val="0"/>
          <w:numId w:val="0"/>
        </w:numPr>
      </w:pPr>
      <w:r>
        <w:t>As part of a transmission determination, we</w:t>
      </w:r>
      <w:r w:rsidRPr="006F7A8E">
        <w:t xml:space="preserve"> must specify a pricing methodology for SP AusNet.</w:t>
      </w:r>
      <w:r w:rsidRPr="006F7A8E">
        <w:rPr>
          <w:rStyle w:val="FootnoteReference"/>
        </w:rPr>
        <w:footnoteReference w:id="110"/>
      </w:r>
      <w:r w:rsidRPr="006F7A8E">
        <w:t xml:space="preserve"> This methodology establishes a tariff structure for</w:t>
      </w:r>
      <w:r>
        <w:t xml:space="preserve"> the TNSP</w:t>
      </w:r>
      <w:r w:rsidRPr="006F7A8E">
        <w:t xml:space="preserve"> and describes how </w:t>
      </w:r>
      <w:r>
        <w:t>it allocates its revenue to its</w:t>
      </w:r>
      <w:r w:rsidRPr="006F7A8E">
        <w:t xml:space="preserve"> prescribed transmission services and connection points.</w:t>
      </w:r>
      <w:r w:rsidRPr="006F7A8E">
        <w:rPr>
          <w:rStyle w:val="FootnoteReference"/>
        </w:rPr>
        <w:footnoteReference w:id="111"/>
      </w:r>
    </w:p>
    <w:p w:rsidR="0088341A" w:rsidRPr="00D10CD6" w:rsidRDefault="0088341A" w:rsidP="0088341A">
      <w:pPr>
        <w:pStyle w:val="Heading2"/>
        <w:numPr>
          <w:ilvl w:val="2"/>
          <w:numId w:val="20"/>
        </w:numPr>
      </w:pPr>
      <w:bookmarkStart w:id="114" w:name="_Toc365283274"/>
      <w:r w:rsidRPr="00D10CD6">
        <w:t>Draft decision</w:t>
      </w:r>
      <w:bookmarkEnd w:id="114"/>
    </w:p>
    <w:p w:rsidR="0088341A" w:rsidRDefault="0088341A" w:rsidP="0088341A">
      <w:pPr>
        <w:pStyle w:val="AERbodytext"/>
        <w:numPr>
          <w:ilvl w:val="0"/>
          <w:numId w:val="1"/>
        </w:numPr>
      </w:pPr>
      <w:r w:rsidRPr="00D10CD6">
        <w:t>We approve the pricing method</w:t>
      </w:r>
      <w:r>
        <w:t>ology</w:t>
      </w:r>
      <w:r w:rsidRPr="00D10CD6">
        <w:t xml:space="preserve"> proposed by SP AusNet for the 2014</w:t>
      </w:r>
      <w:r>
        <w:t>–17 regulatory control period</w:t>
      </w:r>
      <w:r w:rsidRPr="00D10CD6">
        <w:t>,</w:t>
      </w:r>
      <w:r>
        <w:t xml:space="preserve"> because</w:t>
      </w:r>
      <w:r w:rsidRPr="00D10CD6">
        <w:t xml:space="preserve"> </w:t>
      </w:r>
      <w:r>
        <w:t>it</w:t>
      </w:r>
      <w:r w:rsidRPr="00D10CD6">
        <w:t xml:space="preserve"> gives effect to the pricing principles and complies with the pricing method</w:t>
      </w:r>
      <w:r>
        <w:t>ology</w:t>
      </w:r>
      <w:r w:rsidRPr="00D10CD6">
        <w:t xml:space="preserve"> guidelines.</w:t>
      </w:r>
      <w:r w:rsidRPr="00D10CD6">
        <w:rPr>
          <w:rStyle w:val="FootnoteReference"/>
        </w:rPr>
        <w:footnoteReference w:id="112"/>
      </w:r>
    </w:p>
    <w:p w:rsidR="0088341A" w:rsidRDefault="0088341A" w:rsidP="0088341A">
      <w:pPr>
        <w:pStyle w:val="Heading2"/>
        <w:numPr>
          <w:ilvl w:val="2"/>
          <w:numId w:val="20"/>
        </w:numPr>
      </w:pPr>
      <w:bookmarkStart w:id="115" w:name="_Toc365283275"/>
      <w:r>
        <w:t>Summary of analysis and reasons</w:t>
      </w:r>
      <w:bookmarkEnd w:id="115"/>
    </w:p>
    <w:p w:rsidR="0088341A" w:rsidRDefault="0088341A" w:rsidP="0088341A">
      <w:pPr>
        <w:pStyle w:val="AERbodytext"/>
        <w:numPr>
          <w:ilvl w:val="0"/>
          <w:numId w:val="1"/>
        </w:numPr>
      </w:pPr>
      <w:r w:rsidRPr="00D10CD6">
        <w:t>SP AusNet's proposed pricing method</w:t>
      </w:r>
      <w:r>
        <w:t>ology</w:t>
      </w:r>
      <w:r w:rsidRPr="00D10CD6">
        <w:t xml:space="preserve"> addresses</w:t>
      </w:r>
      <w:r>
        <w:t xml:space="preserve"> only</w:t>
      </w:r>
      <w:r w:rsidRPr="00D10CD6">
        <w:t xml:space="preserve"> the pricing matters for which it has responsibility</w:t>
      </w:r>
      <w:r w:rsidRPr="00D10CD6">
        <w:rPr>
          <w:rStyle w:val="FootnoteReference"/>
        </w:rPr>
        <w:footnoteReference w:id="113"/>
      </w:r>
      <w:r>
        <w:t xml:space="preserve">—that is, </w:t>
      </w:r>
      <w:r w:rsidRPr="00D10CD6">
        <w:t xml:space="preserve">prescribed entry and exit services. In Victoria, the pricing of all other prescribed transmission services is the responsibility of the </w:t>
      </w:r>
      <w:r>
        <w:t>AEMO</w:t>
      </w:r>
      <w:r w:rsidRPr="00D10CD6">
        <w:t>.</w:t>
      </w:r>
      <w:r w:rsidRPr="00D10CD6">
        <w:rPr>
          <w:rStyle w:val="FootnoteReference"/>
        </w:rPr>
        <w:footnoteReference w:id="114"/>
      </w:r>
      <w:r>
        <w:t xml:space="preserve"> AEMO is also the co-ordinating network service provider in Victoria. So, it is responsible for allocating the aggregate annual revenue requirement (AARR) for all TNSPs in the region including SP AusNet.</w:t>
      </w:r>
      <w:r>
        <w:rPr>
          <w:rStyle w:val="FootnoteReference"/>
        </w:rPr>
        <w:footnoteReference w:id="115"/>
      </w:r>
    </w:p>
    <w:p w:rsidR="0088341A" w:rsidRDefault="0088341A" w:rsidP="0088341A">
      <w:pPr>
        <w:pStyle w:val="AERbodytext"/>
        <w:numPr>
          <w:ilvl w:val="0"/>
          <w:numId w:val="1"/>
        </w:numPr>
      </w:pPr>
      <w:r w:rsidRPr="00D10CD6">
        <w:t>We approve SP AusNet's proposed pricing method</w:t>
      </w:r>
      <w:r>
        <w:t>ology</w:t>
      </w:r>
      <w:r w:rsidRPr="00D10CD6">
        <w:t xml:space="preserve"> following</w:t>
      </w:r>
      <w:r>
        <w:t xml:space="preserve"> our</w:t>
      </w:r>
      <w:r w:rsidRPr="00D10CD6">
        <w:t xml:space="preserve"> consideration of the unique transmission arrangements in Victoria. </w:t>
      </w:r>
      <w:r>
        <w:t>W</w:t>
      </w:r>
      <w:r w:rsidRPr="00D10CD6">
        <w:t xml:space="preserve">e determine </w:t>
      </w:r>
      <w:r>
        <w:t xml:space="preserve">the proposal meets </w:t>
      </w:r>
      <w:r w:rsidRPr="00D10CD6">
        <w:t>each of the pricing principles and pricing method</w:t>
      </w:r>
      <w:r>
        <w:t>ology</w:t>
      </w:r>
      <w:r w:rsidRPr="00D10CD6">
        <w:t xml:space="preserve"> guideline</w:t>
      </w:r>
      <w:r>
        <w:t xml:space="preserve"> requirement</w:t>
      </w:r>
      <w:r w:rsidRPr="00D10CD6">
        <w:t>s</w:t>
      </w:r>
      <w:r>
        <w:t xml:space="preserve"> that are</w:t>
      </w:r>
      <w:r w:rsidRPr="00D10CD6">
        <w:t xml:space="preserve"> relevant to SP AusNet's</w:t>
      </w:r>
      <w:r>
        <w:t xml:space="preserve"> responsibility for</w:t>
      </w:r>
      <w:r w:rsidRPr="00D10CD6">
        <w:t xml:space="preserve"> connection services. The</w:t>
      </w:r>
      <w:r>
        <w:t xml:space="preserve"> pricing of</w:t>
      </w:r>
      <w:r w:rsidRPr="00D10CD6">
        <w:t xml:space="preserve"> other prescribed transmission services provided in Victoria</w:t>
      </w:r>
      <w:r>
        <w:t>—transmission use of system</w:t>
      </w:r>
      <w:r w:rsidRPr="00D10CD6">
        <w:t xml:space="preserve"> </w:t>
      </w:r>
      <w:r w:rsidR="006F07FB">
        <w:t xml:space="preserve">(TUOS) </w:t>
      </w:r>
      <w:r w:rsidRPr="00D10CD6">
        <w:t>and common transmission services</w:t>
      </w:r>
      <w:r>
        <w:t>—will be</w:t>
      </w:r>
      <w:r w:rsidRPr="00D10CD6">
        <w:t xml:space="preserve"> addressed in AEMO's proposed pricing method</w:t>
      </w:r>
      <w:r>
        <w:t>ology</w:t>
      </w:r>
      <w:r w:rsidRPr="00D10CD6">
        <w:t xml:space="preserve"> for </w:t>
      </w:r>
      <w:r w:rsidR="00247B04">
        <w:t xml:space="preserve">its next </w:t>
      </w:r>
      <w:r w:rsidRPr="00D10CD6">
        <w:t>regulatory control period</w:t>
      </w:r>
      <w:r w:rsidR="00247B04">
        <w:t>.</w:t>
      </w:r>
      <w:r w:rsidRPr="00D10CD6">
        <w:rPr>
          <w:rStyle w:val="FootnoteReference"/>
        </w:rPr>
        <w:footnoteReference w:id="116"/>
      </w:r>
    </w:p>
    <w:p w:rsidR="0088341A" w:rsidRPr="00D10CD6" w:rsidRDefault="0088341A" w:rsidP="0088341A">
      <w:pPr>
        <w:pStyle w:val="AERbodytext"/>
        <w:numPr>
          <w:ilvl w:val="0"/>
          <w:numId w:val="1"/>
        </w:numPr>
      </w:pPr>
    </w:p>
    <w:p w:rsidR="0088341A" w:rsidRPr="00D10CD6" w:rsidRDefault="0088341A" w:rsidP="0088341A">
      <w:pPr>
        <w:pStyle w:val="AERbodytext"/>
        <w:numPr>
          <w:ilvl w:val="0"/>
          <w:numId w:val="1"/>
        </w:numPr>
      </w:pPr>
    </w:p>
    <w:p w:rsidR="0088341A" w:rsidRPr="00D10CD6" w:rsidRDefault="0088341A" w:rsidP="0088341A">
      <w:pPr>
        <w:pStyle w:val="AERbodytext"/>
        <w:numPr>
          <w:ilvl w:val="0"/>
          <w:numId w:val="1"/>
        </w:numPr>
      </w:pPr>
    </w:p>
    <w:p w:rsidR="0088341A" w:rsidRDefault="0088341A" w:rsidP="0088341A">
      <w:pPr>
        <w:pStyle w:val="AERbodytext"/>
        <w:numPr>
          <w:ilvl w:val="0"/>
          <w:numId w:val="0"/>
        </w:numPr>
      </w:pPr>
    </w:p>
    <w:p w:rsidR="0088341A" w:rsidRDefault="0088341A" w:rsidP="0088341A">
      <w:pPr>
        <w:pStyle w:val="Heading1"/>
        <w:numPr>
          <w:ilvl w:val="1"/>
          <w:numId w:val="20"/>
        </w:numPr>
      </w:pPr>
      <w:bookmarkStart w:id="116" w:name="_Toc365283276"/>
      <w:bookmarkStart w:id="117" w:name="_Toc365461994"/>
      <w:r>
        <w:lastRenderedPageBreak/>
        <w:t>Negotiated transmission services</w:t>
      </w:r>
      <w:bookmarkEnd w:id="116"/>
      <w:bookmarkEnd w:id="117"/>
    </w:p>
    <w:p w:rsidR="0088341A" w:rsidRDefault="0088341A" w:rsidP="0088341A">
      <w:pPr>
        <w:pStyle w:val="AERbodytext"/>
        <w:numPr>
          <w:ilvl w:val="0"/>
          <w:numId w:val="1"/>
        </w:numPr>
      </w:pPr>
      <w:r>
        <w:t>We do not determine the terms and conditions of n</w:t>
      </w:r>
      <w:r w:rsidRPr="0096778C">
        <w:t xml:space="preserve">egotiated transmission services. Under </w:t>
      </w:r>
      <w:r>
        <w:t>the NER</w:t>
      </w:r>
      <w:r w:rsidRPr="0096778C">
        <w:t xml:space="preserve">, </w:t>
      </w:r>
      <w:r>
        <w:t xml:space="preserve">negotiated services are provided under an agreement or as a result of a determination of a commercial arbitrator. </w:t>
      </w:r>
      <w:r w:rsidRPr="0096778C">
        <w:t xml:space="preserve">A negotiating framework </w:t>
      </w:r>
      <w:r>
        <w:t xml:space="preserve">and the negotiating transmission services criteria (NTSC) </w:t>
      </w:r>
      <w:r w:rsidR="004D3EDB" w:rsidRPr="0096778C">
        <w:t>facilitate</w:t>
      </w:r>
      <w:r w:rsidRPr="0096778C">
        <w:t xml:space="preserve"> these processes</w:t>
      </w:r>
      <w:r>
        <w:t xml:space="preserve">. </w:t>
      </w:r>
      <w:r w:rsidRPr="0096778C">
        <w:t xml:space="preserve">A TNSP must prepare a negotiating framework </w:t>
      </w:r>
      <w:r>
        <w:t>that</w:t>
      </w:r>
      <w:r w:rsidRPr="0096778C">
        <w:t xml:space="preserve"> sets out procedures for negotiating the terms and conditions of access to a negotiated transmission service.</w:t>
      </w:r>
      <w:r>
        <w:t xml:space="preserve"> </w:t>
      </w:r>
      <w:r w:rsidRPr="0096778C">
        <w:t xml:space="preserve">The NTSC set out criteria that a TNSP must apply in negotiating </w:t>
      </w:r>
      <w:r>
        <w:t xml:space="preserve">those </w:t>
      </w:r>
      <w:r w:rsidRPr="0096778C">
        <w:t xml:space="preserve">terms and conditions, including the prices and access charges for negotiated transmission services. They also contain the criteria that a commercial arbitrator must apply to resolve disputes about such terms and conditions and/or access charges. </w:t>
      </w:r>
    </w:p>
    <w:p w:rsidR="0088341A" w:rsidRPr="003800E4" w:rsidRDefault="0088341A" w:rsidP="0088341A">
      <w:pPr>
        <w:pStyle w:val="Heading2"/>
        <w:numPr>
          <w:ilvl w:val="2"/>
          <w:numId w:val="20"/>
        </w:numPr>
      </w:pPr>
      <w:bookmarkStart w:id="118" w:name="_Toc365283277"/>
      <w:r>
        <w:t>Draft decision</w:t>
      </w:r>
      <w:bookmarkEnd w:id="118"/>
    </w:p>
    <w:p w:rsidR="0088341A" w:rsidRDefault="0088341A" w:rsidP="0088341A">
      <w:pPr>
        <w:pStyle w:val="AERbodytext"/>
        <w:numPr>
          <w:ilvl w:val="0"/>
          <w:numId w:val="1"/>
        </w:numPr>
      </w:pPr>
      <w:r>
        <w:t>We approve</w:t>
      </w:r>
      <w:r w:rsidRPr="00FF366B">
        <w:t xml:space="preserve"> </w:t>
      </w:r>
      <w:r>
        <w:t>SP AusNet's</w:t>
      </w:r>
      <w:r w:rsidRPr="00FF366B">
        <w:t xml:space="preserve"> proposed negotiating framework </w:t>
      </w:r>
      <w:r>
        <w:t>because</w:t>
      </w:r>
      <w:r w:rsidRPr="00FF366B">
        <w:t xml:space="preserve"> </w:t>
      </w:r>
      <w:r>
        <w:t>it meets the requirements in the NER.</w:t>
      </w:r>
      <w:r>
        <w:rPr>
          <w:rStyle w:val="FootnoteReference"/>
        </w:rPr>
        <w:footnoteReference w:id="117"/>
      </w:r>
      <w:r w:rsidRPr="00FF366B">
        <w:t xml:space="preserve"> </w:t>
      </w:r>
      <w:r>
        <w:t xml:space="preserve">Further, our draft decision is that the </w:t>
      </w:r>
      <w:r w:rsidRPr="00FF366B">
        <w:t xml:space="preserve">NTSC </w:t>
      </w:r>
      <w:r>
        <w:t>we published in April 2013</w:t>
      </w:r>
      <w:r w:rsidRPr="00FF366B">
        <w:t xml:space="preserve"> will ap</w:t>
      </w:r>
      <w:r>
        <w:t xml:space="preserve">ply to </w:t>
      </w:r>
      <w:r w:rsidR="00D8109C">
        <w:br/>
      </w:r>
      <w:r>
        <w:t>SP AusNet in the 2014–17 regulatory control period, because those criteria give</w:t>
      </w:r>
      <w:r w:rsidRPr="00FF366B">
        <w:t xml:space="preserve"> effect to the negotiated transmission service principles</w:t>
      </w:r>
      <w:r>
        <w:t>.</w:t>
      </w:r>
      <w:r>
        <w:rPr>
          <w:rStyle w:val="FootnoteReference"/>
        </w:rPr>
        <w:footnoteReference w:id="118"/>
      </w:r>
      <w:r w:rsidRPr="00FF366B">
        <w:t xml:space="preserve"> </w:t>
      </w:r>
    </w:p>
    <w:p w:rsidR="0088341A" w:rsidRPr="003800E4" w:rsidRDefault="0088341A" w:rsidP="0088341A">
      <w:pPr>
        <w:pStyle w:val="Heading2"/>
        <w:numPr>
          <w:ilvl w:val="2"/>
          <w:numId w:val="20"/>
        </w:numPr>
      </w:pPr>
      <w:bookmarkStart w:id="119" w:name="_Toc365283278"/>
      <w:r>
        <w:t>Summary of analysis and reasons</w:t>
      </w:r>
      <w:bookmarkEnd w:id="119"/>
    </w:p>
    <w:p w:rsidR="0088341A" w:rsidRDefault="0088341A" w:rsidP="0088341A">
      <w:pPr>
        <w:pStyle w:val="AERbodytext"/>
        <w:numPr>
          <w:ilvl w:val="0"/>
          <w:numId w:val="1"/>
        </w:numPr>
      </w:pPr>
      <w:r>
        <w:t xml:space="preserve">We </w:t>
      </w:r>
      <w:r w:rsidRPr="00DF4F38">
        <w:t xml:space="preserve">approve </w:t>
      </w:r>
      <w:r>
        <w:t>SP AusNet's proposed negotiating framework because it</w:t>
      </w:r>
      <w:r w:rsidRPr="00DF4F38">
        <w:t xml:space="preserve"> </w:t>
      </w:r>
      <w:r>
        <w:t>specifies the minimum</w:t>
      </w:r>
      <w:r w:rsidRPr="00DF4F38">
        <w:t xml:space="preserve"> requirements</w:t>
      </w:r>
      <w:r>
        <w:t xml:space="preserve"> in the NER.</w:t>
      </w:r>
      <w:r>
        <w:rPr>
          <w:rStyle w:val="FootnoteReference"/>
        </w:rPr>
        <w:footnoteReference w:id="119"/>
      </w:r>
      <w:r>
        <w:t xml:space="preserve"> Those requirements include, among other things, a statement that SP AusNet will negotiate in good faith and a description of procedures for dealing with disputes. </w:t>
      </w:r>
    </w:p>
    <w:p w:rsidR="0088341A" w:rsidRPr="00912722" w:rsidRDefault="0088341A" w:rsidP="0088341A">
      <w:pPr>
        <w:pStyle w:val="AERbodytext"/>
        <w:numPr>
          <w:ilvl w:val="0"/>
          <w:numId w:val="1"/>
        </w:numPr>
      </w:pPr>
      <w:r>
        <w:t>In April 2013, we invited</w:t>
      </w:r>
      <w:r w:rsidRPr="00912722">
        <w:t xml:space="preserve"> submissions on the NTSC. Our draft decision is that the NTSC </w:t>
      </w:r>
      <w:r>
        <w:t>that</w:t>
      </w:r>
      <w:r w:rsidRPr="00912722">
        <w:t xml:space="preserve"> we published with that i</w:t>
      </w:r>
      <w:r>
        <w:t>nvitation (reproduced in attachment 1</w:t>
      </w:r>
      <w:r w:rsidR="006F07FB">
        <w:t>3</w:t>
      </w:r>
      <w:r w:rsidRPr="00912722">
        <w:t>) should apply to SP AusNet's 201</w:t>
      </w:r>
      <w:r>
        <w:t xml:space="preserve">4–17 regulatory control period, </w:t>
      </w:r>
      <w:r w:rsidRPr="00912722">
        <w:t xml:space="preserve">because </w:t>
      </w:r>
      <w:r>
        <w:t>those criteria adopt</w:t>
      </w:r>
      <w:r w:rsidRPr="00912722">
        <w:t xml:space="preserve"> the negotiated transmission se</w:t>
      </w:r>
      <w:r>
        <w:t>rvice principles</w:t>
      </w:r>
      <w:r w:rsidRPr="00912722">
        <w:t xml:space="preserve">. </w:t>
      </w:r>
      <w:r>
        <w:t>We did not receive</w:t>
      </w:r>
      <w:r w:rsidRPr="00912722">
        <w:t xml:space="preserve"> stakeholder submissions </w:t>
      </w:r>
      <w:r>
        <w:t xml:space="preserve">on the NTSC. </w:t>
      </w:r>
      <w:r w:rsidRPr="00912722">
        <w:t xml:space="preserve">  </w:t>
      </w:r>
    </w:p>
    <w:p w:rsidR="0088341A" w:rsidRPr="002D6DEC" w:rsidRDefault="0088341A" w:rsidP="0088341A">
      <w:pPr>
        <w:pStyle w:val="AERbodytext"/>
        <w:numPr>
          <w:ilvl w:val="0"/>
          <w:numId w:val="1"/>
        </w:numPr>
      </w:pPr>
    </w:p>
    <w:p w:rsidR="0088341A" w:rsidRDefault="0088341A" w:rsidP="0088341A">
      <w:pPr>
        <w:pStyle w:val="AERbodytext"/>
        <w:numPr>
          <w:ilvl w:val="0"/>
          <w:numId w:val="0"/>
        </w:numPr>
      </w:pPr>
    </w:p>
    <w:p w:rsidR="0088341A" w:rsidRDefault="0088341A" w:rsidP="0088341A">
      <w:pPr>
        <w:pStyle w:val="Heading1"/>
        <w:numPr>
          <w:ilvl w:val="1"/>
          <w:numId w:val="20"/>
        </w:numPr>
      </w:pPr>
      <w:bookmarkStart w:id="120" w:name="_Toc365283279"/>
      <w:bookmarkStart w:id="121" w:name="_Toc365461995"/>
      <w:r>
        <w:lastRenderedPageBreak/>
        <w:t>Cost pass throughs</w:t>
      </w:r>
      <w:bookmarkEnd w:id="120"/>
      <w:bookmarkEnd w:id="121"/>
    </w:p>
    <w:p w:rsidR="0088341A" w:rsidRDefault="0088341A" w:rsidP="0088341A">
      <w:pPr>
        <w:pStyle w:val="AERbodytext"/>
        <w:numPr>
          <w:ilvl w:val="0"/>
          <w:numId w:val="0"/>
        </w:numPr>
      </w:pPr>
      <w:r w:rsidRPr="00B40D9B">
        <w:t xml:space="preserve">The pass through mechanism of the </w:t>
      </w:r>
      <w:r>
        <w:t>NER</w:t>
      </w:r>
      <w:r w:rsidRPr="00B40D9B">
        <w:t xml:space="preserve"> recognises a </w:t>
      </w:r>
      <w:r>
        <w:t>TNSP</w:t>
      </w:r>
      <w:r w:rsidRPr="00E43385">
        <w:t xml:space="preserve"> can be exposed to risks beyond its control, which may have a material impact on its costs. A cost pass through enables a business to recover (or pass through) the costs of defined unpredictable, high cost events that are not built into the transmission determination. We must decide which of the pass through events</w:t>
      </w:r>
      <w:r>
        <w:t xml:space="preserve"> nominated by</w:t>
      </w:r>
      <w:r w:rsidRPr="00E43385">
        <w:t xml:space="preserve"> </w:t>
      </w:r>
      <w:r>
        <w:t>SP Aus</w:t>
      </w:r>
      <w:r w:rsidRPr="00E43385">
        <w:t>Net will apply for the 201</w:t>
      </w:r>
      <w:r>
        <w:t>4</w:t>
      </w:r>
      <w:r w:rsidRPr="00E43385">
        <w:t>–1</w:t>
      </w:r>
      <w:r>
        <w:t xml:space="preserve">7 </w:t>
      </w:r>
      <w:r w:rsidRPr="00E43385">
        <w:t xml:space="preserve">regulatory control period. Attachment </w:t>
      </w:r>
      <w:r>
        <w:t>14</w:t>
      </w:r>
      <w:r w:rsidRPr="00E43385">
        <w:t xml:space="preserve"> sets out the detailed reasons for our </w:t>
      </w:r>
      <w:r>
        <w:t>draft</w:t>
      </w:r>
      <w:r w:rsidRPr="00E43385">
        <w:t xml:space="preserve"> decision</w:t>
      </w:r>
      <w:r>
        <w:t xml:space="preserve"> on pass through events</w:t>
      </w:r>
      <w:r w:rsidRPr="00E43385">
        <w:t>.</w:t>
      </w:r>
    </w:p>
    <w:p w:rsidR="0088341A" w:rsidRPr="00A907E9" w:rsidRDefault="0088341A" w:rsidP="0088341A">
      <w:pPr>
        <w:pStyle w:val="Heading2"/>
        <w:numPr>
          <w:ilvl w:val="2"/>
          <w:numId w:val="20"/>
        </w:numPr>
      </w:pPr>
      <w:bookmarkStart w:id="122" w:name="_Toc365283280"/>
      <w:r w:rsidRPr="00A907E9">
        <w:t>Draft decision</w:t>
      </w:r>
      <w:bookmarkEnd w:id="122"/>
    </w:p>
    <w:p w:rsidR="0088341A" w:rsidRPr="003600B2" w:rsidRDefault="0088341A" w:rsidP="0088341A">
      <w:pPr>
        <w:pStyle w:val="AERbodytext"/>
        <w:numPr>
          <w:ilvl w:val="0"/>
          <w:numId w:val="1"/>
        </w:numPr>
      </w:pPr>
      <w:r>
        <w:t xml:space="preserve">We do not accept a natural disaster event, a terrorism event or a liability above insurance cap event as nominated pass through events in the forms proposed by SP AusNet. Before we can accept these events as nominated pass through events, we require SP AusNet to amend its definitions. Attachment 14 contains the event definitions that we approve in this draft decision. </w:t>
      </w:r>
    </w:p>
    <w:p w:rsidR="0088341A" w:rsidRPr="00A907E9" w:rsidRDefault="0088341A" w:rsidP="0088341A">
      <w:pPr>
        <w:pStyle w:val="Heading2"/>
        <w:numPr>
          <w:ilvl w:val="2"/>
          <w:numId w:val="20"/>
        </w:numPr>
      </w:pPr>
      <w:bookmarkStart w:id="123" w:name="_Toc365283281"/>
      <w:r w:rsidRPr="00A907E9">
        <w:t>Summary of analysis and reasons</w:t>
      </w:r>
      <w:bookmarkEnd w:id="123"/>
    </w:p>
    <w:p w:rsidR="0088341A" w:rsidRDefault="0088341A" w:rsidP="0088341A">
      <w:pPr>
        <w:pStyle w:val="AERbodytext"/>
        <w:numPr>
          <w:ilvl w:val="0"/>
          <w:numId w:val="0"/>
        </w:numPr>
      </w:pPr>
      <w:r>
        <w:t xml:space="preserve">We assessed SP AusNet’s nominated cost pass through events </w:t>
      </w:r>
      <w:r w:rsidRPr="00E43385">
        <w:t>taking into account the nominated pass through event considerations.</w:t>
      </w:r>
      <w:r w:rsidRPr="00E43385">
        <w:rPr>
          <w:rStyle w:val="FootnoteReference"/>
        </w:rPr>
        <w:t xml:space="preserve"> </w:t>
      </w:r>
      <w:r w:rsidRPr="00E43385">
        <w:rPr>
          <w:rStyle w:val="FootnoteReference"/>
        </w:rPr>
        <w:footnoteReference w:id="120"/>
      </w:r>
      <w:r w:rsidRPr="00E43385">
        <w:t xml:space="preserve"> </w:t>
      </w:r>
      <w:r>
        <w:t>When</w:t>
      </w:r>
      <w:r w:rsidRPr="00E43385">
        <w:t xml:space="preserve"> we were not satisfied that </w:t>
      </w:r>
      <w:r>
        <w:t>we should accept a</w:t>
      </w:r>
      <w:r w:rsidRPr="00E43385">
        <w:t xml:space="preserve"> nominated pass through event we considered </w:t>
      </w:r>
      <w:r>
        <w:t>whether amendments</w:t>
      </w:r>
      <w:r w:rsidRPr="00E43385">
        <w:t xml:space="preserve"> t</w:t>
      </w:r>
      <w:r>
        <w:t>o the proposal would make the</w:t>
      </w:r>
      <w:r w:rsidRPr="00E43385">
        <w:t xml:space="preserve"> pass through event</w:t>
      </w:r>
      <w:r>
        <w:t xml:space="preserve"> acceptable under </w:t>
      </w:r>
      <w:r w:rsidRPr="00E43385">
        <w:t>the NER.</w:t>
      </w:r>
      <w:r>
        <w:t xml:space="preserve"> We are also </w:t>
      </w:r>
      <w:r w:rsidRPr="00E43385">
        <w:t>mindful of the overall co</w:t>
      </w:r>
      <w:r>
        <w:t>ntext of incentive regulation. That is, w</w:t>
      </w:r>
      <w:r w:rsidRPr="00E43385">
        <w:t xml:space="preserve">e need to preserve the incentives </w:t>
      </w:r>
      <w:r>
        <w:t xml:space="preserve">for </w:t>
      </w:r>
      <w:r w:rsidRPr="00E43385">
        <w:t xml:space="preserve">a TNSP to efficiently manage risk. </w:t>
      </w:r>
    </w:p>
    <w:p w:rsidR="0088341A" w:rsidRDefault="0088341A" w:rsidP="0088341A">
      <w:pPr>
        <w:pStyle w:val="AERbodytext"/>
        <w:numPr>
          <w:ilvl w:val="0"/>
          <w:numId w:val="1"/>
        </w:numPr>
      </w:pPr>
      <w:r>
        <w:t>Below we set out our reasons for amending and approving the cost pass through events proposed by SP AusNet.</w:t>
      </w:r>
    </w:p>
    <w:p w:rsidR="0088341A" w:rsidRDefault="0088341A" w:rsidP="0088341A">
      <w:pPr>
        <w:pStyle w:val="HeadingBoldBlue"/>
      </w:pPr>
      <w:r>
        <w:t>Natural disaster event</w:t>
      </w:r>
    </w:p>
    <w:p w:rsidR="0088341A" w:rsidRDefault="0088341A" w:rsidP="0088341A">
      <w:pPr>
        <w:pStyle w:val="AERbodytext"/>
        <w:numPr>
          <w:ilvl w:val="0"/>
          <w:numId w:val="0"/>
        </w:numPr>
      </w:pPr>
      <w:r w:rsidRPr="000E2F26">
        <w:t>We</w:t>
      </w:r>
      <w:r w:rsidRPr="00E43385">
        <w:t xml:space="preserve"> do not accept the natural disaster event as nominated by SP AusNet in its revenue proposal. We included an explanation of 'major' in the definition.</w:t>
      </w:r>
    </w:p>
    <w:p w:rsidR="0088341A" w:rsidRDefault="0088341A" w:rsidP="0088341A">
      <w:pPr>
        <w:pStyle w:val="HeadingBoldBlue"/>
      </w:pPr>
      <w:r>
        <w:t>Terrorism event</w:t>
      </w:r>
    </w:p>
    <w:p w:rsidR="0088341A" w:rsidRDefault="0088341A" w:rsidP="0088341A">
      <w:pPr>
        <w:pStyle w:val="AERbodytext"/>
        <w:numPr>
          <w:ilvl w:val="0"/>
          <w:numId w:val="0"/>
        </w:numPr>
      </w:pPr>
      <w:r w:rsidRPr="000E2F26">
        <w:t>We</w:t>
      </w:r>
      <w:r w:rsidRPr="00E43385">
        <w:t xml:space="preserve"> do not accept the terrorism event definition nominated by SP AusNet because it </w:t>
      </w:r>
      <w:r>
        <w:t>referred</w:t>
      </w:r>
      <w:r w:rsidRPr="00E43385">
        <w:t xml:space="preserve"> to any event that 'materially increases the costs to a Distribution Network Service Provider (DNSPs) of providing direct control services'. A reference to a DNSP is not allowed in a determination for a TNSP.</w:t>
      </w:r>
      <w:r w:rsidRPr="00E43385">
        <w:rPr>
          <w:rStyle w:val="FootnoteReference"/>
        </w:rPr>
        <w:footnoteReference w:id="121"/>
      </w:r>
      <w:r w:rsidRPr="00E43385">
        <w:t xml:space="preserve"> We discuss</w:t>
      </w:r>
      <w:r>
        <w:t>ed the matter with SP AusNet, which</w:t>
      </w:r>
      <w:r w:rsidRPr="00E43385">
        <w:t xml:space="preserve"> agreed and subsequently amend</w:t>
      </w:r>
      <w:r>
        <w:t>ed</w:t>
      </w:r>
      <w:r w:rsidRPr="00E43385">
        <w:t xml:space="preserve"> its </w:t>
      </w:r>
      <w:r>
        <w:t xml:space="preserve">proposed </w:t>
      </w:r>
      <w:r w:rsidRPr="00E43385">
        <w:t>definition.</w:t>
      </w:r>
      <w:r w:rsidRPr="00E43385">
        <w:rPr>
          <w:rStyle w:val="FootnoteReference"/>
        </w:rPr>
        <w:footnoteReference w:id="122"/>
      </w:r>
      <w:r w:rsidRPr="00E43385">
        <w:t xml:space="preserve"> We accept the revised definition</w:t>
      </w:r>
      <w:r>
        <w:t>.</w:t>
      </w:r>
    </w:p>
    <w:p w:rsidR="0088341A" w:rsidRDefault="0088341A" w:rsidP="0088341A">
      <w:pPr>
        <w:pStyle w:val="HeadingBoldBlue"/>
      </w:pPr>
      <w:r>
        <w:t>Insurance cap event</w:t>
      </w:r>
    </w:p>
    <w:p w:rsidR="0088341A" w:rsidRDefault="0088341A" w:rsidP="0088341A">
      <w:pPr>
        <w:pStyle w:val="AERbodytext"/>
        <w:numPr>
          <w:ilvl w:val="0"/>
          <w:numId w:val="1"/>
        </w:numPr>
      </w:pPr>
      <w:r>
        <w:t>We do not accept the liability above insurance cap event definition nominated by SP AusNet.</w:t>
      </w:r>
      <w:r>
        <w:rPr>
          <w:rStyle w:val="FootnoteReference"/>
        </w:rPr>
        <w:footnoteReference w:id="123"/>
      </w:r>
      <w:r w:rsidRPr="0096151A">
        <w:t xml:space="preserve"> </w:t>
      </w:r>
      <w:r>
        <w:t xml:space="preserve">We consider SP AusNet’s insurance cap event should be amended to correctly define it in the context of the TNSP's total opex allowance. For </w:t>
      </w:r>
      <w:r w:rsidRPr="00E76E3B">
        <w:rPr>
          <w:rStyle w:val="AERbody"/>
        </w:rPr>
        <w:t>consistency</w:t>
      </w:r>
      <w:r>
        <w:rPr>
          <w:rStyle w:val="AERbody"/>
        </w:rPr>
        <w:t xml:space="preserve"> across jurisdictions</w:t>
      </w:r>
      <w:r>
        <w:t>, we renamed the event as an 'insurance cap event'.</w:t>
      </w:r>
    </w:p>
    <w:p w:rsidR="0088341A" w:rsidRPr="00CE71F2" w:rsidRDefault="0088341A" w:rsidP="0088341A">
      <w:pPr>
        <w:pStyle w:val="AERbodytext"/>
        <w:numPr>
          <w:ilvl w:val="0"/>
          <w:numId w:val="1"/>
        </w:numPr>
      </w:pPr>
    </w:p>
    <w:p w:rsidR="0088341A" w:rsidRDefault="0088341A" w:rsidP="0088341A">
      <w:pPr>
        <w:pStyle w:val="UnnumberedHeading"/>
        <w:numPr>
          <w:ilvl w:val="0"/>
          <w:numId w:val="2"/>
        </w:numPr>
        <w:sectPr w:rsidR="0088341A">
          <w:pgSz w:w="11906" w:h="16838"/>
          <w:pgMar w:top="1440" w:right="1440" w:bottom="1440" w:left="1440" w:header="708" w:footer="708" w:gutter="0"/>
          <w:cols w:space="708"/>
          <w:docGrid w:linePitch="360"/>
        </w:sectPr>
      </w:pPr>
    </w:p>
    <w:p w:rsidR="0088341A" w:rsidRDefault="0088341A" w:rsidP="0088341A">
      <w:pPr>
        <w:pStyle w:val="UnnumberedHeading"/>
        <w:numPr>
          <w:ilvl w:val="0"/>
          <w:numId w:val="2"/>
        </w:numPr>
      </w:pPr>
      <w:bookmarkStart w:id="124" w:name="_Toc365283282"/>
      <w:bookmarkStart w:id="125" w:name="_Toc365461996"/>
      <w:r>
        <w:lastRenderedPageBreak/>
        <w:t>Part 2 – Attachments</w:t>
      </w:r>
      <w:bookmarkEnd w:id="124"/>
      <w:bookmarkEnd w:id="125"/>
    </w:p>
    <w:p w:rsidR="0088341A" w:rsidRPr="005D1337" w:rsidRDefault="0088341A" w:rsidP="0088341A">
      <w:pPr>
        <w:pStyle w:val="AERbodytext"/>
        <w:numPr>
          <w:ilvl w:val="0"/>
          <w:numId w:val="0"/>
        </w:numPr>
      </w:pPr>
    </w:p>
    <w:p w:rsidR="0088341A" w:rsidRDefault="0088341A" w:rsidP="0088341A">
      <w:pPr>
        <w:pStyle w:val="Heading1"/>
        <w:numPr>
          <w:ilvl w:val="1"/>
          <w:numId w:val="20"/>
        </w:numPr>
        <w:sectPr w:rsidR="0088341A">
          <w:pgSz w:w="11906" w:h="16838"/>
          <w:pgMar w:top="1440" w:right="1440" w:bottom="1440" w:left="1440" w:header="708" w:footer="708" w:gutter="0"/>
          <w:cols w:space="708"/>
          <w:docGrid w:linePitch="360"/>
        </w:sectPr>
      </w:pPr>
    </w:p>
    <w:p w:rsidR="0088341A" w:rsidRPr="00DA1409" w:rsidRDefault="0088341A" w:rsidP="0088341A">
      <w:pPr>
        <w:pStyle w:val="Heading1"/>
        <w:numPr>
          <w:ilvl w:val="1"/>
          <w:numId w:val="21"/>
        </w:numPr>
      </w:pPr>
      <w:bookmarkStart w:id="126" w:name="_Toc365283283"/>
      <w:bookmarkStart w:id="127" w:name="_Toc365461997"/>
      <w:r w:rsidRPr="00DA1409">
        <w:lastRenderedPageBreak/>
        <w:t>Real cost escalation</w:t>
      </w:r>
      <w:bookmarkEnd w:id="126"/>
      <w:bookmarkEnd w:id="127"/>
    </w:p>
    <w:p w:rsidR="0088341A" w:rsidRDefault="0088341A" w:rsidP="0088341A">
      <w:pPr>
        <w:pStyle w:val="AERbodytext"/>
        <w:numPr>
          <w:ilvl w:val="0"/>
          <w:numId w:val="3"/>
        </w:numPr>
      </w:pPr>
      <w:r w:rsidRPr="00760B9A">
        <w:t>Real cost escalation account</w:t>
      </w:r>
      <w:r>
        <w:t>s</w:t>
      </w:r>
      <w:r w:rsidRPr="00760B9A">
        <w:t xml:space="preserve"> for expected changes in the costs of key input factors</w:t>
      </w:r>
      <w:r>
        <w:t xml:space="preserve"> for the opex and capex forecasts</w:t>
      </w:r>
      <w:r w:rsidRPr="00760B9A">
        <w:t>. Due to market forces, these costs may not increase at the same rate as inflation.</w:t>
      </w:r>
    </w:p>
    <w:p w:rsidR="0088341A" w:rsidRPr="00062319" w:rsidRDefault="0088341A" w:rsidP="0088341A">
      <w:pPr>
        <w:pStyle w:val="Heading2"/>
        <w:numPr>
          <w:ilvl w:val="2"/>
          <w:numId w:val="20"/>
        </w:numPr>
      </w:pPr>
      <w:bookmarkStart w:id="128" w:name="_Toc326056439"/>
      <w:bookmarkStart w:id="129" w:name="_Toc365283284"/>
      <w:r w:rsidRPr="00062319">
        <w:t>Draft decision</w:t>
      </w:r>
      <w:bookmarkEnd w:id="128"/>
      <w:bookmarkEnd w:id="129"/>
    </w:p>
    <w:p w:rsidR="0088341A" w:rsidRPr="003F6B90" w:rsidRDefault="0088341A" w:rsidP="0088341A">
      <w:pPr>
        <w:pStyle w:val="AERbodytext"/>
        <w:numPr>
          <w:ilvl w:val="0"/>
          <w:numId w:val="1"/>
        </w:numPr>
        <w:rPr>
          <w:rStyle w:val="AERbody"/>
        </w:rPr>
      </w:pPr>
      <w:r w:rsidRPr="003F6B90">
        <w:rPr>
          <w:rStyle w:val="AERbody"/>
        </w:rPr>
        <w:t>We do not accept that SP AusNet's proposed real cost escalators reasonably reflect a realistic expectation of the cost inputs required to achieve the opex and capex objectives over the 2014–17 regulatory control period.</w:t>
      </w:r>
      <w:r w:rsidRPr="001B6FB3">
        <w:rPr>
          <w:rStyle w:val="AERsuperscript"/>
        </w:rPr>
        <w:footnoteReference w:id="124"/>
      </w:r>
      <w:r w:rsidRPr="003F6B90">
        <w:rPr>
          <w:rStyle w:val="AERbody"/>
        </w:rPr>
        <w:t xml:space="preserve"> </w:t>
      </w:r>
      <w:r w:rsidR="006F07FB">
        <w:rPr>
          <w:rStyle w:val="AERbody"/>
        </w:rPr>
        <w:t>For this reason,</w:t>
      </w:r>
      <w:r w:rsidR="006F07FB" w:rsidRPr="003F6B90">
        <w:rPr>
          <w:rStyle w:val="AERbody"/>
        </w:rPr>
        <w:t xml:space="preserve"> </w:t>
      </w:r>
      <w:r w:rsidRPr="003F6B90">
        <w:rPr>
          <w:rStyle w:val="AERbody"/>
        </w:rPr>
        <w:t xml:space="preserve">we determined the substitute escalators </w:t>
      </w:r>
      <w:r w:rsidR="00DD623F">
        <w:rPr>
          <w:rStyle w:val="AERbody"/>
        </w:rPr>
        <w:t>(</w:t>
      </w:r>
      <w:r w:rsidR="00E11370">
        <w:rPr>
          <w:rStyle w:val="AERbody"/>
        </w:rPr>
        <w:fldChar w:fldCharType="begin"/>
      </w:r>
      <w:r w:rsidR="00E11370">
        <w:rPr>
          <w:rStyle w:val="AERbody"/>
        </w:rPr>
        <w:instrText xml:space="preserve"> REF  _Ref365272205 \* Lower \h </w:instrText>
      </w:r>
      <w:r w:rsidR="00E11370">
        <w:rPr>
          <w:rStyle w:val="AERbody"/>
        </w:rPr>
      </w:r>
      <w:r w:rsidR="00E11370">
        <w:rPr>
          <w:rStyle w:val="AERbody"/>
        </w:rPr>
        <w:fldChar w:fldCharType="separate"/>
      </w:r>
      <w:r w:rsidR="004F35AA">
        <w:t xml:space="preserve">table </w:t>
      </w:r>
      <w:r w:rsidR="004F35AA">
        <w:rPr>
          <w:noProof/>
        </w:rPr>
        <w:t>1</w:t>
      </w:r>
      <w:r w:rsidR="004F35AA">
        <w:t>.</w:t>
      </w:r>
      <w:r w:rsidR="004F35AA">
        <w:rPr>
          <w:noProof/>
        </w:rPr>
        <w:t>1</w:t>
      </w:r>
      <w:r w:rsidR="00E11370">
        <w:rPr>
          <w:rStyle w:val="AERbody"/>
        </w:rPr>
        <w:fldChar w:fldCharType="end"/>
      </w:r>
      <w:r w:rsidR="00DD623F">
        <w:rPr>
          <w:rStyle w:val="AERbody"/>
        </w:rPr>
        <w:t xml:space="preserve"> and</w:t>
      </w:r>
      <w:r>
        <w:rPr>
          <w:rStyle w:val="AERbody"/>
        </w:rPr>
        <w:t xml:space="preserve"> </w:t>
      </w:r>
      <w:r w:rsidR="00E11370">
        <w:rPr>
          <w:rStyle w:val="AERbody"/>
        </w:rPr>
        <w:fldChar w:fldCharType="begin"/>
      </w:r>
      <w:r w:rsidR="00E11370">
        <w:rPr>
          <w:rStyle w:val="AERbody"/>
        </w:rPr>
        <w:instrText xml:space="preserve"> REF  _Ref363819286 \* Lower \h </w:instrText>
      </w:r>
      <w:r w:rsidR="00E11370">
        <w:rPr>
          <w:rStyle w:val="AERbody"/>
        </w:rPr>
      </w:r>
      <w:r w:rsidR="00E11370">
        <w:rPr>
          <w:rStyle w:val="AERbody"/>
        </w:rPr>
        <w:fldChar w:fldCharType="separate"/>
      </w:r>
      <w:r w:rsidR="004F35AA">
        <w:t xml:space="preserve">table </w:t>
      </w:r>
      <w:r w:rsidR="004F35AA">
        <w:rPr>
          <w:noProof/>
        </w:rPr>
        <w:t>1</w:t>
      </w:r>
      <w:r w:rsidR="004F35AA">
        <w:t>.</w:t>
      </w:r>
      <w:r w:rsidR="004F35AA">
        <w:rPr>
          <w:noProof/>
        </w:rPr>
        <w:t>2</w:t>
      </w:r>
      <w:r w:rsidR="00E11370">
        <w:rPr>
          <w:rStyle w:val="AERbody"/>
        </w:rPr>
        <w:fldChar w:fldCharType="end"/>
      </w:r>
      <w:r w:rsidRPr="003F6B90">
        <w:rPr>
          <w:rStyle w:val="AERbody"/>
        </w:rPr>
        <w:t>), which reflect our considerations that:</w:t>
      </w:r>
    </w:p>
    <w:p w:rsidR="0088341A" w:rsidRPr="00A771F4" w:rsidRDefault="0088341A" w:rsidP="0088341A">
      <w:pPr>
        <w:pStyle w:val="AERbulletlistfirststyle"/>
        <w:ind w:left="357" w:hanging="357"/>
      </w:pPr>
      <w:r w:rsidRPr="00E546F8">
        <w:t>labour cost forecasts developed by Deloitte Access Economics (DAE) reasonably reflect a realistic expectation of the cost inputs required to achieve the opex and capex objectives</w:t>
      </w:r>
    </w:p>
    <w:p w:rsidR="0088341A" w:rsidRPr="00A771F4" w:rsidRDefault="0088341A" w:rsidP="0088341A">
      <w:pPr>
        <w:pStyle w:val="AERbulletlistfirststyle"/>
        <w:ind w:left="357" w:hanging="357"/>
      </w:pPr>
      <w:r>
        <w:t>the inclusion of labour inputs in the material escalators double counts SP</w:t>
      </w:r>
      <w:r w:rsidRPr="00A771F4">
        <w:t xml:space="preserve"> AusNet's forecast labour cost requirements</w:t>
      </w:r>
    </w:p>
    <w:p w:rsidR="0088341A" w:rsidRPr="00A771F4" w:rsidRDefault="0088341A" w:rsidP="0088341A">
      <w:pPr>
        <w:pStyle w:val="AERbulletlistfirststyle"/>
        <w:ind w:left="357" w:hanging="357"/>
      </w:pPr>
      <w:r w:rsidRPr="00E546F8">
        <w:t xml:space="preserve">forecast inputs for material escalation </w:t>
      </w:r>
      <w:r w:rsidRPr="00A771F4">
        <w:t>and exchange rates should be updated to reflect most recent data.</w:t>
      </w:r>
    </w:p>
    <w:p w:rsidR="0088341A" w:rsidRPr="00E546F8" w:rsidRDefault="00FC2F29" w:rsidP="00FC2F29">
      <w:pPr>
        <w:pStyle w:val="Caption"/>
        <w:rPr>
          <w:rStyle w:val="AERbody"/>
        </w:rPr>
      </w:pPr>
      <w:bookmarkStart w:id="130" w:name="_Ref365272205"/>
      <w:r>
        <w:t xml:space="preserve">Table </w:t>
      </w:r>
      <w:fldSimple w:instr=" STYLEREF 1 \s ">
        <w:r w:rsidR="004F35AA">
          <w:rPr>
            <w:noProof/>
          </w:rPr>
          <w:t>1</w:t>
        </w:r>
      </w:fldSimple>
      <w:r w:rsidR="00C56A87">
        <w:t>.</w:t>
      </w:r>
      <w:fldSimple w:instr=" SEQ Table \* ARABIC \s 1 ">
        <w:r w:rsidR="004F35AA">
          <w:rPr>
            <w:noProof/>
          </w:rPr>
          <w:t>1</w:t>
        </w:r>
      </w:fldSimple>
      <w:bookmarkEnd w:id="130"/>
      <w:r w:rsidR="0088341A">
        <w:tab/>
        <w:t>AER's draft decision on real cost escalation—inputs (per cent)</w:t>
      </w:r>
    </w:p>
    <w:tbl>
      <w:tblPr>
        <w:tblStyle w:val="AERtable-numbers"/>
        <w:tblW w:w="0" w:type="auto"/>
        <w:tblLook w:val="04A0" w:firstRow="1" w:lastRow="0" w:firstColumn="1" w:lastColumn="0" w:noHBand="0" w:noVBand="1"/>
      </w:tblPr>
      <w:tblGrid>
        <w:gridCol w:w="1540"/>
        <w:gridCol w:w="1540"/>
        <w:gridCol w:w="1540"/>
        <w:gridCol w:w="1540"/>
        <w:gridCol w:w="1541"/>
        <w:gridCol w:w="1541"/>
      </w:tblGrid>
      <w:tr w:rsidR="0088341A" w:rsidRPr="004D3EDB" w:rsidTr="004D3E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88341A" w:rsidRPr="004D3EDB" w:rsidRDefault="0088341A" w:rsidP="004D3EDB">
            <w:pPr>
              <w:pStyle w:val="AERtabletextleft"/>
            </w:pPr>
          </w:p>
        </w:tc>
        <w:tc>
          <w:tcPr>
            <w:tcW w:w="1540" w:type="dxa"/>
          </w:tcPr>
          <w:p w:rsidR="0088341A" w:rsidRPr="004D3EDB" w:rsidRDefault="0088341A" w:rsidP="004D3EDB">
            <w:pPr>
              <w:pStyle w:val="AERtabletextright"/>
              <w:cnfStyle w:val="100000000000" w:firstRow="1" w:lastRow="0" w:firstColumn="0" w:lastColumn="0" w:oddVBand="0" w:evenVBand="0" w:oddHBand="0" w:evenHBand="0" w:firstRowFirstColumn="0" w:firstRowLastColumn="0" w:lastRowFirstColumn="0" w:lastRowLastColumn="0"/>
            </w:pPr>
            <w:r w:rsidRPr="004D3EDB">
              <w:t>2012–13</w:t>
            </w:r>
          </w:p>
        </w:tc>
        <w:tc>
          <w:tcPr>
            <w:tcW w:w="1540" w:type="dxa"/>
          </w:tcPr>
          <w:p w:rsidR="0088341A" w:rsidRPr="004D3EDB" w:rsidRDefault="0088341A" w:rsidP="004D3EDB">
            <w:pPr>
              <w:pStyle w:val="AERtabletextright"/>
              <w:cnfStyle w:val="100000000000" w:firstRow="1" w:lastRow="0" w:firstColumn="0" w:lastColumn="0" w:oddVBand="0" w:evenVBand="0" w:oddHBand="0" w:evenHBand="0" w:firstRowFirstColumn="0" w:firstRowLastColumn="0" w:lastRowFirstColumn="0" w:lastRowLastColumn="0"/>
            </w:pPr>
            <w:r w:rsidRPr="004D3EDB">
              <w:t>2013–14</w:t>
            </w:r>
          </w:p>
        </w:tc>
        <w:tc>
          <w:tcPr>
            <w:tcW w:w="1540" w:type="dxa"/>
          </w:tcPr>
          <w:p w:rsidR="0088341A" w:rsidRPr="004D3EDB" w:rsidRDefault="0088341A" w:rsidP="004D3EDB">
            <w:pPr>
              <w:pStyle w:val="AERtabletextright"/>
              <w:cnfStyle w:val="100000000000" w:firstRow="1" w:lastRow="0" w:firstColumn="0" w:lastColumn="0" w:oddVBand="0" w:evenVBand="0" w:oddHBand="0" w:evenHBand="0" w:firstRowFirstColumn="0" w:firstRowLastColumn="0" w:lastRowFirstColumn="0" w:lastRowLastColumn="0"/>
            </w:pPr>
            <w:r w:rsidRPr="004D3EDB">
              <w:t>2014–15</w:t>
            </w:r>
          </w:p>
        </w:tc>
        <w:tc>
          <w:tcPr>
            <w:tcW w:w="1541" w:type="dxa"/>
          </w:tcPr>
          <w:p w:rsidR="0088341A" w:rsidRPr="004D3EDB" w:rsidRDefault="0088341A" w:rsidP="004D3EDB">
            <w:pPr>
              <w:pStyle w:val="AERtabletextright"/>
              <w:cnfStyle w:val="100000000000" w:firstRow="1" w:lastRow="0" w:firstColumn="0" w:lastColumn="0" w:oddVBand="0" w:evenVBand="0" w:oddHBand="0" w:evenHBand="0" w:firstRowFirstColumn="0" w:firstRowLastColumn="0" w:lastRowFirstColumn="0" w:lastRowLastColumn="0"/>
            </w:pPr>
            <w:r w:rsidRPr="004D3EDB">
              <w:t>2015–16</w:t>
            </w:r>
          </w:p>
        </w:tc>
        <w:tc>
          <w:tcPr>
            <w:tcW w:w="1541" w:type="dxa"/>
          </w:tcPr>
          <w:p w:rsidR="0088341A" w:rsidRPr="004D3EDB" w:rsidRDefault="0088341A" w:rsidP="004D3EDB">
            <w:pPr>
              <w:pStyle w:val="AERtabletextright"/>
              <w:cnfStyle w:val="100000000000" w:firstRow="1" w:lastRow="0" w:firstColumn="0" w:lastColumn="0" w:oddVBand="0" w:evenVBand="0" w:oddHBand="0" w:evenHBand="0" w:firstRowFirstColumn="0" w:firstRowLastColumn="0" w:lastRowFirstColumn="0" w:lastRowLastColumn="0"/>
            </w:pPr>
            <w:r w:rsidRPr="004D3EDB">
              <w:t>2016–17</w:t>
            </w:r>
          </w:p>
        </w:tc>
      </w:tr>
      <w:tr w:rsidR="0088341A" w:rsidRPr="004D3EDB" w:rsidTr="004D3EDB">
        <w:tc>
          <w:tcPr>
            <w:cnfStyle w:val="001000000000" w:firstRow="0" w:lastRow="0" w:firstColumn="1" w:lastColumn="0" w:oddVBand="0" w:evenVBand="0" w:oddHBand="0" w:evenHBand="0" w:firstRowFirstColumn="0" w:firstRowLastColumn="0" w:lastRowFirstColumn="0" w:lastRowLastColumn="0"/>
            <w:tcW w:w="1540" w:type="dxa"/>
          </w:tcPr>
          <w:p w:rsidR="0088341A" w:rsidRPr="004D3EDB" w:rsidRDefault="0088341A" w:rsidP="004D3EDB">
            <w:pPr>
              <w:pStyle w:val="AERtabletextleft"/>
              <w:rPr>
                <w:b/>
              </w:rPr>
            </w:pPr>
            <w:r w:rsidRPr="004D3EDB">
              <w:rPr>
                <w:b/>
              </w:rPr>
              <w:t>Labour</w:t>
            </w:r>
          </w:p>
        </w:tc>
        <w:tc>
          <w:tcPr>
            <w:tcW w:w="1540"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p>
        </w:tc>
        <w:tc>
          <w:tcPr>
            <w:tcW w:w="1540"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p>
        </w:tc>
        <w:tc>
          <w:tcPr>
            <w:tcW w:w="1540"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p>
        </w:tc>
        <w:tc>
          <w:tcPr>
            <w:tcW w:w="1541"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p>
        </w:tc>
        <w:tc>
          <w:tcPr>
            <w:tcW w:w="1541"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p>
        </w:tc>
      </w:tr>
      <w:tr w:rsidR="0088341A" w:rsidRPr="004D3EDB" w:rsidTr="004D3E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88341A" w:rsidRPr="004D3EDB" w:rsidRDefault="0088341A" w:rsidP="004D3EDB">
            <w:pPr>
              <w:pStyle w:val="AERtabletextleft"/>
            </w:pPr>
            <w:r w:rsidRPr="004D3EDB">
              <w:t>Internal</w:t>
            </w:r>
          </w:p>
        </w:tc>
        <w:tc>
          <w:tcPr>
            <w:tcW w:w="1540"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1.</w:t>
            </w:r>
            <w:r w:rsidR="00257B02" w:rsidRPr="004D3EDB">
              <w:t>1</w:t>
            </w:r>
          </w:p>
        </w:tc>
        <w:tc>
          <w:tcPr>
            <w:tcW w:w="1540"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0.5</w:t>
            </w:r>
          </w:p>
        </w:tc>
        <w:tc>
          <w:tcPr>
            <w:tcW w:w="1540"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1.0</w:t>
            </w:r>
          </w:p>
        </w:tc>
        <w:tc>
          <w:tcPr>
            <w:tcW w:w="1541"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1.0</w:t>
            </w:r>
          </w:p>
        </w:tc>
        <w:tc>
          <w:tcPr>
            <w:tcW w:w="1541"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1.2</w:t>
            </w:r>
          </w:p>
        </w:tc>
      </w:tr>
      <w:tr w:rsidR="0088341A" w:rsidRPr="004D3EDB" w:rsidTr="004D3EDB">
        <w:tc>
          <w:tcPr>
            <w:cnfStyle w:val="001000000000" w:firstRow="0" w:lastRow="0" w:firstColumn="1" w:lastColumn="0" w:oddVBand="0" w:evenVBand="0" w:oddHBand="0" w:evenHBand="0" w:firstRowFirstColumn="0" w:firstRowLastColumn="0" w:lastRowFirstColumn="0" w:lastRowLastColumn="0"/>
            <w:tcW w:w="1540" w:type="dxa"/>
          </w:tcPr>
          <w:p w:rsidR="0088341A" w:rsidRPr="004D3EDB" w:rsidRDefault="0088341A" w:rsidP="004D3EDB">
            <w:pPr>
              <w:pStyle w:val="AERtabletextleft"/>
            </w:pPr>
            <w:r w:rsidRPr="004D3EDB">
              <w:t>External</w:t>
            </w:r>
          </w:p>
        </w:tc>
        <w:tc>
          <w:tcPr>
            <w:tcW w:w="1540"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0.</w:t>
            </w:r>
            <w:r w:rsidR="00257B02" w:rsidRPr="004D3EDB">
              <w:t>1</w:t>
            </w:r>
          </w:p>
        </w:tc>
        <w:tc>
          <w:tcPr>
            <w:tcW w:w="1540"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0.0</w:t>
            </w:r>
          </w:p>
        </w:tc>
        <w:tc>
          <w:tcPr>
            <w:tcW w:w="1540"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0.</w:t>
            </w:r>
            <w:r w:rsidR="0023091F" w:rsidRPr="004D3EDB">
              <w:t>6</w:t>
            </w:r>
          </w:p>
        </w:tc>
        <w:tc>
          <w:tcPr>
            <w:tcW w:w="1541"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1.0</w:t>
            </w:r>
          </w:p>
        </w:tc>
        <w:tc>
          <w:tcPr>
            <w:tcW w:w="1541" w:type="dxa"/>
          </w:tcPr>
          <w:p w:rsidR="0088341A" w:rsidRPr="004D3EDB" w:rsidRDefault="00257B02"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1</w:t>
            </w:r>
            <w:r w:rsidR="0088341A" w:rsidRPr="004D3EDB">
              <w:t>.</w:t>
            </w:r>
            <w:r w:rsidR="0023091F" w:rsidRPr="004D3EDB">
              <w:t>4</w:t>
            </w:r>
          </w:p>
        </w:tc>
      </w:tr>
      <w:tr w:rsidR="0088341A" w:rsidRPr="004D3EDB" w:rsidTr="004D3E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88341A" w:rsidRPr="004D3EDB" w:rsidRDefault="0088341A" w:rsidP="004D3EDB">
            <w:pPr>
              <w:pStyle w:val="AERtabletextleft"/>
              <w:rPr>
                <w:b/>
              </w:rPr>
            </w:pPr>
            <w:r w:rsidRPr="004D3EDB">
              <w:rPr>
                <w:b/>
              </w:rPr>
              <w:t>Materials</w:t>
            </w:r>
          </w:p>
        </w:tc>
        <w:tc>
          <w:tcPr>
            <w:tcW w:w="1540"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p>
        </w:tc>
        <w:tc>
          <w:tcPr>
            <w:tcW w:w="1540"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p>
        </w:tc>
        <w:tc>
          <w:tcPr>
            <w:tcW w:w="1540"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p>
        </w:tc>
        <w:tc>
          <w:tcPr>
            <w:tcW w:w="1541"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p>
        </w:tc>
        <w:tc>
          <w:tcPr>
            <w:tcW w:w="1541"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p>
        </w:tc>
      </w:tr>
      <w:tr w:rsidR="0088341A" w:rsidRPr="004D3EDB" w:rsidTr="004D3EDB">
        <w:tc>
          <w:tcPr>
            <w:cnfStyle w:val="001000000000" w:firstRow="0" w:lastRow="0" w:firstColumn="1" w:lastColumn="0" w:oddVBand="0" w:evenVBand="0" w:oddHBand="0" w:evenHBand="0" w:firstRowFirstColumn="0" w:firstRowLastColumn="0" w:lastRowFirstColumn="0" w:lastRowLastColumn="0"/>
            <w:tcW w:w="1540" w:type="dxa"/>
          </w:tcPr>
          <w:p w:rsidR="0088341A" w:rsidRPr="004D3EDB" w:rsidRDefault="0088341A" w:rsidP="004D3EDB">
            <w:pPr>
              <w:pStyle w:val="AERtabletextleft"/>
            </w:pPr>
            <w:r w:rsidRPr="004D3EDB">
              <w:t>Aluminium</w:t>
            </w:r>
          </w:p>
        </w:tc>
        <w:tc>
          <w:tcPr>
            <w:tcW w:w="1540"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–14.7</w:t>
            </w:r>
          </w:p>
        </w:tc>
        <w:tc>
          <w:tcPr>
            <w:tcW w:w="1540"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0.8</w:t>
            </w:r>
          </w:p>
        </w:tc>
        <w:tc>
          <w:tcPr>
            <w:tcW w:w="1540"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5.4</w:t>
            </w:r>
          </w:p>
        </w:tc>
        <w:tc>
          <w:tcPr>
            <w:tcW w:w="1541"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4.6</w:t>
            </w:r>
          </w:p>
        </w:tc>
        <w:tc>
          <w:tcPr>
            <w:tcW w:w="1541"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5.2</w:t>
            </w:r>
          </w:p>
        </w:tc>
      </w:tr>
      <w:tr w:rsidR="0088341A" w:rsidRPr="004D3EDB" w:rsidTr="004D3E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88341A" w:rsidRPr="004D3EDB" w:rsidRDefault="0088341A" w:rsidP="004D3EDB">
            <w:pPr>
              <w:pStyle w:val="AERtabletextleft"/>
            </w:pPr>
            <w:r w:rsidRPr="004D3EDB">
              <w:t>Copper</w:t>
            </w:r>
          </w:p>
        </w:tc>
        <w:tc>
          <w:tcPr>
            <w:tcW w:w="1540"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–7.9</w:t>
            </w:r>
          </w:p>
        </w:tc>
        <w:tc>
          <w:tcPr>
            <w:tcW w:w="1540"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–3.8</w:t>
            </w:r>
          </w:p>
        </w:tc>
        <w:tc>
          <w:tcPr>
            <w:tcW w:w="1540"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1.5</w:t>
            </w:r>
          </w:p>
        </w:tc>
        <w:tc>
          <w:tcPr>
            <w:tcW w:w="1541"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1.1</w:t>
            </w:r>
          </w:p>
        </w:tc>
        <w:tc>
          <w:tcPr>
            <w:tcW w:w="1541"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0.8</w:t>
            </w:r>
          </w:p>
        </w:tc>
      </w:tr>
      <w:tr w:rsidR="0088341A" w:rsidRPr="004D3EDB" w:rsidTr="004D3EDB">
        <w:tc>
          <w:tcPr>
            <w:cnfStyle w:val="001000000000" w:firstRow="0" w:lastRow="0" w:firstColumn="1" w:lastColumn="0" w:oddVBand="0" w:evenVBand="0" w:oddHBand="0" w:evenHBand="0" w:firstRowFirstColumn="0" w:firstRowLastColumn="0" w:lastRowFirstColumn="0" w:lastRowLastColumn="0"/>
            <w:tcW w:w="1540" w:type="dxa"/>
          </w:tcPr>
          <w:p w:rsidR="0088341A" w:rsidRPr="004D3EDB" w:rsidRDefault="0088341A" w:rsidP="004D3EDB">
            <w:pPr>
              <w:pStyle w:val="AERtabletextleft"/>
            </w:pPr>
            <w:r w:rsidRPr="004D3EDB">
              <w:t>Steel</w:t>
            </w:r>
          </w:p>
        </w:tc>
        <w:tc>
          <w:tcPr>
            <w:tcW w:w="1540"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–12.8</w:t>
            </w:r>
          </w:p>
        </w:tc>
        <w:tc>
          <w:tcPr>
            <w:tcW w:w="1540"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4.7</w:t>
            </w:r>
          </w:p>
        </w:tc>
        <w:tc>
          <w:tcPr>
            <w:tcW w:w="1540"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3.4</w:t>
            </w:r>
          </w:p>
        </w:tc>
        <w:tc>
          <w:tcPr>
            <w:tcW w:w="1541"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1.3</w:t>
            </w:r>
          </w:p>
        </w:tc>
        <w:tc>
          <w:tcPr>
            <w:tcW w:w="1541"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0.8</w:t>
            </w:r>
          </w:p>
        </w:tc>
      </w:tr>
      <w:tr w:rsidR="0088341A" w:rsidRPr="004D3EDB" w:rsidTr="004D3E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88341A" w:rsidRPr="004D3EDB" w:rsidRDefault="0088341A" w:rsidP="004D3EDB">
            <w:pPr>
              <w:pStyle w:val="AERtabletextleft"/>
            </w:pPr>
            <w:r w:rsidRPr="004D3EDB">
              <w:t>Crude oil</w:t>
            </w:r>
          </w:p>
        </w:tc>
        <w:tc>
          <w:tcPr>
            <w:tcW w:w="1540"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–5.9</w:t>
            </w:r>
          </w:p>
        </w:tc>
        <w:tc>
          <w:tcPr>
            <w:tcW w:w="1540"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9.9</w:t>
            </w:r>
          </w:p>
        </w:tc>
        <w:tc>
          <w:tcPr>
            <w:tcW w:w="1540"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–4.1</w:t>
            </w:r>
          </w:p>
        </w:tc>
        <w:tc>
          <w:tcPr>
            <w:tcW w:w="1541"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–4.2</w:t>
            </w:r>
          </w:p>
        </w:tc>
        <w:tc>
          <w:tcPr>
            <w:tcW w:w="1541"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–2.9</w:t>
            </w:r>
          </w:p>
        </w:tc>
      </w:tr>
      <w:tr w:rsidR="0088341A" w:rsidRPr="004D3EDB" w:rsidTr="004D3EDB">
        <w:tc>
          <w:tcPr>
            <w:cnfStyle w:val="001000000000" w:firstRow="0" w:lastRow="0" w:firstColumn="1" w:lastColumn="0" w:oddVBand="0" w:evenVBand="0" w:oddHBand="0" w:evenHBand="0" w:firstRowFirstColumn="0" w:firstRowLastColumn="0" w:lastRowFirstColumn="0" w:lastRowLastColumn="0"/>
            <w:tcW w:w="1540" w:type="dxa"/>
          </w:tcPr>
          <w:p w:rsidR="0088341A" w:rsidRPr="004D3EDB" w:rsidRDefault="0088341A" w:rsidP="004D3EDB">
            <w:pPr>
              <w:pStyle w:val="AERtabletextleft"/>
            </w:pPr>
            <w:r w:rsidRPr="004D3EDB">
              <w:t>Construction costs</w:t>
            </w:r>
          </w:p>
        </w:tc>
        <w:tc>
          <w:tcPr>
            <w:tcW w:w="1540"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1.3</w:t>
            </w:r>
          </w:p>
        </w:tc>
        <w:tc>
          <w:tcPr>
            <w:tcW w:w="1540"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8.3</w:t>
            </w:r>
          </w:p>
        </w:tc>
        <w:tc>
          <w:tcPr>
            <w:tcW w:w="1540"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0.5</w:t>
            </w:r>
          </w:p>
        </w:tc>
        <w:tc>
          <w:tcPr>
            <w:tcW w:w="1541"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0.4</w:t>
            </w:r>
          </w:p>
        </w:tc>
        <w:tc>
          <w:tcPr>
            <w:tcW w:w="1541"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0.4</w:t>
            </w:r>
          </w:p>
        </w:tc>
      </w:tr>
    </w:tbl>
    <w:p w:rsidR="0088341A" w:rsidRDefault="0088341A" w:rsidP="0088341A">
      <w:pPr>
        <w:pStyle w:val="AERtablesource"/>
      </w:pPr>
      <w:r>
        <w:t>Source:</w:t>
      </w:r>
      <w:r>
        <w:tab/>
        <w:t>AER analysis.</w:t>
      </w:r>
    </w:p>
    <w:p w:rsidR="004D3EDB" w:rsidRPr="004D3EDB" w:rsidRDefault="004D3EDB" w:rsidP="004D3EDB">
      <w:pPr>
        <w:pStyle w:val="AERbodytext"/>
      </w:pPr>
    </w:p>
    <w:p w:rsidR="0088341A" w:rsidRPr="00A771F4" w:rsidRDefault="0088341A" w:rsidP="004D3EDB">
      <w:pPr>
        <w:pStyle w:val="Caption"/>
        <w:keepLines/>
      </w:pPr>
      <w:bookmarkStart w:id="131" w:name="_Ref360011781"/>
      <w:bookmarkStart w:id="132" w:name="_Ref363819286"/>
      <w:r>
        <w:lastRenderedPageBreak/>
        <w:t xml:space="preserve">Table </w:t>
      </w:r>
      <w:fldSimple w:instr=" STYLEREF 1 \s ">
        <w:r w:rsidR="004F35AA">
          <w:rPr>
            <w:noProof/>
          </w:rPr>
          <w:t>1</w:t>
        </w:r>
      </w:fldSimple>
      <w:r w:rsidR="00C56A87">
        <w:t>.</w:t>
      </w:r>
      <w:fldSimple w:instr=" SEQ Table \* ARABIC \s 1 ">
        <w:r w:rsidR="004F35AA">
          <w:rPr>
            <w:noProof/>
          </w:rPr>
          <w:t>2</w:t>
        </w:r>
      </w:fldSimple>
      <w:bookmarkEnd w:id="131"/>
      <w:bookmarkEnd w:id="132"/>
      <w:r w:rsidRPr="00A771F4">
        <w:tab/>
        <w:t>AER's draft decision on real cost escalation (indices)</w:t>
      </w:r>
    </w:p>
    <w:tbl>
      <w:tblPr>
        <w:tblStyle w:val="AERtable-numbers"/>
        <w:tblW w:w="0" w:type="auto"/>
        <w:tblLook w:val="04A0" w:firstRow="1" w:lastRow="0" w:firstColumn="1" w:lastColumn="0" w:noHBand="0" w:noVBand="1"/>
      </w:tblPr>
      <w:tblGrid>
        <w:gridCol w:w="2518"/>
        <w:gridCol w:w="1344"/>
        <w:gridCol w:w="1345"/>
        <w:gridCol w:w="1345"/>
        <w:gridCol w:w="1345"/>
        <w:gridCol w:w="1345"/>
      </w:tblGrid>
      <w:tr w:rsidR="0088341A" w:rsidRPr="004D3EDB" w:rsidTr="004D3E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88341A" w:rsidRPr="004D3EDB" w:rsidRDefault="0088341A" w:rsidP="004D3EDB">
            <w:pPr>
              <w:pStyle w:val="AERtabletextleft"/>
              <w:keepNext/>
              <w:keepLines/>
            </w:pPr>
          </w:p>
        </w:tc>
        <w:tc>
          <w:tcPr>
            <w:tcW w:w="1344" w:type="dxa"/>
          </w:tcPr>
          <w:p w:rsidR="0088341A" w:rsidRPr="004D3EDB" w:rsidRDefault="0088341A" w:rsidP="004D3EDB">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4D3EDB">
              <w:t>2012–13</w:t>
            </w:r>
          </w:p>
        </w:tc>
        <w:tc>
          <w:tcPr>
            <w:tcW w:w="1345" w:type="dxa"/>
          </w:tcPr>
          <w:p w:rsidR="0088341A" w:rsidRPr="004D3EDB" w:rsidRDefault="0088341A" w:rsidP="004D3EDB">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4D3EDB">
              <w:t>2013–14</w:t>
            </w:r>
          </w:p>
        </w:tc>
        <w:tc>
          <w:tcPr>
            <w:tcW w:w="1345" w:type="dxa"/>
          </w:tcPr>
          <w:p w:rsidR="0088341A" w:rsidRPr="004D3EDB" w:rsidRDefault="0088341A" w:rsidP="004D3EDB">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4D3EDB">
              <w:t>2014–15</w:t>
            </w:r>
          </w:p>
        </w:tc>
        <w:tc>
          <w:tcPr>
            <w:tcW w:w="1345" w:type="dxa"/>
          </w:tcPr>
          <w:p w:rsidR="0088341A" w:rsidRPr="004D3EDB" w:rsidRDefault="0088341A" w:rsidP="004D3EDB">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4D3EDB">
              <w:t>2015–16</w:t>
            </w:r>
          </w:p>
        </w:tc>
        <w:tc>
          <w:tcPr>
            <w:tcW w:w="1345" w:type="dxa"/>
          </w:tcPr>
          <w:p w:rsidR="0088341A" w:rsidRPr="004D3EDB" w:rsidRDefault="0088341A" w:rsidP="004D3EDB">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4D3EDB">
              <w:t>2016–17</w:t>
            </w:r>
          </w:p>
        </w:tc>
      </w:tr>
      <w:tr w:rsidR="00C66558" w:rsidRPr="004D3EDB" w:rsidTr="004D3EDB">
        <w:tc>
          <w:tcPr>
            <w:cnfStyle w:val="001000000000" w:firstRow="0" w:lastRow="0" w:firstColumn="1" w:lastColumn="0" w:oddVBand="0" w:evenVBand="0" w:oddHBand="0" w:evenHBand="0" w:firstRowFirstColumn="0" w:firstRowLastColumn="0" w:lastRowFirstColumn="0" w:lastRowLastColumn="0"/>
            <w:tcW w:w="2518" w:type="dxa"/>
          </w:tcPr>
          <w:p w:rsidR="00C66558" w:rsidRPr="00C66558" w:rsidRDefault="00C66558" w:rsidP="004D3EDB">
            <w:pPr>
              <w:pStyle w:val="AERtabletextleft"/>
              <w:keepNext/>
              <w:keepLines/>
              <w:rPr>
                <w:b/>
              </w:rPr>
            </w:pPr>
            <w:r w:rsidRPr="00C66558">
              <w:rPr>
                <w:b/>
              </w:rPr>
              <w:t>Asset classes</w:t>
            </w:r>
          </w:p>
        </w:tc>
        <w:tc>
          <w:tcPr>
            <w:tcW w:w="1344" w:type="dxa"/>
          </w:tcPr>
          <w:p w:rsidR="00C66558" w:rsidRPr="004D3EDB" w:rsidRDefault="00C66558"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1345" w:type="dxa"/>
          </w:tcPr>
          <w:p w:rsidR="00C66558" w:rsidRPr="004D3EDB" w:rsidRDefault="00C66558"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1345" w:type="dxa"/>
          </w:tcPr>
          <w:p w:rsidR="00C66558" w:rsidRPr="004D3EDB" w:rsidRDefault="00C66558"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1345" w:type="dxa"/>
          </w:tcPr>
          <w:p w:rsidR="00C66558" w:rsidRPr="004D3EDB" w:rsidRDefault="00C66558"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1345" w:type="dxa"/>
          </w:tcPr>
          <w:p w:rsidR="00C66558" w:rsidRPr="004D3EDB" w:rsidRDefault="00C66558"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p>
        </w:tc>
      </w:tr>
      <w:tr w:rsidR="004D3EDB" w:rsidRPr="004D3EDB" w:rsidTr="004D3E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88341A" w:rsidRPr="004D3EDB" w:rsidRDefault="0088341A" w:rsidP="004D3EDB">
            <w:pPr>
              <w:pStyle w:val="AERtabletextleft"/>
              <w:keepNext/>
              <w:keepLines/>
            </w:pPr>
            <w:r w:rsidRPr="004D3EDB">
              <w:t>Secondary</w:t>
            </w:r>
          </w:p>
        </w:tc>
        <w:tc>
          <w:tcPr>
            <w:tcW w:w="1344"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1.000</w:t>
            </w:r>
          </w:p>
        </w:tc>
        <w:tc>
          <w:tcPr>
            <w:tcW w:w="1345"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1.008</w:t>
            </w:r>
          </w:p>
        </w:tc>
        <w:tc>
          <w:tcPr>
            <w:tcW w:w="1345"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1.015</w:t>
            </w:r>
          </w:p>
        </w:tc>
        <w:tc>
          <w:tcPr>
            <w:tcW w:w="1345"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1.016</w:t>
            </w:r>
          </w:p>
        </w:tc>
        <w:tc>
          <w:tcPr>
            <w:tcW w:w="1345"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1.008</w:t>
            </w:r>
          </w:p>
        </w:tc>
      </w:tr>
      <w:tr w:rsidR="0088341A" w:rsidRPr="004D3EDB" w:rsidTr="004D3EDB">
        <w:tc>
          <w:tcPr>
            <w:cnfStyle w:val="001000000000" w:firstRow="0" w:lastRow="0" w:firstColumn="1" w:lastColumn="0" w:oddVBand="0" w:evenVBand="0" w:oddHBand="0" w:evenHBand="0" w:firstRowFirstColumn="0" w:firstRowLastColumn="0" w:lastRowFirstColumn="0" w:lastRowLastColumn="0"/>
            <w:tcW w:w="2518" w:type="dxa"/>
          </w:tcPr>
          <w:p w:rsidR="0088341A" w:rsidRPr="004D3EDB" w:rsidRDefault="0088341A" w:rsidP="004D3EDB">
            <w:pPr>
              <w:pStyle w:val="AERtabletextleft"/>
              <w:keepNext/>
              <w:keepLines/>
            </w:pPr>
            <w:r w:rsidRPr="004D3EDB">
              <w:t>Switchgear</w:t>
            </w:r>
          </w:p>
        </w:tc>
        <w:tc>
          <w:tcPr>
            <w:tcW w:w="1344"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1.000</w:t>
            </w:r>
          </w:p>
        </w:tc>
        <w:tc>
          <w:tcPr>
            <w:tcW w:w="1345"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1.019</w:t>
            </w:r>
          </w:p>
        </w:tc>
        <w:tc>
          <w:tcPr>
            <w:tcW w:w="1345"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1.022</w:t>
            </w:r>
          </w:p>
        </w:tc>
        <w:tc>
          <w:tcPr>
            <w:tcW w:w="1345"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1.020</w:t>
            </w:r>
          </w:p>
        </w:tc>
        <w:tc>
          <w:tcPr>
            <w:tcW w:w="1345"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1.012</w:t>
            </w:r>
          </w:p>
        </w:tc>
      </w:tr>
      <w:tr w:rsidR="004D3EDB" w:rsidRPr="004D3EDB" w:rsidTr="004D3E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88341A" w:rsidRPr="004D3EDB" w:rsidRDefault="0088341A" w:rsidP="004D3EDB">
            <w:pPr>
              <w:pStyle w:val="AERtabletextleft"/>
              <w:keepNext/>
              <w:keepLines/>
            </w:pPr>
            <w:r w:rsidRPr="004D3EDB">
              <w:t>Transformers</w:t>
            </w:r>
          </w:p>
        </w:tc>
        <w:tc>
          <w:tcPr>
            <w:tcW w:w="1344"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1.000</w:t>
            </w:r>
          </w:p>
        </w:tc>
        <w:tc>
          <w:tcPr>
            <w:tcW w:w="1345"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1.030</w:t>
            </w:r>
          </w:p>
        </w:tc>
        <w:tc>
          <w:tcPr>
            <w:tcW w:w="1345"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1.029</w:t>
            </w:r>
          </w:p>
        </w:tc>
        <w:tc>
          <w:tcPr>
            <w:tcW w:w="1345"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1.024</w:t>
            </w:r>
          </w:p>
        </w:tc>
        <w:tc>
          <w:tcPr>
            <w:tcW w:w="1345"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1.016</w:t>
            </w:r>
          </w:p>
        </w:tc>
      </w:tr>
      <w:tr w:rsidR="0088341A" w:rsidRPr="004D3EDB" w:rsidTr="004D3EDB">
        <w:tc>
          <w:tcPr>
            <w:cnfStyle w:val="001000000000" w:firstRow="0" w:lastRow="0" w:firstColumn="1" w:lastColumn="0" w:oddVBand="0" w:evenVBand="0" w:oddHBand="0" w:evenHBand="0" w:firstRowFirstColumn="0" w:firstRowLastColumn="0" w:lastRowFirstColumn="0" w:lastRowLastColumn="0"/>
            <w:tcW w:w="2518" w:type="dxa"/>
          </w:tcPr>
          <w:p w:rsidR="0088341A" w:rsidRPr="004D3EDB" w:rsidRDefault="0088341A" w:rsidP="004D3EDB">
            <w:pPr>
              <w:pStyle w:val="AERtabletextleft"/>
              <w:keepNext/>
              <w:keepLines/>
            </w:pPr>
            <w:r w:rsidRPr="004D3EDB">
              <w:t>Reactive</w:t>
            </w:r>
          </w:p>
        </w:tc>
        <w:tc>
          <w:tcPr>
            <w:tcW w:w="1344"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1.000</w:t>
            </w:r>
          </w:p>
        </w:tc>
        <w:tc>
          <w:tcPr>
            <w:tcW w:w="1345"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1.030</w:t>
            </w:r>
          </w:p>
        </w:tc>
        <w:tc>
          <w:tcPr>
            <w:tcW w:w="1345"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1.029</w:t>
            </w:r>
          </w:p>
        </w:tc>
        <w:tc>
          <w:tcPr>
            <w:tcW w:w="1345"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1.024</w:t>
            </w:r>
          </w:p>
        </w:tc>
        <w:tc>
          <w:tcPr>
            <w:tcW w:w="1345"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1.016</w:t>
            </w:r>
          </w:p>
        </w:tc>
      </w:tr>
      <w:tr w:rsidR="004D3EDB" w:rsidRPr="004D3EDB" w:rsidTr="004D3E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88341A" w:rsidRPr="004D3EDB" w:rsidRDefault="0088341A" w:rsidP="004D3EDB">
            <w:pPr>
              <w:pStyle w:val="AERtabletextleft"/>
              <w:keepNext/>
              <w:keepLines/>
            </w:pPr>
            <w:r w:rsidRPr="004D3EDB">
              <w:t>Overhead lines</w:t>
            </w:r>
          </w:p>
        </w:tc>
        <w:tc>
          <w:tcPr>
            <w:tcW w:w="1344"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1.000</w:t>
            </w:r>
          </w:p>
        </w:tc>
        <w:tc>
          <w:tcPr>
            <w:tcW w:w="1345"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1.032</w:t>
            </w:r>
          </w:p>
        </w:tc>
        <w:tc>
          <w:tcPr>
            <w:tcW w:w="1345"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1.023</w:t>
            </w:r>
          </w:p>
        </w:tc>
        <w:tc>
          <w:tcPr>
            <w:tcW w:w="1345"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1.016</w:t>
            </w:r>
          </w:p>
        </w:tc>
        <w:tc>
          <w:tcPr>
            <w:tcW w:w="1345"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1.013</w:t>
            </w:r>
          </w:p>
        </w:tc>
      </w:tr>
      <w:tr w:rsidR="0088341A" w:rsidRPr="004D3EDB" w:rsidTr="004D3EDB">
        <w:tc>
          <w:tcPr>
            <w:cnfStyle w:val="001000000000" w:firstRow="0" w:lastRow="0" w:firstColumn="1" w:lastColumn="0" w:oddVBand="0" w:evenVBand="0" w:oddHBand="0" w:evenHBand="0" w:firstRowFirstColumn="0" w:firstRowLastColumn="0" w:lastRowFirstColumn="0" w:lastRowLastColumn="0"/>
            <w:tcW w:w="2518" w:type="dxa"/>
          </w:tcPr>
          <w:p w:rsidR="0088341A" w:rsidRPr="004D3EDB" w:rsidRDefault="0088341A" w:rsidP="004D3EDB">
            <w:pPr>
              <w:pStyle w:val="AERtabletextleft"/>
              <w:keepNext/>
              <w:keepLines/>
            </w:pPr>
            <w:r w:rsidRPr="004D3EDB">
              <w:t>Underground cables</w:t>
            </w:r>
          </w:p>
        </w:tc>
        <w:tc>
          <w:tcPr>
            <w:tcW w:w="1344"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1.000</w:t>
            </w:r>
          </w:p>
        </w:tc>
        <w:tc>
          <w:tcPr>
            <w:tcW w:w="1345"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1.014</w:t>
            </w:r>
          </w:p>
        </w:tc>
        <w:tc>
          <w:tcPr>
            <w:tcW w:w="1345"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1.017</w:t>
            </w:r>
          </w:p>
        </w:tc>
        <w:tc>
          <w:tcPr>
            <w:tcW w:w="1345"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1.014</w:t>
            </w:r>
          </w:p>
        </w:tc>
        <w:tc>
          <w:tcPr>
            <w:tcW w:w="1345"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1.009</w:t>
            </w:r>
          </w:p>
        </w:tc>
      </w:tr>
      <w:tr w:rsidR="004D3EDB" w:rsidRPr="004D3EDB" w:rsidTr="004D3E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88341A" w:rsidRPr="004D3EDB" w:rsidRDefault="0088341A" w:rsidP="004D3EDB">
            <w:pPr>
              <w:pStyle w:val="AERtabletextleft"/>
              <w:keepNext/>
              <w:keepLines/>
            </w:pPr>
            <w:r w:rsidRPr="004D3EDB">
              <w:t>Establishment</w:t>
            </w:r>
          </w:p>
        </w:tc>
        <w:tc>
          <w:tcPr>
            <w:tcW w:w="1344"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1.000</w:t>
            </w:r>
          </w:p>
        </w:tc>
        <w:tc>
          <w:tcPr>
            <w:tcW w:w="1345"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1.000</w:t>
            </w:r>
          </w:p>
        </w:tc>
        <w:tc>
          <w:tcPr>
            <w:tcW w:w="1345"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0.988</w:t>
            </w:r>
          </w:p>
        </w:tc>
        <w:tc>
          <w:tcPr>
            <w:tcW w:w="1345"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1.000</w:t>
            </w:r>
          </w:p>
        </w:tc>
        <w:tc>
          <w:tcPr>
            <w:tcW w:w="1345"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1.000</w:t>
            </w:r>
          </w:p>
        </w:tc>
      </w:tr>
      <w:tr w:rsidR="0088341A" w:rsidRPr="004D3EDB" w:rsidTr="004D3EDB">
        <w:tc>
          <w:tcPr>
            <w:cnfStyle w:val="001000000000" w:firstRow="0" w:lastRow="0" w:firstColumn="1" w:lastColumn="0" w:oddVBand="0" w:evenVBand="0" w:oddHBand="0" w:evenHBand="0" w:firstRowFirstColumn="0" w:firstRowLastColumn="0" w:lastRowFirstColumn="0" w:lastRowLastColumn="0"/>
            <w:tcW w:w="2518" w:type="dxa"/>
          </w:tcPr>
          <w:p w:rsidR="0088341A" w:rsidRPr="004D3EDB" w:rsidRDefault="0088341A" w:rsidP="004D3EDB">
            <w:pPr>
              <w:pStyle w:val="AERtabletextleft"/>
              <w:keepNext/>
              <w:keepLines/>
            </w:pPr>
            <w:r w:rsidRPr="004D3EDB">
              <w:t>Communications (buildings, towers and site infrastructure)</w:t>
            </w:r>
          </w:p>
        </w:tc>
        <w:tc>
          <w:tcPr>
            <w:tcW w:w="1344"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1.000</w:t>
            </w:r>
          </w:p>
        </w:tc>
        <w:tc>
          <w:tcPr>
            <w:tcW w:w="1345"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1.000</w:t>
            </w:r>
          </w:p>
        </w:tc>
        <w:tc>
          <w:tcPr>
            <w:tcW w:w="1345"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1.000</w:t>
            </w:r>
          </w:p>
        </w:tc>
        <w:tc>
          <w:tcPr>
            <w:tcW w:w="1345"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1.000</w:t>
            </w:r>
          </w:p>
        </w:tc>
        <w:tc>
          <w:tcPr>
            <w:tcW w:w="1345"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1.000</w:t>
            </w:r>
          </w:p>
        </w:tc>
      </w:tr>
      <w:tr w:rsidR="004D3EDB" w:rsidRPr="004D3EDB" w:rsidTr="004D3E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88341A" w:rsidRPr="004D3EDB" w:rsidRDefault="0088341A" w:rsidP="004D3EDB">
            <w:pPr>
              <w:pStyle w:val="AERtabletextleft"/>
              <w:keepNext/>
              <w:keepLines/>
            </w:pPr>
            <w:r w:rsidRPr="004D3EDB">
              <w:t>Non-system other</w:t>
            </w:r>
          </w:p>
        </w:tc>
        <w:tc>
          <w:tcPr>
            <w:tcW w:w="1344"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1.000</w:t>
            </w:r>
          </w:p>
        </w:tc>
        <w:tc>
          <w:tcPr>
            <w:tcW w:w="1345"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1.030</w:t>
            </w:r>
          </w:p>
        </w:tc>
        <w:tc>
          <w:tcPr>
            <w:tcW w:w="1345"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1.043</w:t>
            </w:r>
          </w:p>
        </w:tc>
        <w:tc>
          <w:tcPr>
            <w:tcW w:w="1345"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1.040</w:t>
            </w:r>
          </w:p>
        </w:tc>
        <w:tc>
          <w:tcPr>
            <w:tcW w:w="1345"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1.021</w:t>
            </w:r>
          </w:p>
        </w:tc>
      </w:tr>
      <w:tr w:rsidR="0088341A" w:rsidRPr="004D3EDB" w:rsidTr="004D3EDB">
        <w:tc>
          <w:tcPr>
            <w:cnfStyle w:val="001000000000" w:firstRow="0" w:lastRow="0" w:firstColumn="1" w:lastColumn="0" w:oddVBand="0" w:evenVBand="0" w:oddHBand="0" w:evenHBand="0" w:firstRowFirstColumn="0" w:firstRowLastColumn="0" w:lastRowFirstColumn="0" w:lastRowLastColumn="0"/>
            <w:tcW w:w="2518" w:type="dxa"/>
          </w:tcPr>
          <w:p w:rsidR="0088341A" w:rsidRPr="004D3EDB" w:rsidRDefault="0088341A" w:rsidP="004D3EDB">
            <w:pPr>
              <w:pStyle w:val="AERtabletextleft"/>
              <w:keepNext/>
              <w:keepLines/>
            </w:pPr>
            <w:r w:rsidRPr="004D3EDB">
              <w:t>Vehicles</w:t>
            </w:r>
          </w:p>
        </w:tc>
        <w:tc>
          <w:tcPr>
            <w:tcW w:w="1344"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1.000</w:t>
            </w:r>
          </w:p>
        </w:tc>
        <w:tc>
          <w:tcPr>
            <w:tcW w:w="1345"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1.000</w:t>
            </w:r>
          </w:p>
        </w:tc>
        <w:tc>
          <w:tcPr>
            <w:tcW w:w="1345"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1.000</w:t>
            </w:r>
          </w:p>
        </w:tc>
        <w:tc>
          <w:tcPr>
            <w:tcW w:w="1345"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1.000</w:t>
            </w:r>
          </w:p>
        </w:tc>
        <w:tc>
          <w:tcPr>
            <w:tcW w:w="1345"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1.000</w:t>
            </w:r>
          </w:p>
        </w:tc>
      </w:tr>
      <w:tr w:rsidR="004D3EDB" w:rsidRPr="004D3EDB" w:rsidTr="004D3E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88341A" w:rsidRPr="004D3EDB" w:rsidRDefault="0088341A" w:rsidP="004D3EDB">
            <w:pPr>
              <w:pStyle w:val="AERtabletextleft"/>
              <w:keepNext/>
              <w:keepLines/>
            </w:pPr>
            <w:r w:rsidRPr="004D3EDB">
              <w:t>Premises</w:t>
            </w:r>
          </w:p>
        </w:tc>
        <w:tc>
          <w:tcPr>
            <w:tcW w:w="1344"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1.000</w:t>
            </w:r>
          </w:p>
        </w:tc>
        <w:tc>
          <w:tcPr>
            <w:tcW w:w="1345"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1.000</w:t>
            </w:r>
          </w:p>
        </w:tc>
        <w:tc>
          <w:tcPr>
            <w:tcW w:w="1345"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1.000</w:t>
            </w:r>
          </w:p>
        </w:tc>
        <w:tc>
          <w:tcPr>
            <w:tcW w:w="1345"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1.000</w:t>
            </w:r>
          </w:p>
        </w:tc>
        <w:tc>
          <w:tcPr>
            <w:tcW w:w="1345"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1.000</w:t>
            </w:r>
          </w:p>
        </w:tc>
      </w:tr>
      <w:tr w:rsidR="0088341A" w:rsidRPr="004D3EDB" w:rsidTr="004D3EDB">
        <w:tc>
          <w:tcPr>
            <w:cnfStyle w:val="001000000000" w:firstRow="0" w:lastRow="0" w:firstColumn="1" w:lastColumn="0" w:oddVBand="0" w:evenVBand="0" w:oddHBand="0" w:evenHBand="0" w:firstRowFirstColumn="0" w:firstRowLastColumn="0" w:lastRowFirstColumn="0" w:lastRowLastColumn="0"/>
            <w:tcW w:w="2518" w:type="dxa"/>
          </w:tcPr>
          <w:p w:rsidR="0088341A" w:rsidRPr="004D3EDB" w:rsidRDefault="0088341A" w:rsidP="004D3EDB">
            <w:pPr>
              <w:pStyle w:val="AERtabletextleft"/>
              <w:keepNext/>
              <w:keepLines/>
            </w:pPr>
            <w:r w:rsidRPr="004D3EDB">
              <w:t>Network switching centre</w:t>
            </w:r>
          </w:p>
        </w:tc>
        <w:tc>
          <w:tcPr>
            <w:tcW w:w="1344"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1.000</w:t>
            </w:r>
          </w:p>
        </w:tc>
        <w:tc>
          <w:tcPr>
            <w:tcW w:w="1345"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1.000</w:t>
            </w:r>
          </w:p>
        </w:tc>
        <w:tc>
          <w:tcPr>
            <w:tcW w:w="1345"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1.000</w:t>
            </w:r>
          </w:p>
        </w:tc>
        <w:tc>
          <w:tcPr>
            <w:tcW w:w="1345"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1.000</w:t>
            </w:r>
          </w:p>
        </w:tc>
        <w:tc>
          <w:tcPr>
            <w:tcW w:w="1345"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1.000</w:t>
            </w:r>
          </w:p>
        </w:tc>
      </w:tr>
      <w:tr w:rsidR="004D3EDB" w:rsidRPr="004D3EDB" w:rsidTr="004D3E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88341A" w:rsidRPr="004D3EDB" w:rsidRDefault="0088341A" w:rsidP="004D3EDB">
            <w:pPr>
              <w:pStyle w:val="AERtabletextleft"/>
              <w:keepNext/>
              <w:keepLines/>
            </w:pPr>
            <w:r w:rsidRPr="004D3EDB">
              <w:t>IT</w:t>
            </w:r>
          </w:p>
        </w:tc>
        <w:tc>
          <w:tcPr>
            <w:tcW w:w="1344"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1.000</w:t>
            </w:r>
          </w:p>
        </w:tc>
        <w:tc>
          <w:tcPr>
            <w:tcW w:w="1345"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1.000</w:t>
            </w:r>
          </w:p>
        </w:tc>
        <w:tc>
          <w:tcPr>
            <w:tcW w:w="1345"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1.000</w:t>
            </w:r>
          </w:p>
        </w:tc>
        <w:tc>
          <w:tcPr>
            <w:tcW w:w="1345"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1.000</w:t>
            </w:r>
          </w:p>
        </w:tc>
        <w:tc>
          <w:tcPr>
            <w:tcW w:w="1345"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1.000</w:t>
            </w:r>
          </w:p>
        </w:tc>
      </w:tr>
    </w:tbl>
    <w:p w:rsidR="0088341A" w:rsidRPr="00A771F4" w:rsidRDefault="0088341A" w:rsidP="004D3EDB">
      <w:pPr>
        <w:pStyle w:val="AERtablesource"/>
      </w:pPr>
      <w:r w:rsidRPr="00AA0C32">
        <w:t>Source:</w:t>
      </w:r>
      <w:r w:rsidRPr="00AA0C32">
        <w:tab/>
        <w:t>AER analysis</w:t>
      </w:r>
      <w:r w:rsidRPr="00A771F4">
        <w:t xml:space="preserve">, SP AusNet, </w:t>
      </w:r>
      <w:r w:rsidR="0047592F">
        <w:rPr>
          <w:rStyle w:val="AERtextitalic"/>
        </w:rPr>
        <w:t>R</w:t>
      </w:r>
      <w:r w:rsidRPr="00A771F4">
        <w:rPr>
          <w:rStyle w:val="AERtextitalic"/>
        </w:rPr>
        <w:t>esponse to information request AER RP 63, Updated material cost inputs for application through SKM's method,</w:t>
      </w:r>
      <w:r w:rsidRPr="00A771F4">
        <w:t xml:space="preserve"> 5 August 2013.</w:t>
      </w:r>
    </w:p>
    <w:p w:rsidR="0088341A" w:rsidRPr="00062319" w:rsidRDefault="0088341A" w:rsidP="0088341A">
      <w:pPr>
        <w:pStyle w:val="Heading2"/>
        <w:numPr>
          <w:ilvl w:val="2"/>
          <w:numId w:val="20"/>
        </w:numPr>
      </w:pPr>
      <w:bookmarkStart w:id="133" w:name="_Toc326056440"/>
      <w:bookmarkStart w:id="134" w:name="_Toc365283285"/>
      <w:r w:rsidRPr="00062319">
        <w:t>SP AusNet's proposal</w:t>
      </w:r>
      <w:bookmarkEnd w:id="133"/>
      <w:bookmarkEnd w:id="134"/>
    </w:p>
    <w:p w:rsidR="0088341A" w:rsidRDefault="0088341A" w:rsidP="00DD623F">
      <w:pPr>
        <w:pStyle w:val="AERbodytext"/>
      </w:pPr>
      <w:r>
        <w:t>SP AusNet</w:t>
      </w:r>
      <w:r w:rsidRPr="007D74E7">
        <w:t xml:space="preserve"> included an allowance for forecast real labour cost increases—that is, cost increases greater than the forecast inflation rate—in both its opex and capex forecasts</w:t>
      </w:r>
      <w:r>
        <w:t xml:space="preserve"> for the 2014–17 regulatory control period</w:t>
      </w:r>
      <w:r w:rsidRPr="007D74E7">
        <w:t>.</w:t>
      </w:r>
      <w:r>
        <w:rPr>
          <w:rStyle w:val="FootnoteReference"/>
        </w:rPr>
        <w:footnoteReference w:id="125"/>
      </w:r>
      <w:r w:rsidRPr="007D74E7">
        <w:t xml:space="preserve"> It also included an allowance for forecast movements in materials in its forecast capex.</w:t>
      </w:r>
      <w:r>
        <w:rPr>
          <w:rStyle w:val="FootnoteReference"/>
        </w:rPr>
        <w:footnoteReference w:id="126"/>
      </w:r>
      <w:r w:rsidRPr="007D74E7">
        <w:t xml:space="preserve"> </w:t>
      </w:r>
      <w:r>
        <w:fldChar w:fldCharType="begin"/>
      </w:r>
      <w:r>
        <w:instrText xml:space="preserve"> REF _Ref360101897 \h </w:instrText>
      </w:r>
      <w:r w:rsidR="00BF7EE5">
        <w:instrText xml:space="preserve"> \* MERGEFORMAT </w:instrText>
      </w:r>
      <w:r>
        <w:fldChar w:fldCharType="separate"/>
      </w:r>
      <w:r w:rsidR="004F35AA">
        <w:t xml:space="preserve">Table </w:t>
      </w:r>
      <w:r w:rsidR="004F35AA">
        <w:rPr>
          <w:noProof/>
        </w:rPr>
        <w:t>1.3</w:t>
      </w:r>
      <w:r>
        <w:fldChar w:fldCharType="end"/>
      </w:r>
      <w:r>
        <w:t xml:space="preserve"> </w:t>
      </w:r>
      <w:r w:rsidR="00DD623F">
        <w:t xml:space="preserve"> and </w:t>
      </w:r>
      <w:r w:rsidR="00E11370">
        <w:fldChar w:fldCharType="begin"/>
      </w:r>
      <w:r w:rsidR="00E11370">
        <w:instrText xml:space="preserve"> REF  _Ref365272256 \* Lower \h </w:instrText>
      </w:r>
      <w:r w:rsidR="00E11370">
        <w:fldChar w:fldCharType="separate"/>
      </w:r>
      <w:r w:rsidR="004F35AA">
        <w:t xml:space="preserve">table </w:t>
      </w:r>
      <w:r w:rsidR="004F35AA">
        <w:rPr>
          <w:noProof/>
        </w:rPr>
        <w:t>1</w:t>
      </w:r>
      <w:r w:rsidR="004F35AA">
        <w:t>.</w:t>
      </w:r>
      <w:r w:rsidR="004F35AA">
        <w:rPr>
          <w:noProof/>
        </w:rPr>
        <w:t>4</w:t>
      </w:r>
      <w:r w:rsidR="00E11370">
        <w:fldChar w:fldCharType="end"/>
      </w:r>
      <w:r w:rsidR="00DD623F">
        <w:t xml:space="preserve"> outlines </w:t>
      </w:r>
      <w:r>
        <w:t>SP AusNet</w:t>
      </w:r>
      <w:r w:rsidRPr="007D74E7">
        <w:t>'s real cost escalation forecasts.</w:t>
      </w:r>
    </w:p>
    <w:p w:rsidR="0088341A" w:rsidRPr="00A771F4" w:rsidRDefault="0088341A" w:rsidP="004D3EDB">
      <w:pPr>
        <w:pStyle w:val="Caption"/>
        <w:keepLines/>
      </w:pPr>
      <w:bookmarkStart w:id="135" w:name="_Ref360101897"/>
      <w:r>
        <w:lastRenderedPageBreak/>
        <w:t xml:space="preserve">Table </w:t>
      </w:r>
      <w:fldSimple w:instr=" STYLEREF 1 \s ">
        <w:r w:rsidR="004F35AA">
          <w:rPr>
            <w:noProof/>
          </w:rPr>
          <w:t>1</w:t>
        </w:r>
      </w:fldSimple>
      <w:r w:rsidR="00C56A87">
        <w:t>.</w:t>
      </w:r>
      <w:fldSimple w:instr=" SEQ Table \* ARABIC \s 1 ">
        <w:r w:rsidR="004F35AA">
          <w:rPr>
            <w:noProof/>
          </w:rPr>
          <w:t>3</w:t>
        </w:r>
      </w:fldSimple>
      <w:bookmarkEnd w:id="135"/>
      <w:r w:rsidRPr="00A771F4">
        <w:tab/>
        <w:t>SP AusNet's real cost escalation forecast—inputs (per cent)</w:t>
      </w:r>
    </w:p>
    <w:tbl>
      <w:tblPr>
        <w:tblStyle w:val="AERtable-numbers"/>
        <w:tblW w:w="0" w:type="auto"/>
        <w:tblLook w:val="04A0" w:firstRow="1" w:lastRow="0" w:firstColumn="1" w:lastColumn="0" w:noHBand="0" w:noVBand="1"/>
      </w:tblPr>
      <w:tblGrid>
        <w:gridCol w:w="1540"/>
        <w:gridCol w:w="1540"/>
        <w:gridCol w:w="1540"/>
        <w:gridCol w:w="1540"/>
        <w:gridCol w:w="1541"/>
        <w:gridCol w:w="1541"/>
      </w:tblGrid>
      <w:tr w:rsidR="0088341A" w:rsidRPr="004D3EDB" w:rsidTr="005011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88341A" w:rsidRPr="004D3EDB" w:rsidRDefault="0088341A" w:rsidP="004D3EDB">
            <w:pPr>
              <w:pStyle w:val="AERtabletextright"/>
              <w:keepNext/>
              <w:keepLines/>
            </w:pPr>
          </w:p>
        </w:tc>
        <w:tc>
          <w:tcPr>
            <w:tcW w:w="1540" w:type="dxa"/>
          </w:tcPr>
          <w:p w:rsidR="0088341A" w:rsidRPr="004D3EDB" w:rsidRDefault="0088341A" w:rsidP="004D3EDB">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4D3EDB">
              <w:t>2012–13</w:t>
            </w:r>
          </w:p>
        </w:tc>
        <w:tc>
          <w:tcPr>
            <w:tcW w:w="1540" w:type="dxa"/>
          </w:tcPr>
          <w:p w:rsidR="0088341A" w:rsidRPr="004D3EDB" w:rsidRDefault="0088341A" w:rsidP="004D3EDB">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4D3EDB">
              <w:t>2013–14</w:t>
            </w:r>
          </w:p>
        </w:tc>
        <w:tc>
          <w:tcPr>
            <w:tcW w:w="1540" w:type="dxa"/>
          </w:tcPr>
          <w:p w:rsidR="0088341A" w:rsidRPr="004D3EDB" w:rsidRDefault="0088341A" w:rsidP="004D3EDB">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4D3EDB">
              <w:t>2014–15</w:t>
            </w:r>
          </w:p>
        </w:tc>
        <w:tc>
          <w:tcPr>
            <w:tcW w:w="1541" w:type="dxa"/>
          </w:tcPr>
          <w:p w:rsidR="0088341A" w:rsidRPr="004D3EDB" w:rsidRDefault="0088341A" w:rsidP="004D3EDB">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4D3EDB">
              <w:t>2015–16</w:t>
            </w:r>
          </w:p>
        </w:tc>
        <w:tc>
          <w:tcPr>
            <w:tcW w:w="1541" w:type="dxa"/>
          </w:tcPr>
          <w:p w:rsidR="0088341A" w:rsidRPr="004D3EDB" w:rsidRDefault="0088341A" w:rsidP="004D3EDB">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4D3EDB">
              <w:t>2016–17</w:t>
            </w:r>
          </w:p>
        </w:tc>
      </w:tr>
      <w:tr w:rsidR="0088341A" w:rsidRPr="004D3EDB" w:rsidTr="00501137">
        <w:tc>
          <w:tcPr>
            <w:cnfStyle w:val="001000000000" w:firstRow="0" w:lastRow="0" w:firstColumn="1" w:lastColumn="0" w:oddVBand="0" w:evenVBand="0" w:oddHBand="0" w:evenHBand="0" w:firstRowFirstColumn="0" w:firstRowLastColumn="0" w:lastRowFirstColumn="0" w:lastRowLastColumn="0"/>
            <w:tcW w:w="1540" w:type="dxa"/>
          </w:tcPr>
          <w:p w:rsidR="0088341A" w:rsidRPr="004D3EDB" w:rsidRDefault="0088341A" w:rsidP="004D3EDB">
            <w:pPr>
              <w:pStyle w:val="AERtabletextright"/>
              <w:keepNext/>
              <w:keepLines/>
            </w:pPr>
            <w:r w:rsidRPr="004D3EDB">
              <w:t>Labour</w:t>
            </w:r>
          </w:p>
        </w:tc>
        <w:tc>
          <w:tcPr>
            <w:tcW w:w="1540"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1540"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1540"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1541"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1541"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p>
        </w:tc>
      </w:tr>
      <w:tr w:rsidR="0088341A" w:rsidRPr="004D3EDB" w:rsidTr="0050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88341A" w:rsidRPr="004D3EDB" w:rsidRDefault="0088341A" w:rsidP="004D3EDB">
            <w:pPr>
              <w:pStyle w:val="AERtabletextright"/>
              <w:keepNext/>
              <w:keepLines/>
            </w:pPr>
            <w:r w:rsidRPr="004D3EDB">
              <w:t>Internal labour</w:t>
            </w:r>
          </w:p>
        </w:tc>
        <w:tc>
          <w:tcPr>
            <w:tcW w:w="1540"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2.0</w:t>
            </w:r>
          </w:p>
        </w:tc>
        <w:tc>
          <w:tcPr>
            <w:tcW w:w="1540"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1.5</w:t>
            </w:r>
          </w:p>
        </w:tc>
        <w:tc>
          <w:tcPr>
            <w:tcW w:w="1540"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2.2</w:t>
            </w:r>
          </w:p>
        </w:tc>
        <w:tc>
          <w:tcPr>
            <w:tcW w:w="1541"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2.3</w:t>
            </w:r>
          </w:p>
        </w:tc>
        <w:tc>
          <w:tcPr>
            <w:tcW w:w="1541"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1.6</w:t>
            </w:r>
          </w:p>
        </w:tc>
      </w:tr>
      <w:tr w:rsidR="0088341A" w:rsidRPr="004D3EDB" w:rsidTr="00501137">
        <w:tc>
          <w:tcPr>
            <w:cnfStyle w:val="001000000000" w:firstRow="0" w:lastRow="0" w:firstColumn="1" w:lastColumn="0" w:oddVBand="0" w:evenVBand="0" w:oddHBand="0" w:evenHBand="0" w:firstRowFirstColumn="0" w:firstRowLastColumn="0" w:lastRowFirstColumn="0" w:lastRowLastColumn="0"/>
            <w:tcW w:w="1540" w:type="dxa"/>
          </w:tcPr>
          <w:p w:rsidR="0088341A" w:rsidRPr="004D3EDB" w:rsidRDefault="0088341A" w:rsidP="004D3EDB">
            <w:pPr>
              <w:pStyle w:val="AERtabletextright"/>
              <w:keepNext/>
              <w:keepLines/>
            </w:pPr>
            <w:r w:rsidRPr="004D3EDB">
              <w:t>External labour</w:t>
            </w:r>
          </w:p>
        </w:tc>
        <w:tc>
          <w:tcPr>
            <w:tcW w:w="1540"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1.3</w:t>
            </w:r>
          </w:p>
        </w:tc>
        <w:tc>
          <w:tcPr>
            <w:tcW w:w="1540"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1.5</w:t>
            </w:r>
          </w:p>
        </w:tc>
        <w:tc>
          <w:tcPr>
            <w:tcW w:w="1540"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2.1</w:t>
            </w:r>
          </w:p>
        </w:tc>
        <w:tc>
          <w:tcPr>
            <w:tcW w:w="1541"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2.1</w:t>
            </w:r>
          </w:p>
        </w:tc>
        <w:tc>
          <w:tcPr>
            <w:tcW w:w="1541"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1.8</w:t>
            </w:r>
          </w:p>
        </w:tc>
      </w:tr>
      <w:tr w:rsidR="0088341A" w:rsidRPr="004D3EDB" w:rsidTr="0050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88341A" w:rsidRPr="004D3EDB" w:rsidRDefault="0088341A" w:rsidP="004D3EDB">
            <w:pPr>
              <w:pStyle w:val="AERtabletextright"/>
              <w:keepNext/>
              <w:keepLines/>
            </w:pPr>
            <w:r w:rsidRPr="004D3EDB">
              <w:t>Materials</w:t>
            </w:r>
          </w:p>
        </w:tc>
        <w:tc>
          <w:tcPr>
            <w:tcW w:w="1540"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1540"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1540"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1541"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1541"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p>
        </w:tc>
      </w:tr>
      <w:tr w:rsidR="0088341A" w:rsidRPr="004D3EDB" w:rsidTr="00501137">
        <w:tc>
          <w:tcPr>
            <w:cnfStyle w:val="001000000000" w:firstRow="0" w:lastRow="0" w:firstColumn="1" w:lastColumn="0" w:oddVBand="0" w:evenVBand="0" w:oddHBand="0" w:evenHBand="0" w:firstRowFirstColumn="0" w:firstRowLastColumn="0" w:lastRowFirstColumn="0" w:lastRowLastColumn="0"/>
            <w:tcW w:w="1540" w:type="dxa"/>
          </w:tcPr>
          <w:p w:rsidR="0088341A" w:rsidRPr="004D3EDB" w:rsidRDefault="0088341A" w:rsidP="004D3EDB">
            <w:pPr>
              <w:pStyle w:val="AERtabletextright"/>
              <w:keepNext/>
              <w:keepLines/>
            </w:pPr>
            <w:r w:rsidRPr="004D3EDB">
              <w:t>Aluminium</w:t>
            </w:r>
          </w:p>
        </w:tc>
        <w:tc>
          <w:tcPr>
            <w:tcW w:w="1540"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–16.4</w:t>
            </w:r>
          </w:p>
        </w:tc>
        <w:tc>
          <w:tcPr>
            <w:tcW w:w="1540"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6.6</w:t>
            </w:r>
          </w:p>
        </w:tc>
        <w:tc>
          <w:tcPr>
            <w:tcW w:w="1540"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9.2</w:t>
            </w:r>
          </w:p>
        </w:tc>
        <w:tc>
          <w:tcPr>
            <w:tcW w:w="1541"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7.9</w:t>
            </w:r>
          </w:p>
        </w:tc>
        <w:tc>
          <w:tcPr>
            <w:tcW w:w="1541"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8.5</w:t>
            </w:r>
          </w:p>
        </w:tc>
      </w:tr>
      <w:tr w:rsidR="0088341A" w:rsidRPr="004D3EDB" w:rsidTr="0050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88341A" w:rsidRPr="004D3EDB" w:rsidRDefault="0088341A" w:rsidP="004D3EDB">
            <w:pPr>
              <w:pStyle w:val="AERtabletextright"/>
              <w:keepNext/>
              <w:keepLines/>
            </w:pPr>
            <w:r w:rsidRPr="004D3EDB">
              <w:t>Copper</w:t>
            </w:r>
          </w:p>
        </w:tc>
        <w:tc>
          <w:tcPr>
            <w:tcW w:w="1540"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–9.0</w:t>
            </w:r>
          </w:p>
        </w:tc>
        <w:tc>
          <w:tcPr>
            <w:tcW w:w="1540"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1.8</w:t>
            </w:r>
          </w:p>
        </w:tc>
        <w:tc>
          <w:tcPr>
            <w:tcW w:w="1540"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3.6</w:t>
            </w:r>
          </w:p>
        </w:tc>
        <w:tc>
          <w:tcPr>
            <w:tcW w:w="1541"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2.7</w:t>
            </w:r>
          </w:p>
        </w:tc>
        <w:tc>
          <w:tcPr>
            <w:tcW w:w="1541"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0.8</w:t>
            </w:r>
          </w:p>
        </w:tc>
      </w:tr>
      <w:tr w:rsidR="0088341A" w:rsidRPr="004D3EDB" w:rsidTr="00501137">
        <w:tc>
          <w:tcPr>
            <w:cnfStyle w:val="001000000000" w:firstRow="0" w:lastRow="0" w:firstColumn="1" w:lastColumn="0" w:oddVBand="0" w:evenVBand="0" w:oddHBand="0" w:evenHBand="0" w:firstRowFirstColumn="0" w:firstRowLastColumn="0" w:lastRowFirstColumn="0" w:lastRowLastColumn="0"/>
            <w:tcW w:w="1540" w:type="dxa"/>
          </w:tcPr>
          <w:p w:rsidR="0088341A" w:rsidRPr="004D3EDB" w:rsidRDefault="0088341A" w:rsidP="004D3EDB">
            <w:pPr>
              <w:pStyle w:val="AERtabletextright"/>
              <w:keepNext/>
              <w:keepLines/>
            </w:pPr>
            <w:r w:rsidRPr="004D3EDB">
              <w:t>Steel</w:t>
            </w:r>
          </w:p>
        </w:tc>
        <w:tc>
          <w:tcPr>
            <w:tcW w:w="1540"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–3.7</w:t>
            </w:r>
          </w:p>
        </w:tc>
        <w:tc>
          <w:tcPr>
            <w:tcW w:w="1540"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6.5</w:t>
            </w:r>
          </w:p>
        </w:tc>
        <w:tc>
          <w:tcPr>
            <w:tcW w:w="1540"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3.6</w:t>
            </w:r>
          </w:p>
        </w:tc>
        <w:tc>
          <w:tcPr>
            <w:tcW w:w="1541"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–0.1</w:t>
            </w:r>
          </w:p>
        </w:tc>
        <w:tc>
          <w:tcPr>
            <w:tcW w:w="1541"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2.8</w:t>
            </w:r>
          </w:p>
        </w:tc>
      </w:tr>
      <w:tr w:rsidR="0088341A" w:rsidRPr="004D3EDB" w:rsidTr="0050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88341A" w:rsidRPr="004D3EDB" w:rsidRDefault="0088341A" w:rsidP="004D3EDB">
            <w:pPr>
              <w:pStyle w:val="AERtabletextright"/>
              <w:keepNext/>
              <w:keepLines/>
            </w:pPr>
            <w:r w:rsidRPr="004D3EDB">
              <w:t>Crude oil</w:t>
            </w:r>
          </w:p>
        </w:tc>
        <w:tc>
          <w:tcPr>
            <w:tcW w:w="1540"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0.4</w:t>
            </w:r>
          </w:p>
        </w:tc>
        <w:tc>
          <w:tcPr>
            <w:tcW w:w="1540"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5.6</w:t>
            </w:r>
          </w:p>
        </w:tc>
        <w:tc>
          <w:tcPr>
            <w:tcW w:w="1540"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13.7</w:t>
            </w:r>
          </w:p>
        </w:tc>
        <w:tc>
          <w:tcPr>
            <w:tcW w:w="1541"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14.9</w:t>
            </w:r>
          </w:p>
        </w:tc>
        <w:tc>
          <w:tcPr>
            <w:tcW w:w="1541"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7.6</w:t>
            </w:r>
          </w:p>
        </w:tc>
      </w:tr>
      <w:tr w:rsidR="0088341A" w:rsidRPr="004D3EDB" w:rsidTr="00501137">
        <w:tc>
          <w:tcPr>
            <w:cnfStyle w:val="001000000000" w:firstRow="0" w:lastRow="0" w:firstColumn="1" w:lastColumn="0" w:oddVBand="0" w:evenVBand="0" w:oddHBand="0" w:evenHBand="0" w:firstRowFirstColumn="0" w:firstRowLastColumn="0" w:lastRowFirstColumn="0" w:lastRowLastColumn="0"/>
            <w:tcW w:w="1540" w:type="dxa"/>
          </w:tcPr>
          <w:p w:rsidR="0088341A" w:rsidRPr="004D3EDB" w:rsidRDefault="0088341A" w:rsidP="004D3EDB">
            <w:pPr>
              <w:pStyle w:val="AERtabletextright"/>
              <w:keepNext/>
              <w:keepLines/>
            </w:pPr>
            <w:r w:rsidRPr="004D3EDB">
              <w:t>Construction costs</w:t>
            </w:r>
          </w:p>
        </w:tc>
        <w:tc>
          <w:tcPr>
            <w:tcW w:w="1540"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–0.4</w:t>
            </w:r>
          </w:p>
        </w:tc>
        <w:tc>
          <w:tcPr>
            <w:tcW w:w="1540"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0.0</w:t>
            </w:r>
          </w:p>
        </w:tc>
        <w:tc>
          <w:tcPr>
            <w:tcW w:w="1540"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–0.2</w:t>
            </w:r>
          </w:p>
        </w:tc>
        <w:tc>
          <w:tcPr>
            <w:tcW w:w="1541"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0.1</w:t>
            </w:r>
          </w:p>
        </w:tc>
        <w:tc>
          <w:tcPr>
            <w:tcW w:w="1541"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–0.0</w:t>
            </w:r>
          </w:p>
        </w:tc>
      </w:tr>
      <w:tr w:rsidR="0088341A" w:rsidRPr="004D3EDB" w:rsidTr="0050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88341A" w:rsidRPr="004D3EDB" w:rsidRDefault="0088341A" w:rsidP="004D3EDB">
            <w:pPr>
              <w:pStyle w:val="AERtabletextright"/>
              <w:keepNext/>
              <w:keepLines/>
            </w:pPr>
            <w:r w:rsidRPr="004D3EDB">
              <w:t>General labour</w:t>
            </w:r>
          </w:p>
        </w:tc>
        <w:tc>
          <w:tcPr>
            <w:tcW w:w="1540"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1.1</w:t>
            </w:r>
          </w:p>
        </w:tc>
        <w:tc>
          <w:tcPr>
            <w:tcW w:w="1540"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1.5</w:t>
            </w:r>
          </w:p>
        </w:tc>
        <w:tc>
          <w:tcPr>
            <w:tcW w:w="1540"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1.5</w:t>
            </w:r>
          </w:p>
        </w:tc>
        <w:tc>
          <w:tcPr>
            <w:tcW w:w="1541"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1.1</w:t>
            </w:r>
          </w:p>
        </w:tc>
        <w:tc>
          <w:tcPr>
            <w:tcW w:w="1541" w:type="dxa"/>
          </w:tcPr>
          <w:p w:rsidR="0088341A" w:rsidRPr="004D3EDB" w:rsidRDefault="0088341A" w:rsidP="004D3EDB">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D3EDB">
              <w:t>1.1</w:t>
            </w:r>
          </w:p>
        </w:tc>
      </w:tr>
      <w:tr w:rsidR="0088341A" w:rsidRPr="004D3EDB" w:rsidTr="00501137">
        <w:tc>
          <w:tcPr>
            <w:cnfStyle w:val="001000000000" w:firstRow="0" w:lastRow="0" w:firstColumn="1" w:lastColumn="0" w:oddVBand="0" w:evenVBand="0" w:oddHBand="0" w:evenHBand="0" w:firstRowFirstColumn="0" w:firstRowLastColumn="0" w:lastRowFirstColumn="0" w:lastRowLastColumn="0"/>
            <w:tcW w:w="1540" w:type="dxa"/>
          </w:tcPr>
          <w:p w:rsidR="0088341A" w:rsidRPr="004D3EDB" w:rsidRDefault="0088341A" w:rsidP="004D3EDB">
            <w:pPr>
              <w:pStyle w:val="AERtabletextright"/>
              <w:keepNext/>
              <w:keepLines/>
            </w:pPr>
            <w:r w:rsidRPr="004D3EDB">
              <w:t>Site labour</w:t>
            </w:r>
          </w:p>
        </w:tc>
        <w:tc>
          <w:tcPr>
            <w:tcW w:w="1540"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1.3</w:t>
            </w:r>
          </w:p>
        </w:tc>
        <w:tc>
          <w:tcPr>
            <w:tcW w:w="1540"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1.5</w:t>
            </w:r>
          </w:p>
        </w:tc>
        <w:tc>
          <w:tcPr>
            <w:tcW w:w="1540"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1.3</w:t>
            </w:r>
          </w:p>
        </w:tc>
        <w:tc>
          <w:tcPr>
            <w:tcW w:w="1541"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1.1</w:t>
            </w:r>
          </w:p>
        </w:tc>
        <w:tc>
          <w:tcPr>
            <w:tcW w:w="1541" w:type="dxa"/>
          </w:tcPr>
          <w:p w:rsidR="0088341A" w:rsidRPr="004D3EDB" w:rsidRDefault="0088341A" w:rsidP="004D3EDB">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D3EDB">
              <w:t>1.2</w:t>
            </w:r>
          </w:p>
        </w:tc>
      </w:tr>
    </w:tbl>
    <w:p w:rsidR="0088341A" w:rsidRPr="00A771F4" w:rsidRDefault="0088341A" w:rsidP="004D3EDB">
      <w:pPr>
        <w:pStyle w:val="AERtablesource"/>
      </w:pPr>
      <w:r>
        <w:t>Source:</w:t>
      </w:r>
      <w:r>
        <w:tab/>
        <w:t xml:space="preserve">SP AusNet, </w:t>
      </w:r>
      <w:r w:rsidRPr="00A771F4">
        <w:rPr>
          <w:rStyle w:val="AERtextitalic"/>
        </w:rPr>
        <w:t>Revenue proposal,</w:t>
      </w:r>
      <w:r w:rsidR="00D8109C">
        <w:t xml:space="preserve"> p. 82;</w:t>
      </w:r>
      <w:r w:rsidRPr="00A771F4">
        <w:t xml:space="preserve"> BIS Shrapnel, </w:t>
      </w:r>
      <w:r w:rsidRPr="00A771F4">
        <w:rPr>
          <w:rStyle w:val="AERtextitalic"/>
        </w:rPr>
        <w:t>Real labour cost escalation forecasts to 2017–Australia &amp; Victoria</w:t>
      </w:r>
      <w:r w:rsidR="00D8109C">
        <w:t>, November 2012, p. iii;</w:t>
      </w:r>
      <w:r w:rsidRPr="00A771F4">
        <w:t xml:space="preserve"> SKM, </w:t>
      </w:r>
      <w:r w:rsidRPr="00A771F4">
        <w:rPr>
          <w:rStyle w:val="AERtextitalic"/>
        </w:rPr>
        <w:t>Annual material escalators 2014/15–2016/17</w:t>
      </w:r>
      <w:r w:rsidRPr="00A771F4">
        <w:t>, 19 November 2012, p. 2.</w:t>
      </w:r>
    </w:p>
    <w:p w:rsidR="004D3EDB" w:rsidRDefault="004D3EDB" w:rsidP="0088341A">
      <w:pPr>
        <w:pStyle w:val="Caption"/>
      </w:pPr>
      <w:bookmarkStart w:id="136" w:name="_Ref360101905"/>
    </w:p>
    <w:p w:rsidR="0088341A" w:rsidRPr="00AA0C32" w:rsidRDefault="0088341A" w:rsidP="0088341A">
      <w:pPr>
        <w:pStyle w:val="Caption"/>
      </w:pPr>
      <w:bookmarkStart w:id="137" w:name="_Ref365272256"/>
      <w:r>
        <w:t xml:space="preserve">Table </w:t>
      </w:r>
      <w:fldSimple w:instr=" STYLEREF 1 \s ">
        <w:r w:rsidR="004F35AA">
          <w:rPr>
            <w:noProof/>
          </w:rPr>
          <w:t>1</w:t>
        </w:r>
      </w:fldSimple>
      <w:r w:rsidR="00C56A87">
        <w:t>.</w:t>
      </w:r>
      <w:fldSimple w:instr=" SEQ Table \* ARABIC \s 1 ">
        <w:r w:rsidR="004F35AA">
          <w:rPr>
            <w:noProof/>
          </w:rPr>
          <w:t>4</w:t>
        </w:r>
      </w:fldSimple>
      <w:bookmarkEnd w:id="136"/>
      <w:bookmarkEnd w:id="137"/>
      <w:r>
        <w:tab/>
        <w:t>SP AusNet's real cost escalation forecast (indices)</w:t>
      </w:r>
    </w:p>
    <w:tbl>
      <w:tblPr>
        <w:tblStyle w:val="AERtable-numbers"/>
        <w:tblW w:w="0" w:type="auto"/>
        <w:tblLook w:val="04A0" w:firstRow="1" w:lastRow="0" w:firstColumn="1" w:lastColumn="0" w:noHBand="0" w:noVBand="1"/>
      </w:tblPr>
      <w:tblGrid>
        <w:gridCol w:w="2518"/>
        <w:gridCol w:w="1344"/>
        <w:gridCol w:w="1345"/>
        <w:gridCol w:w="1345"/>
        <w:gridCol w:w="1345"/>
        <w:gridCol w:w="1345"/>
      </w:tblGrid>
      <w:tr w:rsidR="0088341A" w:rsidRPr="004D3EDB" w:rsidTr="005011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88341A" w:rsidRPr="004D3EDB" w:rsidRDefault="0088341A" w:rsidP="004D3EDB">
            <w:pPr>
              <w:pStyle w:val="AERtabletextleft"/>
            </w:pPr>
          </w:p>
        </w:tc>
        <w:tc>
          <w:tcPr>
            <w:tcW w:w="1344" w:type="dxa"/>
          </w:tcPr>
          <w:p w:rsidR="0088341A" w:rsidRPr="004D3EDB" w:rsidRDefault="0088341A" w:rsidP="004D3EDB">
            <w:pPr>
              <w:pStyle w:val="AERtabletextright"/>
              <w:cnfStyle w:val="100000000000" w:firstRow="1" w:lastRow="0" w:firstColumn="0" w:lastColumn="0" w:oddVBand="0" w:evenVBand="0" w:oddHBand="0" w:evenHBand="0" w:firstRowFirstColumn="0" w:firstRowLastColumn="0" w:lastRowFirstColumn="0" w:lastRowLastColumn="0"/>
            </w:pPr>
            <w:r w:rsidRPr="004D3EDB">
              <w:t>2012–13</w:t>
            </w:r>
          </w:p>
        </w:tc>
        <w:tc>
          <w:tcPr>
            <w:tcW w:w="1345" w:type="dxa"/>
          </w:tcPr>
          <w:p w:rsidR="0088341A" w:rsidRPr="004D3EDB" w:rsidRDefault="0088341A" w:rsidP="004D3EDB">
            <w:pPr>
              <w:pStyle w:val="AERtabletextright"/>
              <w:cnfStyle w:val="100000000000" w:firstRow="1" w:lastRow="0" w:firstColumn="0" w:lastColumn="0" w:oddVBand="0" w:evenVBand="0" w:oddHBand="0" w:evenHBand="0" w:firstRowFirstColumn="0" w:firstRowLastColumn="0" w:lastRowFirstColumn="0" w:lastRowLastColumn="0"/>
            </w:pPr>
            <w:r w:rsidRPr="004D3EDB">
              <w:t>2013–14</w:t>
            </w:r>
          </w:p>
        </w:tc>
        <w:tc>
          <w:tcPr>
            <w:tcW w:w="1345" w:type="dxa"/>
          </w:tcPr>
          <w:p w:rsidR="0088341A" w:rsidRPr="004D3EDB" w:rsidRDefault="0088341A" w:rsidP="004D3EDB">
            <w:pPr>
              <w:pStyle w:val="AERtabletextright"/>
              <w:cnfStyle w:val="100000000000" w:firstRow="1" w:lastRow="0" w:firstColumn="0" w:lastColumn="0" w:oddVBand="0" w:evenVBand="0" w:oddHBand="0" w:evenHBand="0" w:firstRowFirstColumn="0" w:firstRowLastColumn="0" w:lastRowFirstColumn="0" w:lastRowLastColumn="0"/>
            </w:pPr>
            <w:r w:rsidRPr="004D3EDB">
              <w:t>2014–15</w:t>
            </w:r>
          </w:p>
        </w:tc>
        <w:tc>
          <w:tcPr>
            <w:tcW w:w="1345" w:type="dxa"/>
          </w:tcPr>
          <w:p w:rsidR="0088341A" w:rsidRPr="004D3EDB" w:rsidRDefault="0088341A" w:rsidP="004D3EDB">
            <w:pPr>
              <w:pStyle w:val="AERtabletextright"/>
              <w:cnfStyle w:val="100000000000" w:firstRow="1" w:lastRow="0" w:firstColumn="0" w:lastColumn="0" w:oddVBand="0" w:evenVBand="0" w:oddHBand="0" w:evenHBand="0" w:firstRowFirstColumn="0" w:firstRowLastColumn="0" w:lastRowFirstColumn="0" w:lastRowLastColumn="0"/>
            </w:pPr>
            <w:r w:rsidRPr="004D3EDB">
              <w:t>2015–16</w:t>
            </w:r>
          </w:p>
        </w:tc>
        <w:tc>
          <w:tcPr>
            <w:tcW w:w="1345" w:type="dxa"/>
          </w:tcPr>
          <w:p w:rsidR="0088341A" w:rsidRPr="004D3EDB" w:rsidRDefault="0088341A" w:rsidP="004D3EDB">
            <w:pPr>
              <w:pStyle w:val="AERtabletextright"/>
              <w:cnfStyle w:val="100000000000" w:firstRow="1" w:lastRow="0" w:firstColumn="0" w:lastColumn="0" w:oddVBand="0" w:evenVBand="0" w:oddHBand="0" w:evenHBand="0" w:firstRowFirstColumn="0" w:firstRowLastColumn="0" w:lastRowFirstColumn="0" w:lastRowLastColumn="0"/>
            </w:pPr>
            <w:r w:rsidRPr="004D3EDB">
              <w:t>2016–17</w:t>
            </w:r>
          </w:p>
        </w:tc>
      </w:tr>
      <w:tr w:rsidR="0088341A" w:rsidRPr="004D3EDB" w:rsidTr="00501137">
        <w:tc>
          <w:tcPr>
            <w:cnfStyle w:val="001000000000" w:firstRow="0" w:lastRow="0" w:firstColumn="1" w:lastColumn="0" w:oddVBand="0" w:evenVBand="0" w:oddHBand="0" w:evenHBand="0" w:firstRowFirstColumn="0" w:firstRowLastColumn="0" w:lastRowFirstColumn="0" w:lastRowLastColumn="0"/>
            <w:tcW w:w="2518" w:type="dxa"/>
          </w:tcPr>
          <w:p w:rsidR="0088341A" w:rsidRPr="00C66558" w:rsidRDefault="0088341A" w:rsidP="004D3EDB">
            <w:pPr>
              <w:pStyle w:val="AERtabletextleft"/>
              <w:rPr>
                <w:b/>
              </w:rPr>
            </w:pPr>
            <w:r w:rsidRPr="00C66558">
              <w:rPr>
                <w:b/>
              </w:rPr>
              <w:t>Asset classes</w:t>
            </w:r>
          </w:p>
        </w:tc>
        <w:tc>
          <w:tcPr>
            <w:tcW w:w="1344"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p>
        </w:tc>
        <w:tc>
          <w:tcPr>
            <w:tcW w:w="1345"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p>
        </w:tc>
        <w:tc>
          <w:tcPr>
            <w:tcW w:w="1345"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p>
        </w:tc>
        <w:tc>
          <w:tcPr>
            <w:tcW w:w="1345"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p>
        </w:tc>
        <w:tc>
          <w:tcPr>
            <w:tcW w:w="1345"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p>
        </w:tc>
      </w:tr>
      <w:tr w:rsidR="0088341A" w:rsidRPr="004D3EDB" w:rsidTr="0050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88341A" w:rsidRPr="004D3EDB" w:rsidRDefault="0088341A" w:rsidP="004D3EDB">
            <w:pPr>
              <w:pStyle w:val="AERtabletextleft"/>
            </w:pPr>
            <w:r w:rsidRPr="004D3EDB">
              <w:t>Secondary</w:t>
            </w:r>
          </w:p>
        </w:tc>
        <w:tc>
          <w:tcPr>
            <w:tcW w:w="1344"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1.000</w:t>
            </w:r>
          </w:p>
        </w:tc>
        <w:tc>
          <w:tcPr>
            <w:tcW w:w="1345"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1.008</w:t>
            </w:r>
          </w:p>
        </w:tc>
        <w:tc>
          <w:tcPr>
            <w:tcW w:w="1345"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1.016</w:t>
            </w:r>
          </w:p>
        </w:tc>
        <w:tc>
          <w:tcPr>
            <w:tcW w:w="1345"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1.016</w:t>
            </w:r>
          </w:p>
        </w:tc>
        <w:tc>
          <w:tcPr>
            <w:tcW w:w="1345"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1.009</w:t>
            </w:r>
          </w:p>
        </w:tc>
      </w:tr>
      <w:tr w:rsidR="0088341A" w:rsidRPr="004D3EDB" w:rsidTr="00501137">
        <w:tc>
          <w:tcPr>
            <w:cnfStyle w:val="001000000000" w:firstRow="0" w:lastRow="0" w:firstColumn="1" w:lastColumn="0" w:oddVBand="0" w:evenVBand="0" w:oddHBand="0" w:evenHBand="0" w:firstRowFirstColumn="0" w:firstRowLastColumn="0" w:lastRowFirstColumn="0" w:lastRowLastColumn="0"/>
            <w:tcW w:w="2518" w:type="dxa"/>
          </w:tcPr>
          <w:p w:rsidR="0088341A" w:rsidRPr="004D3EDB" w:rsidRDefault="0088341A" w:rsidP="004D3EDB">
            <w:pPr>
              <w:pStyle w:val="AERtabletextleft"/>
            </w:pPr>
            <w:r w:rsidRPr="004D3EDB">
              <w:t>Switchgear</w:t>
            </w:r>
          </w:p>
        </w:tc>
        <w:tc>
          <w:tcPr>
            <w:tcW w:w="1344"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1.000</w:t>
            </w:r>
          </w:p>
        </w:tc>
        <w:tc>
          <w:tcPr>
            <w:tcW w:w="1345"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1.019</w:t>
            </w:r>
          </w:p>
        </w:tc>
        <w:tc>
          <w:tcPr>
            <w:tcW w:w="1345"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1.025</w:t>
            </w:r>
          </w:p>
        </w:tc>
        <w:tc>
          <w:tcPr>
            <w:tcW w:w="1345"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1.020</w:t>
            </w:r>
          </w:p>
        </w:tc>
        <w:tc>
          <w:tcPr>
            <w:tcW w:w="1345"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1.016</w:t>
            </w:r>
          </w:p>
        </w:tc>
      </w:tr>
      <w:tr w:rsidR="0088341A" w:rsidRPr="004D3EDB" w:rsidTr="0050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88341A" w:rsidRPr="004D3EDB" w:rsidRDefault="0088341A" w:rsidP="004D3EDB">
            <w:pPr>
              <w:pStyle w:val="AERtabletextleft"/>
            </w:pPr>
            <w:r w:rsidRPr="004D3EDB">
              <w:t>Transformers</w:t>
            </w:r>
          </w:p>
        </w:tc>
        <w:tc>
          <w:tcPr>
            <w:tcW w:w="1344"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1.000</w:t>
            </w:r>
          </w:p>
        </w:tc>
        <w:tc>
          <w:tcPr>
            <w:tcW w:w="1345"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1.030</w:t>
            </w:r>
          </w:p>
        </w:tc>
        <w:tc>
          <w:tcPr>
            <w:tcW w:w="1345"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1.035</w:t>
            </w:r>
          </w:p>
        </w:tc>
        <w:tc>
          <w:tcPr>
            <w:tcW w:w="1345"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1.025</w:t>
            </w:r>
          </w:p>
        </w:tc>
        <w:tc>
          <w:tcPr>
            <w:tcW w:w="1345"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1.024</w:t>
            </w:r>
          </w:p>
        </w:tc>
      </w:tr>
      <w:tr w:rsidR="0088341A" w:rsidRPr="004D3EDB" w:rsidTr="00501137">
        <w:tc>
          <w:tcPr>
            <w:cnfStyle w:val="001000000000" w:firstRow="0" w:lastRow="0" w:firstColumn="1" w:lastColumn="0" w:oddVBand="0" w:evenVBand="0" w:oddHBand="0" w:evenHBand="0" w:firstRowFirstColumn="0" w:firstRowLastColumn="0" w:lastRowFirstColumn="0" w:lastRowLastColumn="0"/>
            <w:tcW w:w="2518" w:type="dxa"/>
          </w:tcPr>
          <w:p w:rsidR="0088341A" w:rsidRPr="004D3EDB" w:rsidRDefault="0088341A" w:rsidP="004D3EDB">
            <w:pPr>
              <w:pStyle w:val="AERtabletextleft"/>
            </w:pPr>
            <w:r w:rsidRPr="004D3EDB">
              <w:t>Reactive</w:t>
            </w:r>
          </w:p>
        </w:tc>
        <w:tc>
          <w:tcPr>
            <w:tcW w:w="1344"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1.000</w:t>
            </w:r>
          </w:p>
        </w:tc>
        <w:tc>
          <w:tcPr>
            <w:tcW w:w="1345"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1.030</w:t>
            </w:r>
          </w:p>
        </w:tc>
        <w:tc>
          <w:tcPr>
            <w:tcW w:w="1345"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1.035</w:t>
            </w:r>
          </w:p>
        </w:tc>
        <w:tc>
          <w:tcPr>
            <w:tcW w:w="1345"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1.025</w:t>
            </w:r>
          </w:p>
        </w:tc>
        <w:tc>
          <w:tcPr>
            <w:tcW w:w="1345"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1.024</w:t>
            </w:r>
          </w:p>
        </w:tc>
      </w:tr>
      <w:tr w:rsidR="0088341A" w:rsidRPr="004D3EDB" w:rsidTr="0050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88341A" w:rsidRPr="004D3EDB" w:rsidRDefault="0088341A" w:rsidP="004D3EDB">
            <w:pPr>
              <w:pStyle w:val="AERtabletextleft"/>
            </w:pPr>
            <w:r w:rsidRPr="004D3EDB">
              <w:t>Overhead lines</w:t>
            </w:r>
          </w:p>
        </w:tc>
        <w:tc>
          <w:tcPr>
            <w:tcW w:w="1344"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1.000</w:t>
            </w:r>
          </w:p>
        </w:tc>
        <w:tc>
          <w:tcPr>
            <w:tcW w:w="1345"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1.032</w:t>
            </w:r>
          </w:p>
        </w:tc>
        <w:tc>
          <w:tcPr>
            <w:tcW w:w="1345"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1.030</w:t>
            </w:r>
          </w:p>
        </w:tc>
        <w:tc>
          <w:tcPr>
            <w:tcW w:w="1345"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1.018</w:t>
            </w:r>
          </w:p>
        </w:tc>
        <w:tc>
          <w:tcPr>
            <w:tcW w:w="1345"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1.025</w:t>
            </w:r>
          </w:p>
        </w:tc>
      </w:tr>
      <w:tr w:rsidR="0088341A" w:rsidRPr="004D3EDB" w:rsidTr="00501137">
        <w:tc>
          <w:tcPr>
            <w:cnfStyle w:val="001000000000" w:firstRow="0" w:lastRow="0" w:firstColumn="1" w:lastColumn="0" w:oddVBand="0" w:evenVBand="0" w:oddHBand="0" w:evenHBand="0" w:firstRowFirstColumn="0" w:firstRowLastColumn="0" w:lastRowFirstColumn="0" w:lastRowLastColumn="0"/>
            <w:tcW w:w="2518" w:type="dxa"/>
          </w:tcPr>
          <w:p w:rsidR="0088341A" w:rsidRPr="004D3EDB" w:rsidRDefault="0088341A" w:rsidP="004D3EDB">
            <w:pPr>
              <w:pStyle w:val="AERtabletextleft"/>
            </w:pPr>
            <w:r w:rsidRPr="004D3EDB">
              <w:t>Underground cables</w:t>
            </w:r>
          </w:p>
        </w:tc>
        <w:tc>
          <w:tcPr>
            <w:tcW w:w="1344"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1.000</w:t>
            </w:r>
          </w:p>
        </w:tc>
        <w:tc>
          <w:tcPr>
            <w:tcW w:w="1345"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1.014</w:t>
            </w:r>
          </w:p>
        </w:tc>
        <w:tc>
          <w:tcPr>
            <w:tcW w:w="1345"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1.026</w:t>
            </w:r>
          </w:p>
        </w:tc>
        <w:tc>
          <w:tcPr>
            <w:tcW w:w="1345"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1.023</w:t>
            </w:r>
          </w:p>
        </w:tc>
        <w:tc>
          <w:tcPr>
            <w:tcW w:w="1345"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1.011</w:t>
            </w:r>
          </w:p>
        </w:tc>
      </w:tr>
      <w:tr w:rsidR="0088341A" w:rsidRPr="004D3EDB" w:rsidTr="0050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88341A" w:rsidRPr="004D3EDB" w:rsidRDefault="0088341A" w:rsidP="004D3EDB">
            <w:pPr>
              <w:pStyle w:val="AERtabletextleft"/>
            </w:pPr>
            <w:r w:rsidRPr="004D3EDB">
              <w:t>Establishment</w:t>
            </w:r>
          </w:p>
        </w:tc>
        <w:tc>
          <w:tcPr>
            <w:tcW w:w="1344"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1.000</w:t>
            </w:r>
          </w:p>
        </w:tc>
        <w:tc>
          <w:tcPr>
            <w:tcW w:w="1345"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1.000</w:t>
            </w:r>
          </w:p>
        </w:tc>
        <w:tc>
          <w:tcPr>
            <w:tcW w:w="1345"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0.998</w:t>
            </w:r>
          </w:p>
        </w:tc>
        <w:tc>
          <w:tcPr>
            <w:tcW w:w="1345"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1.000</w:t>
            </w:r>
          </w:p>
        </w:tc>
        <w:tc>
          <w:tcPr>
            <w:tcW w:w="1345"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1.000</w:t>
            </w:r>
          </w:p>
        </w:tc>
      </w:tr>
      <w:tr w:rsidR="0088341A" w:rsidRPr="004D3EDB" w:rsidTr="00501137">
        <w:tc>
          <w:tcPr>
            <w:cnfStyle w:val="001000000000" w:firstRow="0" w:lastRow="0" w:firstColumn="1" w:lastColumn="0" w:oddVBand="0" w:evenVBand="0" w:oddHBand="0" w:evenHBand="0" w:firstRowFirstColumn="0" w:firstRowLastColumn="0" w:lastRowFirstColumn="0" w:lastRowLastColumn="0"/>
            <w:tcW w:w="2518" w:type="dxa"/>
          </w:tcPr>
          <w:p w:rsidR="0088341A" w:rsidRPr="004D3EDB" w:rsidRDefault="0088341A" w:rsidP="004D3EDB">
            <w:pPr>
              <w:pStyle w:val="AERtabletextleft"/>
            </w:pPr>
            <w:r w:rsidRPr="004D3EDB">
              <w:t>Communications (buildings, towers and site infrastructure)</w:t>
            </w:r>
          </w:p>
        </w:tc>
        <w:tc>
          <w:tcPr>
            <w:tcW w:w="1344"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1.000</w:t>
            </w:r>
          </w:p>
        </w:tc>
        <w:tc>
          <w:tcPr>
            <w:tcW w:w="1345"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1.000</w:t>
            </w:r>
          </w:p>
        </w:tc>
        <w:tc>
          <w:tcPr>
            <w:tcW w:w="1345"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1.000</w:t>
            </w:r>
          </w:p>
        </w:tc>
        <w:tc>
          <w:tcPr>
            <w:tcW w:w="1345"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1.000</w:t>
            </w:r>
          </w:p>
        </w:tc>
        <w:tc>
          <w:tcPr>
            <w:tcW w:w="1345"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1.000</w:t>
            </w:r>
          </w:p>
        </w:tc>
      </w:tr>
      <w:tr w:rsidR="0088341A" w:rsidRPr="004D3EDB" w:rsidTr="0050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88341A" w:rsidRPr="004D3EDB" w:rsidRDefault="0088341A" w:rsidP="004D3EDB">
            <w:pPr>
              <w:pStyle w:val="AERtabletextleft"/>
            </w:pPr>
            <w:r w:rsidRPr="004D3EDB">
              <w:t>Non-system other</w:t>
            </w:r>
          </w:p>
        </w:tc>
        <w:tc>
          <w:tcPr>
            <w:tcW w:w="1344"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1.000</w:t>
            </w:r>
          </w:p>
        </w:tc>
        <w:tc>
          <w:tcPr>
            <w:tcW w:w="1345"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1.030</w:t>
            </w:r>
          </w:p>
        </w:tc>
        <w:tc>
          <w:tcPr>
            <w:tcW w:w="1345"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1.043</w:t>
            </w:r>
          </w:p>
        </w:tc>
        <w:tc>
          <w:tcPr>
            <w:tcW w:w="1345"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1.037</w:t>
            </w:r>
          </w:p>
        </w:tc>
        <w:tc>
          <w:tcPr>
            <w:tcW w:w="1345"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1.026</w:t>
            </w:r>
          </w:p>
        </w:tc>
      </w:tr>
      <w:tr w:rsidR="0088341A" w:rsidRPr="004D3EDB" w:rsidTr="00501137">
        <w:tc>
          <w:tcPr>
            <w:cnfStyle w:val="001000000000" w:firstRow="0" w:lastRow="0" w:firstColumn="1" w:lastColumn="0" w:oddVBand="0" w:evenVBand="0" w:oddHBand="0" w:evenHBand="0" w:firstRowFirstColumn="0" w:firstRowLastColumn="0" w:lastRowFirstColumn="0" w:lastRowLastColumn="0"/>
            <w:tcW w:w="2518" w:type="dxa"/>
          </w:tcPr>
          <w:p w:rsidR="0088341A" w:rsidRPr="004D3EDB" w:rsidRDefault="0088341A" w:rsidP="004D3EDB">
            <w:pPr>
              <w:pStyle w:val="AERtabletextleft"/>
            </w:pPr>
            <w:r w:rsidRPr="004D3EDB">
              <w:t>Vehicles</w:t>
            </w:r>
          </w:p>
        </w:tc>
        <w:tc>
          <w:tcPr>
            <w:tcW w:w="1344"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1.000</w:t>
            </w:r>
          </w:p>
        </w:tc>
        <w:tc>
          <w:tcPr>
            <w:tcW w:w="1345"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1.000</w:t>
            </w:r>
          </w:p>
        </w:tc>
        <w:tc>
          <w:tcPr>
            <w:tcW w:w="1345"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1.000</w:t>
            </w:r>
          </w:p>
        </w:tc>
        <w:tc>
          <w:tcPr>
            <w:tcW w:w="1345"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1.000</w:t>
            </w:r>
          </w:p>
        </w:tc>
        <w:tc>
          <w:tcPr>
            <w:tcW w:w="1345"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1.000</w:t>
            </w:r>
          </w:p>
        </w:tc>
      </w:tr>
      <w:tr w:rsidR="0088341A" w:rsidRPr="004D3EDB" w:rsidTr="0050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88341A" w:rsidRPr="004D3EDB" w:rsidRDefault="0088341A" w:rsidP="004D3EDB">
            <w:pPr>
              <w:pStyle w:val="AERtabletextleft"/>
            </w:pPr>
            <w:r w:rsidRPr="004D3EDB">
              <w:t>Premises</w:t>
            </w:r>
          </w:p>
        </w:tc>
        <w:tc>
          <w:tcPr>
            <w:tcW w:w="1344"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1.000</w:t>
            </w:r>
          </w:p>
        </w:tc>
        <w:tc>
          <w:tcPr>
            <w:tcW w:w="1345"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1.000</w:t>
            </w:r>
          </w:p>
        </w:tc>
        <w:tc>
          <w:tcPr>
            <w:tcW w:w="1345"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1.000</w:t>
            </w:r>
          </w:p>
        </w:tc>
        <w:tc>
          <w:tcPr>
            <w:tcW w:w="1345"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1.000</w:t>
            </w:r>
          </w:p>
        </w:tc>
        <w:tc>
          <w:tcPr>
            <w:tcW w:w="1345"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1.000</w:t>
            </w:r>
          </w:p>
        </w:tc>
      </w:tr>
      <w:tr w:rsidR="0088341A" w:rsidRPr="004D3EDB" w:rsidTr="00501137">
        <w:tc>
          <w:tcPr>
            <w:cnfStyle w:val="001000000000" w:firstRow="0" w:lastRow="0" w:firstColumn="1" w:lastColumn="0" w:oddVBand="0" w:evenVBand="0" w:oddHBand="0" w:evenHBand="0" w:firstRowFirstColumn="0" w:firstRowLastColumn="0" w:lastRowFirstColumn="0" w:lastRowLastColumn="0"/>
            <w:tcW w:w="2518" w:type="dxa"/>
          </w:tcPr>
          <w:p w:rsidR="0088341A" w:rsidRPr="004D3EDB" w:rsidRDefault="0088341A" w:rsidP="004D3EDB">
            <w:pPr>
              <w:pStyle w:val="AERtabletextleft"/>
            </w:pPr>
            <w:r w:rsidRPr="004D3EDB">
              <w:t>Network switching centre</w:t>
            </w:r>
          </w:p>
        </w:tc>
        <w:tc>
          <w:tcPr>
            <w:tcW w:w="1344"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1.000</w:t>
            </w:r>
          </w:p>
        </w:tc>
        <w:tc>
          <w:tcPr>
            <w:tcW w:w="1345"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1.000</w:t>
            </w:r>
          </w:p>
        </w:tc>
        <w:tc>
          <w:tcPr>
            <w:tcW w:w="1345"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1.000</w:t>
            </w:r>
          </w:p>
        </w:tc>
        <w:tc>
          <w:tcPr>
            <w:tcW w:w="1345"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1.000</w:t>
            </w:r>
          </w:p>
        </w:tc>
        <w:tc>
          <w:tcPr>
            <w:tcW w:w="1345" w:type="dxa"/>
          </w:tcPr>
          <w:p w:rsidR="0088341A" w:rsidRPr="004D3EDB" w:rsidRDefault="0088341A" w:rsidP="004D3EDB">
            <w:pPr>
              <w:pStyle w:val="AERtabletextright"/>
              <w:cnfStyle w:val="000000000000" w:firstRow="0" w:lastRow="0" w:firstColumn="0" w:lastColumn="0" w:oddVBand="0" w:evenVBand="0" w:oddHBand="0" w:evenHBand="0" w:firstRowFirstColumn="0" w:firstRowLastColumn="0" w:lastRowFirstColumn="0" w:lastRowLastColumn="0"/>
            </w:pPr>
            <w:r w:rsidRPr="004D3EDB">
              <w:t>1.000</w:t>
            </w:r>
          </w:p>
        </w:tc>
      </w:tr>
      <w:tr w:rsidR="0088341A" w:rsidRPr="004D3EDB" w:rsidTr="0050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88341A" w:rsidRPr="004D3EDB" w:rsidRDefault="0088341A" w:rsidP="004D3EDB">
            <w:pPr>
              <w:pStyle w:val="AERtabletextleft"/>
            </w:pPr>
            <w:r w:rsidRPr="004D3EDB">
              <w:t>IT</w:t>
            </w:r>
          </w:p>
        </w:tc>
        <w:tc>
          <w:tcPr>
            <w:tcW w:w="1344"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1.000</w:t>
            </w:r>
          </w:p>
        </w:tc>
        <w:tc>
          <w:tcPr>
            <w:tcW w:w="1345"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1.000</w:t>
            </w:r>
          </w:p>
        </w:tc>
        <w:tc>
          <w:tcPr>
            <w:tcW w:w="1345"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1.000</w:t>
            </w:r>
          </w:p>
        </w:tc>
        <w:tc>
          <w:tcPr>
            <w:tcW w:w="1345"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1.000</w:t>
            </w:r>
          </w:p>
        </w:tc>
        <w:tc>
          <w:tcPr>
            <w:tcW w:w="1345" w:type="dxa"/>
          </w:tcPr>
          <w:p w:rsidR="0088341A" w:rsidRPr="004D3EDB" w:rsidRDefault="0088341A" w:rsidP="004D3EDB">
            <w:pPr>
              <w:pStyle w:val="AERtabletextright"/>
              <w:cnfStyle w:val="000000010000" w:firstRow="0" w:lastRow="0" w:firstColumn="0" w:lastColumn="0" w:oddVBand="0" w:evenVBand="0" w:oddHBand="0" w:evenHBand="1" w:firstRowFirstColumn="0" w:firstRowLastColumn="0" w:lastRowFirstColumn="0" w:lastRowLastColumn="0"/>
            </w:pPr>
            <w:r w:rsidRPr="004D3EDB">
              <w:t>1.000</w:t>
            </w:r>
          </w:p>
        </w:tc>
      </w:tr>
    </w:tbl>
    <w:p w:rsidR="0088341A" w:rsidRPr="00AA0C32" w:rsidRDefault="0088341A" w:rsidP="0088341A">
      <w:pPr>
        <w:pStyle w:val="AERtablesource"/>
      </w:pPr>
      <w:r w:rsidRPr="00AA0C32">
        <w:t>Source:</w:t>
      </w:r>
      <w:r w:rsidRPr="00AA0C32">
        <w:tab/>
      </w:r>
      <w:r>
        <w:t xml:space="preserve">SKM, </w:t>
      </w:r>
      <w:r w:rsidRPr="003C72A3">
        <w:rPr>
          <w:rStyle w:val="AERtextitalic"/>
        </w:rPr>
        <w:t>Annual material escalators 2014/15–2016/17</w:t>
      </w:r>
      <w:r>
        <w:t>, 19 November 2012, p. 2.</w:t>
      </w:r>
    </w:p>
    <w:p w:rsidR="0088341A" w:rsidRPr="001D2EAD" w:rsidRDefault="0088341A" w:rsidP="0088341A">
      <w:pPr>
        <w:pStyle w:val="AERbodytext"/>
        <w:numPr>
          <w:ilvl w:val="0"/>
          <w:numId w:val="3"/>
        </w:numPr>
      </w:pPr>
      <w:r w:rsidRPr="001D2EAD">
        <w:lastRenderedPageBreak/>
        <w:t xml:space="preserve">For labour cost escalation, </w:t>
      </w:r>
      <w:r>
        <w:t xml:space="preserve">SP AusNet </w:t>
      </w:r>
      <w:r w:rsidRPr="001D2EAD">
        <w:t>proposed</w:t>
      </w:r>
      <w:r>
        <w:t xml:space="preserve"> </w:t>
      </w:r>
      <w:r w:rsidRPr="001D2EAD">
        <w:t>forecast</w:t>
      </w:r>
      <w:r>
        <w:t>s based on the</w:t>
      </w:r>
      <w:r w:rsidRPr="001D2EAD">
        <w:t xml:space="preserve"> labour price index</w:t>
      </w:r>
      <w:r>
        <w:t> </w:t>
      </w:r>
      <w:r w:rsidRPr="001D2EAD">
        <w:t>(LPI) unadjusted for productivity.</w:t>
      </w:r>
      <w:r>
        <w:rPr>
          <w:rStyle w:val="FootnoteReference"/>
        </w:rPr>
        <w:footnoteReference w:id="127"/>
      </w:r>
      <w:r>
        <w:t xml:space="preserve"> It</w:t>
      </w:r>
      <w:r w:rsidRPr="001D2EAD">
        <w:t xml:space="preserve"> engaged BIS Shrapnel for advice on th</w:t>
      </w:r>
      <w:r>
        <w:t>e labour cost outlook and applied its</w:t>
      </w:r>
      <w:r w:rsidRPr="001D2EAD">
        <w:t xml:space="preserve"> forecast</w:t>
      </w:r>
      <w:r>
        <w:t xml:space="preserve"> growth for the Victorian</w:t>
      </w:r>
      <w:r w:rsidRPr="001D2EAD">
        <w:t>:</w:t>
      </w:r>
    </w:p>
    <w:p w:rsidR="0088341A" w:rsidRPr="001D2EAD" w:rsidRDefault="0088341A" w:rsidP="0088341A">
      <w:pPr>
        <w:pStyle w:val="AERbulletlistfirststyle"/>
        <w:ind w:left="357" w:hanging="357"/>
      </w:pPr>
      <w:r w:rsidRPr="001D2EAD">
        <w:t xml:space="preserve">electricity, gas and water (EGW) industry for internal labour, </w:t>
      </w:r>
    </w:p>
    <w:p w:rsidR="0088341A" w:rsidRPr="001D2EAD" w:rsidRDefault="0088341A" w:rsidP="0088341A">
      <w:pPr>
        <w:pStyle w:val="AERbulletlistfirststyle"/>
        <w:ind w:left="357" w:hanging="357"/>
      </w:pPr>
      <w:r w:rsidRPr="001D2EAD">
        <w:t>construction industry for external labour.</w:t>
      </w:r>
    </w:p>
    <w:p w:rsidR="0088341A" w:rsidRDefault="0088341A" w:rsidP="0088341A">
      <w:pPr>
        <w:pStyle w:val="AERbodytext"/>
        <w:numPr>
          <w:ilvl w:val="0"/>
          <w:numId w:val="3"/>
        </w:numPr>
      </w:pPr>
      <w:r>
        <w:t>SP Aus</w:t>
      </w:r>
      <w:r w:rsidRPr="001D2EAD">
        <w:t>Net also proposed</w:t>
      </w:r>
      <w:r>
        <w:t xml:space="preserve"> </w:t>
      </w:r>
      <w:r w:rsidRPr="001D2EAD">
        <w:t xml:space="preserve">real cost escalation be applied to its </w:t>
      </w:r>
      <w:r>
        <w:t xml:space="preserve">forecast </w:t>
      </w:r>
      <w:r w:rsidRPr="001D2EAD">
        <w:t>materials.</w:t>
      </w:r>
      <w:r>
        <w:rPr>
          <w:rStyle w:val="FootnoteReference"/>
        </w:rPr>
        <w:footnoteReference w:id="128"/>
      </w:r>
      <w:r w:rsidRPr="001D2EAD">
        <w:t xml:space="preserve"> It </w:t>
      </w:r>
      <w:r>
        <w:t>consulted</w:t>
      </w:r>
      <w:r w:rsidRPr="001D2EAD">
        <w:t xml:space="preserve"> </w:t>
      </w:r>
      <w:r>
        <w:t xml:space="preserve">SKM, which </w:t>
      </w:r>
      <w:r w:rsidRPr="001D2EAD">
        <w:t xml:space="preserve">forecast </w:t>
      </w:r>
      <w:r>
        <w:t xml:space="preserve">escalation of SP AusNet's major equipment based on </w:t>
      </w:r>
      <w:r w:rsidRPr="007D74E7">
        <w:t>weighted</w:t>
      </w:r>
      <w:r>
        <w:t xml:space="preserve"> key materials and</w:t>
      </w:r>
      <w:r w:rsidRPr="007D74E7">
        <w:t xml:space="preserve"> inputs.</w:t>
      </w:r>
      <w:r>
        <w:rPr>
          <w:rStyle w:val="FootnoteReference"/>
        </w:rPr>
        <w:footnoteReference w:id="129"/>
      </w:r>
      <w:r>
        <w:t xml:space="preserve"> SKM forecast material and </w:t>
      </w:r>
      <w:r w:rsidRPr="001D2EAD">
        <w:t>input costs of aluminium, copper, steel, crude oil</w:t>
      </w:r>
      <w:r>
        <w:t>,</w:t>
      </w:r>
      <w:r w:rsidRPr="001D2EAD">
        <w:t xml:space="preserve"> construction</w:t>
      </w:r>
      <w:r>
        <w:t xml:space="preserve"> and labour</w:t>
      </w:r>
      <w:r w:rsidRPr="001D2EAD">
        <w:t xml:space="preserve"> based on future market prices and expert forecasts. </w:t>
      </w:r>
      <w:r>
        <w:t>It calculated m</w:t>
      </w:r>
      <w:r w:rsidRPr="001D2EAD">
        <w:t>aterial inputs in United States dollars ($US) and converted</w:t>
      </w:r>
      <w:r>
        <w:t xml:space="preserve"> them</w:t>
      </w:r>
      <w:r w:rsidRPr="001D2EAD">
        <w:t xml:space="preserve"> into Australian dollars ($AUD).</w:t>
      </w:r>
      <w:r>
        <w:t xml:space="preserve"> For some key inputs, it applied an additional component to reflect the impact of the carbon price mechanism.</w:t>
      </w:r>
      <w:r w:rsidRPr="000F3A76">
        <w:t xml:space="preserve"> </w:t>
      </w:r>
    </w:p>
    <w:p w:rsidR="0088341A" w:rsidRPr="00062319" w:rsidRDefault="0088341A" w:rsidP="0088341A">
      <w:pPr>
        <w:pStyle w:val="Heading2"/>
        <w:numPr>
          <w:ilvl w:val="2"/>
          <w:numId w:val="20"/>
        </w:numPr>
      </w:pPr>
      <w:bookmarkStart w:id="138" w:name="_Toc326056441"/>
      <w:bookmarkStart w:id="139" w:name="_Toc365283286"/>
      <w:r w:rsidRPr="00062319">
        <w:t>Assessment approach</w:t>
      </w:r>
      <w:bookmarkEnd w:id="138"/>
      <w:bookmarkEnd w:id="139"/>
    </w:p>
    <w:p w:rsidR="0088341A" w:rsidRPr="00792B74" w:rsidRDefault="0088341A" w:rsidP="0088341A">
      <w:pPr>
        <w:pStyle w:val="AERbodytext"/>
        <w:numPr>
          <w:ilvl w:val="0"/>
          <w:numId w:val="3"/>
        </w:numPr>
      </w:pPr>
      <w:r>
        <w:t>We</w:t>
      </w:r>
      <w:r w:rsidRPr="00792B74">
        <w:t xml:space="preserve"> assess</w:t>
      </w:r>
      <w:r>
        <w:t>ed</w:t>
      </w:r>
      <w:r w:rsidRPr="00792B74">
        <w:t xml:space="preserve"> </w:t>
      </w:r>
      <w:r>
        <w:t>SP AusNet</w:t>
      </w:r>
      <w:r w:rsidRPr="00792B74">
        <w:t>'s proposed real cost escalators against the</w:t>
      </w:r>
      <w:r>
        <w:t xml:space="preserve"> </w:t>
      </w:r>
      <w:r w:rsidR="006F07FB">
        <w:t>National Electricity Rules (</w:t>
      </w:r>
      <w:r>
        <w:t>NER</w:t>
      </w:r>
      <w:r w:rsidR="006F07FB">
        <w:t>)</w:t>
      </w:r>
      <w:r w:rsidRPr="00792B74">
        <w:t xml:space="preserve"> requirements. </w:t>
      </w:r>
      <w:r>
        <w:t>We</w:t>
      </w:r>
      <w:r w:rsidRPr="00792B74">
        <w:t xml:space="preserve"> must accept </w:t>
      </w:r>
      <w:r>
        <w:t>SP AusNet</w:t>
      </w:r>
      <w:r w:rsidRPr="00792B74">
        <w:t>'s opex and capex forecasts if satisfied the</w:t>
      </w:r>
      <w:r>
        <w:t>y</w:t>
      </w:r>
      <w:r w:rsidRPr="00792B74">
        <w:t xml:space="preserve"> reasonably reflect the opex and capex criteria.</w:t>
      </w:r>
      <w:r>
        <w:rPr>
          <w:rStyle w:val="FootnoteReference"/>
        </w:rPr>
        <w:footnoteReference w:id="130"/>
      </w:r>
      <w:r w:rsidRPr="00792B74">
        <w:t xml:space="preserve"> </w:t>
      </w:r>
      <w:r w:rsidR="006F07FB">
        <w:t>We</w:t>
      </w:r>
      <w:r w:rsidRPr="00792B74">
        <w:t xml:space="preserve"> must be satisfied those forecasts reasonably reflect a realistic expectation of cost inputs required to achieve the opex and capex objectives.</w:t>
      </w:r>
      <w:r>
        <w:rPr>
          <w:rStyle w:val="FootnoteReference"/>
        </w:rPr>
        <w:footnoteReference w:id="131"/>
      </w:r>
    </w:p>
    <w:p w:rsidR="0088341A" w:rsidRPr="00792B74" w:rsidRDefault="0088341A" w:rsidP="0088341A">
      <w:pPr>
        <w:pStyle w:val="AERbodytext"/>
        <w:numPr>
          <w:ilvl w:val="0"/>
          <w:numId w:val="3"/>
        </w:numPr>
      </w:pPr>
      <w:r w:rsidRPr="00792B74">
        <w:t xml:space="preserve">In </w:t>
      </w:r>
      <w:r>
        <w:t>our assessment</w:t>
      </w:r>
      <w:r w:rsidRPr="00792B74">
        <w:t xml:space="preserve"> </w:t>
      </w:r>
      <w:r>
        <w:t>of</w:t>
      </w:r>
      <w:r w:rsidRPr="00792B74">
        <w:t xml:space="preserve"> labour cost escalation, </w:t>
      </w:r>
      <w:r>
        <w:t>we</w:t>
      </w:r>
      <w:r w:rsidRPr="00792B74">
        <w:t>:</w:t>
      </w:r>
    </w:p>
    <w:p w:rsidR="0088341A" w:rsidRPr="00A771F4" w:rsidRDefault="0088341A" w:rsidP="0088341A">
      <w:pPr>
        <w:pStyle w:val="AERbulletlistfirststyle"/>
        <w:ind w:left="357" w:hanging="357"/>
      </w:pPr>
      <w:r w:rsidRPr="00792B74">
        <w:t>reviewed the BIS Shrapnel</w:t>
      </w:r>
      <w:r w:rsidRPr="00A771F4">
        <w:t xml:space="preserve"> report commissioned by SP AusNet</w:t>
      </w:r>
      <w:r w:rsidRPr="00A771F4">
        <w:rPr>
          <w:rStyle w:val="FootnoteReference"/>
        </w:rPr>
        <w:footnoteReference w:id="132"/>
      </w:r>
    </w:p>
    <w:p w:rsidR="0088341A" w:rsidRPr="00A771F4" w:rsidRDefault="0088341A" w:rsidP="0088341A">
      <w:pPr>
        <w:pStyle w:val="AERbulletlistfirststyle"/>
        <w:ind w:left="357" w:hanging="357"/>
      </w:pPr>
      <w:r>
        <w:t>considered advice from our</w:t>
      </w:r>
      <w:r w:rsidRPr="00A771F4">
        <w:t xml:space="preserve"> commissioned consultant, DAE</w:t>
      </w:r>
      <w:r w:rsidRPr="00A771F4">
        <w:rPr>
          <w:rStyle w:val="FootnoteReference"/>
        </w:rPr>
        <w:footnoteReference w:id="133"/>
      </w:r>
    </w:p>
    <w:p w:rsidR="0088341A" w:rsidRPr="00A771F4" w:rsidRDefault="0088341A" w:rsidP="0088341A">
      <w:pPr>
        <w:pStyle w:val="AERbulletlistfirststyle"/>
        <w:ind w:left="357" w:hanging="357"/>
      </w:pPr>
      <w:r w:rsidRPr="00792B74">
        <w:t xml:space="preserve">tested the </w:t>
      </w:r>
      <w:r w:rsidRPr="00A771F4">
        <w:t>expert's forecasts against each other.</w:t>
      </w:r>
    </w:p>
    <w:p w:rsidR="0088341A" w:rsidRDefault="0088341A" w:rsidP="0088341A">
      <w:pPr>
        <w:pStyle w:val="AERbodytext"/>
        <w:numPr>
          <w:ilvl w:val="0"/>
          <w:numId w:val="3"/>
        </w:numPr>
      </w:pPr>
      <w:r>
        <w:t>In our assessment of material cost escalation, we:</w:t>
      </w:r>
    </w:p>
    <w:p w:rsidR="0088341A" w:rsidRPr="00A771F4" w:rsidRDefault="0088341A" w:rsidP="0088341A">
      <w:pPr>
        <w:pStyle w:val="AERbulletlistfirststyle"/>
        <w:ind w:left="357" w:hanging="357"/>
      </w:pPr>
      <w:r w:rsidRPr="0056659C">
        <w:t>reviewed the SKM</w:t>
      </w:r>
      <w:r w:rsidRPr="00A771F4">
        <w:t xml:space="preserve"> report commissioned by SP AusNet</w:t>
      </w:r>
      <w:r w:rsidRPr="00A771F4">
        <w:rPr>
          <w:rStyle w:val="FootnoteReference"/>
        </w:rPr>
        <w:footnoteReference w:id="134"/>
      </w:r>
    </w:p>
    <w:p w:rsidR="0088341A" w:rsidRPr="00A771F4" w:rsidRDefault="0088341A" w:rsidP="0088341A">
      <w:pPr>
        <w:pStyle w:val="AERbulletlistfirststyle"/>
        <w:ind w:left="357" w:hanging="357"/>
      </w:pPr>
      <w:r w:rsidRPr="0056659C">
        <w:t>forecast the price changes from prices traded in futures markets, such as contracts traded on the London Metal Exchange (LME)</w:t>
      </w:r>
      <w:r w:rsidRPr="00A771F4">
        <w:t xml:space="preserve"> as well as forecasts from Consensus Economics, which derives an average from forecasts by a number of economic forecasters</w:t>
      </w:r>
    </w:p>
    <w:p w:rsidR="0088341A" w:rsidRPr="00A771F4" w:rsidRDefault="0088341A" w:rsidP="0088341A">
      <w:pPr>
        <w:pStyle w:val="AERbulletlistfirststyle"/>
        <w:ind w:left="357" w:hanging="357"/>
      </w:pPr>
      <w:r>
        <w:t xml:space="preserve">tested the </w:t>
      </w:r>
      <w:r w:rsidRPr="00A771F4">
        <w:t>input price changes against each other.</w:t>
      </w:r>
    </w:p>
    <w:p w:rsidR="0088341A" w:rsidRPr="002D6DEC" w:rsidRDefault="0088341A" w:rsidP="0088341A">
      <w:pPr>
        <w:pStyle w:val="AERbodytext"/>
        <w:numPr>
          <w:ilvl w:val="0"/>
          <w:numId w:val="3"/>
        </w:numPr>
      </w:pPr>
      <w:r>
        <w:t>In forming our views, we</w:t>
      </w:r>
      <w:r w:rsidRPr="00792B74">
        <w:t xml:space="preserve"> also </w:t>
      </w:r>
      <w:r>
        <w:t>considered</w:t>
      </w:r>
      <w:r w:rsidRPr="00792B74">
        <w:t xml:space="preserve"> submissions by stakeholders.</w:t>
      </w:r>
    </w:p>
    <w:p w:rsidR="0088341A" w:rsidRPr="00062319" w:rsidRDefault="0088341A" w:rsidP="0088341A">
      <w:pPr>
        <w:pStyle w:val="Heading2"/>
        <w:numPr>
          <w:ilvl w:val="2"/>
          <w:numId w:val="20"/>
        </w:numPr>
      </w:pPr>
      <w:bookmarkStart w:id="140" w:name="_Toc326056442"/>
      <w:bookmarkStart w:id="141" w:name="_Toc365283287"/>
      <w:r w:rsidRPr="00062319">
        <w:t>Reasons for draft decision</w:t>
      </w:r>
      <w:bookmarkEnd w:id="140"/>
      <w:bookmarkEnd w:id="141"/>
      <w:r w:rsidRPr="00062319">
        <w:t xml:space="preserve"> </w:t>
      </w:r>
    </w:p>
    <w:p w:rsidR="0088341A" w:rsidRDefault="0088341A" w:rsidP="0088341A">
      <w:pPr>
        <w:pStyle w:val="AERbodytext"/>
        <w:numPr>
          <w:ilvl w:val="0"/>
          <w:numId w:val="3"/>
        </w:numPr>
      </w:pPr>
      <w:r>
        <w:t>Expert forecasters agree there is</w:t>
      </w:r>
      <w:r w:rsidRPr="00233479">
        <w:t xml:space="preserve"> no perfect predictor of escalators </w:t>
      </w:r>
      <w:r>
        <w:t>but</w:t>
      </w:r>
      <w:r w:rsidRPr="00233479">
        <w:t xml:space="preserve"> </w:t>
      </w:r>
      <w:r>
        <w:t>s</w:t>
      </w:r>
      <w:r w:rsidRPr="00233479">
        <w:t>ome forecasts are</w:t>
      </w:r>
      <w:r>
        <w:t xml:space="preserve"> </w:t>
      </w:r>
      <w:r w:rsidRPr="00233479">
        <w:t>more reliable than others</w:t>
      </w:r>
      <w:r>
        <w:t>.</w:t>
      </w:r>
      <w:r>
        <w:rPr>
          <w:rStyle w:val="FootnoteReference"/>
        </w:rPr>
        <w:footnoteReference w:id="135"/>
      </w:r>
      <w:r w:rsidRPr="00233479">
        <w:t xml:space="preserve"> Consequently, </w:t>
      </w:r>
      <w:r>
        <w:t xml:space="preserve">we </w:t>
      </w:r>
      <w:r w:rsidRPr="00233479">
        <w:t xml:space="preserve">considered a range of material and views in reaching a </w:t>
      </w:r>
      <w:r w:rsidRPr="00233479">
        <w:lastRenderedPageBreak/>
        <w:t xml:space="preserve">conclusion. </w:t>
      </w:r>
      <w:r>
        <w:t>We are</w:t>
      </w:r>
      <w:r w:rsidRPr="00233479">
        <w:t xml:space="preserve"> not satisfied that in all instances the forecasts proposed by </w:t>
      </w:r>
      <w:r>
        <w:t>SP AusNet</w:t>
      </w:r>
      <w:r w:rsidRPr="00233479">
        <w:t xml:space="preserve"> satisf</w:t>
      </w:r>
      <w:r>
        <w:t>y</w:t>
      </w:r>
      <w:r w:rsidRPr="00233479">
        <w:t xml:space="preserve"> the requirements of the </w:t>
      </w:r>
      <w:r w:rsidR="006F07FB">
        <w:t>NER</w:t>
      </w:r>
      <w:r w:rsidRPr="00233479">
        <w:t xml:space="preserve">. In these instances, </w:t>
      </w:r>
      <w:r>
        <w:t xml:space="preserve">we </w:t>
      </w:r>
      <w:r w:rsidRPr="00233479">
        <w:t>substituted an alternative forecast.</w:t>
      </w:r>
    </w:p>
    <w:p w:rsidR="0088341A" w:rsidRDefault="0088341A" w:rsidP="0088341A">
      <w:pPr>
        <w:pStyle w:val="AERbodytext"/>
        <w:numPr>
          <w:ilvl w:val="0"/>
          <w:numId w:val="3"/>
        </w:numPr>
      </w:pPr>
      <w:r>
        <w:t>We acknowledge the Energy Users Coalition of Victoria's (EUCV) recommendation that we should continue to monitor and review forecasters</w:t>
      </w:r>
      <w:r w:rsidR="009E166E">
        <w:t>’</w:t>
      </w:r>
      <w:r>
        <w:t xml:space="preserve"> approaches and the accuracy of these approaches overtime.</w:t>
      </w:r>
      <w:r>
        <w:rPr>
          <w:rStyle w:val="FootnoteReference"/>
        </w:rPr>
        <w:footnoteReference w:id="136"/>
      </w:r>
      <w:r>
        <w:t xml:space="preserve"> </w:t>
      </w:r>
      <w:r w:rsidR="006F07FB">
        <w:t>As</w:t>
      </w:r>
      <w:r>
        <w:t xml:space="preserve"> part of the Better Regulation program of work, we are reviewing real cost escalation approaches for future resets.</w:t>
      </w:r>
    </w:p>
    <w:p w:rsidR="0088341A" w:rsidRPr="00A907E9" w:rsidRDefault="0088341A" w:rsidP="0088341A">
      <w:pPr>
        <w:pStyle w:val="Heading3"/>
        <w:numPr>
          <w:ilvl w:val="3"/>
          <w:numId w:val="20"/>
        </w:numPr>
      </w:pPr>
      <w:r w:rsidRPr="00A907E9">
        <w:t>Labour cost escalation</w:t>
      </w:r>
    </w:p>
    <w:p w:rsidR="0088341A" w:rsidRPr="00A771F4" w:rsidRDefault="0088341A" w:rsidP="0088341A">
      <w:pPr>
        <w:pStyle w:val="AERbodytext"/>
        <w:numPr>
          <w:ilvl w:val="0"/>
          <w:numId w:val="1"/>
        </w:numPr>
      </w:pPr>
      <w:r>
        <w:t>We do</w:t>
      </w:r>
      <w:r w:rsidRPr="00A771F4">
        <w:t xml:space="preserve"> not accept SP AusNet's proposed labour cost escalators reasonably reflect a realistic expectation of future labour costs. Our reasoning is that BIS Shrapnel:</w:t>
      </w:r>
    </w:p>
    <w:p w:rsidR="0088341A" w:rsidRPr="00A771F4" w:rsidRDefault="0088341A" w:rsidP="0088341A">
      <w:pPr>
        <w:pStyle w:val="AERbulletlistfirststyle"/>
        <w:ind w:left="357" w:hanging="357"/>
      </w:pPr>
      <w:r>
        <w:t xml:space="preserve">used less reliable data and assumptions in </w:t>
      </w:r>
      <w:r w:rsidRPr="00A771F4">
        <w:t>the forecast SP AusNet applied for escalating its internal labour costs for the 2014–17 regulatory control period</w:t>
      </w:r>
    </w:p>
    <w:p w:rsidR="0088341A" w:rsidRPr="00A771F4" w:rsidRDefault="0088341A" w:rsidP="0088341A">
      <w:pPr>
        <w:pStyle w:val="AERbulletlistfirststyle"/>
        <w:ind w:left="357" w:hanging="357"/>
      </w:pPr>
      <w:r w:rsidRPr="007B7330">
        <w:t xml:space="preserve">inaccurately reflected 2011–12 </w:t>
      </w:r>
      <w:r w:rsidR="006F07FB">
        <w:t>Australian Bureau of Statistics (</w:t>
      </w:r>
      <w:r w:rsidRPr="007B7330">
        <w:t>ABS</w:t>
      </w:r>
      <w:r w:rsidR="006F07FB">
        <w:t>)</w:t>
      </w:r>
      <w:r w:rsidRPr="007B7330">
        <w:t xml:space="preserve"> data in its analysis and </w:t>
      </w:r>
      <w:r w:rsidR="006F07FB">
        <w:t>led to</w:t>
      </w:r>
      <w:r w:rsidR="006F07FB" w:rsidRPr="007B7330">
        <w:t xml:space="preserve"> </w:t>
      </w:r>
      <w:r w:rsidRPr="007B7330">
        <w:t>inconsistencies</w:t>
      </w:r>
      <w:r w:rsidRPr="00A771F4">
        <w:t xml:space="preserve"> in the forecast SP AusNet applied for escalating its external labour costs for the 2014–17 regulatory control period.</w:t>
      </w:r>
    </w:p>
    <w:p w:rsidR="0088341A" w:rsidRPr="00A771F4" w:rsidRDefault="0088341A" w:rsidP="0088341A">
      <w:pPr>
        <w:pStyle w:val="AERbodytext"/>
        <w:numPr>
          <w:ilvl w:val="0"/>
          <w:numId w:val="1"/>
        </w:numPr>
      </w:pPr>
      <w:r>
        <w:t xml:space="preserve">In contrast, we consider DAE's forecast assumptions are more </w:t>
      </w:r>
      <w:r w:rsidRPr="00A771F4">
        <w:t>reliable and better account for SP AusNet's requirements. So, we substituted DAE's labour cost forecasts because we consider they reasonably reflect a realistic expectation of the cost inputs that SP AusNet requires to achieve the opex and capex objectives over the 2014–17 regulatory control period.</w:t>
      </w:r>
      <w:r w:rsidRPr="00A771F4">
        <w:rPr>
          <w:rStyle w:val="FootnoteReference"/>
        </w:rPr>
        <w:footnoteReference w:id="137"/>
      </w:r>
    </w:p>
    <w:p w:rsidR="0088341A" w:rsidRDefault="0088341A" w:rsidP="0088341A">
      <w:pPr>
        <w:pStyle w:val="HeadingBoldBlue"/>
        <w:numPr>
          <w:ilvl w:val="0"/>
          <w:numId w:val="3"/>
        </w:numPr>
        <w:spacing w:before="120" w:after="120"/>
      </w:pPr>
      <w:r>
        <w:t>Adjusted versus unadjusted productivity forecasts</w:t>
      </w:r>
    </w:p>
    <w:p w:rsidR="0088341A" w:rsidRPr="00A771F4" w:rsidRDefault="0088341A" w:rsidP="0088341A">
      <w:pPr>
        <w:pStyle w:val="AERbodytext"/>
        <w:numPr>
          <w:ilvl w:val="0"/>
          <w:numId w:val="1"/>
        </w:numPr>
      </w:pPr>
      <w:r>
        <w:t xml:space="preserve">We consider that changes in labour costs </w:t>
      </w:r>
      <w:r w:rsidR="006F07FB">
        <w:t>comprise</w:t>
      </w:r>
      <w:r>
        <w:t xml:space="preserve"> changes in labour price and the change in labour productivity. Because forecasters use a labour price measure such as the LPI, </w:t>
      </w:r>
      <w:r w:rsidRPr="00A771F4">
        <w:t>we consider that in theory labour productivity adjustments should apply to more appropriately reflect labour cost changes.</w:t>
      </w:r>
      <w:r w:rsidRPr="00A771F4">
        <w:rPr>
          <w:rStyle w:val="FootnoteReference"/>
        </w:rPr>
        <w:footnoteReference w:id="138"/>
      </w:r>
      <w:r w:rsidRPr="00A771F4">
        <w:t xml:space="preserve"> However, given the difficulty in estimating quality adjusted labour productivity estimates we cannot make this adjustment with appropriate certainty.</w:t>
      </w:r>
    </w:p>
    <w:p w:rsidR="0088341A" w:rsidRPr="00A771F4" w:rsidRDefault="0088341A" w:rsidP="0088341A">
      <w:pPr>
        <w:pStyle w:val="AERbodytext"/>
        <w:numPr>
          <w:ilvl w:val="0"/>
          <w:numId w:val="1"/>
        </w:numPr>
      </w:pPr>
      <w:r>
        <w:t>W</w:t>
      </w:r>
      <w:r w:rsidRPr="00A771F4">
        <w:t>e acknowledge the EUCV's considerations that productivity adjustments should be applied.</w:t>
      </w:r>
      <w:r w:rsidRPr="00A771F4">
        <w:rPr>
          <w:rStyle w:val="FootnoteReference"/>
        </w:rPr>
        <w:footnoteReference w:id="139"/>
      </w:r>
      <w:r w:rsidRPr="00A771F4">
        <w:t xml:space="preserve"> However while we expect labour productivity to improve in the long run, estimation difficulties mean we did not seek to address this effect in SP AusNet's forecast of labour costs.</w:t>
      </w:r>
    </w:p>
    <w:p w:rsidR="0088341A" w:rsidRDefault="0088341A" w:rsidP="0088341A">
      <w:pPr>
        <w:pStyle w:val="HeadingBoldBlue"/>
        <w:numPr>
          <w:ilvl w:val="0"/>
          <w:numId w:val="3"/>
        </w:numPr>
        <w:spacing w:before="120" w:after="120"/>
      </w:pPr>
      <w:r>
        <w:t>Review of expert forecasts</w:t>
      </w:r>
    </w:p>
    <w:p w:rsidR="0088341A" w:rsidRPr="00A771F4" w:rsidRDefault="0088341A" w:rsidP="0088341A">
      <w:pPr>
        <w:pStyle w:val="AERbodytext"/>
        <w:numPr>
          <w:ilvl w:val="0"/>
          <w:numId w:val="1"/>
        </w:numPr>
      </w:pPr>
      <w:r>
        <w:t>We reviewed the forecasts prepared by BIS Shrapnel and DAE.</w:t>
      </w:r>
      <w:r w:rsidRPr="00A771F4">
        <w:rPr>
          <w:rStyle w:val="FootnoteReference"/>
        </w:rPr>
        <w:footnoteReference w:id="140"/>
      </w:r>
      <w:r w:rsidRPr="00A771F4">
        <w:t xml:space="preserve"> Although both experts developed forecast labour cost escalators using LPI measures; they used different inputs, approaches and assumptions. In determining which forecast provides a realistic expectation of cost inputs given SP AusNet's circumstances for the 2014–17 regulatory control period, we reviewed the following components of the forecasts.</w:t>
      </w:r>
    </w:p>
    <w:p w:rsidR="0088341A" w:rsidRDefault="0088341A" w:rsidP="0088341A">
      <w:pPr>
        <w:pStyle w:val="HeadingBoldItalic"/>
        <w:keepNext/>
        <w:numPr>
          <w:ilvl w:val="0"/>
          <w:numId w:val="3"/>
        </w:numPr>
        <w:spacing w:before="120" w:after="120"/>
      </w:pPr>
      <w:r>
        <w:lastRenderedPageBreak/>
        <w:t>Internal labour cost escalation</w:t>
      </w:r>
    </w:p>
    <w:p w:rsidR="0088341A" w:rsidRPr="00A771F4" w:rsidRDefault="0088341A" w:rsidP="0088341A">
      <w:pPr>
        <w:pStyle w:val="AERbodytext"/>
        <w:numPr>
          <w:ilvl w:val="0"/>
          <w:numId w:val="1"/>
        </w:numPr>
      </w:pPr>
      <w:r>
        <w:t xml:space="preserve">We </w:t>
      </w:r>
      <w:r w:rsidRPr="00A771F4">
        <w:t xml:space="preserve">do not accept SP AusNet's forecast internal labour cost escalators for the 2014–17 regulatory control period. The proposed BIS Shrapnel EGW forecast is based on an industry data set which was last published in 2009. Thus we question the reliability of BIS Shrapnel's forecast as there is a lack of available robust data for comparative analysis. We also consider BIS Shrapnel's assumptions based on data </w:t>
      </w:r>
      <w:r w:rsidR="006F07FB">
        <w:t>before</w:t>
      </w:r>
      <w:r w:rsidRPr="00A771F4">
        <w:t xml:space="preserve"> 2009 are less reliable than assumptions based on contemporary data.</w:t>
      </w:r>
    </w:p>
    <w:p w:rsidR="0088341A" w:rsidRPr="00A771F4" w:rsidRDefault="0088341A" w:rsidP="0088341A">
      <w:pPr>
        <w:pStyle w:val="AERbodytext"/>
        <w:numPr>
          <w:ilvl w:val="0"/>
          <w:numId w:val="1"/>
        </w:numPr>
      </w:pPr>
      <w:r>
        <w:t>In comparison, we consider DAE's</w:t>
      </w:r>
      <w:r w:rsidRPr="00A771F4">
        <w:t xml:space="preserve"> Electricity, Gas, Water and Waste Services (EGWWS) forecast to be more reliable because it uses an available data set and applies more up to date assumptions. For these reasons, we substituted DAE's forecast because it reflects a realistic expectation of cost inputs required by SP AusNet to achieve the opex and capex objectives over the 2014–17 regulatory control period.</w:t>
      </w:r>
      <w:r w:rsidRPr="00A771F4">
        <w:rPr>
          <w:rStyle w:val="FootnoteReference"/>
        </w:rPr>
        <w:footnoteReference w:id="141"/>
      </w:r>
    </w:p>
    <w:p w:rsidR="0088341A" w:rsidRPr="00A771F4" w:rsidRDefault="0088341A" w:rsidP="0088341A">
      <w:pPr>
        <w:pStyle w:val="AERbodytext"/>
        <w:numPr>
          <w:ilvl w:val="0"/>
          <w:numId w:val="1"/>
        </w:numPr>
      </w:pPr>
      <w:r>
        <w:t>W</w:t>
      </w:r>
      <w:r w:rsidRPr="00A771F4">
        <w:t>e consider the reliability of the forecast should be a significant consideration when determining a forecast that reasonably reflects a realistic expectation of SP AusNet's internal labour costs for 2014–15 to 2016–17. As discussed below, we do not consider BIS Shrapnel's EGW forecast is reliable.</w:t>
      </w:r>
    </w:p>
    <w:p w:rsidR="0088341A" w:rsidRPr="00A771F4" w:rsidRDefault="0088341A" w:rsidP="0088341A">
      <w:pPr>
        <w:pStyle w:val="AERbodytext"/>
        <w:numPr>
          <w:ilvl w:val="0"/>
          <w:numId w:val="1"/>
        </w:numPr>
      </w:pPr>
      <w:r>
        <w:t>Consistent with our previous decisions, we consider the use of forecast growth in the EGWWS industry</w:t>
      </w:r>
      <w:r w:rsidRPr="00A771F4">
        <w:t xml:space="preserve"> is a good proxy for escalating a network service provider's (NSP) internal labour costs. </w:t>
      </w:r>
      <w:r w:rsidR="00751E0B">
        <w:t>It</w:t>
      </w:r>
      <w:r w:rsidRPr="00A771F4">
        <w:t xml:space="preserve"> is a good reflection of all general internal labour. The ABS publishes this industry data series regularly at the national level and often at the state level. About the series, the ABS previously advised:</w:t>
      </w:r>
      <w:r w:rsidRPr="00A771F4">
        <w:rPr>
          <w:rStyle w:val="FootnoteReference"/>
        </w:rPr>
        <w:footnoteReference w:id="142"/>
      </w:r>
    </w:p>
    <w:p w:rsidR="0088341A" w:rsidRDefault="0088341A" w:rsidP="0088341A">
      <w:pPr>
        <w:pStyle w:val="AERquote"/>
      </w:pPr>
      <w:r>
        <w:t>...regardless of the type of job, if the job was selected from a business classified to the electricity, gas, water and waste services industry, the job pay movements contributes to this industry.</w:t>
      </w:r>
    </w:p>
    <w:p w:rsidR="0088341A" w:rsidRPr="00A771F4" w:rsidRDefault="0088341A" w:rsidP="0088341A">
      <w:pPr>
        <w:pStyle w:val="AERbodytext"/>
        <w:numPr>
          <w:ilvl w:val="0"/>
          <w:numId w:val="1"/>
        </w:numPr>
      </w:pPr>
      <w:r>
        <w:t xml:space="preserve">Also, </w:t>
      </w:r>
      <w:r w:rsidRPr="00A771F4">
        <w:t>the ABS EGWWS industry data is publicly available which increases transparency. Consequently, we consider forecasts based on ABS published data to be reliable.</w:t>
      </w:r>
    </w:p>
    <w:p w:rsidR="0088341A" w:rsidRPr="00A771F4" w:rsidRDefault="0088341A" w:rsidP="0088341A">
      <w:pPr>
        <w:pStyle w:val="AERbodytext"/>
        <w:numPr>
          <w:ilvl w:val="0"/>
          <w:numId w:val="1"/>
        </w:numPr>
      </w:pPr>
      <w:r>
        <w:t>However, SP AusNet consider</w:t>
      </w:r>
      <w:r w:rsidRPr="00A771F4">
        <w:t>ed its labour requirements differ from those of the waste services sector.</w:t>
      </w:r>
      <w:r w:rsidRPr="00A771F4">
        <w:rPr>
          <w:rStyle w:val="FootnoteReference"/>
        </w:rPr>
        <w:footnoteReference w:id="143"/>
      </w:r>
      <w:r w:rsidRPr="00A771F4">
        <w:t xml:space="preserve"> So it excluded the waste services component of the EGWWS industry data series because it:</w:t>
      </w:r>
      <w:r w:rsidRPr="00A771F4">
        <w:rPr>
          <w:rStyle w:val="FootnoteReference"/>
        </w:rPr>
        <w:footnoteReference w:id="144"/>
      </w:r>
    </w:p>
    <w:p w:rsidR="0088341A" w:rsidRDefault="0088341A" w:rsidP="0088341A">
      <w:pPr>
        <w:pStyle w:val="AERquote"/>
      </w:pPr>
      <w:r>
        <w:t>...introduces a systematic downward bias in the forecasts of real labour costs that SP AusNet would be likely to face.</w:t>
      </w:r>
    </w:p>
    <w:p w:rsidR="0088341A" w:rsidRPr="00A771F4" w:rsidRDefault="0088341A" w:rsidP="00751E0B">
      <w:pPr>
        <w:pStyle w:val="AERbodytext"/>
        <w:numPr>
          <w:ilvl w:val="0"/>
          <w:numId w:val="1"/>
        </w:numPr>
      </w:pPr>
      <w:r>
        <w:t>Based on</w:t>
      </w:r>
      <w:r w:rsidRPr="00A771F4">
        <w:t xml:space="preserve"> this reasoning, SP AusNet proposed BIS Shrapnel's EGW forecast as its internal labour escalator.</w:t>
      </w:r>
      <w:r w:rsidRPr="00A771F4">
        <w:rPr>
          <w:rStyle w:val="FootnoteReference"/>
        </w:rPr>
        <w:footnoteReference w:id="145"/>
      </w:r>
      <w:r w:rsidR="00751E0B">
        <w:t xml:space="preserve"> While we </w:t>
      </w:r>
      <w:r>
        <w:t xml:space="preserve"> acknowledge SP AusNet's preference to use an EGW forecast</w:t>
      </w:r>
      <w:r w:rsidR="00751E0B">
        <w:t>,</w:t>
      </w:r>
      <w:r w:rsidRPr="00A771F4">
        <w:t xml:space="preserve"> we consider BIS Shrapnel's EGW forecast is less reliable than DAE's EGWWS forecast given:</w:t>
      </w:r>
    </w:p>
    <w:p w:rsidR="0088341A" w:rsidRDefault="0088341A" w:rsidP="0088341A">
      <w:pPr>
        <w:pStyle w:val="AERbulletlistfirststyle"/>
        <w:ind w:left="357" w:hanging="357"/>
      </w:pPr>
      <w:r>
        <w:t>the lack of available robust EGW industry data</w:t>
      </w:r>
    </w:p>
    <w:p w:rsidR="0088341A" w:rsidRPr="00A771F4" w:rsidRDefault="0088341A" w:rsidP="0088341A">
      <w:pPr>
        <w:pStyle w:val="AERbulletlistfirststyle"/>
        <w:ind w:left="357" w:hanging="357"/>
      </w:pPr>
      <w:r>
        <w:t xml:space="preserve">the </w:t>
      </w:r>
      <w:r w:rsidRPr="00A771F4">
        <w:t>assumption that EGW industry wages will always grow at a faster rate than EGWWS industry wages.</w:t>
      </w:r>
    </w:p>
    <w:p w:rsidR="0088341A" w:rsidRPr="00A771F4" w:rsidRDefault="0088341A" w:rsidP="0088341A">
      <w:pPr>
        <w:pStyle w:val="AERbodytext"/>
        <w:numPr>
          <w:ilvl w:val="0"/>
          <w:numId w:val="1"/>
        </w:numPr>
      </w:pPr>
      <w:r>
        <w:t>Firstly, we note the lack of available robust data for</w:t>
      </w:r>
      <w:r w:rsidRPr="00A771F4">
        <w:t xml:space="preserve"> the EGW industry. The ABS stopped publishing the LPI for the EGW industry data series almost four years ago (November 2009). While it is unclear how BIS Shrapnel created the EGW LPI historical data series post 2009,</w:t>
      </w:r>
      <w:r w:rsidRPr="00A771F4">
        <w:rPr>
          <w:rStyle w:val="FootnoteReference"/>
        </w:rPr>
        <w:footnoteReference w:id="146"/>
      </w:r>
      <w:r w:rsidRPr="00A771F4">
        <w:t xml:space="preserve"> it applied weight to the </w:t>
      </w:r>
      <w:r w:rsidRPr="00A771F4">
        <w:lastRenderedPageBreak/>
        <w:t xml:space="preserve">data series prior to </w:t>
      </w:r>
      <w:r w:rsidRPr="00A771F4">
        <w:softHyphen/>
        <w:t>2009 in forecasting EGW industry wage movements.</w:t>
      </w:r>
      <w:r w:rsidRPr="00A771F4">
        <w:rPr>
          <w:rStyle w:val="FootnoteReference"/>
        </w:rPr>
        <w:footnoteReference w:id="147"/>
      </w:r>
      <w:r w:rsidRPr="00A771F4">
        <w:t xml:space="preserve"> We consider there is some uncertainty regarding the reliability of a forecast that uses historical movements in the industry data series to inform a forecast to 2017, some eight years after its last ABS publication. This uncertainty becomes greater over time, making the </w:t>
      </w:r>
      <w:r w:rsidR="009E166E">
        <w:t>historical</w:t>
      </w:r>
      <w:r w:rsidRPr="00A771F4">
        <w:t xml:space="preserve"> assumptions less reliable and less transparent. We consider a forecast based on more recent and public available data (such as the EGWWS industry data) is more reliable.</w:t>
      </w:r>
    </w:p>
    <w:p w:rsidR="0088341A" w:rsidRDefault="0088341A" w:rsidP="0088341A">
      <w:pPr>
        <w:pStyle w:val="AERbodytext"/>
        <w:numPr>
          <w:ilvl w:val="0"/>
          <w:numId w:val="3"/>
        </w:numPr>
      </w:pPr>
      <w:r>
        <w:t>W</w:t>
      </w:r>
      <w:r w:rsidRPr="00E0726E">
        <w:t xml:space="preserve">e also </w:t>
      </w:r>
      <w:r>
        <w:t>question why</w:t>
      </w:r>
      <w:r w:rsidRPr="00E0726E">
        <w:t xml:space="preserve"> SP AusNet</w:t>
      </w:r>
      <w:r>
        <w:t xml:space="preserve"> based its forecast on</w:t>
      </w:r>
      <w:r w:rsidRPr="00E0726E">
        <w:t xml:space="preserve"> a discontinued published data series </w:t>
      </w:r>
      <w:r>
        <w:t>such as the EGW industry when one reason it preferred</w:t>
      </w:r>
      <w:r w:rsidRPr="00E0726E">
        <w:t xml:space="preserve"> the LPI </w:t>
      </w:r>
      <w:r>
        <w:t xml:space="preserve">measure </w:t>
      </w:r>
      <w:r w:rsidRPr="00E0726E">
        <w:t>over</w:t>
      </w:r>
      <w:r>
        <w:t xml:space="preserve"> the</w:t>
      </w:r>
      <w:r w:rsidRPr="00E0726E">
        <w:t xml:space="preserve"> </w:t>
      </w:r>
      <w:r>
        <w:t>average weekly ordinary time earnings (</w:t>
      </w:r>
      <w:r w:rsidRPr="00E0726E">
        <w:t>AWOTE</w:t>
      </w:r>
      <w:r>
        <w:t>) measure</w:t>
      </w:r>
      <w:r w:rsidRPr="00E0726E">
        <w:t xml:space="preserve"> is due to</w:t>
      </w:r>
      <w:r>
        <w:t>:</w:t>
      </w:r>
      <w:r>
        <w:rPr>
          <w:rStyle w:val="FootnoteReference"/>
        </w:rPr>
        <w:footnoteReference w:id="148"/>
      </w:r>
    </w:p>
    <w:p w:rsidR="0088341A" w:rsidRPr="00E0726E" w:rsidRDefault="0088341A" w:rsidP="0088341A">
      <w:pPr>
        <w:pStyle w:val="AERquote"/>
      </w:pPr>
      <w:r>
        <w:t xml:space="preserve"> …the discontinuation of a number of data series used for average weekly ordinary time earnings (AWOTE)...</w:t>
      </w:r>
    </w:p>
    <w:p w:rsidR="0088341A" w:rsidRDefault="0088341A" w:rsidP="0088341A">
      <w:pPr>
        <w:pStyle w:val="AERbodytext"/>
        <w:numPr>
          <w:ilvl w:val="0"/>
          <w:numId w:val="3"/>
        </w:numPr>
      </w:pPr>
      <w:r>
        <w:t xml:space="preserve">If the discontinuation of the ABS publication for AWOTE data series is </w:t>
      </w:r>
      <w:r w:rsidRPr="00E0726E">
        <w:t xml:space="preserve">reason for SP AusNet to prefer </w:t>
      </w:r>
      <w:r>
        <w:t>the publicly available</w:t>
      </w:r>
      <w:r w:rsidRPr="00E0726E">
        <w:t xml:space="preserve"> </w:t>
      </w:r>
      <w:r>
        <w:t xml:space="preserve">LPI </w:t>
      </w:r>
      <w:r w:rsidRPr="00E0726E">
        <w:t>measure then</w:t>
      </w:r>
      <w:r>
        <w:t xml:space="preserve"> it appears contradictory for the TNSP to use the discontinued ABS publication of the EGW industry when the EGWWS industry is publicly available.</w:t>
      </w:r>
    </w:p>
    <w:p w:rsidR="0088341A" w:rsidRDefault="0088341A" w:rsidP="0088341A">
      <w:pPr>
        <w:pStyle w:val="AERbodytext"/>
        <w:numPr>
          <w:ilvl w:val="0"/>
          <w:numId w:val="3"/>
        </w:numPr>
      </w:pPr>
      <w:r>
        <w:t>Second, we question BIS Shrapnel's assumption that the EGW industry will continue to grow faster than the EGWWS industry.</w:t>
      </w:r>
      <w:r>
        <w:rPr>
          <w:rStyle w:val="FootnoteReference"/>
        </w:rPr>
        <w:footnoteReference w:id="149"/>
      </w:r>
      <w:r>
        <w:t xml:space="preserve"> BIS Shrapnel's historical analysis demonstrated this outcome is not always so. </w:t>
      </w:r>
      <w:r>
        <w:fldChar w:fldCharType="begin"/>
      </w:r>
      <w:r>
        <w:instrText xml:space="preserve"> REF _Ref358215008 \h </w:instrText>
      </w:r>
      <w:r>
        <w:fldChar w:fldCharType="separate"/>
      </w:r>
      <w:r w:rsidR="004F35AA">
        <w:t xml:space="preserve">Table </w:t>
      </w:r>
      <w:r w:rsidR="004F35AA">
        <w:rPr>
          <w:noProof/>
        </w:rPr>
        <w:t>1</w:t>
      </w:r>
      <w:r w:rsidR="004F35AA">
        <w:t>.</w:t>
      </w:r>
      <w:r w:rsidR="004F35AA">
        <w:rPr>
          <w:noProof/>
        </w:rPr>
        <w:t>5</w:t>
      </w:r>
      <w:r>
        <w:fldChar w:fldCharType="end"/>
      </w:r>
      <w:r>
        <w:t xml:space="preserve"> is from BIS Shrapnel's report, and it shows the EGW and EGWWS industries demonstrated similar growth in 2000 and 2002, while the EGWWS industry grew faster than EGW</w:t>
      </w:r>
      <w:r w:rsidRPr="00A0328C">
        <w:t xml:space="preserve"> </w:t>
      </w:r>
      <w:r>
        <w:t>in 2008.</w:t>
      </w:r>
    </w:p>
    <w:p w:rsidR="0088341A" w:rsidRDefault="0088341A" w:rsidP="0088341A">
      <w:pPr>
        <w:pStyle w:val="Caption"/>
      </w:pPr>
      <w:bookmarkStart w:id="142" w:name="_Ref358215008"/>
      <w:r>
        <w:t xml:space="preserve">Table </w:t>
      </w:r>
      <w:fldSimple w:instr=" STYLEREF 1 \s ">
        <w:r w:rsidR="004F35AA">
          <w:rPr>
            <w:noProof/>
          </w:rPr>
          <w:t>1</w:t>
        </w:r>
      </w:fldSimple>
      <w:r w:rsidR="00C56A87">
        <w:t>.</w:t>
      </w:r>
      <w:fldSimple w:instr=" SEQ Table \* ARABIC \s 1 ">
        <w:r w:rsidR="004F35AA">
          <w:rPr>
            <w:noProof/>
          </w:rPr>
          <w:t>5</w:t>
        </w:r>
      </w:fldSimple>
      <w:bookmarkEnd w:id="142"/>
      <w:r>
        <w:tab/>
        <w:t>BIS Shrapnel's EGW versus EGWWS analysis</w:t>
      </w:r>
    </w:p>
    <w:p w:rsidR="0088341A" w:rsidRPr="00A771F4" w:rsidRDefault="0088341A" w:rsidP="0088341A">
      <w:pPr>
        <w:pStyle w:val="AERbodytext"/>
        <w:numPr>
          <w:ilvl w:val="0"/>
          <w:numId w:val="1"/>
        </w:numPr>
      </w:pPr>
      <w:r w:rsidRPr="00A771F4">
        <w:rPr>
          <w:noProof/>
          <w:lang w:eastAsia="en-AU"/>
        </w:rPr>
        <w:drawing>
          <wp:inline distT="0" distB="0" distL="0" distR="0" wp14:anchorId="0F0F23B1" wp14:editId="52D8F45F">
            <wp:extent cx="5730875" cy="21901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875" cy="2190115"/>
                    </a:xfrm>
                    <a:prstGeom prst="rect">
                      <a:avLst/>
                    </a:prstGeom>
                    <a:noFill/>
                    <a:ln>
                      <a:noFill/>
                    </a:ln>
                  </pic:spPr>
                </pic:pic>
              </a:graphicData>
            </a:graphic>
          </wp:inline>
        </w:drawing>
      </w:r>
    </w:p>
    <w:p w:rsidR="0088341A" w:rsidRDefault="0088341A" w:rsidP="0088341A">
      <w:pPr>
        <w:pStyle w:val="AERtablesource"/>
      </w:pPr>
      <w:r>
        <w:t>Source:</w:t>
      </w:r>
      <w:r>
        <w:tab/>
        <w:t xml:space="preserve">BIS Shrapnel, </w:t>
      </w:r>
      <w:r w:rsidRPr="00302E01">
        <w:rPr>
          <w:rStyle w:val="AERtextitalic"/>
        </w:rPr>
        <w:t>Real labour cost escalation forecasts to 2017—Australia and Victoria</w:t>
      </w:r>
      <w:r>
        <w:t>, November 2012, p. 23.</w:t>
      </w:r>
    </w:p>
    <w:p w:rsidR="0088341A" w:rsidRPr="008B78F8" w:rsidRDefault="0088341A" w:rsidP="0088341A">
      <w:pPr>
        <w:pStyle w:val="AERbodytext"/>
        <w:numPr>
          <w:ilvl w:val="0"/>
          <w:numId w:val="3"/>
        </w:numPr>
      </w:pPr>
      <w:r>
        <w:t>Based on this analysis we consider the proposal that the EGW industry will always grow at a faster rate than the EGWWS industry is not reliable. DAE made a similar observation:</w:t>
      </w:r>
      <w:r w:rsidRPr="008B78F8">
        <w:rPr>
          <w:rStyle w:val="FootnoteReference"/>
        </w:rPr>
        <w:footnoteReference w:id="150"/>
      </w:r>
    </w:p>
    <w:p w:rsidR="0088341A" w:rsidRDefault="0088341A" w:rsidP="0088341A">
      <w:pPr>
        <w:pStyle w:val="AERquote"/>
      </w:pPr>
      <w:r>
        <w:t>Deloitte Access Economics agrees that, for the period for which comparable data is available, the EGWW sector did grow more slowly, on average than the EGW sector. However there were instances where the EGWW sector grew at a faster quarterly rate than that of the EGW, so it is clearly not cut and dried.</w:t>
      </w:r>
    </w:p>
    <w:p w:rsidR="0088341A" w:rsidRDefault="0088341A" w:rsidP="0088341A">
      <w:pPr>
        <w:pStyle w:val="AERquote"/>
      </w:pPr>
      <w:r>
        <w:t>Additionally, the argument that, because waste services has seen slower growth in the past, it will continue to do so in the future is another case of BIS Shrapnel arguing that the status quo on growth rates</w:t>
      </w:r>
      <w:r w:rsidRPr="008B78F8">
        <w:t xml:space="preserve"> will </w:t>
      </w:r>
      <w:r w:rsidRPr="008B78F8">
        <w:lastRenderedPageBreak/>
        <w:t>continue forever</w:t>
      </w:r>
      <w:r>
        <w:t>. As we have argued previously, one industry cannot continue to increase relative wages indefinitely. As some point, other industries have trouble attracting people, and a period of catch up ensues.</w:t>
      </w:r>
    </w:p>
    <w:p w:rsidR="0088341A" w:rsidRPr="00A771F4" w:rsidRDefault="0088341A" w:rsidP="0088341A">
      <w:pPr>
        <w:pStyle w:val="AERbodytext"/>
        <w:numPr>
          <w:ilvl w:val="0"/>
          <w:numId w:val="1"/>
        </w:numPr>
      </w:pPr>
      <w:r>
        <w:t>W</w:t>
      </w:r>
      <w:r w:rsidRPr="00A771F4">
        <w:t>hether the EGWWS industry will grow at a faster rate than the EGW industry in every year over the 2014–17 regulatory control period is thus uncertain. However, because the ABS has not recently published the EGW industry data series a forecaster has limited robust information on the frequency or likelihood of this faster rate occurring.</w:t>
      </w:r>
    </w:p>
    <w:p w:rsidR="0088341A" w:rsidRPr="00A771F4" w:rsidRDefault="00751E0B" w:rsidP="0088341A">
      <w:pPr>
        <w:pStyle w:val="AERbodytext"/>
        <w:numPr>
          <w:ilvl w:val="0"/>
          <w:numId w:val="1"/>
        </w:numPr>
      </w:pPr>
      <w:r>
        <w:t>Based on</w:t>
      </w:r>
      <w:r w:rsidR="0088341A">
        <w:t xml:space="preserve"> our assessment we consider </w:t>
      </w:r>
      <w:r w:rsidR="0088341A" w:rsidRPr="00A771F4">
        <w:t>DAE's forecast is based on a more reliable data set and contains less uncertain assumptions over the 2014–17 regulatory control period. So we substituted DAE's forecast because we consider it reflects a realistic expectation of cost inputs required by SP AusNet to achieve the opex and capex objectives over the 2014–17 regulatory control period.</w:t>
      </w:r>
      <w:r w:rsidR="0088341A" w:rsidRPr="00A771F4">
        <w:rPr>
          <w:rStyle w:val="FootnoteReference"/>
        </w:rPr>
        <w:footnoteReference w:id="151"/>
      </w:r>
    </w:p>
    <w:p w:rsidR="0088341A" w:rsidRDefault="0088341A" w:rsidP="0088341A">
      <w:pPr>
        <w:pStyle w:val="HeadingBoldItalic"/>
        <w:keepNext/>
        <w:numPr>
          <w:ilvl w:val="0"/>
          <w:numId w:val="3"/>
        </w:numPr>
        <w:spacing w:before="120" w:after="120"/>
      </w:pPr>
      <w:r>
        <w:t>External labour cost escalation</w:t>
      </w:r>
    </w:p>
    <w:p w:rsidR="0088341A" w:rsidRPr="00A771F4" w:rsidRDefault="0088341A" w:rsidP="0088341A">
      <w:pPr>
        <w:pStyle w:val="AERbodytext"/>
        <w:numPr>
          <w:ilvl w:val="0"/>
          <w:numId w:val="1"/>
        </w:numPr>
      </w:pPr>
      <w:r>
        <w:t xml:space="preserve">We </w:t>
      </w:r>
      <w:r w:rsidRPr="00A771F4">
        <w:t xml:space="preserve">do not accept SP AusNet's forecast external labour cost escalators for the 2014–17 regulatory control period. We consider the proposed escalators, which are based on BIS Shrapnel's Victorian construction industry forecasts, inaccurately reflected </w:t>
      </w:r>
      <w:r w:rsidRPr="00A771F4">
        <w:rPr>
          <w:rStyle w:val="AERbody"/>
        </w:rPr>
        <w:t>2011–12 ABS data in its analysis</w:t>
      </w:r>
      <w:r w:rsidRPr="00A771F4">
        <w:t xml:space="preserve"> and contained inconsistencies between the commentary in its report and its forecast. In comparison, we consider DAE's Victorian construction industry forecast is an appropriate forecast. So we substituted DAE's forecast, because we consider it reflects a realistic expectation of cost inputs required by SP AusNet to achieve the opex and capex objectives over the 2014–17 regulatory control period.</w:t>
      </w:r>
    </w:p>
    <w:p w:rsidR="0088341A" w:rsidRPr="00A771F4" w:rsidRDefault="0088341A" w:rsidP="0088341A">
      <w:pPr>
        <w:pStyle w:val="AERbodytext"/>
        <w:numPr>
          <w:ilvl w:val="0"/>
          <w:numId w:val="1"/>
        </w:numPr>
      </w:pPr>
      <w:r>
        <w:t>B</w:t>
      </w:r>
      <w:r w:rsidRPr="00A771F4">
        <w:t>oth DAE and BIS Shrapnel had some common views on the Victorian construction industry. Both forecasters noted the strong growth in the Victorian construction industry over the past decade.</w:t>
      </w:r>
      <w:r w:rsidRPr="00A771F4">
        <w:rPr>
          <w:rStyle w:val="FootnoteReference"/>
        </w:rPr>
        <w:footnoteReference w:id="152"/>
      </w:r>
      <w:r w:rsidRPr="00A771F4">
        <w:t xml:space="preserve"> This strength was largely due to strong employment growth and stronger population growth, which led to a demand for housing and infrastructure construction. Also, public sector construction in Victoria contributed to the industry's strength. Because Victoria has relatively fewer natural resources, it did not experience the level of wage pressures from the mining sector that other states experienced.</w:t>
      </w:r>
    </w:p>
    <w:p w:rsidR="0088341A" w:rsidRPr="00A771F4" w:rsidRDefault="0088341A" w:rsidP="0088341A">
      <w:pPr>
        <w:pStyle w:val="AERbodytext"/>
        <w:numPr>
          <w:ilvl w:val="0"/>
          <w:numId w:val="0"/>
        </w:numPr>
      </w:pPr>
      <w:r>
        <w:t>Further</w:t>
      </w:r>
      <w:r w:rsidRPr="00A771F4">
        <w:t>, both forecasters noted the relative easing of the Victorian construction wage growth in recent years, and considered this trend will continue in the short term.</w:t>
      </w:r>
      <w:r w:rsidRPr="00A771F4">
        <w:rPr>
          <w:rStyle w:val="FootnoteReference"/>
        </w:rPr>
        <w:footnoteReference w:id="153"/>
      </w:r>
      <w:r w:rsidRPr="00A771F4">
        <w:t xml:space="preserve"> They also considered a recovery in wages growth will occur over the medium term, although their forecast timing differs by a year. However, a considerable divergence between the two forecasts is apparent over the 2014–17 regulatory control period (</w:t>
      </w:r>
      <w:r w:rsidRPr="00A771F4">
        <w:fldChar w:fldCharType="begin"/>
      </w:r>
      <w:r w:rsidRPr="00A771F4">
        <w:instrText xml:space="preserve"> REF  _Ref358378474 \* Lower \h </w:instrText>
      </w:r>
      <w:r w:rsidRPr="00A771F4">
        <w:fldChar w:fldCharType="separate"/>
      </w:r>
      <w:r w:rsidR="004F35AA">
        <w:t xml:space="preserve">table </w:t>
      </w:r>
      <w:r w:rsidR="004F35AA">
        <w:rPr>
          <w:noProof/>
        </w:rPr>
        <w:t>1</w:t>
      </w:r>
      <w:r w:rsidR="004F35AA">
        <w:t>.</w:t>
      </w:r>
      <w:r w:rsidR="004F35AA">
        <w:rPr>
          <w:noProof/>
        </w:rPr>
        <w:t>6</w:t>
      </w:r>
      <w:r w:rsidRPr="00A771F4">
        <w:fldChar w:fldCharType="end"/>
      </w:r>
      <w:r w:rsidRPr="00A771F4">
        <w:t>).</w:t>
      </w:r>
    </w:p>
    <w:p w:rsidR="0088341A" w:rsidRDefault="0088341A" w:rsidP="0088341A">
      <w:pPr>
        <w:pStyle w:val="Caption"/>
      </w:pPr>
      <w:bookmarkStart w:id="143" w:name="_Ref358378474"/>
      <w:r>
        <w:t xml:space="preserve">Table </w:t>
      </w:r>
      <w:fldSimple w:instr=" STYLEREF 1 \s ">
        <w:r w:rsidR="004F35AA">
          <w:rPr>
            <w:noProof/>
          </w:rPr>
          <w:t>1</w:t>
        </w:r>
      </w:fldSimple>
      <w:r w:rsidR="00C56A87">
        <w:t>.</w:t>
      </w:r>
      <w:fldSimple w:instr=" SEQ Table \* ARABIC \s 1 ">
        <w:r w:rsidR="004F35AA">
          <w:rPr>
            <w:noProof/>
          </w:rPr>
          <w:t>6</w:t>
        </w:r>
      </w:fldSimple>
      <w:bookmarkEnd w:id="143"/>
      <w:r>
        <w:tab/>
        <w:t xml:space="preserve">Comparison of DAE's and BIS Shrapnel's Victorian construction LPI forecasts (nominal, per cent) </w:t>
      </w:r>
    </w:p>
    <w:tbl>
      <w:tblPr>
        <w:tblStyle w:val="AERtable-numbers"/>
        <w:tblW w:w="0" w:type="auto"/>
        <w:tblLook w:val="04A0" w:firstRow="1" w:lastRow="0" w:firstColumn="1" w:lastColumn="0" w:noHBand="0" w:noVBand="1"/>
      </w:tblPr>
      <w:tblGrid>
        <w:gridCol w:w="2093"/>
        <w:gridCol w:w="1191"/>
        <w:gridCol w:w="1192"/>
        <w:gridCol w:w="1191"/>
        <w:gridCol w:w="1192"/>
        <w:gridCol w:w="1191"/>
        <w:gridCol w:w="1192"/>
      </w:tblGrid>
      <w:tr w:rsidR="0088341A" w:rsidRPr="009C4620" w:rsidTr="005011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88341A" w:rsidRPr="009C4620" w:rsidRDefault="0088341A" w:rsidP="009C4620">
            <w:pPr>
              <w:pStyle w:val="AERtabletextleft"/>
            </w:pPr>
          </w:p>
        </w:tc>
        <w:tc>
          <w:tcPr>
            <w:tcW w:w="1191" w:type="dxa"/>
          </w:tcPr>
          <w:p w:rsidR="0088341A" w:rsidRPr="009C4620" w:rsidRDefault="0088341A" w:rsidP="009C4620">
            <w:pPr>
              <w:pStyle w:val="AERtabletextright"/>
              <w:cnfStyle w:val="100000000000" w:firstRow="1" w:lastRow="0" w:firstColumn="0" w:lastColumn="0" w:oddVBand="0" w:evenVBand="0" w:oddHBand="0" w:evenHBand="0" w:firstRowFirstColumn="0" w:firstRowLastColumn="0" w:lastRowFirstColumn="0" w:lastRowLastColumn="0"/>
            </w:pPr>
            <w:r w:rsidRPr="009C4620">
              <w:t>2011–12</w:t>
            </w:r>
          </w:p>
        </w:tc>
        <w:tc>
          <w:tcPr>
            <w:tcW w:w="1192" w:type="dxa"/>
          </w:tcPr>
          <w:p w:rsidR="0088341A" w:rsidRPr="009C4620" w:rsidRDefault="0088341A" w:rsidP="009C4620">
            <w:pPr>
              <w:pStyle w:val="AERtabletextright"/>
              <w:cnfStyle w:val="100000000000" w:firstRow="1" w:lastRow="0" w:firstColumn="0" w:lastColumn="0" w:oddVBand="0" w:evenVBand="0" w:oddHBand="0" w:evenHBand="0" w:firstRowFirstColumn="0" w:firstRowLastColumn="0" w:lastRowFirstColumn="0" w:lastRowLastColumn="0"/>
            </w:pPr>
            <w:r w:rsidRPr="009C4620">
              <w:t>2012–13</w:t>
            </w:r>
          </w:p>
        </w:tc>
        <w:tc>
          <w:tcPr>
            <w:tcW w:w="1191" w:type="dxa"/>
          </w:tcPr>
          <w:p w:rsidR="0088341A" w:rsidRPr="009C4620" w:rsidRDefault="0088341A" w:rsidP="009C4620">
            <w:pPr>
              <w:pStyle w:val="AERtabletextright"/>
              <w:cnfStyle w:val="100000000000" w:firstRow="1" w:lastRow="0" w:firstColumn="0" w:lastColumn="0" w:oddVBand="0" w:evenVBand="0" w:oddHBand="0" w:evenHBand="0" w:firstRowFirstColumn="0" w:firstRowLastColumn="0" w:lastRowFirstColumn="0" w:lastRowLastColumn="0"/>
            </w:pPr>
            <w:r w:rsidRPr="009C4620">
              <w:t>2013–14</w:t>
            </w:r>
          </w:p>
        </w:tc>
        <w:tc>
          <w:tcPr>
            <w:tcW w:w="1192" w:type="dxa"/>
          </w:tcPr>
          <w:p w:rsidR="0088341A" w:rsidRPr="009C4620" w:rsidRDefault="0088341A" w:rsidP="009C4620">
            <w:pPr>
              <w:pStyle w:val="AERtabletextright"/>
              <w:cnfStyle w:val="100000000000" w:firstRow="1" w:lastRow="0" w:firstColumn="0" w:lastColumn="0" w:oddVBand="0" w:evenVBand="0" w:oddHBand="0" w:evenHBand="0" w:firstRowFirstColumn="0" w:firstRowLastColumn="0" w:lastRowFirstColumn="0" w:lastRowLastColumn="0"/>
            </w:pPr>
            <w:r w:rsidRPr="009C4620">
              <w:t>2014–15</w:t>
            </w:r>
          </w:p>
        </w:tc>
        <w:tc>
          <w:tcPr>
            <w:tcW w:w="1191" w:type="dxa"/>
          </w:tcPr>
          <w:p w:rsidR="0088341A" w:rsidRPr="009C4620" w:rsidRDefault="0088341A" w:rsidP="009C4620">
            <w:pPr>
              <w:pStyle w:val="AERtabletextright"/>
              <w:cnfStyle w:val="100000000000" w:firstRow="1" w:lastRow="0" w:firstColumn="0" w:lastColumn="0" w:oddVBand="0" w:evenVBand="0" w:oddHBand="0" w:evenHBand="0" w:firstRowFirstColumn="0" w:firstRowLastColumn="0" w:lastRowFirstColumn="0" w:lastRowLastColumn="0"/>
            </w:pPr>
            <w:r w:rsidRPr="009C4620">
              <w:t>2015–16</w:t>
            </w:r>
          </w:p>
        </w:tc>
        <w:tc>
          <w:tcPr>
            <w:tcW w:w="1192" w:type="dxa"/>
          </w:tcPr>
          <w:p w:rsidR="0088341A" w:rsidRPr="009C4620" w:rsidRDefault="0088341A" w:rsidP="009C4620">
            <w:pPr>
              <w:pStyle w:val="AERtabletextright"/>
              <w:cnfStyle w:val="100000000000" w:firstRow="1" w:lastRow="0" w:firstColumn="0" w:lastColumn="0" w:oddVBand="0" w:evenVBand="0" w:oddHBand="0" w:evenHBand="0" w:firstRowFirstColumn="0" w:firstRowLastColumn="0" w:lastRowFirstColumn="0" w:lastRowLastColumn="0"/>
            </w:pPr>
            <w:r w:rsidRPr="009C4620">
              <w:t>2016–17</w:t>
            </w:r>
          </w:p>
        </w:tc>
      </w:tr>
      <w:tr w:rsidR="0088341A" w:rsidRPr="009C4620" w:rsidTr="00501137">
        <w:tc>
          <w:tcPr>
            <w:cnfStyle w:val="001000000000" w:firstRow="0" w:lastRow="0" w:firstColumn="1" w:lastColumn="0" w:oddVBand="0" w:evenVBand="0" w:oddHBand="0" w:evenHBand="0" w:firstRowFirstColumn="0" w:firstRowLastColumn="0" w:lastRowFirstColumn="0" w:lastRowLastColumn="0"/>
            <w:tcW w:w="2093" w:type="dxa"/>
          </w:tcPr>
          <w:p w:rsidR="0088341A" w:rsidRPr="009C4620" w:rsidRDefault="0088341A" w:rsidP="009C4620">
            <w:pPr>
              <w:pStyle w:val="AERtabletextleft"/>
            </w:pPr>
            <w:r w:rsidRPr="009C4620">
              <w:t>DAE—Victoria</w:t>
            </w:r>
          </w:p>
        </w:tc>
        <w:tc>
          <w:tcPr>
            <w:tcW w:w="1191" w:type="dxa"/>
          </w:tcPr>
          <w:p w:rsidR="0088341A" w:rsidRPr="009C4620" w:rsidRDefault="0088341A" w:rsidP="009C4620">
            <w:pPr>
              <w:pStyle w:val="AERtabletextright"/>
              <w:cnfStyle w:val="000000000000" w:firstRow="0" w:lastRow="0" w:firstColumn="0" w:lastColumn="0" w:oddVBand="0" w:evenVBand="0" w:oddHBand="0" w:evenHBand="0" w:firstRowFirstColumn="0" w:firstRowLastColumn="0" w:lastRowFirstColumn="0" w:lastRowLastColumn="0"/>
            </w:pPr>
            <w:r w:rsidRPr="009C4620">
              <w:t>3.1</w:t>
            </w:r>
          </w:p>
        </w:tc>
        <w:tc>
          <w:tcPr>
            <w:tcW w:w="1192" w:type="dxa"/>
          </w:tcPr>
          <w:p w:rsidR="0088341A" w:rsidRPr="009C4620" w:rsidRDefault="0088341A" w:rsidP="00EB4AB0">
            <w:pPr>
              <w:pStyle w:val="AERtabletextright"/>
              <w:cnfStyle w:val="000000000000" w:firstRow="0" w:lastRow="0" w:firstColumn="0" w:lastColumn="0" w:oddVBand="0" w:evenVBand="0" w:oddHBand="0" w:evenHBand="0" w:firstRowFirstColumn="0" w:firstRowLastColumn="0" w:lastRowFirstColumn="0" w:lastRowLastColumn="0"/>
            </w:pPr>
            <w:r w:rsidRPr="009C4620">
              <w:t>2.</w:t>
            </w:r>
            <w:r w:rsidR="00EB4AB0">
              <w:t>8</w:t>
            </w:r>
          </w:p>
        </w:tc>
        <w:tc>
          <w:tcPr>
            <w:tcW w:w="1191" w:type="dxa"/>
          </w:tcPr>
          <w:p w:rsidR="0088341A" w:rsidRPr="009C4620" w:rsidRDefault="0088341A" w:rsidP="009C4620">
            <w:pPr>
              <w:pStyle w:val="AERtabletextright"/>
              <w:cnfStyle w:val="000000000000" w:firstRow="0" w:lastRow="0" w:firstColumn="0" w:lastColumn="0" w:oddVBand="0" w:evenVBand="0" w:oddHBand="0" w:evenHBand="0" w:firstRowFirstColumn="0" w:firstRowLastColumn="0" w:lastRowFirstColumn="0" w:lastRowLastColumn="0"/>
            </w:pPr>
            <w:r w:rsidRPr="009C4620">
              <w:t>2.8</w:t>
            </w:r>
          </w:p>
        </w:tc>
        <w:tc>
          <w:tcPr>
            <w:tcW w:w="1192" w:type="dxa"/>
          </w:tcPr>
          <w:p w:rsidR="0088341A" w:rsidRPr="009C4620" w:rsidRDefault="0088341A" w:rsidP="00EB4AB0">
            <w:pPr>
              <w:pStyle w:val="AERtabletextright"/>
              <w:cnfStyle w:val="000000000000" w:firstRow="0" w:lastRow="0" w:firstColumn="0" w:lastColumn="0" w:oddVBand="0" w:evenVBand="0" w:oddHBand="0" w:evenHBand="0" w:firstRowFirstColumn="0" w:firstRowLastColumn="0" w:lastRowFirstColumn="0" w:lastRowLastColumn="0"/>
            </w:pPr>
            <w:r w:rsidRPr="009C4620">
              <w:t>3.</w:t>
            </w:r>
            <w:r w:rsidR="00EB4AB0">
              <w:t>1</w:t>
            </w:r>
          </w:p>
        </w:tc>
        <w:tc>
          <w:tcPr>
            <w:tcW w:w="1191" w:type="dxa"/>
          </w:tcPr>
          <w:p w:rsidR="0088341A" w:rsidRPr="009C4620" w:rsidRDefault="0088341A" w:rsidP="00EB4AB0">
            <w:pPr>
              <w:pStyle w:val="AERtabletextright"/>
              <w:cnfStyle w:val="000000000000" w:firstRow="0" w:lastRow="0" w:firstColumn="0" w:lastColumn="0" w:oddVBand="0" w:evenVBand="0" w:oddHBand="0" w:evenHBand="0" w:firstRowFirstColumn="0" w:firstRowLastColumn="0" w:lastRowFirstColumn="0" w:lastRowLastColumn="0"/>
            </w:pPr>
            <w:r w:rsidRPr="009C4620">
              <w:t>3.</w:t>
            </w:r>
            <w:r w:rsidR="00EB4AB0">
              <w:t>7</w:t>
            </w:r>
          </w:p>
        </w:tc>
        <w:tc>
          <w:tcPr>
            <w:tcW w:w="1192" w:type="dxa"/>
          </w:tcPr>
          <w:p w:rsidR="0088341A" w:rsidRPr="009C4620" w:rsidRDefault="0088341A" w:rsidP="009C4620">
            <w:pPr>
              <w:pStyle w:val="AERtabletextright"/>
              <w:cnfStyle w:val="000000000000" w:firstRow="0" w:lastRow="0" w:firstColumn="0" w:lastColumn="0" w:oddVBand="0" w:evenVBand="0" w:oddHBand="0" w:evenHBand="0" w:firstRowFirstColumn="0" w:firstRowLastColumn="0" w:lastRowFirstColumn="0" w:lastRowLastColumn="0"/>
            </w:pPr>
            <w:r w:rsidRPr="009C4620">
              <w:t>4.0</w:t>
            </w:r>
          </w:p>
        </w:tc>
      </w:tr>
      <w:tr w:rsidR="0088341A" w:rsidRPr="009C4620" w:rsidTr="0050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88341A" w:rsidRPr="009C4620" w:rsidRDefault="0088341A" w:rsidP="009C4620">
            <w:pPr>
              <w:pStyle w:val="AERtabletextleft"/>
            </w:pPr>
            <w:r w:rsidRPr="009C4620">
              <w:t>BIS Shrapnel—Victoria</w:t>
            </w:r>
          </w:p>
        </w:tc>
        <w:tc>
          <w:tcPr>
            <w:tcW w:w="1191" w:type="dxa"/>
          </w:tcPr>
          <w:p w:rsidR="0088341A" w:rsidRPr="009C4620" w:rsidRDefault="0088341A" w:rsidP="009C4620">
            <w:pPr>
              <w:pStyle w:val="AERtabletextright"/>
              <w:cnfStyle w:val="000000010000" w:firstRow="0" w:lastRow="0" w:firstColumn="0" w:lastColumn="0" w:oddVBand="0" w:evenVBand="0" w:oddHBand="0" w:evenHBand="1" w:firstRowFirstColumn="0" w:firstRowLastColumn="0" w:lastRowFirstColumn="0" w:lastRowLastColumn="0"/>
            </w:pPr>
            <w:r w:rsidRPr="009C4620">
              <w:t>3.8</w:t>
            </w:r>
          </w:p>
        </w:tc>
        <w:tc>
          <w:tcPr>
            <w:tcW w:w="1192" w:type="dxa"/>
          </w:tcPr>
          <w:p w:rsidR="0088341A" w:rsidRPr="009C4620" w:rsidRDefault="0088341A" w:rsidP="009C4620">
            <w:pPr>
              <w:pStyle w:val="AERtabletextright"/>
              <w:cnfStyle w:val="000000010000" w:firstRow="0" w:lastRow="0" w:firstColumn="0" w:lastColumn="0" w:oddVBand="0" w:evenVBand="0" w:oddHBand="0" w:evenHBand="1" w:firstRowFirstColumn="0" w:firstRowLastColumn="0" w:lastRowFirstColumn="0" w:lastRowLastColumn="0"/>
            </w:pPr>
            <w:r w:rsidRPr="009C4620">
              <w:t>3.4</w:t>
            </w:r>
          </w:p>
        </w:tc>
        <w:tc>
          <w:tcPr>
            <w:tcW w:w="1191" w:type="dxa"/>
          </w:tcPr>
          <w:p w:rsidR="0088341A" w:rsidRPr="009C4620" w:rsidRDefault="0088341A" w:rsidP="009C4620">
            <w:pPr>
              <w:pStyle w:val="AERtabletextright"/>
              <w:cnfStyle w:val="000000010000" w:firstRow="0" w:lastRow="0" w:firstColumn="0" w:lastColumn="0" w:oddVBand="0" w:evenVBand="0" w:oddHBand="0" w:evenHBand="1" w:firstRowFirstColumn="0" w:firstRowLastColumn="0" w:lastRowFirstColumn="0" w:lastRowLastColumn="0"/>
            </w:pPr>
            <w:r w:rsidRPr="009C4620">
              <w:t>4.1</w:t>
            </w:r>
          </w:p>
        </w:tc>
        <w:tc>
          <w:tcPr>
            <w:tcW w:w="1192" w:type="dxa"/>
          </w:tcPr>
          <w:p w:rsidR="0088341A" w:rsidRPr="009C4620" w:rsidRDefault="0088341A" w:rsidP="009C4620">
            <w:pPr>
              <w:pStyle w:val="AERtabletextright"/>
              <w:cnfStyle w:val="000000010000" w:firstRow="0" w:lastRow="0" w:firstColumn="0" w:lastColumn="0" w:oddVBand="0" w:evenVBand="0" w:oddHBand="0" w:evenHBand="1" w:firstRowFirstColumn="0" w:firstRowLastColumn="0" w:lastRowFirstColumn="0" w:lastRowLastColumn="0"/>
            </w:pPr>
            <w:r w:rsidRPr="009C4620">
              <w:t>4.6</w:t>
            </w:r>
          </w:p>
        </w:tc>
        <w:tc>
          <w:tcPr>
            <w:tcW w:w="1191" w:type="dxa"/>
          </w:tcPr>
          <w:p w:rsidR="0088341A" w:rsidRPr="009C4620" w:rsidRDefault="0088341A" w:rsidP="009C4620">
            <w:pPr>
              <w:pStyle w:val="AERtabletextright"/>
              <w:cnfStyle w:val="000000010000" w:firstRow="0" w:lastRow="0" w:firstColumn="0" w:lastColumn="0" w:oddVBand="0" w:evenVBand="0" w:oddHBand="0" w:evenHBand="1" w:firstRowFirstColumn="0" w:firstRowLastColumn="0" w:lastRowFirstColumn="0" w:lastRowLastColumn="0"/>
            </w:pPr>
            <w:r w:rsidRPr="009C4620">
              <w:t>4.6</w:t>
            </w:r>
          </w:p>
        </w:tc>
        <w:tc>
          <w:tcPr>
            <w:tcW w:w="1192" w:type="dxa"/>
          </w:tcPr>
          <w:p w:rsidR="0088341A" w:rsidRPr="009C4620" w:rsidRDefault="0088341A" w:rsidP="009C4620">
            <w:pPr>
              <w:pStyle w:val="AERtabletextright"/>
              <w:cnfStyle w:val="000000010000" w:firstRow="0" w:lastRow="0" w:firstColumn="0" w:lastColumn="0" w:oddVBand="0" w:evenVBand="0" w:oddHBand="0" w:evenHBand="1" w:firstRowFirstColumn="0" w:firstRowLastColumn="0" w:lastRowFirstColumn="0" w:lastRowLastColumn="0"/>
            </w:pPr>
            <w:r w:rsidRPr="009C4620">
              <w:t>4.3</w:t>
            </w:r>
          </w:p>
        </w:tc>
      </w:tr>
    </w:tbl>
    <w:p w:rsidR="0088341A" w:rsidRDefault="0088341A" w:rsidP="0088341A">
      <w:pPr>
        <w:pStyle w:val="AERtablesource"/>
      </w:pPr>
      <w:r>
        <w:t>Source:</w:t>
      </w:r>
      <w:r>
        <w:tab/>
        <w:t xml:space="preserve">DAE, </w:t>
      </w:r>
      <w:r w:rsidRPr="00302E01">
        <w:rPr>
          <w:rStyle w:val="AERtextitalic"/>
        </w:rPr>
        <w:t>Forecast growth in labour costs in Victoria</w:t>
      </w:r>
      <w:r>
        <w:t xml:space="preserve">, </w:t>
      </w:r>
      <w:r w:rsidR="00257B02">
        <w:t>1</w:t>
      </w:r>
      <w:r>
        <w:t xml:space="preserve">3 June 2013, p. 85; BIS Shrapnel, </w:t>
      </w:r>
      <w:r w:rsidRPr="00302E01">
        <w:rPr>
          <w:rStyle w:val="AERtextitalic"/>
        </w:rPr>
        <w:t>Real labour cost escalation forecasts to 2017—Australia and Victoria</w:t>
      </w:r>
      <w:r>
        <w:t>, November 2012, p. iii.</w:t>
      </w:r>
    </w:p>
    <w:p w:rsidR="0088341A" w:rsidRDefault="0088341A" w:rsidP="0088341A">
      <w:pPr>
        <w:pStyle w:val="AERbodytext"/>
        <w:numPr>
          <w:ilvl w:val="0"/>
          <w:numId w:val="3"/>
        </w:numPr>
      </w:pPr>
      <w:r>
        <w:t>This divergence could reflect the timing of the information used by the two forecasters. The BIS Shrapnel forecasts were based on ABS data up to and including June quarter 2012,</w:t>
      </w:r>
      <w:r>
        <w:rPr>
          <w:rStyle w:val="FootnoteReference"/>
        </w:rPr>
        <w:footnoteReference w:id="154"/>
      </w:r>
      <w:r>
        <w:t xml:space="preserve"> while </w:t>
      </w:r>
      <w:r>
        <w:lastRenderedPageBreak/>
        <w:t>DAE's forecasts were based on ABS data up to and including March quarter 2013. While this timing difference may explain some of the divergence in forecasts, inconsistencies in BIS Shrapnel's report make its forecast less reliable than DAE's forecast.</w:t>
      </w:r>
    </w:p>
    <w:p w:rsidR="0088341A" w:rsidRDefault="0088341A" w:rsidP="0088341A">
      <w:pPr>
        <w:pStyle w:val="AERbodytext"/>
        <w:numPr>
          <w:ilvl w:val="0"/>
          <w:numId w:val="3"/>
        </w:numPr>
      </w:pPr>
      <w:r>
        <w:t>DAE considered the recent e</w:t>
      </w:r>
      <w:r w:rsidRPr="007947D0">
        <w:t>asing</w:t>
      </w:r>
      <w:r>
        <w:t xml:space="preserve"> in the construction industry</w:t>
      </w:r>
      <w:r w:rsidRPr="007947D0">
        <w:t xml:space="preserve"> </w:t>
      </w:r>
      <w:r>
        <w:t>led</w:t>
      </w:r>
      <w:r w:rsidRPr="007947D0">
        <w:t xml:space="preserve"> </w:t>
      </w:r>
      <w:r>
        <w:t xml:space="preserve">annual </w:t>
      </w:r>
      <w:r w:rsidRPr="007947D0">
        <w:t>wage</w:t>
      </w:r>
      <w:r>
        <w:t>s</w:t>
      </w:r>
      <w:r w:rsidRPr="007947D0">
        <w:t xml:space="preserve"> growth</w:t>
      </w:r>
      <w:r>
        <w:t xml:space="preserve"> to</w:t>
      </w:r>
      <w:r w:rsidRPr="007947D0">
        <w:t xml:space="preserve"> fall to around 3 per cent.</w:t>
      </w:r>
      <w:r w:rsidRPr="007947D0">
        <w:rPr>
          <w:rStyle w:val="FootnoteReference"/>
        </w:rPr>
        <w:footnoteReference w:id="155"/>
      </w:r>
      <w:r w:rsidRPr="007947D0">
        <w:t xml:space="preserve"> </w:t>
      </w:r>
      <w:r>
        <w:t>Its consideration is consistent with the 2011 and 2012 ABS data for the Victorian construction industry.</w:t>
      </w:r>
      <w:r>
        <w:rPr>
          <w:rStyle w:val="FootnoteReference"/>
        </w:rPr>
        <w:footnoteReference w:id="156"/>
      </w:r>
      <w:r>
        <w:t xml:space="preserve"> DAE noted this easing in wages growth has come at a time when Victoria is experiencing rental vacancies at an eight year high and a lack of investment in current and upcoming engineering construction outside the transport and utilities sectors.</w:t>
      </w:r>
    </w:p>
    <w:p w:rsidR="0088341A" w:rsidRPr="00D428D9" w:rsidRDefault="0088341A" w:rsidP="0088341A">
      <w:pPr>
        <w:pStyle w:val="AERbodytext"/>
        <w:numPr>
          <w:ilvl w:val="0"/>
          <w:numId w:val="3"/>
        </w:numPr>
      </w:pPr>
      <w:r>
        <w:t>However, on the back of this recent easing, DAE noted the outlook for housing construction in Victoria remains somewhat solid.</w:t>
      </w:r>
      <w:r>
        <w:rPr>
          <w:rStyle w:val="FootnoteReference"/>
        </w:rPr>
        <w:footnoteReference w:id="157"/>
      </w:r>
      <w:r>
        <w:t xml:space="preserve"> Further, in keeping with general construction forecasts, it considered some slow acceleration in Victorian construction wages is likely across the 2014–17 regulatory control period.</w:t>
      </w:r>
      <w:r>
        <w:rPr>
          <w:rStyle w:val="FootnoteReference"/>
        </w:rPr>
        <w:footnoteReference w:id="158"/>
      </w:r>
      <w:r>
        <w:t xml:space="preserve"> We note DAE's</w:t>
      </w:r>
      <w:r w:rsidRPr="00D428D9">
        <w:t xml:space="preserve"> outlook is consistent with</w:t>
      </w:r>
      <w:r>
        <w:t xml:space="preserve"> the</w:t>
      </w:r>
      <w:r w:rsidRPr="00D428D9">
        <w:t xml:space="preserve"> Victoria</w:t>
      </w:r>
      <w:r w:rsidR="00751E0B">
        <w:t>n</w:t>
      </w:r>
      <w:r w:rsidRPr="00D428D9">
        <w:t xml:space="preserve"> Government</w:t>
      </w:r>
      <w:r>
        <w:t>'s</w:t>
      </w:r>
      <w:r w:rsidRPr="00D428D9">
        <w:t xml:space="preserve"> 2013–14 Budget Strategy and Outlook which stated:</w:t>
      </w:r>
      <w:r w:rsidRPr="00D428D9">
        <w:rPr>
          <w:rStyle w:val="FootnoteReference"/>
        </w:rPr>
        <w:footnoteReference w:id="159"/>
      </w:r>
    </w:p>
    <w:p w:rsidR="0088341A" w:rsidRDefault="0088341A" w:rsidP="0088341A">
      <w:pPr>
        <w:pStyle w:val="AERquote"/>
      </w:pPr>
      <w:r>
        <w:t>To ensure Victoria remains a leading place to do business and invest, the Government is continuing to reduce red tape and expedite project approvals. It is also undertaking significant planning zone reforms, retargeting the First Home Owner Grant to boost new construction, streamlining identification of surplus government land and bringing it to market…</w:t>
      </w:r>
    </w:p>
    <w:p w:rsidR="0088341A" w:rsidRPr="00A771F4" w:rsidRDefault="0088341A" w:rsidP="0088341A">
      <w:pPr>
        <w:pStyle w:val="AERbodytext"/>
        <w:numPr>
          <w:ilvl w:val="0"/>
          <w:numId w:val="1"/>
        </w:numPr>
      </w:pPr>
      <w:r>
        <w:t xml:space="preserve">In comparison, </w:t>
      </w:r>
      <w:r w:rsidRPr="00A771F4">
        <w:t>BIS Shrapnel's 2011–12 Victorian construction LPI values are out of step with the ABS data.</w:t>
      </w:r>
      <w:r w:rsidRPr="00A771F4">
        <w:rPr>
          <w:rStyle w:val="FootnoteReference"/>
        </w:rPr>
        <w:footnoteReference w:id="160"/>
      </w:r>
      <w:r w:rsidRPr="00A771F4">
        <w:t xml:space="preserve"> BIS Shrapnel overstated the 2011–12 LPI value by about 0.7 per cent in nominal terms.</w:t>
      </w:r>
      <w:r w:rsidRPr="00A771F4">
        <w:rPr>
          <w:rStyle w:val="FootnoteReference"/>
        </w:rPr>
        <w:footnoteReference w:id="161"/>
      </w:r>
    </w:p>
    <w:p w:rsidR="0088341A" w:rsidRPr="00A771F4" w:rsidRDefault="0088341A" w:rsidP="0088341A">
      <w:pPr>
        <w:pStyle w:val="AERbodytext"/>
        <w:numPr>
          <w:ilvl w:val="0"/>
          <w:numId w:val="1"/>
        </w:numPr>
      </w:pPr>
      <w:r>
        <w:t xml:space="preserve">In addition, BIS Shrapnel's forecast appears to be inconsistent with its commentary. </w:t>
      </w:r>
      <w:r w:rsidRPr="00A771F4">
        <w:t>In relation to the timing of the recovery of the Victorian construction industry's wages growth over the 2014–17 regulatory control period, BIS Shrapnel stated that a recovery in overall construction is projected from 2015–16.</w:t>
      </w:r>
      <w:r w:rsidRPr="00A771F4">
        <w:rPr>
          <w:rStyle w:val="FootnoteReference"/>
        </w:rPr>
        <w:footnoteReference w:id="162"/>
      </w:r>
      <w:r w:rsidRPr="00A771F4">
        <w:t xml:space="preserve"> However, BIS Shrapnel's forecast starts trending upwards from 2013–14 (</w:t>
      </w:r>
      <w:r w:rsidRPr="00A771F4">
        <w:fldChar w:fldCharType="begin"/>
      </w:r>
      <w:r w:rsidRPr="00A771F4">
        <w:instrText xml:space="preserve"> REF  _Ref358378474 \* Lower \h </w:instrText>
      </w:r>
      <w:r w:rsidRPr="00A771F4">
        <w:fldChar w:fldCharType="separate"/>
      </w:r>
      <w:r w:rsidR="004F35AA">
        <w:t xml:space="preserve">table </w:t>
      </w:r>
      <w:r w:rsidR="004F35AA">
        <w:rPr>
          <w:noProof/>
        </w:rPr>
        <w:t>1</w:t>
      </w:r>
      <w:r w:rsidR="004F35AA">
        <w:t>.</w:t>
      </w:r>
      <w:r w:rsidR="004F35AA">
        <w:rPr>
          <w:noProof/>
        </w:rPr>
        <w:t>6</w:t>
      </w:r>
      <w:r w:rsidRPr="00A771F4">
        <w:fldChar w:fldCharType="end"/>
      </w:r>
      <w:r w:rsidRPr="00A771F4">
        <w:t>).</w:t>
      </w:r>
    </w:p>
    <w:p w:rsidR="0088341A" w:rsidRPr="00A771F4" w:rsidRDefault="0088341A" w:rsidP="0088341A">
      <w:pPr>
        <w:pStyle w:val="AERbodytext"/>
        <w:numPr>
          <w:ilvl w:val="0"/>
          <w:numId w:val="1"/>
        </w:numPr>
      </w:pPr>
      <w:r>
        <w:t>The reason for this inconsistency is unclear</w:t>
      </w:r>
      <w:r w:rsidRPr="00A771F4">
        <w:t>. We note BIS Shrapnel stated that construction activity typically has a strong influence on construction wages, and its forecast is based on the construction activity in Victoria.</w:t>
      </w:r>
      <w:r w:rsidRPr="00A771F4">
        <w:rPr>
          <w:rStyle w:val="FootnoteReference"/>
        </w:rPr>
        <w:footnoteReference w:id="163"/>
      </w:r>
      <w:r w:rsidRPr="00A771F4">
        <w:t xml:space="preserve"> </w:t>
      </w:r>
      <w:r w:rsidR="00FC2F29">
        <w:fldChar w:fldCharType="begin"/>
      </w:r>
      <w:r w:rsidR="00FC2F29">
        <w:instrText xml:space="preserve"> REF _Ref364770860 \h </w:instrText>
      </w:r>
      <w:r w:rsidR="00FC2F29">
        <w:fldChar w:fldCharType="separate"/>
      </w:r>
      <w:r w:rsidR="004F35AA">
        <w:t xml:space="preserve">Figure </w:t>
      </w:r>
      <w:r w:rsidR="004F35AA">
        <w:rPr>
          <w:noProof/>
        </w:rPr>
        <w:t>1</w:t>
      </w:r>
      <w:r w:rsidR="004F35AA">
        <w:t>.</w:t>
      </w:r>
      <w:r w:rsidR="004F35AA">
        <w:rPr>
          <w:noProof/>
        </w:rPr>
        <w:t>1</w:t>
      </w:r>
      <w:r w:rsidR="00FC2F29">
        <w:fldChar w:fldCharType="end"/>
      </w:r>
      <w:r w:rsidR="00FC2F29">
        <w:t xml:space="preserve"> </w:t>
      </w:r>
      <w:r w:rsidRPr="00A771F4">
        <w:t>below is from BIS Shrapnel's report, demonstrating the consultant's analysis of construction activity in Victoria. It shows the total construction forecast starts trending upwards in 2015–16 which is consistent with its commentary but inconsistent with the values included in its forecast. The supporting information in BIS Shrapnel's report thus appears to support a recovery in 2015–16 and not 2013–14. Given these inconsistencies we consider BIS Shrapnel's construction forecast is less reliable than the forecasts prepared by DAE.</w:t>
      </w:r>
    </w:p>
    <w:p w:rsidR="0088341A" w:rsidRDefault="00FC2F29" w:rsidP="00FC2F29">
      <w:pPr>
        <w:pStyle w:val="Caption"/>
      </w:pPr>
      <w:bookmarkStart w:id="144" w:name="_Ref364770860"/>
      <w:r>
        <w:lastRenderedPageBreak/>
        <w:t xml:space="preserve">Figure </w:t>
      </w:r>
      <w:fldSimple w:instr=" STYLEREF 1 \s ">
        <w:r w:rsidR="004F35AA">
          <w:rPr>
            <w:noProof/>
          </w:rPr>
          <w:t>1</w:t>
        </w:r>
      </w:fldSimple>
      <w:r w:rsidR="00C56A87">
        <w:t>.</w:t>
      </w:r>
      <w:fldSimple w:instr=" SEQ Figure \* ARABIC \s 1 ">
        <w:r w:rsidR="004F35AA">
          <w:rPr>
            <w:noProof/>
          </w:rPr>
          <w:t>1</w:t>
        </w:r>
      </w:fldSimple>
      <w:bookmarkEnd w:id="144"/>
      <w:r w:rsidR="0088341A">
        <w:tab/>
        <w:t xml:space="preserve">BIS Shrapnel's total construction analysis — value of work done, </w:t>
      </w:r>
      <w:r w:rsidR="00751E0B">
        <w:t>Victoria (</w:t>
      </w:r>
      <w:r w:rsidR="0088341A">
        <w:t>2009–10 prices</w:t>
      </w:r>
      <w:r w:rsidR="00751E0B">
        <w:t>)</w:t>
      </w:r>
    </w:p>
    <w:p w:rsidR="0088341A" w:rsidRPr="000A0801" w:rsidRDefault="0088341A" w:rsidP="0088341A">
      <w:pPr>
        <w:pStyle w:val="AERbodytext"/>
        <w:numPr>
          <w:ilvl w:val="0"/>
          <w:numId w:val="3"/>
        </w:numPr>
      </w:pPr>
      <w:r w:rsidRPr="00A771F4">
        <w:rPr>
          <w:noProof/>
          <w:lang w:eastAsia="en-AU"/>
        </w:rPr>
        <w:drawing>
          <wp:inline distT="0" distB="0" distL="0" distR="0" wp14:anchorId="6823CDC1" wp14:editId="40995EDF">
            <wp:extent cx="5422900" cy="3976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2900" cy="3976370"/>
                    </a:xfrm>
                    <a:prstGeom prst="rect">
                      <a:avLst/>
                    </a:prstGeom>
                    <a:noFill/>
                    <a:ln>
                      <a:noFill/>
                    </a:ln>
                  </pic:spPr>
                </pic:pic>
              </a:graphicData>
            </a:graphic>
          </wp:inline>
        </w:drawing>
      </w:r>
    </w:p>
    <w:p w:rsidR="0088341A" w:rsidRDefault="0088341A" w:rsidP="0088341A">
      <w:pPr>
        <w:pStyle w:val="FootnoteText"/>
      </w:pPr>
      <w:r>
        <w:t>Source:</w:t>
      </w:r>
      <w:r>
        <w:tab/>
        <w:t xml:space="preserve">BIS Shrapnel, </w:t>
      </w:r>
      <w:r w:rsidRPr="00302E01">
        <w:rPr>
          <w:rStyle w:val="AERtextitalic"/>
        </w:rPr>
        <w:t>Real labour cost escalation forecasts to 2017—Australia and Victoria</w:t>
      </w:r>
      <w:r>
        <w:t>, November 2012, p. 44.</w:t>
      </w:r>
    </w:p>
    <w:p w:rsidR="0088341A" w:rsidRDefault="0088341A" w:rsidP="0088341A">
      <w:pPr>
        <w:pStyle w:val="FootnoteText"/>
        <w:rPr>
          <w:rStyle w:val="AERbody"/>
        </w:rPr>
      </w:pPr>
    </w:p>
    <w:p w:rsidR="0088341A" w:rsidRDefault="0088341A" w:rsidP="0088341A">
      <w:pPr>
        <w:rPr>
          <w:rStyle w:val="AERbody"/>
        </w:rPr>
      </w:pPr>
      <w:r>
        <w:rPr>
          <w:rStyle w:val="AERbody"/>
        </w:rPr>
        <w:t xml:space="preserve">The inconsistencies in BIS Shrapnel's report make its forecast less reliable. In contrast, we consider DAE's forecast is more reliable because it accurately reflected the 2011–12 ABS data and is consistent with the Victorian Government's </w:t>
      </w:r>
      <w:r w:rsidR="00751E0B">
        <w:rPr>
          <w:rStyle w:val="AERbody"/>
        </w:rPr>
        <w:t xml:space="preserve">2013–14 </w:t>
      </w:r>
      <w:r>
        <w:rPr>
          <w:rStyle w:val="AERbody"/>
        </w:rPr>
        <w:t xml:space="preserve">Budget </w:t>
      </w:r>
      <w:r w:rsidR="00751E0B">
        <w:rPr>
          <w:rStyle w:val="AERbody"/>
        </w:rPr>
        <w:t>S</w:t>
      </w:r>
      <w:r>
        <w:rPr>
          <w:rStyle w:val="AERbody"/>
        </w:rPr>
        <w:t xml:space="preserve">trategy and </w:t>
      </w:r>
      <w:r w:rsidR="00751E0B">
        <w:rPr>
          <w:rStyle w:val="AERbody"/>
        </w:rPr>
        <w:t>O</w:t>
      </w:r>
      <w:r>
        <w:rPr>
          <w:rStyle w:val="AERbody"/>
        </w:rPr>
        <w:t>utlook. Thus, we substituted DAE's forecast, because we consider it reflects a realistic expectation of cost inputs required by SP AusNet to achieve the opex and capex objectives over the 2014–17 regulatory control period.</w:t>
      </w:r>
      <w:r>
        <w:rPr>
          <w:rStyle w:val="FootnoteReference"/>
        </w:rPr>
        <w:footnoteReference w:id="164"/>
      </w:r>
    </w:p>
    <w:p w:rsidR="0088341A" w:rsidRPr="00A907E9" w:rsidRDefault="0088341A" w:rsidP="0088341A">
      <w:pPr>
        <w:pStyle w:val="Heading3"/>
        <w:numPr>
          <w:ilvl w:val="3"/>
          <w:numId w:val="20"/>
        </w:numPr>
      </w:pPr>
      <w:r w:rsidRPr="00A907E9">
        <w:t>Material cost escalation</w:t>
      </w:r>
    </w:p>
    <w:p w:rsidR="0088341A" w:rsidRDefault="0088341A" w:rsidP="0088341A">
      <w:pPr>
        <w:pStyle w:val="AERbodytext"/>
        <w:numPr>
          <w:ilvl w:val="0"/>
          <w:numId w:val="3"/>
        </w:numPr>
      </w:pPr>
      <w:r>
        <w:t>Overall we do not accept SP AusNet's proposed material escalators based on SKM's forecast for the 2014–17 regulatory control period.</w:t>
      </w:r>
      <w:r>
        <w:rPr>
          <w:rStyle w:val="FootnoteReference"/>
        </w:rPr>
        <w:footnoteReference w:id="165"/>
      </w:r>
      <w:r>
        <w:t xml:space="preserve"> While we accept SKM's material escalation method, we are not satisfied in all instances its forecast inputs reasonably reflect a realistic expectation of the cost inputs required by SP AusNet to achieve the capex objectives.</w:t>
      </w:r>
      <w:r>
        <w:rPr>
          <w:rStyle w:val="FootnoteReference"/>
        </w:rPr>
        <w:footnoteReference w:id="166"/>
      </w:r>
      <w:r>
        <w:t xml:space="preserve"> Specifically</w:t>
      </w:r>
      <w:r w:rsidR="00751E0B">
        <w:t>,</w:t>
      </w:r>
      <w:r>
        <w:t xml:space="preserve"> we consider the inclusion of labour cost inputs in SKM's material escalators inherently double counts SP AusNet's forecast labour cost increases. We also consider SKM's assumptions about the impact of the carbon price mechanism are out</w:t>
      </w:r>
      <w:r>
        <w:softHyphen/>
        <w:t xml:space="preserve">–dated. For the inputs we consider are appropriate, we updated them for the latest available data and conversion rates. We will update these inputs </w:t>
      </w:r>
      <w:r w:rsidR="00751E0B">
        <w:t xml:space="preserve">again </w:t>
      </w:r>
      <w:r>
        <w:t>for the final decision.</w:t>
      </w:r>
    </w:p>
    <w:p w:rsidR="0088341A" w:rsidRDefault="0088341A" w:rsidP="0088341A">
      <w:pPr>
        <w:pStyle w:val="AERbodytext"/>
        <w:numPr>
          <w:ilvl w:val="0"/>
          <w:numId w:val="3"/>
        </w:numPr>
      </w:pPr>
      <w:r>
        <w:t>We do not accept SKM's inclusion of labour inputs into its material escalators</w:t>
      </w:r>
      <w:r w:rsidR="00751E0B">
        <w:t xml:space="preserve"> because such an inclusion</w:t>
      </w:r>
      <w:r>
        <w:t xml:space="preserve"> double counts SP AusNet's future labour cost requirements.</w:t>
      </w:r>
    </w:p>
    <w:p w:rsidR="0088341A" w:rsidRDefault="0088341A" w:rsidP="0088341A">
      <w:pPr>
        <w:pStyle w:val="AERbodytext"/>
        <w:numPr>
          <w:ilvl w:val="0"/>
          <w:numId w:val="3"/>
        </w:numPr>
      </w:pPr>
      <w:r>
        <w:lastRenderedPageBreak/>
        <w:t>SP AusNet's capex forecast applies both BIS Shrapnel's labour forecasts and SKM's material escalators. As discussed, SP AusNet adopted BIS Shrapnel's labour forecasts to escalate its internal and external labour costs over the 2014–17 regulatory control period. However, SKM's proposed material escalators also included forecast labour cost increases for general and site labour.</w:t>
      </w:r>
      <w:r>
        <w:rPr>
          <w:rStyle w:val="FootnoteReference"/>
        </w:rPr>
        <w:footnoteReference w:id="167"/>
      </w:r>
    </w:p>
    <w:p w:rsidR="0088341A" w:rsidRDefault="0088341A" w:rsidP="0088341A">
      <w:pPr>
        <w:pStyle w:val="AERbodytext"/>
        <w:numPr>
          <w:ilvl w:val="0"/>
          <w:numId w:val="3"/>
        </w:numPr>
      </w:pPr>
      <w:r>
        <w:t>The current SKM report does not state what the general and site labour inputs reflect. However, a previous SKM report prepared for SP AusNet stated:</w:t>
      </w:r>
      <w:r>
        <w:rPr>
          <w:rStyle w:val="FootnoteReference"/>
        </w:rPr>
        <w:footnoteReference w:id="168"/>
      </w:r>
    </w:p>
    <w:p w:rsidR="0088341A" w:rsidRDefault="0088341A" w:rsidP="0088341A">
      <w:pPr>
        <w:pStyle w:val="AERquote"/>
      </w:pPr>
      <w:r>
        <w:t>The SKM projections for labour increases have been based on forecasts from the Australian Treasury with a differentiation between general labour (regarded as design, project management and approvals) and site labour responsible for on-site construction.</w:t>
      </w:r>
    </w:p>
    <w:p w:rsidR="0088341A" w:rsidRDefault="0088341A" w:rsidP="0088341A">
      <w:pPr>
        <w:pStyle w:val="AERbodytext"/>
        <w:numPr>
          <w:ilvl w:val="0"/>
          <w:numId w:val="3"/>
        </w:numPr>
      </w:pPr>
      <w:r>
        <w:t>As the application of BIS Shrapnel's forecasts already account for the future changes in costs for these types of labour, we do not accept forecast labour cost inputs in SP AusNet's forecast material escalators.</w:t>
      </w:r>
    </w:p>
    <w:p w:rsidR="0088341A" w:rsidRDefault="0088341A" w:rsidP="0088341A">
      <w:pPr>
        <w:pStyle w:val="AERbodytext"/>
        <w:numPr>
          <w:ilvl w:val="0"/>
          <w:numId w:val="3"/>
        </w:numPr>
      </w:pPr>
      <w:r>
        <w:t>We also do not accept SKM's forecast inputs relating to the impact of the carbon pricing mechanism. Due to timing, SKM's future carbon pricing mechanism assumptions are out-dated.</w:t>
      </w:r>
    </w:p>
    <w:p w:rsidR="0088341A" w:rsidRDefault="0088341A" w:rsidP="0088341A">
      <w:pPr>
        <w:pStyle w:val="AERbodytext"/>
        <w:numPr>
          <w:ilvl w:val="0"/>
          <w:numId w:val="3"/>
        </w:numPr>
      </w:pPr>
      <w:r>
        <w:t>SKM applied an additional escalation on the primary materials SP AusNet sources from local manufacturers to reflect the impact of the carbon pricing mechanism. SKM's method account</w:t>
      </w:r>
      <w:r w:rsidR="00BC41DB">
        <w:t>ed for</w:t>
      </w:r>
      <w:r>
        <w:t xml:space="preserve"> a number of factors including SP AusNet's asset classes, component profiles, suppliers of materials and available competitors. To this extent we are satisfied that SKM has only applied its forecast impact to those inputs that are likely to be affected</w:t>
      </w:r>
      <w:r w:rsidRPr="00DA0CD6">
        <w:t xml:space="preserve"> </w:t>
      </w:r>
      <w:r>
        <w:t>by the carbon pricing mechanism. No adjustments were made by SKM to imported materials.</w:t>
      </w:r>
    </w:p>
    <w:p w:rsidR="0088341A" w:rsidRDefault="0088341A" w:rsidP="0088341A">
      <w:pPr>
        <w:pStyle w:val="AERbodytext"/>
        <w:numPr>
          <w:ilvl w:val="0"/>
          <w:numId w:val="3"/>
        </w:numPr>
      </w:pPr>
      <w:r>
        <w:t>SKM based its estimated impact of the carbon pricing mechanism on a combination of previous Treasury modelling and information from the European Energy Exchange.</w:t>
      </w:r>
      <w:r>
        <w:rPr>
          <w:rStyle w:val="FootnoteReference"/>
        </w:rPr>
        <w:footnoteReference w:id="169"/>
      </w:r>
      <w:r>
        <w:t xml:space="preserve"> SKM produced its report in November 2012</w:t>
      </w:r>
      <w:r w:rsidR="00153DE0">
        <w:t xml:space="preserve"> but</w:t>
      </w:r>
      <w:r>
        <w:t xml:space="preserve"> the outlook of the carbon pricing mechanism has </w:t>
      </w:r>
      <w:r w:rsidR="00153DE0">
        <w:t xml:space="preserve">since </w:t>
      </w:r>
      <w:r>
        <w:t>changed.</w:t>
      </w:r>
    </w:p>
    <w:p w:rsidR="0088341A" w:rsidRDefault="0088341A" w:rsidP="0088341A">
      <w:pPr>
        <w:pStyle w:val="AERbodytext"/>
        <w:numPr>
          <w:ilvl w:val="0"/>
          <w:numId w:val="3"/>
        </w:numPr>
      </w:pPr>
      <w:r>
        <w:t xml:space="preserve">The Prime Minister announced in July </w:t>
      </w:r>
      <w:r w:rsidR="00153DE0">
        <w:t xml:space="preserve">2013 </w:t>
      </w:r>
      <w:r>
        <w:t>that Australia would move to a floating price on carbon emissions from 1 July 2014.</w:t>
      </w:r>
      <w:r>
        <w:rPr>
          <w:rStyle w:val="FootnoteReference"/>
        </w:rPr>
        <w:footnoteReference w:id="170"/>
      </w:r>
      <w:r>
        <w:t xml:space="preserve"> Prior to this announcement the carbon price in Australia was to be fixed until 2014–15 but from 2015–16 would be influenced by the trading of credits in Europe. SKM's method applied previous Treasury modelling, which forecast the nominal carbon price as $25.40 in 2014–15, $28.60 in 2015–16 and $30.51 in 2016–17. However, the carbon price forecast is now around $6.00 in 2014–15, $12.10 in 2015–16 and $18.60 in 2016–17.</w:t>
      </w:r>
      <w:r>
        <w:rPr>
          <w:rStyle w:val="FootnoteReference"/>
        </w:rPr>
        <w:footnoteReference w:id="171"/>
      </w:r>
      <w:r>
        <w:t xml:space="preserve"> As noted in the Australian Government's 2013–14 Budget Papers:</w:t>
      </w:r>
      <w:r>
        <w:rPr>
          <w:rStyle w:val="FootnoteReference"/>
        </w:rPr>
        <w:footnoteReference w:id="172"/>
      </w:r>
    </w:p>
    <w:p w:rsidR="0088341A" w:rsidRDefault="0088341A" w:rsidP="0088341A">
      <w:pPr>
        <w:pStyle w:val="AERquote"/>
      </w:pPr>
      <w:r>
        <w:t>The price of carbon in Europe has fallen in large part to ongoing economic weakness. Carbon price estimates have been revised down in this Budget, with carbon price revenue now estimated to be lower, particularly from 2015–16 onwards.</w:t>
      </w:r>
    </w:p>
    <w:p w:rsidR="0088341A" w:rsidRDefault="0088341A" w:rsidP="0088341A">
      <w:pPr>
        <w:pStyle w:val="AERbodytext"/>
        <w:numPr>
          <w:ilvl w:val="0"/>
          <w:numId w:val="3"/>
        </w:numPr>
      </w:pPr>
      <w:r>
        <w:t>Consistent with the Australian Government's revision, we have also updated SKM's method with a more recent outlook of future contract prices taken from the European Energy Exchange. We will update the carbon pricing impact inputs again for our final decision.</w:t>
      </w:r>
    </w:p>
    <w:p w:rsidR="0088341A" w:rsidRPr="00A771F4" w:rsidRDefault="0088341A" w:rsidP="00153DE0">
      <w:pPr>
        <w:pStyle w:val="AERbodytext"/>
        <w:numPr>
          <w:ilvl w:val="0"/>
          <w:numId w:val="1"/>
        </w:numPr>
      </w:pPr>
      <w:r>
        <w:lastRenderedPageBreak/>
        <w:t>SKM</w:t>
      </w:r>
      <w:r w:rsidRPr="00A771F4">
        <w:t xml:space="preserve"> calculated some of its material prices and indices in $US and then converted into $AUD.</w:t>
      </w:r>
      <w:r w:rsidRPr="00A771F4">
        <w:rPr>
          <w:rStyle w:val="FootnoteReference"/>
        </w:rPr>
        <w:footnoteReference w:id="173"/>
      </w:r>
      <w:r w:rsidRPr="00A771F4">
        <w:t xml:space="preserve"> It used this approach because the relative materials are produced in either $US or currencies that are significantly influenced by the $US. We consider this approach is reasonable and we updated the latest material input data to reflect the updated forecast currency conversions. </w:t>
      </w:r>
      <w:r w:rsidR="00153DE0">
        <w:t>We</w:t>
      </w:r>
      <w:r w:rsidR="00153DE0" w:rsidRPr="00A771F4">
        <w:t xml:space="preserve"> provided the updated inputs to SKM who revised its material escalators based on this latest data. The updates had the effect of reducing SP AusNet's proposed capex by $1.1 million ($2013–14).</w:t>
      </w:r>
      <w:r w:rsidR="00D8109C">
        <w:t xml:space="preserve"> </w:t>
      </w:r>
      <w:r w:rsidRPr="00A771F4">
        <w:fldChar w:fldCharType="begin"/>
      </w:r>
      <w:r w:rsidRPr="00A771F4">
        <w:instrText xml:space="preserve"> REF _Ref360027562 \h </w:instrText>
      </w:r>
      <w:r w:rsidRPr="00A771F4">
        <w:fldChar w:fldCharType="separate"/>
      </w:r>
      <w:r w:rsidR="004F35AA">
        <w:t xml:space="preserve">Table </w:t>
      </w:r>
      <w:r w:rsidR="004F35AA">
        <w:rPr>
          <w:noProof/>
        </w:rPr>
        <w:t>1</w:t>
      </w:r>
      <w:r w:rsidR="004F35AA">
        <w:t>.</w:t>
      </w:r>
      <w:r w:rsidR="004F35AA">
        <w:rPr>
          <w:noProof/>
        </w:rPr>
        <w:t>7</w:t>
      </w:r>
      <w:r w:rsidRPr="00A771F4">
        <w:fldChar w:fldCharType="end"/>
      </w:r>
      <w:r w:rsidRPr="00A771F4">
        <w:t xml:space="preserve"> shows SP AusNet's proposed exchange rate forecast and our updated exchange rate forecast for the draft decision.</w:t>
      </w:r>
    </w:p>
    <w:p w:rsidR="0088341A" w:rsidRDefault="0088341A" w:rsidP="0088341A">
      <w:pPr>
        <w:pStyle w:val="Caption"/>
      </w:pPr>
      <w:bookmarkStart w:id="145" w:name="_Ref358727105"/>
      <w:bookmarkStart w:id="146" w:name="_Ref360027562"/>
      <w:r>
        <w:t xml:space="preserve">Table </w:t>
      </w:r>
      <w:bookmarkEnd w:id="145"/>
      <w:r w:rsidR="00C56A87">
        <w:fldChar w:fldCharType="begin"/>
      </w:r>
      <w:r w:rsidR="00C56A87">
        <w:instrText xml:space="preserve"> STYLEREF 1 \s </w:instrText>
      </w:r>
      <w:r w:rsidR="00C56A87">
        <w:fldChar w:fldCharType="separate"/>
      </w:r>
      <w:r w:rsidR="004F35AA">
        <w:rPr>
          <w:noProof/>
        </w:rPr>
        <w:t>1</w:t>
      </w:r>
      <w:r w:rsidR="00C56A87">
        <w:fldChar w:fldCharType="end"/>
      </w:r>
      <w:r w:rsidR="00C56A87">
        <w:t>.</w:t>
      </w:r>
      <w:fldSimple w:instr=" SEQ Table \* ARABIC \s 1 ">
        <w:r w:rsidR="004F35AA">
          <w:rPr>
            <w:noProof/>
          </w:rPr>
          <w:t>7</w:t>
        </w:r>
      </w:fldSimple>
      <w:bookmarkEnd w:id="146"/>
      <w:r>
        <w:tab/>
        <w:t>Australian dollar to US dollar exchange rate forecast</w:t>
      </w:r>
    </w:p>
    <w:tbl>
      <w:tblPr>
        <w:tblStyle w:val="AERtable-numbers"/>
        <w:tblW w:w="0" w:type="auto"/>
        <w:tblLook w:val="04A0" w:firstRow="1" w:lastRow="0" w:firstColumn="1" w:lastColumn="0" w:noHBand="0" w:noVBand="1"/>
      </w:tblPr>
      <w:tblGrid>
        <w:gridCol w:w="1733"/>
        <w:gridCol w:w="1517"/>
        <w:gridCol w:w="1517"/>
        <w:gridCol w:w="1517"/>
        <w:gridCol w:w="1441"/>
        <w:gridCol w:w="1517"/>
      </w:tblGrid>
      <w:tr w:rsidR="0088341A" w:rsidRPr="009C4620" w:rsidTr="005011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3" w:type="dxa"/>
          </w:tcPr>
          <w:p w:rsidR="0088341A" w:rsidRPr="009C4620" w:rsidRDefault="0088341A" w:rsidP="009C4620">
            <w:pPr>
              <w:pStyle w:val="AERtabletextleft"/>
            </w:pPr>
          </w:p>
        </w:tc>
        <w:tc>
          <w:tcPr>
            <w:tcW w:w="1517" w:type="dxa"/>
          </w:tcPr>
          <w:p w:rsidR="0088341A" w:rsidRPr="009C4620" w:rsidRDefault="0088341A" w:rsidP="009C4620">
            <w:pPr>
              <w:pStyle w:val="AERtabletextright"/>
              <w:cnfStyle w:val="100000000000" w:firstRow="1" w:lastRow="0" w:firstColumn="0" w:lastColumn="0" w:oddVBand="0" w:evenVBand="0" w:oddHBand="0" w:evenHBand="0" w:firstRowFirstColumn="0" w:firstRowLastColumn="0" w:lastRowFirstColumn="0" w:lastRowLastColumn="0"/>
            </w:pPr>
            <w:r w:rsidRPr="009C4620">
              <w:t>2012–13</w:t>
            </w:r>
          </w:p>
        </w:tc>
        <w:tc>
          <w:tcPr>
            <w:tcW w:w="1517" w:type="dxa"/>
          </w:tcPr>
          <w:p w:rsidR="0088341A" w:rsidRPr="009C4620" w:rsidRDefault="0088341A" w:rsidP="009C4620">
            <w:pPr>
              <w:pStyle w:val="AERtabletextright"/>
              <w:cnfStyle w:val="100000000000" w:firstRow="1" w:lastRow="0" w:firstColumn="0" w:lastColumn="0" w:oddVBand="0" w:evenVBand="0" w:oddHBand="0" w:evenHBand="0" w:firstRowFirstColumn="0" w:firstRowLastColumn="0" w:lastRowFirstColumn="0" w:lastRowLastColumn="0"/>
            </w:pPr>
            <w:r w:rsidRPr="009C4620">
              <w:t>2013–14</w:t>
            </w:r>
          </w:p>
        </w:tc>
        <w:tc>
          <w:tcPr>
            <w:tcW w:w="1517" w:type="dxa"/>
          </w:tcPr>
          <w:p w:rsidR="0088341A" w:rsidRPr="009C4620" w:rsidRDefault="0088341A" w:rsidP="009C4620">
            <w:pPr>
              <w:pStyle w:val="AERtabletextright"/>
              <w:cnfStyle w:val="100000000000" w:firstRow="1" w:lastRow="0" w:firstColumn="0" w:lastColumn="0" w:oddVBand="0" w:evenVBand="0" w:oddHBand="0" w:evenHBand="0" w:firstRowFirstColumn="0" w:firstRowLastColumn="0" w:lastRowFirstColumn="0" w:lastRowLastColumn="0"/>
            </w:pPr>
            <w:r w:rsidRPr="009C4620">
              <w:t>2014–15</w:t>
            </w:r>
          </w:p>
        </w:tc>
        <w:tc>
          <w:tcPr>
            <w:tcW w:w="1441" w:type="dxa"/>
          </w:tcPr>
          <w:p w:rsidR="0088341A" w:rsidRPr="009C4620" w:rsidRDefault="0088341A" w:rsidP="009C4620">
            <w:pPr>
              <w:pStyle w:val="AERtabletextright"/>
              <w:cnfStyle w:val="100000000000" w:firstRow="1" w:lastRow="0" w:firstColumn="0" w:lastColumn="0" w:oddVBand="0" w:evenVBand="0" w:oddHBand="0" w:evenHBand="0" w:firstRowFirstColumn="0" w:firstRowLastColumn="0" w:lastRowFirstColumn="0" w:lastRowLastColumn="0"/>
            </w:pPr>
            <w:r w:rsidRPr="009C4620">
              <w:t>2015–16</w:t>
            </w:r>
          </w:p>
        </w:tc>
        <w:tc>
          <w:tcPr>
            <w:tcW w:w="1517" w:type="dxa"/>
          </w:tcPr>
          <w:p w:rsidR="0088341A" w:rsidRPr="009C4620" w:rsidRDefault="0088341A" w:rsidP="009C4620">
            <w:pPr>
              <w:pStyle w:val="AERtabletextright"/>
              <w:cnfStyle w:val="100000000000" w:firstRow="1" w:lastRow="0" w:firstColumn="0" w:lastColumn="0" w:oddVBand="0" w:evenVBand="0" w:oddHBand="0" w:evenHBand="0" w:firstRowFirstColumn="0" w:firstRowLastColumn="0" w:lastRowFirstColumn="0" w:lastRowLastColumn="0"/>
            </w:pPr>
            <w:r w:rsidRPr="009C4620">
              <w:t>2016–17</w:t>
            </w:r>
          </w:p>
        </w:tc>
      </w:tr>
      <w:tr w:rsidR="0088341A" w:rsidRPr="009C4620" w:rsidTr="00501137">
        <w:tc>
          <w:tcPr>
            <w:cnfStyle w:val="001000000000" w:firstRow="0" w:lastRow="0" w:firstColumn="1" w:lastColumn="0" w:oddVBand="0" w:evenVBand="0" w:oddHBand="0" w:evenHBand="0" w:firstRowFirstColumn="0" w:firstRowLastColumn="0" w:lastRowFirstColumn="0" w:lastRowLastColumn="0"/>
            <w:tcW w:w="1733" w:type="dxa"/>
          </w:tcPr>
          <w:p w:rsidR="0088341A" w:rsidRPr="009C4620" w:rsidRDefault="0088341A" w:rsidP="009C4620">
            <w:pPr>
              <w:pStyle w:val="AERtabletextleft"/>
            </w:pPr>
            <w:r w:rsidRPr="009C4620">
              <w:t>SKM/SP AusNet</w:t>
            </w:r>
          </w:p>
        </w:tc>
        <w:tc>
          <w:tcPr>
            <w:tcW w:w="1517" w:type="dxa"/>
          </w:tcPr>
          <w:p w:rsidR="0088341A" w:rsidRPr="009C4620" w:rsidRDefault="0088341A" w:rsidP="009C4620">
            <w:pPr>
              <w:pStyle w:val="AERtabletextright"/>
              <w:cnfStyle w:val="000000000000" w:firstRow="0" w:lastRow="0" w:firstColumn="0" w:lastColumn="0" w:oddVBand="0" w:evenVBand="0" w:oddHBand="0" w:evenHBand="0" w:firstRowFirstColumn="0" w:firstRowLastColumn="0" w:lastRowFirstColumn="0" w:lastRowLastColumn="0"/>
            </w:pPr>
            <w:r w:rsidRPr="009C4620">
              <w:t>1.04</w:t>
            </w:r>
          </w:p>
        </w:tc>
        <w:tc>
          <w:tcPr>
            <w:tcW w:w="1517" w:type="dxa"/>
          </w:tcPr>
          <w:p w:rsidR="0088341A" w:rsidRPr="009C4620" w:rsidRDefault="0088341A" w:rsidP="009C4620">
            <w:pPr>
              <w:pStyle w:val="AERtabletextright"/>
              <w:cnfStyle w:val="000000000000" w:firstRow="0" w:lastRow="0" w:firstColumn="0" w:lastColumn="0" w:oddVBand="0" w:evenVBand="0" w:oddHBand="0" w:evenHBand="0" w:firstRowFirstColumn="0" w:firstRowLastColumn="0" w:lastRowFirstColumn="0" w:lastRowLastColumn="0"/>
            </w:pPr>
            <w:r w:rsidRPr="009C4620">
              <w:t>1.02</w:t>
            </w:r>
          </w:p>
        </w:tc>
        <w:tc>
          <w:tcPr>
            <w:tcW w:w="1517" w:type="dxa"/>
          </w:tcPr>
          <w:p w:rsidR="0088341A" w:rsidRPr="009C4620" w:rsidRDefault="0088341A" w:rsidP="009C4620">
            <w:pPr>
              <w:pStyle w:val="AERtabletextright"/>
              <w:cnfStyle w:val="000000000000" w:firstRow="0" w:lastRow="0" w:firstColumn="0" w:lastColumn="0" w:oddVBand="0" w:evenVBand="0" w:oddHBand="0" w:evenHBand="0" w:firstRowFirstColumn="0" w:firstRowLastColumn="0" w:lastRowFirstColumn="0" w:lastRowLastColumn="0"/>
            </w:pPr>
            <w:r w:rsidRPr="009C4620">
              <w:t>0.98</w:t>
            </w:r>
          </w:p>
        </w:tc>
        <w:tc>
          <w:tcPr>
            <w:tcW w:w="1441" w:type="dxa"/>
          </w:tcPr>
          <w:p w:rsidR="0088341A" w:rsidRPr="009C4620" w:rsidRDefault="0088341A" w:rsidP="009C4620">
            <w:pPr>
              <w:pStyle w:val="AERtabletextright"/>
              <w:cnfStyle w:val="000000000000" w:firstRow="0" w:lastRow="0" w:firstColumn="0" w:lastColumn="0" w:oddVBand="0" w:evenVBand="0" w:oddHBand="0" w:evenHBand="0" w:firstRowFirstColumn="0" w:firstRowLastColumn="0" w:lastRowFirstColumn="0" w:lastRowLastColumn="0"/>
            </w:pPr>
            <w:r w:rsidRPr="009C4620">
              <w:t>0.95</w:t>
            </w:r>
          </w:p>
        </w:tc>
        <w:tc>
          <w:tcPr>
            <w:tcW w:w="1517" w:type="dxa"/>
          </w:tcPr>
          <w:p w:rsidR="0088341A" w:rsidRPr="009C4620" w:rsidRDefault="0088341A" w:rsidP="009C4620">
            <w:pPr>
              <w:pStyle w:val="AERtabletextright"/>
              <w:cnfStyle w:val="000000000000" w:firstRow="0" w:lastRow="0" w:firstColumn="0" w:lastColumn="0" w:oddVBand="0" w:evenVBand="0" w:oddHBand="0" w:evenHBand="0" w:firstRowFirstColumn="0" w:firstRowLastColumn="0" w:lastRowFirstColumn="0" w:lastRowLastColumn="0"/>
            </w:pPr>
            <w:r w:rsidRPr="009C4620">
              <w:t>0.92</w:t>
            </w:r>
          </w:p>
        </w:tc>
      </w:tr>
      <w:tr w:rsidR="0088341A" w:rsidRPr="009C4620" w:rsidTr="0050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3" w:type="dxa"/>
          </w:tcPr>
          <w:p w:rsidR="0088341A" w:rsidRPr="009C4620" w:rsidRDefault="0088341A" w:rsidP="009C4620">
            <w:pPr>
              <w:pStyle w:val="AERtabletextleft"/>
            </w:pPr>
            <w:r w:rsidRPr="009C4620">
              <w:t>AER draft decision</w:t>
            </w:r>
          </w:p>
        </w:tc>
        <w:tc>
          <w:tcPr>
            <w:tcW w:w="1517" w:type="dxa"/>
          </w:tcPr>
          <w:p w:rsidR="0088341A" w:rsidRPr="009C4620" w:rsidRDefault="0088341A" w:rsidP="009C4620">
            <w:pPr>
              <w:pStyle w:val="AERtabletextright"/>
              <w:cnfStyle w:val="000000010000" w:firstRow="0" w:lastRow="0" w:firstColumn="0" w:lastColumn="0" w:oddVBand="0" w:evenVBand="0" w:oddHBand="0" w:evenHBand="1" w:firstRowFirstColumn="0" w:firstRowLastColumn="0" w:lastRowFirstColumn="0" w:lastRowLastColumn="0"/>
            </w:pPr>
            <w:r w:rsidRPr="009C4620">
              <w:t>1.04</w:t>
            </w:r>
          </w:p>
        </w:tc>
        <w:tc>
          <w:tcPr>
            <w:tcW w:w="1517" w:type="dxa"/>
          </w:tcPr>
          <w:p w:rsidR="0088341A" w:rsidRPr="009C4620" w:rsidRDefault="0088341A" w:rsidP="009C4620">
            <w:pPr>
              <w:pStyle w:val="AERtabletextright"/>
              <w:cnfStyle w:val="000000010000" w:firstRow="0" w:lastRow="0" w:firstColumn="0" w:lastColumn="0" w:oddVBand="0" w:evenVBand="0" w:oddHBand="0" w:evenHBand="1" w:firstRowFirstColumn="0" w:firstRowLastColumn="0" w:lastRowFirstColumn="0" w:lastRowLastColumn="0"/>
            </w:pPr>
            <w:r w:rsidRPr="009C4620">
              <w:t>1.02</w:t>
            </w:r>
          </w:p>
        </w:tc>
        <w:tc>
          <w:tcPr>
            <w:tcW w:w="1517" w:type="dxa"/>
          </w:tcPr>
          <w:p w:rsidR="0088341A" w:rsidRPr="009C4620" w:rsidRDefault="0088341A" w:rsidP="009C4620">
            <w:pPr>
              <w:pStyle w:val="AERtabletextright"/>
              <w:cnfStyle w:val="000000010000" w:firstRow="0" w:lastRow="0" w:firstColumn="0" w:lastColumn="0" w:oddVBand="0" w:evenVBand="0" w:oddHBand="0" w:evenHBand="1" w:firstRowFirstColumn="0" w:firstRowLastColumn="0" w:lastRowFirstColumn="0" w:lastRowLastColumn="0"/>
            </w:pPr>
            <w:r w:rsidRPr="009C4620">
              <w:t>0.93</w:t>
            </w:r>
          </w:p>
        </w:tc>
        <w:tc>
          <w:tcPr>
            <w:tcW w:w="1441" w:type="dxa"/>
          </w:tcPr>
          <w:p w:rsidR="0088341A" w:rsidRPr="009C4620" w:rsidRDefault="0088341A" w:rsidP="009C4620">
            <w:pPr>
              <w:pStyle w:val="AERtabletextright"/>
              <w:cnfStyle w:val="000000010000" w:firstRow="0" w:lastRow="0" w:firstColumn="0" w:lastColumn="0" w:oddVBand="0" w:evenVBand="0" w:oddHBand="0" w:evenHBand="1" w:firstRowFirstColumn="0" w:firstRowLastColumn="0" w:lastRowFirstColumn="0" w:lastRowLastColumn="0"/>
            </w:pPr>
            <w:r w:rsidRPr="009C4620">
              <w:t>0.91</w:t>
            </w:r>
          </w:p>
        </w:tc>
        <w:tc>
          <w:tcPr>
            <w:tcW w:w="1517" w:type="dxa"/>
          </w:tcPr>
          <w:p w:rsidR="0088341A" w:rsidRPr="009C4620" w:rsidRDefault="0088341A" w:rsidP="009C4620">
            <w:pPr>
              <w:pStyle w:val="AERtabletextright"/>
              <w:cnfStyle w:val="000000010000" w:firstRow="0" w:lastRow="0" w:firstColumn="0" w:lastColumn="0" w:oddVBand="0" w:evenVBand="0" w:oddHBand="0" w:evenHBand="1" w:firstRowFirstColumn="0" w:firstRowLastColumn="0" w:lastRowFirstColumn="0" w:lastRowLastColumn="0"/>
            </w:pPr>
            <w:r w:rsidRPr="009C4620">
              <w:t>0.89</w:t>
            </w:r>
          </w:p>
        </w:tc>
      </w:tr>
    </w:tbl>
    <w:p w:rsidR="0088341A" w:rsidRDefault="0088341A" w:rsidP="0088341A">
      <w:pPr>
        <w:pStyle w:val="AERtablesource"/>
      </w:pPr>
      <w:r>
        <w:t>Source:</w:t>
      </w:r>
      <w:r>
        <w:tab/>
        <w:t xml:space="preserve">AER analysis; SKM, </w:t>
      </w:r>
      <w:r w:rsidRPr="00D4760F">
        <w:rPr>
          <w:rStyle w:val="AERtextitalic"/>
        </w:rPr>
        <w:t>Annual material cost escalators 2014/15–2016/17</w:t>
      </w:r>
      <w:r w:rsidRPr="00CB4CF3">
        <w:t>, 19 November 2012</w:t>
      </w:r>
      <w:r>
        <w:t>, p. 11</w:t>
      </w:r>
      <w:r w:rsidRPr="00CB4CF3">
        <w:t>.</w:t>
      </w:r>
    </w:p>
    <w:p w:rsidR="0088341A" w:rsidRPr="00062319" w:rsidRDefault="0088341A" w:rsidP="0088341A">
      <w:pPr>
        <w:pStyle w:val="Heading2"/>
        <w:numPr>
          <w:ilvl w:val="2"/>
          <w:numId w:val="20"/>
        </w:numPr>
      </w:pPr>
      <w:bookmarkStart w:id="147" w:name="_Toc326056443"/>
      <w:bookmarkStart w:id="148" w:name="_Toc365283288"/>
      <w:r w:rsidRPr="00062319">
        <w:t>Revisions</w:t>
      </w:r>
      <w:bookmarkEnd w:id="147"/>
      <w:bookmarkEnd w:id="148"/>
      <w:r w:rsidRPr="00062319">
        <w:t xml:space="preserve"> </w:t>
      </w:r>
    </w:p>
    <w:p w:rsidR="0088341A" w:rsidRDefault="0088341A" w:rsidP="0088341A">
      <w:pPr>
        <w:pStyle w:val="AERrevisionbox"/>
      </w:pPr>
      <w:r>
        <w:rPr>
          <w:rStyle w:val="AERtextbold"/>
        </w:rPr>
        <w:t>Revision 1</w:t>
      </w:r>
      <w:r w:rsidRPr="00C87760">
        <w:rPr>
          <w:rStyle w:val="AERtextbold"/>
        </w:rPr>
        <w:t>.1:</w:t>
      </w:r>
      <w:r>
        <w:t xml:space="preserve"> Table 1.2 sets out our draft decision substitute real cost escalators for the 2014–17 regulatory control period.</w:t>
      </w:r>
    </w:p>
    <w:p w:rsidR="0088341A" w:rsidRDefault="0088341A" w:rsidP="0088341A">
      <w:pPr>
        <w:pStyle w:val="AERbodytext"/>
        <w:numPr>
          <w:ilvl w:val="0"/>
          <w:numId w:val="0"/>
        </w:numPr>
      </w:pPr>
    </w:p>
    <w:p w:rsidR="0088341A" w:rsidRDefault="0088341A" w:rsidP="0088341A">
      <w:pPr>
        <w:pStyle w:val="AERbodytext"/>
        <w:numPr>
          <w:ilvl w:val="0"/>
          <w:numId w:val="0"/>
        </w:numPr>
      </w:pPr>
    </w:p>
    <w:p w:rsidR="0088341A" w:rsidRDefault="0088341A" w:rsidP="0088341A">
      <w:pPr>
        <w:pStyle w:val="AERbodytext"/>
        <w:numPr>
          <w:ilvl w:val="0"/>
          <w:numId w:val="0"/>
        </w:numPr>
      </w:pPr>
    </w:p>
    <w:p w:rsidR="0088341A" w:rsidRDefault="0088341A" w:rsidP="0088341A">
      <w:pPr>
        <w:pStyle w:val="AERbodytext"/>
        <w:numPr>
          <w:ilvl w:val="0"/>
          <w:numId w:val="0"/>
        </w:numPr>
      </w:pPr>
    </w:p>
    <w:p w:rsidR="0088341A" w:rsidRDefault="0088341A" w:rsidP="0088341A">
      <w:pPr>
        <w:pStyle w:val="AERbodytext"/>
        <w:numPr>
          <w:ilvl w:val="0"/>
          <w:numId w:val="0"/>
        </w:numPr>
      </w:pPr>
    </w:p>
    <w:p w:rsidR="0088341A" w:rsidRDefault="0088341A" w:rsidP="0088341A">
      <w:pPr>
        <w:pStyle w:val="AERbodytext"/>
        <w:numPr>
          <w:ilvl w:val="0"/>
          <w:numId w:val="0"/>
        </w:numPr>
      </w:pPr>
    </w:p>
    <w:p w:rsidR="0088341A" w:rsidRDefault="0088341A" w:rsidP="0088341A">
      <w:pPr>
        <w:pStyle w:val="AERbodytext"/>
        <w:numPr>
          <w:ilvl w:val="0"/>
          <w:numId w:val="0"/>
        </w:numPr>
      </w:pPr>
    </w:p>
    <w:p w:rsidR="0088341A" w:rsidRDefault="0088341A" w:rsidP="0088341A">
      <w:pPr>
        <w:pStyle w:val="Heading1"/>
        <w:numPr>
          <w:ilvl w:val="1"/>
          <w:numId w:val="20"/>
        </w:numPr>
        <w:sectPr w:rsidR="0088341A">
          <w:footerReference w:type="default" r:id="rId34"/>
          <w:pgSz w:w="11906" w:h="16838"/>
          <w:pgMar w:top="1440" w:right="1440" w:bottom="1440" w:left="1440" w:header="708" w:footer="708" w:gutter="0"/>
          <w:cols w:space="708"/>
          <w:docGrid w:linePitch="360"/>
        </w:sectPr>
      </w:pPr>
    </w:p>
    <w:p w:rsidR="0088341A" w:rsidRPr="00626AD8" w:rsidRDefault="0088341A" w:rsidP="0088341A">
      <w:pPr>
        <w:pStyle w:val="Heading1"/>
        <w:numPr>
          <w:ilvl w:val="1"/>
          <w:numId w:val="20"/>
        </w:numPr>
      </w:pPr>
      <w:bookmarkStart w:id="149" w:name="_Toc365283289"/>
      <w:bookmarkStart w:id="150" w:name="_Toc365461998"/>
      <w:bookmarkStart w:id="151" w:name="_Toc360023687"/>
      <w:bookmarkStart w:id="152" w:name="_Toc360024851"/>
      <w:bookmarkEnd w:id="11"/>
      <w:r w:rsidRPr="00626AD8">
        <w:lastRenderedPageBreak/>
        <w:t>Capital expenditure</w:t>
      </w:r>
      <w:bookmarkEnd w:id="149"/>
      <w:bookmarkEnd w:id="150"/>
    </w:p>
    <w:p w:rsidR="0088341A" w:rsidRDefault="0088341A" w:rsidP="0088341A">
      <w:pPr>
        <w:pStyle w:val="AERbodytext"/>
        <w:numPr>
          <w:ilvl w:val="0"/>
          <w:numId w:val="1"/>
        </w:numPr>
      </w:pPr>
      <w:r>
        <w:t>The National Energy Rules (NER) require SP AusNet to include its total forecast capital expenditure (capex) in its revenue proposal to the Australian Energy Regulator (AER) for the 2014–17 regulatory control period.</w:t>
      </w:r>
      <w:r>
        <w:rPr>
          <w:rStyle w:val="FootnoteReference"/>
        </w:rPr>
        <w:footnoteReference w:id="174"/>
      </w:r>
      <w:r>
        <w:t xml:space="preserve"> The return on capex and the return of capex (depreciation) are components of the building block revenue requirement.</w:t>
      </w:r>
      <w:r>
        <w:rPr>
          <w:rStyle w:val="FootnoteReference"/>
        </w:rPr>
        <w:footnoteReference w:id="175"/>
      </w:r>
      <w:r>
        <w:t xml:space="preserve"> We must either accept SP AusNet's proposed forecast capex or substitute our own forecast.</w:t>
      </w:r>
      <w:r w:rsidR="00050CCA">
        <w:rPr>
          <w:rStyle w:val="FootnoteReference"/>
        </w:rPr>
        <w:footnoteReference w:id="176"/>
      </w:r>
      <w:r>
        <w:t xml:space="preserve"> Forecast capex must reasonably reflect the capex criteria set out in the NER.</w:t>
      </w:r>
      <w:r w:rsidR="00050CCA">
        <w:rPr>
          <w:rStyle w:val="FootnoteReference"/>
        </w:rPr>
        <w:footnoteReference w:id="177"/>
      </w:r>
      <w:r>
        <w:t xml:space="preserve"> If it is overstated, then the tariffs that consumers pay will be higher than they should be.</w:t>
      </w:r>
    </w:p>
    <w:p w:rsidR="0088341A" w:rsidRDefault="0088341A" w:rsidP="0088341A">
      <w:pPr>
        <w:pStyle w:val="AERbodytext"/>
        <w:numPr>
          <w:ilvl w:val="0"/>
          <w:numId w:val="1"/>
        </w:numPr>
      </w:pPr>
      <w:r>
        <w:t>Capex is generally broken down into network and non-network related categories:</w:t>
      </w:r>
    </w:p>
    <w:p w:rsidR="0088341A" w:rsidRDefault="0088341A" w:rsidP="0088341A">
      <w:pPr>
        <w:pStyle w:val="AERbulletlistfirststyle"/>
      </w:pPr>
      <w:r>
        <w:t>network load driven (augmentation, connection and land/easements)</w:t>
      </w:r>
    </w:p>
    <w:p w:rsidR="0088341A" w:rsidRDefault="0088341A" w:rsidP="0088341A">
      <w:pPr>
        <w:pStyle w:val="AERbulletlistfirststyle"/>
      </w:pPr>
      <w:r>
        <w:t>network non-load driven (replacement, refurbishment, security/compliance and inventory spares)</w:t>
      </w:r>
    </w:p>
    <w:p w:rsidR="0088341A" w:rsidRDefault="0088341A" w:rsidP="0088341A">
      <w:pPr>
        <w:pStyle w:val="AERbulletlistfirststyle"/>
      </w:pPr>
      <w:r>
        <w:t>non-network (business information technology (IT) and buildings/facilities).</w:t>
      </w:r>
    </w:p>
    <w:p w:rsidR="0088341A" w:rsidRDefault="0088341A" w:rsidP="0088341A">
      <w:pPr>
        <w:pStyle w:val="AERbodytext"/>
        <w:numPr>
          <w:ilvl w:val="0"/>
          <w:numId w:val="1"/>
        </w:numPr>
      </w:pPr>
      <w:r>
        <w:t>SP AusNet's revenue proposal did not include any forecast network load driven capex. This exclusion is consistent with the transmission arrangements in Victoria, which differ from those in other regions in the National Electricity Market (NEM). The Australian Energy Market Operator (AEMO) has the role of transmission planner in Victoria and is responsible for augmenting the transmission network. When augmentation is contestable, AEMO procures the augmentation assets by competitive tender, and the assets remain outside of SP AusNet's regulatory asset base (RAB). When augmentation is not contestable and AEMO requires SP AusNet to fund the augmentation, the assets are rolled into SP AusNet's RAB at the end of the relevant regulatory control period.</w:t>
      </w:r>
    </w:p>
    <w:p w:rsidR="0088341A" w:rsidRPr="003800E4" w:rsidRDefault="0088341A" w:rsidP="0088341A">
      <w:pPr>
        <w:pStyle w:val="Heading2"/>
        <w:numPr>
          <w:ilvl w:val="2"/>
          <w:numId w:val="20"/>
        </w:numPr>
      </w:pPr>
      <w:bookmarkStart w:id="153" w:name="_Toc365283290"/>
      <w:r>
        <w:t>Draft decision</w:t>
      </w:r>
      <w:bookmarkEnd w:id="153"/>
    </w:p>
    <w:p w:rsidR="0088341A" w:rsidRDefault="0088341A" w:rsidP="0088341A">
      <w:pPr>
        <w:pStyle w:val="AERbodytext"/>
        <w:numPr>
          <w:ilvl w:val="0"/>
          <w:numId w:val="1"/>
        </w:numPr>
      </w:pPr>
      <w:r>
        <w:t>We do not accept SP AusNet's total forecast capex of $564.2 million ($2013–14).</w:t>
      </w:r>
      <w:r>
        <w:rPr>
          <w:rStyle w:val="FootnoteReference"/>
        </w:rPr>
        <w:footnoteReference w:id="178"/>
      </w:r>
      <w:r>
        <w:t xml:space="preserve"> Instead, we are satisfied that capex of $396.</w:t>
      </w:r>
      <w:r w:rsidR="00501137">
        <w:t>2</w:t>
      </w:r>
      <w:r>
        <w:t xml:space="preserve"> million ($2013–14) will reasonably reflect the capex criteria. This is 30 per cent less than SP AusNet's forecast. </w:t>
      </w:r>
      <w:r>
        <w:fldChar w:fldCharType="begin"/>
      </w:r>
      <w:r>
        <w:instrText xml:space="preserve"> REF _Ref357072378 \h </w:instrText>
      </w:r>
      <w:r>
        <w:fldChar w:fldCharType="separate"/>
      </w:r>
      <w:r w:rsidR="004F35AA">
        <w:t xml:space="preserve">Table </w:t>
      </w:r>
      <w:r w:rsidR="004F35AA">
        <w:rPr>
          <w:noProof/>
        </w:rPr>
        <w:t>2</w:t>
      </w:r>
      <w:r w:rsidR="004F35AA">
        <w:t>.</w:t>
      </w:r>
      <w:r w:rsidR="004F35AA">
        <w:rPr>
          <w:noProof/>
        </w:rPr>
        <w:t>1</w:t>
      </w:r>
      <w:r>
        <w:fldChar w:fldCharType="end"/>
      </w:r>
      <w:r>
        <w:t xml:space="preserve"> shows our draft decision compared with SP AusNet's total forecast capex. </w:t>
      </w:r>
    </w:p>
    <w:p w:rsidR="0088341A" w:rsidRDefault="0088341A" w:rsidP="0088341A">
      <w:pPr>
        <w:pStyle w:val="Caption"/>
        <w:keepLines/>
      </w:pPr>
      <w:bookmarkStart w:id="154" w:name="_Ref357072378"/>
      <w:bookmarkStart w:id="155" w:name="_Ref362366288"/>
      <w:r>
        <w:lastRenderedPageBreak/>
        <w:t xml:space="preserve">Table </w:t>
      </w:r>
      <w:fldSimple w:instr=" STYLEREF 1 \s ">
        <w:r w:rsidR="004F35AA">
          <w:rPr>
            <w:noProof/>
          </w:rPr>
          <w:t>2</w:t>
        </w:r>
      </w:fldSimple>
      <w:r w:rsidR="00C56A87">
        <w:t>.</w:t>
      </w:r>
      <w:fldSimple w:instr=" SEQ Table \* ARABIC \s 1 ">
        <w:r w:rsidR="004F35AA">
          <w:rPr>
            <w:noProof/>
          </w:rPr>
          <w:t>1</w:t>
        </w:r>
      </w:fldSimple>
      <w:bookmarkEnd w:id="154"/>
      <w:bookmarkEnd w:id="155"/>
      <w:r>
        <w:tab/>
        <w:t>AER's draft decision capex and SP AusNet's forecast capex ($ million, 2013–14)</w:t>
      </w:r>
    </w:p>
    <w:tbl>
      <w:tblPr>
        <w:tblW w:w="0" w:type="auto"/>
        <w:tblBorders>
          <w:bottom w:val="single" w:sz="4" w:space="0" w:color="365F91"/>
        </w:tblBorders>
        <w:tblLayout w:type="fixed"/>
        <w:tblLook w:val="04A0" w:firstRow="1" w:lastRow="0" w:firstColumn="1" w:lastColumn="0" w:noHBand="0" w:noVBand="1"/>
      </w:tblPr>
      <w:tblGrid>
        <w:gridCol w:w="2235"/>
        <w:gridCol w:w="1167"/>
        <w:gridCol w:w="1168"/>
        <w:gridCol w:w="1168"/>
        <w:gridCol w:w="1168"/>
        <w:gridCol w:w="1168"/>
        <w:gridCol w:w="1168"/>
      </w:tblGrid>
      <w:tr w:rsidR="0088341A" w:rsidRPr="008371FE" w:rsidTr="00501137">
        <w:tc>
          <w:tcPr>
            <w:tcW w:w="2235" w:type="dxa"/>
            <w:shd w:val="clear" w:color="auto" w:fill="365F91"/>
            <w:vAlign w:val="center"/>
          </w:tcPr>
          <w:p w:rsidR="0088341A" w:rsidRPr="00D5166D" w:rsidRDefault="0088341A" w:rsidP="00501137">
            <w:pPr>
              <w:pStyle w:val="AERtabletextleft"/>
              <w:keepNext/>
              <w:keepLines/>
              <w:rPr>
                <w:b/>
                <w:color w:val="FFFFFF"/>
              </w:rPr>
            </w:pPr>
            <w:r w:rsidRPr="00D5166D">
              <w:rPr>
                <w:b/>
                <w:color w:val="FFFFFF"/>
              </w:rPr>
              <w:t>Category</w:t>
            </w:r>
          </w:p>
        </w:tc>
        <w:tc>
          <w:tcPr>
            <w:tcW w:w="1167" w:type="dxa"/>
            <w:shd w:val="clear" w:color="auto" w:fill="365F91"/>
            <w:vAlign w:val="center"/>
          </w:tcPr>
          <w:p w:rsidR="0088341A" w:rsidRPr="00D5166D" w:rsidRDefault="0088341A" w:rsidP="00501137">
            <w:pPr>
              <w:pStyle w:val="AERtabletextright"/>
              <w:keepNext/>
              <w:keepLines/>
              <w:rPr>
                <w:b/>
                <w:color w:val="FFFFFF"/>
              </w:rPr>
            </w:pPr>
            <w:r w:rsidRPr="00D5166D">
              <w:rPr>
                <w:b/>
                <w:color w:val="FFFFFF"/>
              </w:rPr>
              <w:t>2014–15</w:t>
            </w:r>
          </w:p>
        </w:tc>
        <w:tc>
          <w:tcPr>
            <w:tcW w:w="1168" w:type="dxa"/>
            <w:shd w:val="clear" w:color="auto" w:fill="365F91"/>
            <w:vAlign w:val="center"/>
          </w:tcPr>
          <w:p w:rsidR="0088341A" w:rsidRPr="00D5166D" w:rsidRDefault="0088341A" w:rsidP="00501137">
            <w:pPr>
              <w:pStyle w:val="AERtabletextright"/>
              <w:keepNext/>
              <w:keepLines/>
              <w:rPr>
                <w:b/>
                <w:color w:val="FFFFFF"/>
              </w:rPr>
            </w:pPr>
            <w:r w:rsidRPr="00D5166D">
              <w:rPr>
                <w:b/>
                <w:color w:val="FFFFFF"/>
              </w:rPr>
              <w:t>2015–16</w:t>
            </w:r>
          </w:p>
        </w:tc>
        <w:tc>
          <w:tcPr>
            <w:tcW w:w="1168" w:type="dxa"/>
            <w:shd w:val="clear" w:color="auto" w:fill="365F91"/>
            <w:vAlign w:val="center"/>
          </w:tcPr>
          <w:p w:rsidR="0088341A" w:rsidRPr="00D5166D" w:rsidRDefault="0088341A" w:rsidP="00501137">
            <w:pPr>
              <w:pStyle w:val="AERtabletextright"/>
              <w:keepNext/>
              <w:keepLines/>
              <w:rPr>
                <w:b/>
                <w:color w:val="FFFFFF"/>
              </w:rPr>
            </w:pPr>
            <w:r w:rsidRPr="00D5166D">
              <w:rPr>
                <w:b/>
                <w:color w:val="FFFFFF"/>
              </w:rPr>
              <w:t>2016–17</w:t>
            </w:r>
          </w:p>
        </w:tc>
        <w:tc>
          <w:tcPr>
            <w:tcW w:w="1168" w:type="dxa"/>
            <w:shd w:val="clear" w:color="auto" w:fill="365F91"/>
            <w:vAlign w:val="center"/>
          </w:tcPr>
          <w:p w:rsidR="0088341A" w:rsidRPr="00D5166D" w:rsidRDefault="0088341A" w:rsidP="00501137">
            <w:pPr>
              <w:pStyle w:val="AERtabletextright"/>
              <w:keepNext/>
              <w:keepLines/>
              <w:rPr>
                <w:b/>
                <w:color w:val="FFFFFF"/>
              </w:rPr>
            </w:pPr>
            <w:r w:rsidRPr="00D5166D">
              <w:rPr>
                <w:b/>
                <w:color w:val="FFFFFF"/>
              </w:rPr>
              <w:t>Total</w:t>
            </w:r>
          </w:p>
        </w:tc>
        <w:tc>
          <w:tcPr>
            <w:tcW w:w="1168" w:type="dxa"/>
            <w:shd w:val="clear" w:color="auto" w:fill="365F91"/>
            <w:vAlign w:val="center"/>
          </w:tcPr>
          <w:p w:rsidR="0088341A" w:rsidRPr="00D5166D" w:rsidRDefault="0088341A" w:rsidP="00501137">
            <w:pPr>
              <w:pStyle w:val="AERtabletextright"/>
              <w:keepNext/>
              <w:keepLines/>
              <w:rPr>
                <w:b/>
                <w:color w:val="FFFFFF"/>
              </w:rPr>
            </w:pPr>
            <w:r w:rsidRPr="00D5166D">
              <w:rPr>
                <w:b/>
                <w:color w:val="FFFFFF"/>
              </w:rPr>
              <w:t>SP</w:t>
            </w:r>
            <w:r>
              <w:t xml:space="preserve"> </w:t>
            </w:r>
            <w:r w:rsidRPr="00D5166D">
              <w:rPr>
                <w:b/>
                <w:color w:val="FFFFFF"/>
              </w:rPr>
              <w:t xml:space="preserve"> AusNet</w:t>
            </w:r>
          </w:p>
        </w:tc>
        <w:tc>
          <w:tcPr>
            <w:tcW w:w="1168" w:type="dxa"/>
            <w:shd w:val="clear" w:color="auto" w:fill="365F91"/>
            <w:vAlign w:val="center"/>
          </w:tcPr>
          <w:p w:rsidR="0088341A" w:rsidRPr="00D5166D" w:rsidRDefault="0088341A" w:rsidP="00501137">
            <w:pPr>
              <w:pStyle w:val="AERtabletextright"/>
              <w:keepNext/>
              <w:keepLines/>
              <w:rPr>
                <w:b/>
                <w:color w:val="FFFFFF"/>
              </w:rPr>
            </w:pPr>
            <w:r w:rsidRPr="00D5166D">
              <w:rPr>
                <w:b/>
                <w:color w:val="FFFFFF"/>
              </w:rPr>
              <w:t>Difference</w:t>
            </w:r>
          </w:p>
        </w:tc>
      </w:tr>
      <w:tr w:rsidR="0088341A" w:rsidRPr="00864BA0" w:rsidTr="00501137">
        <w:tc>
          <w:tcPr>
            <w:tcW w:w="2235" w:type="dxa"/>
            <w:shd w:val="clear" w:color="auto" w:fill="auto"/>
            <w:vAlign w:val="center"/>
          </w:tcPr>
          <w:p w:rsidR="0088341A" w:rsidRPr="00864BA0" w:rsidRDefault="0088341A" w:rsidP="00501137">
            <w:pPr>
              <w:pStyle w:val="AERtabletextleft"/>
              <w:keepNext/>
              <w:keepLines/>
            </w:pPr>
            <w:r>
              <w:t>Major stations:</w:t>
            </w:r>
          </w:p>
        </w:tc>
        <w:tc>
          <w:tcPr>
            <w:tcW w:w="1167" w:type="dxa"/>
            <w:shd w:val="clear" w:color="auto" w:fill="auto"/>
            <w:vAlign w:val="center"/>
          </w:tcPr>
          <w:p w:rsidR="0088341A" w:rsidRPr="00864BA0" w:rsidRDefault="0088341A" w:rsidP="00501137">
            <w:pPr>
              <w:pStyle w:val="AERtabletextright"/>
              <w:keepNext/>
              <w:keepLines/>
            </w:pPr>
          </w:p>
        </w:tc>
        <w:tc>
          <w:tcPr>
            <w:tcW w:w="1168" w:type="dxa"/>
            <w:shd w:val="clear" w:color="auto" w:fill="auto"/>
            <w:vAlign w:val="center"/>
          </w:tcPr>
          <w:p w:rsidR="0088341A" w:rsidRPr="00864BA0" w:rsidRDefault="0088341A" w:rsidP="00501137">
            <w:pPr>
              <w:pStyle w:val="AERtabletextright"/>
              <w:keepNext/>
              <w:keepLines/>
            </w:pPr>
          </w:p>
        </w:tc>
        <w:tc>
          <w:tcPr>
            <w:tcW w:w="1168" w:type="dxa"/>
            <w:shd w:val="clear" w:color="auto" w:fill="auto"/>
            <w:vAlign w:val="center"/>
          </w:tcPr>
          <w:p w:rsidR="0088341A" w:rsidRPr="00864BA0" w:rsidRDefault="0088341A" w:rsidP="00501137">
            <w:pPr>
              <w:pStyle w:val="AERtabletextright"/>
              <w:keepNext/>
              <w:keepLines/>
            </w:pPr>
          </w:p>
        </w:tc>
        <w:tc>
          <w:tcPr>
            <w:tcW w:w="1168" w:type="dxa"/>
            <w:shd w:val="clear" w:color="auto" w:fill="auto"/>
            <w:vAlign w:val="center"/>
          </w:tcPr>
          <w:p w:rsidR="0088341A" w:rsidRPr="00864BA0" w:rsidRDefault="0088341A" w:rsidP="00501137">
            <w:pPr>
              <w:pStyle w:val="AERtabletextright"/>
              <w:keepNext/>
              <w:keepLines/>
            </w:pPr>
          </w:p>
        </w:tc>
        <w:tc>
          <w:tcPr>
            <w:tcW w:w="1168" w:type="dxa"/>
            <w:shd w:val="clear" w:color="auto" w:fill="auto"/>
            <w:vAlign w:val="center"/>
          </w:tcPr>
          <w:p w:rsidR="0088341A" w:rsidRPr="00864BA0" w:rsidRDefault="0088341A" w:rsidP="00501137">
            <w:pPr>
              <w:pStyle w:val="AERtabletextright"/>
              <w:keepNext/>
              <w:keepLines/>
            </w:pPr>
          </w:p>
        </w:tc>
        <w:tc>
          <w:tcPr>
            <w:tcW w:w="1168" w:type="dxa"/>
            <w:shd w:val="clear" w:color="auto" w:fill="auto"/>
            <w:vAlign w:val="center"/>
          </w:tcPr>
          <w:p w:rsidR="0088341A" w:rsidRPr="00864BA0" w:rsidRDefault="0088341A" w:rsidP="00501137">
            <w:pPr>
              <w:pStyle w:val="AERtabletextright"/>
              <w:keepNext/>
              <w:keepLines/>
            </w:pPr>
          </w:p>
        </w:tc>
      </w:tr>
      <w:tr w:rsidR="0088341A" w:rsidRPr="00864BA0" w:rsidTr="00501137">
        <w:tc>
          <w:tcPr>
            <w:tcW w:w="2235" w:type="dxa"/>
            <w:shd w:val="clear" w:color="auto" w:fill="DBE5F1"/>
            <w:vAlign w:val="center"/>
          </w:tcPr>
          <w:p w:rsidR="0088341A" w:rsidRDefault="0088341A" w:rsidP="00501137">
            <w:pPr>
              <w:pStyle w:val="AERtabletextleft"/>
              <w:keepNext/>
              <w:keepLines/>
            </w:pPr>
            <w:r>
              <w:t xml:space="preserve">   Richmond</w:t>
            </w:r>
          </w:p>
        </w:tc>
        <w:tc>
          <w:tcPr>
            <w:tcW w:w="1167" w:type="dxa"/>
            <w:shd w:val="clear" w:color="auto" w:fill="DBE5F1"/>
            <w:vAlign w:val="center"/>
          </w:tcPr>
          <w:p w:rsidR="0088341A" w:rsidRPr="00864BA0" w:rsidRDefault="0088341A" w:rsidP="00501137">
            <w:pPr>
              <w:pStyle w:val="AERtabletextright"/>
              <w:keepNext/>
              <w:keepLines/>
            </w:pPr>
            <w:r>
              <w:t>31.4</w:t>
            </w:r>
          </w:p>
        </w:tc>
        <w:tc>
          <w:tcPr>
            <w:tcW w:w="1168" w:type="dxa"/>
            <w:shd w:val="clear" w:color="auto" w:fill="DBE5F1"/>
            <w:vAlign w:val="center"/>
          </w:tcPr>
          <w:p w:rsidR="0088341A" w:rsidRPr="00864BA0" w:rsidRDefault="0088341A" w:rsidP="00501137">
            <w:pPr>
              <w:pStyle w:val="AERtabletextright"/>
              <w:keepNext/>
              <w:keepLines/>
            </w:pPr>
            <w:r>
              <w:t>22.2</w:t>
            </w:r>
          </w:p>
        </w:tc>
        <w:tc>
          <w:tcPr>
            <w:tcW w:w="1168" w:type="dxa"/>
            <w:shd w:val="clear" w:color="auto" w:fill="DBE5F1"/>
            <w:vAlign w:val="center"/>
          </w:tcPr>
          <w:p w:rsidR="0088341A" w:rsidRPr="00864BA0" w:rsidRDefault="0088341A" w:rsidP="00501137">
            <w:pPr>
              <w:pStyle w:val="AERtabletextright"/>
              <w:keepNext/>
              <w:keepLines/>
            </w:pPr>
            <w:r>
              <w:t>24.0</w:t>
            </w:r>
          </w:p>
        </w:tc>
        <w:tc>
          <w:tcPr>
            <w:tcW w:w="1168" w:type="dxa"/>
            <w:shd w:val="clear" w:color="auto" w:fill="DBE5F1"/>
            <w:vAlign w:val="center"/>
          </w:tcPr>
          <w:p w:rsidR="0088341A" w:rsidRPr="00864BA0" w:rsidRDefault="0088341A" w:rsidP="00501137">
            <w:pPr>
              <w:pStyle w:val="AERtabletextright"/>
              <w:keepNext/>
              <w:keepLines/>
            </w:pPr>
            <w:r>
              <w:t>77.6</w:t>
            </w:r>
          </w:p>
        </w:tc>
        <w:tc>
          <w:tcPr>
            <w:tcW w:w="1168" w:type="dxa"/>
            <w:shd w:val="clear" w:color="auto" w:fill="DBE5F1"/>
            <w:vAlign w:val="center"/>
          </w:tcPr>
          <w:p w:rsidR="0088341A" w:rsidRPr="00864BA0" w:rsidRDefault="0088341A" w:rsidP="00501137">
            <w:pPr>
              <w:pStyle w:val="AERtabletextright"/>
              <w:keepNext/>
              <w:keepLines/>
            </w:pPr>
            <w:r>
              <w:t>79.5</w:t>
            </w:r>
          </w:p>
        </w:tc>
        <w:tc>
          <w:tcPr>
            <w:tcW w:w="1168" w:type="dxa"/>
            <w:shd w:val="clear" w:color="auto" w:fill="DBE5F1"/>
            <w:vAlign w:val="center"/>
          </w:tcPr>
          <w:p w:rsidR="0088341A" w:rsidRPr="00864BA0" w:rsidRDefault="0088341A" w:rsidP="00501137">
            <w:pPr>
              <w:pStyle w:val="AERtabletextright"/>
              <w:keepNext/>
              <w:keepLines/>
            </w:pPr>
            <w:r>
              <w:t>–1.</w:t>
            </w:r>
            <w:r w:rsidR="00501137">
              <w:t>9</w:t>
            </w:r>
          </w:p>
        </w:tc>
      </w:tr>
      <w:tr w:rsidR="0088341A" w:rsidRPr="00864BA0" w:rsidTr="00501137">
        <w:tc>
          <w:tcPr>
            <w:tcW w:w="2235" w:type="dxa"/>
            <w:shd w:val="clear" w:color="auto" w:fill="auto"/>
            <w:vAlign w:val="center"/>
          </w:tcPr>
          <w:p w:rsidR="0088341A" w:rsidRDefault="0088341A" w:rsidP="00501137">
            <w:pPr>
              <w:pStyle w:val="AERtabletextleft"/>
              <w:keepNext/>
              <w:keepLines/>
            </w:pPr>
            <w:r>
              <w:t xml:space="preserve">   West Melbourne</w:t>
            </w:r>
          </w:p>
        </w:tc>
        <w:tc>
          <w:tcPr>
            <w:tcW w:w="1167" w:type="dxa"/>
            <w:shd w:val="clear" w:color="auto" w:fill="auto"/>
            <w:vAlign w:val="center"/>
          </w:tcPr>
          <w:p w:rsidR="0088341A" w:rsidRPr="00864BA0" w:rsidRDefault="0088341A" w:rsidP="00501137">
            <w:pPr>
              <w:pStyle w:val="AERtabletextright"/>
              <w:keepNext/>
              <w:keepLines/>
            </w:pPr>
            <w:r>
              <w:t>nil</w:t>
            </w:r>
          </w:p>
        </w:tc>
        <w:tc>
          <w:tcPr>
            <w:tcW w:w="1168" w:type="dxa"/>
            <w:shd w:val="clear" w:color="auto" w:fill="auto"/>
            <w:vAlign w:val="center"/>
          </w:tcPr>
          <w:p w:rsidR="0088341A" w:rsidRPr="00864BA0" w:rsidRDefault="0088341A" w:rsidP="00501137">
            <w:pPr>
              <w:pStyle w:val="AERtabletextright"/>
              <w:keepNext/>
              <w:keepLines/>
            </w:pPr>
            <w:r>
              <w:t>nil</w:t>
            </w:r>
          </w:p>
        </w:tc>
        <w:tc>
          <w:tcPr>
            <w:tcW w:w="1168" w:type="dxa"/>
            <w:shd w:val="clear" w:color="auto" w:fill="auto"/>
            <w:vAlign w:val="center"/>
          </w:tcPr>
          <w:p w:rsidR="0088341A" w:rsidRPr="00864BA0" w:rsidRDefault="0088341A" w:rsidP="00501137">
            <w:pPr>
              <w:pStyle w:val="AERtabletextright"/>
              <w:keepNext/>
              <w:keepLines/>
            </w:pPr>
            <w:r>
              <w:t>nil</w:t>
            </w:r>
          </w:p>
        </w:tc>
        <w:tc>
          <w:tcPr>
            <w:tcW w:w="1168" w:type="dxa"/>
            <w:shd w:val="clear" w:color="auto" w:fill="auto"/>
            <w:vAlign w:val="center"/>
          </w:tcPr>
          <w:p w:rsidR="0088341A" w:rsidRPr="00864BA0" w:rsidRDefault="0088341A" w:rsidP="00501137">
            <w:pPr>
              <w:pStyle w:val="AERtabletextright"/>
              <w:keepNext/>
              <w:keepLines/>
            </w:pPr>
            <w:r>
              <w:t>nil</w:t>
            </w:r>
          </w:p>
        </w:tc>
        <w:tc>
          <w:tcPr>
            <w:tcW w:w="1168" w:type="dxa"/>
            <w:shd w:val="clear" w:color="auto" w:fill="auto"/>
            <w:vAlign w:val="center"/>
          </w:tcPr>
          <w:p w:rsidR="0088341A" w:rsidRPr="00864BA0" w:rsidRDefault="0088341A" w:rsidP="00501137">
            <w:pPr>
              <w:pStyle w:val="AERtabletextright"/>
              <w:keepNext/>
              <w:keepLines/>
            </w:pPr>
            <w:r>
              <w:t>106.4</w:t>
            </w:r>
          </w:p>
        </w:tc>
        <w:tc>
          <w:tcPr>
            <w:tcW w:w="1168" w:type="dxa"/>
            <w:shd w:val="clear" w:color="auto" w:fill="auto"/>
            <w:vAlign w:val="center"/>
          </w:tcPr>
          <w:p w:rsidR="0088341A" w:rsidRPr="00864BA0" w:rsidRDefault="0088341A" w:rsidP="00501137">
            <w:pPr>
              <w:pStyle w:val="AERtabletextright"/>
              <w:keepNext/>
              <w:keepLines/>
            </w:pPr>
            <w:r>
              <w:t>–106.4</w:t>
            </w:r>
          </w:p>
        </w:tc>
      </w:tr>
      <w:tr w:rsidR="0088341A" w:rsidRPr="00864BA0" w:rsidTr="00501137">
        <w:tc>
          <w:tcPr>
            <w:tcW w:w="2235" w:type="dxa"/>
            <w:shd w:val="clear" w:color="auto" w:fill="DBE5F1"/>
            <w:vAlign w:val="center"/>
          </w:tcPr>
          <w:p w:rsidR="0088341A" w:rsidRDefault="0088341A" w:rsidP="00501137">
            <w:pPr>
              <w:pStyle w:val="AERtabletextleft"/>
              <w:keepNext/>
              <w:keepLines/>
            </w:pPr>
            <w:r>
              <w:t xml:space="preserve">   Other stations</w:t>
            </w:r>
          </w:p>
        </w:tc>
        <w:tc>
          <w:tcPr>
            <w:tcW w:w="1167" w:type="dxa"/>
            <w:shd w:val="clear" w:color="auto" w:fill="DBE5F1"/>
            <w:vAlign w:val="center"/>
          </w:tcPr>
          <w:p w:rsidR="0088341A" w:rsidRPr="00864BA0" w:rsidRDefault="0088341A" w:rsidP="00501137">
            <w:pPr>
              <w:pStyle w:val="AERtabletextright"/>
              <w:keepNext/>
              <w:keepLines/>
            </w:pPr>
            <w:r>
              <w:t>29.9</w:t>
            </w:r>
          </w:p>
        </w:tc>
        <w:tc>
          <w:tcPr>
            <w:tcW w:w="1168" w:type="dxa"/>
            <w:shd w:val="clear" w:color="auto" w:fill="DBE5F1"/>
            <w:vAlign w:val="center"/>
          </w:tcPr>
          <w:p w:rsidR="0088341A" w:rsidRPr="00864BA0" w:rsidRDefault="0088341A" w:rsidP="00501137">
            <w:pPr>
              <w:pStyle w:val="AERtabletextright"/>
              <w:keepNext/>
              <w:keepLines/>
            </w:pPr>
            <w:r>
              <w:t>44.3</w:t>
            </w:r>
          </w:p>
        </w:tc>
        <w:tc>
          <w:tcPr>
            <w:tcW w:w="1168" w:type="dxa"/>
            <w:shd w:val="clear" w:color="auto" w:fill="DBE5F1"/>
            <w:vAlign w:val="center"/>
          </w:tcPr>
          <w:p w:rsidR="0088341A" w:rsidRPr="00864BA0" w:rsidRDefault="0088341A" w:rsidP="00501137">
            <w:pPr>
              <w:pStyle w:val="AERtabletextright"/>
              <w:keepNext/>
              <w:keepLines/>
            </w:pPr>
            <w:r>
              <w:t>58.8</w:t>
            </w:r>
          </w:p>
        </w:tc>
        <w:tc>
          <w:tcPr>
            <w:tcW w:w="1168" w:type="dxa"/>
            <w:shd w:val="clear" w:color="auto" w:fill="DBE5F1"/>
            <w:vAlign w:val="center"/>
          </w:tcPr>
          <w:p w:rsidR="0088341A" w:rsidRPr="00864BA0" w:rsidRDefault="00B13615" w:rsidP="00B13615">
            <w:pPr>
              <w:pStyle w:val="AERtabletextright"/>
              <w:keepNext/>
              <w:keepLines/>
            </w:pPr>
            <w:r>
              <w:t>132</w:t>
            </w:r>
            <w:r w:rsidR="0088341A">
              <w:t>.</w:t>
            </w:r>
            <w:r>
              <w:t>9</w:t>
            </w:r>
          </w:p>
        </w:tc>
        <w:tc>
          <w:tcPr>
            <w:tcW w:w="1168" w:type="dxa"/>
            <w:shd w:val="clear" w:color="auto" w:fill="DBE5F1"/>
            <w:vAlign w:val="center"/>
          </w:tcPr>
          <w:p w:rsidR="0088341A" w:rsidRPr="00864BA0" w:rsidRDefault="0088341A" w:rsidP="00501137">
            <w:pPr>
              <w:pStyle w:val="AERtabletextright"/>
              <w:keepNext/>
              <w:keepLines/>
            </w:pPr>
            <w:r>
              <w:t>149.8</w:t>
            </w:r>
          </w:p>
        </w:tc>
        <w:tc>
          <w:tcPr>
            <w:tcW w:w="1168" w:type="dxa"/>
            <w:shd w:val="clear" w:color="auto" w:fill="DBE5F1"/>
            <w:vAlign w:val="center"/>
          </w:tcPr>
          <w:p w:rsidR="0088341A" w:rsidRPr="00864BA0" w:rsidRDefault="00B13615" w:rsidP="00501137">
            <w:pPr>
              <w:pStyle w:val="AERtabletextright"/>
              <w:keepNext/>
              <w:keepLines/>
            </w:pPr>
            <w:r>
              <w:t>–16.9</w:t>
            </w:r>
          </w:p>
        </w:tc>
      </w:tr>
      <w:tr w:rsidR="0088341A" w:rsidRPr="00864BA0" w:rsidTr="00501137">
        <w:tc>
          <w:tcPr>
            <w:tcW w:w="2235" w:type="dxa"/>
            <w:shd w:val="clear" w:color="auto" w:fill="auto"/>
            <w:vAlign w:val="center"/>
          </w:tcPr>
          <w:p w:rsidR="0088341A" w:rsidRPr="00864BA0" w:rsidRDefault="0088341A" w:rsidP="00501137">
            <w:pPr>
              <w:pStyle w:val="AERtabletextleft"/>
              <w:keepNext/>
              <w:keepLines/>
            </w:pPr>
            <w:r>
              <w:t>Total m</w:t>
            </w:r>
            <w:r w:rsidRPr="00864BA0">
              <w:t xml:space="preserve">ajor stations </w:t>
            </w:r>
          </w:p>
        </w:tc>
        <w:tc>
          <w:tcPr>
            <w:tcW w:w="1167" w:type="dxa"/>
            <w:shd w:val="clear" w:color="auto" w:fill="auto"/>
            <w:vAlign w:val="center"/>
          </w:tcPr>
          <w:p w:rsidR="0088341A" w:rsidRPr="00864BA0" w:rsidRDefault="0088341A" w:rsidP="00501137">
            <w:pPr>
              <w:pStyle w:val="AERtabletextright"/>
              <w:keepNext/>
              <w:keepLines/>
            </w:pPr>
            <w:r>
              <w:t>61.3</w:t>
            </w:r>
          </w:p>
        </w:tc>
        <w:tc>
          <w:tcPr>
            <w:tcW w:w="1168" w:type="dxa"/>
            <w:shd w:val="clear" w:color="auto" w:fill="auto"/>
            <w:vAlign w:val="center"/>
          </w:tcPr>
          <w:p w:rsidR="0088341A" w:rsidRPr="00864BA0" w:rsidRDefault="0088341A" w:rsidP="00501137">
            <w:pPr>
              <w:pStyle w:val="AERtabletextright"/>
              <w:keepNext/>
              <w:keepLines/>
            </w:pPr>
            <w:r>
              <w:t>66.</w:t>
            </w:r>
            <w:r w:rsidR="00501137">
              <w:t>5</w:t>
            </w:r>
          </w:p>
        </w:tc>
        <w:tc>
          <w:tcPr>
            <w:tcW w:w="1168" w:type="dxa"/>
            <w:shd w:val="clear" w:color="auto" w:fill="auto"/>
            <w:vAlign w:val="center"/>
          </w:tcPr>
          <w:p w:rsidR="0088341A" w:rsidRPr="00864BA0" w:rsidRDefault="0088341A" w:rsidP="00501137">
            <w:pPr>
              <w:pStyle w:val="AERtabletextright"/>
              <w:keepNext/>
              <w:keepLines/>
            </w:pPr>
            <w:r>
              <w:t>82.7</w:t>
            </w:r>
          </w:p>
        </w:tc>
        <w:tc>
          <w:tcPr>
            <w:tcW w:w="1168" w:type="dxa"/>
            <w:shd w:val="clear" w:color="auto" w:fill="auto"/>
            <w:vAlign w:val="center"/>
          </w:tcPr>
          <w:p w:rsidR="0088341A" w:rsidRPr="00864BA0" w:rsidRDefault="0088341A" w:rsidP="00501137">
            <w:pPr>
              <w:pStyle w:val="AERtabletextright"/>
              <w:keepNext/>
              <w:keepLines/>
            </w:pPr>
            <w:r>
              <w:t>210.6</w:t>
            </w:r>
          </w:p>
        </w:tc>
        <w:tc>
          <w:tcPr>
            <w:tcW w:w="1168" w:type="dxa"/>
            <w:shd w:val="clear" w:color="auto" w:fill="auto"/>
            <w:vAlign w:val="center"/>
          </w:tcPr>
          <w:p w:rsidR="0088341A" w:rsidRPr="00864BA0" w:rsidRDefault="0088341A" w:rsidP="00501137">
            <w:pPr>
              <w:pStyle w:val="AERtabletextright"/>
              <w:keepNext/>
              <w:keepLines/>
            </w:pPr>
            <w:r>
              <w:t>335</w:t>
            </w:r>
            <w:r w:rsidRPr="00864BA0">
              <w:t>.7</w:t>
            </w:r>
          </w:p>
        </w:tc>
        <w:tc>
          <w:tcPr>
            <w:tcW w:w="1168" w:type="dxa"/>
            <w:shd w:val="clear" w:color="auto" w:fill="auto"/>
            <w:vAlign w:val="center"/>
          </w:tcPr>
          <w:p w:rsidR="0088341A" w:rsidRPr="00864BA0" w:rsidRDefault="0088341A" w:rsidP="00501137">
            <w:pPr>
              <w:pStyle w:val="AERtabletextright"/>
              <w:keepNext/>
              <w:keepLines/>
            </w:pPr>
            <w:r>
              <w:t>–125.1</w:t>
            </w:r>
          </w:p>
        </w:tc>
      </w:tr>
      <w:tr w:rsidR="0088341A" w:rsidRPr="00864BA0" w:rsidTr="00501137">
        <w:tc>
          <w:tcPr>
            <w:tcW w:w="2235" w:type="dxa"/>
            <w:shd w:val="clear" w:color="auto" w:fill="DBE5F1"/>
            <w:vAlign w:val="center"/>
          </w:tcPr>
          <w:p w:rsidR="0088341A" w:rsidRPr="00864BA0" w:rsidRDefault="0088341A" w:rsidP="00501137">
            <w:pPr>
              <w:pStyle w:val="AERtabletextleft"/>
              <w:keepNext/>
              <w:keepLines/>
            </w:pPr>
            <w:r w:rsidRPr="00864BA0">
              <w:t>Asset replacement</w:t>
            </w:r>
          </w:p>
        </w:tc>
        <w:tc>
          <w:tcPr>
            <w:tcW w:w="1167" w:type="dxa"/>
            <w:shd w:val="clear" w:color="auto" w:fill="DBE5F1"/>
            <w:vAlign w:val="center"/>
          </w:tcPr>
          <w:p w:rsidR="0088341A" w:rsidRPr="00864BA0" w:rsidRDefault="0088341A" w:rsidP="00501137">
            <w:pPr>
              <w:pStyle w:val="AERtabletextright"/>
              <w:keepNext/>
              <w:keepLines/>
            </w:pPr>
            <w:r>
              <w:t>32.9</w:t>
            </w:r>
          </w:p>
        </w:tc>
        <w:tc>
          <w:tcPr>
            <w:tcW w:w="1168" w:type="dxa"/>
            <w:shd w:val="clear" w:color="auto" w:fill="DBE5F1"/>
            <w:vAlign w:val="center"/>
          </w:tcPr>
          <w:p w:rsidR="0088341A" w:rsidRPr="00864BA0" w:rsidRDefault="0088341A" w:rsidP="00501137">
            <w:pPr>
              <w:pStyle w:val="AERtabletextright"/>
              <w:keepNext/>
              <w:keepLines/>
            </w:pPr>
            <w:r>
              <w:t>33.0</w:t>
            </w:r>
          </w:p>
        </w:tc>
        <w:tc>
          <w:tcPr>
            <w:tcW w:w="1168" w:type="dxa"/>
            <w:shd w:val="clear" w:color="auto" w:fill="DBE5F1"/>
            <w:vAlign w:val="center"/>
          </w:tcPr>
          <w:p w:rsidR="0088341A" w:rsidRPr="00864BA0" w:rsidRDefault="0088341A" w:rsidP="00501137">
            <w:pPr>
              <w:pStyle w:val="AERtabletextright"/>
              <w:keepNext/>
              <w:keepLines/>
            </w:pPr>
            <w:r>
              <w:t>37.4</w:t>
            </w:r>
          </w:p>
        </w:tc>
        <w:tc>
          <w:tcPr>
            <w:tcW w:w="1168" w:type="dxa"/>
            <w:shd w:val="clear" w:color="auto" w:fill="DBE5F1"/>
            <w:vAlign w:val="center"/>
          </w:tcPr>
          <w:p w:rsidR="0088341A" w:rsidRPr="00864BA0" w:rsidRDefault="0088341A" w:rsidP="00501137">
            <w:pPr>
              <w:pStyle w:val="AERtabletextright"/>
              <w:keepNext/>
              <w:keepLines/>
            </w:pPr>
            <w:r>
              <w:t>103.</w:t>
            </w:r>
            <w:r w:rsidR="00501137">
              <w:t>3</w:t>
            </w:r>
          </w:p>
        </w:tc>
        <w:tc>
          <w:tcPr>
            <w:tcW w:w="1168" w:type="dxa"/>
            <w:shd w:val="clear" w:color="auto" w:fill="DBE5F1"/>
            <w:vAlign w:val="center"/>
          </w:tcPr>
          <w:p w:rsidR="0088341A" w:rsidRPr="00864BA0" w:rsidRDefault="0088341A" w:rsidP="00501137">
            <w:pPr>
              <w:pStyle w:val="AERtabletextright"/>
              <w:keepNext/>
              <w:keepLines/>
            </w:pPr>
            <w:r w:rsidRPr="00864BA0">
              <w:t>121.1</w:t>
            </w:r>
          </w:p>
        </w:tc>
        <w:tc>
          <w:tcPr>
            <w:tcW w:w="1168" w:type="dxa"/>
            <w:shd w:val="clear" w:color="auto" w:fill="DBE5F1"/>
            <w:vAlign w:val="center"/>
          </w:tcPr>
          <w:p w:rsidR="0088341A" w:rsidRPr="00864BA0" w:rsidRDefault="0088341A" w:rsidP="00501137">
            <w:pPr>
              <w:pStyle w:val="AERtabletextright"/>
              <w:keepNext/>
              <w:keepLines/>
            </w:pPr>
            <w:r>
              <w:t>–17.7</w:t>
            </w:r>
          </w:p>
        </w:tc>
      </w:tr>
      <w:tr w:rsidR="0088341A" w:rsidRPr="00864BA0" w:rsidTr="00501137">
        <w:tc>
          <w:tcPr>
            <w:tcW w:w="2235" w:type="dxa"/>
            <w:shd w:val="clear" w:color="auto" w:fill="auto"/>
            <w:vAlign w:val="center"/>
          </w:tcPr>
          <w:p w:rsidR="0088341A" w:rsidRPr="00864BA0" w:rsidRDefault="0088341A" w:rsidP="00501137">
            <w:pPr>
              <w:pStyle w:val="AERtabletextleft"/>
              <w:keepNext/>
              <w:keepLines/>
            </w:pPr>
            <w:r w:rsidRPr="00864BA0">
              <w:t>Safety and compliance</w:t>
            </w:r>
          </w:p>
        </w:tc>
        <w:tc>
          <w:tcPr>
            <w:tcW w:w="1167" w:type="dxa"/>
            <w:shd w:val="clear" w:color="auto" w:fill="auto"/>
            <w:vAlign w:val="center"/>
          </w:tcPr>
          <w:p w:rsidR="0088341A" w:rsidRPr="00864BA0" w:rsidRDefault="0088341A" w:rsidP="00501137">
            <w:pPr>
              <w:pStyle w:val="AERtabletextright"/>
              <w:keepNext/>
              <w:keepLines/>
            </w:pPr>
            <w:r>
              <w:t>13.9</w:t>
            </w:r>
          </w:p>
        </w:tc>
        <w:tc>
          <w:tcPr>
            <w:tcW w:w="1168" w:type="dxa"/>
            <w:shd w:val="clear" w:color="auto" w:fill="auto"/>
            <w:vAlign w:val="center"/>
          </w:tcPr>
          <w:p w:rsidR="0088341A" w:rsidRPr="00864BA0" w:rsidRDefault="0088341A" w:rsidP="00501137">
            <w:pPr>
              <w:pStyle w:val="AERtabletextright"/>
              <w:keepNext/>
              <w:keepLines/>
            </w:pPr>
            <w:r>
              <w:t>12.6</w:t>
            </w:r>
          </w:p>
        </w:tc>
        <w:tc>
          <w:tcPr>
            <w:tcW w:w="1168" w:type="dxa"/>
            <w:shd w:val="clear" w:color="auto" w:fill="auto"/>
            <w:vAlign w:val="center"/>
          </w:tcPr>
          <w:p w:rsidR="0088341A" w:rsidRPr="00864BA0" w:rsidRDefault="0088341A" w:rsidP="00501137">
            <w:pPr>
              <w:pStyle w:val="AERtabletextright"/>
              <w:keepNext/>
              <w:keepLines/>
            </w:pPr>
            <w:r>
              <w:t>11.4</w:t>
            </w:r>
          </w:p>
        </w:tc>
        <w:tc>
          <w:tcPr>
            <w:tcW w:w="1168" w:type="dxa"/>
            <w:shd w:val="clear" w:color="auto" w:fill="auto"/>
            <w:vAlign w:val="center"/>
          </w:tcPr>
          <w:p w:rsidR="0088341A" w:rsidRPr="00864BA0" w:rsidRDefault="0088341A" w:rsidP="00501137">
            <w:pPr>
              <w:pStyle w:val="AERtabletextright"/>
              <w:keepNext/>
              <w:keepLines/>
            </w:pPr>
            <w:r>
              <w:t>38.0</w:t>
            </w:r>
          </w:p>
        </w:tc>
        <w:tc>
          <w:tcPr>
            <w:tcW w:w="1168" w:type="dxa"/>
            <w:shd w:val="clear" w:color="auto" w:fill="auto"/>
            <w:vAlign w:val="center"/>
          </w:tcPr>
          <w:p w:rsidR="0088341A" w:rsidRPr="00864BA0" w:rsidRDefault="0088341A" w:rsidP="00501137">
            <w:pPr>
              <w:pStyle w:val="AERtabletextright"/>
              <w:keepNext/>
              <w:keepLines/>
            </w:pPr>
            <w:r w:rsidRPr="00864BA0">
              <w:t>44.7</w:t>
            </w:r>
          </w:p>
        </w:tc>
        <w:tc>
          <w:tcPr>
            <w:tcW w:w="1168" w:type="dxa"/>
            <w:shd w:val="clear" w:color="auto" w:fill="auto"/>
            <w:vAlign w:val="center"/>
          </w:tcPr>
          <w:p w:rsidR="0088341A" w:rsidRPr="00864BA0" w:rsidRDefault="0088341A" w:rsidP="00B13615">
            <w:pPr>
              <w:pStyle w:val="AERtabletextright"/>
              <w:keepNext/>
              <w:keepLines/>
            </w:pPr>
            <w:r>
              <w:t>–6.</w:t>
            </w:r>
            <w:r w:rsidR="00B13615">
              <w:t>8</w:t>
            </w:r>
          </w:p>
        </w:tc>
      </w:tr>
      <w:tr w:rsidR="0088341A" w:rsidRPr="00864BA0" w:rsidTr="00501137">
        <w:tc>
          <w:tcPr>
            <w:tcW w:w="2235" w:type="dxa"/>
            <w:shd w:val="clear" w:color="auto" w:fill="DBE5F1"/>
            <w:vAlign w:val="center"/>
          </w:tcPr>
          <w:p w:rsidR="0088341A" w:rsidRPr="00864BA0" w:rsidRDefault="0088341A" w:rsidP="00501137">
            <w:pPr>
              <w:pStyle w:val="AERtabletextleft"/>
              <w:keepNext/>
              <w:keepLines/>
            </w:pPr>
            <w:r w:rsidRPr="00864BA0">
              <w:t>Non-system</w:t>
            </w:r>
          </w:p>
        </w:tc>
        <w:tc>
          <w:tcPr>
            <w:tcW w:w="1167" w:type="dxa"/>
            <w:shd w:val="clear" w:color="auto" w:fill="DBE5F1"/>
            <w:vAlign w:val="center"/>
          </w:tcPr>
          <w:p w:rsidR="0088341A" w:rsidRPr="00864BA0" w:rsidRDefault="0088341A" w:rsidP="00501137">
            <w:pPr>
              <w:pStyle w:val="AERtabletextright"/>
              <w:keepNext/>
              <w:keepLines/>
            </w:pPr>
            <w:r>
              <w:t>1</w:t>
            </w:r>
            <w:r w:rsidR="00501137">
              <w:t>4</w:t>
            </w:r>
            <w:r>
              <w:t>.</w:t>
            </w:r>
            <w:r w:rsidR="00501137">
              <w:t>9</w:t>
            </w:r>
          </w:p>
        </w:tc>
        <w:tc>
          <w:tcPr>
            <w:tcW w:w="1168" w:type="dxa"/>
            <w:shd w:val="clear" w:color="auto" w:fill="DBE5F1"/>
            <w:vAlign w:val="center"/>
          </w:tcPr>
          <w:p w:rsidR="0088341A" w:rsidRPr="00864BA0" w:rsidRDefault="0088341A" w:rsidP="00501137">
            <w:pPr>
              <w:pStyle w:val="AERtabletextright"/>
              <w:keepNext/>
              <w:keepLines/>
            </w:pPr>
            <w:r>
              <w:t>1</w:t>
            </w:r>
            <w:r w:rsidR="00501137">
              <w:t>4</w:t>
            </w:r>
            <w:r>
              <w:t>.</w:t>
            </w:r>
            <w:r w:rsidR="00501137">
              <w:t>9</w:t>
            </w:r>
          </w:p>
        </w:tc>
        <w:tc>
          <w:tcPr>
            <w:tcW w:w="1168" w:type="dxa"/>
            <w:shd w:val="clear" w:color="auto" w:fill="DBE5F1"/>
            <w:vAlign w:val="center"/>
          </w:tcPr>
          <w:p w:rsidR="0088341A" w:rsidRPr="00864BA0" w:rsidRDefault="0088341A" w:rsidP="00501137">
            <w:pPr>
              <w:pStyle w:val="AERtabletextright"/>
              <w:keepNext/>
              <w:keepLines/>
            </w:pPr>
            <w:r>
              <w:t>14.4</w:t>
            </w:r>
          </w:p>
        </w:tc>
        <w:tc>
          <w:tcPr>
            <w:tcW w:w="1168" w:type="dxa"/>
            <w:shd w:val="clear" w:color="auto" w:fill="DBE5F1"/>
            <w:vAlign w:val="center"/>
          </w:tcPr>
          <w:p w:rsidR="0088341A" w:rsidRPr="00864BA0" w:rsidRDefault="0088341A" w:rsidP="00C57376">
            <w:pPr>
              <w:pStyle w:val="AERtabletextright"/>
              <w:keepNext/>
              <w:keepLines/>
            </w:pPr>
            <w:r>
              <w:t>44.</w:t>
            </w:r>
            <w:r w:rsidR="00C57376">
              <w:t>3</w:t>
            </w:r>
          </w:p>
        </w:tc>
        <w:tc>
          <w:tcPr>
            <w:tcW w:w="1168" w:type="dxa"/>
            <w:shd w:val="clear" w:color="auto" w:fill="DBE5F1"/>
            <w:vAlign w:val="center"/>
          </w:tcPr>
          <w:p w:rsidR="0088341A" w:rsidRPr="00864BA0" w:rsidRDefault="0088341A" w:rsidP="00501137">
            <w:pPr>
              <w:pStyle w:val="AERtabletextright"/>
              <w:keepNext/>
              <w:keepLines/>
            </w:pPr>
            <w:r w:rsidRPr="00864BA0">
              <w:t>62.7</w:t>
            </w:r>
          </w:p>
        </w:tc>
        <w:tc>
          <w:tcPr>
            <w:tcW w:w="1168" w:type="dxa"/>
            <w:shd w:val="clear" w:color="auto" w:fill="DBE5F1"/>
            <w:vAlign w:val="center"/>
          </w:tcPr>
          <w:p w:rsidR="0088341A" w:rsidRPr="00864BA0" w:rsidRDefault="0088341A" w:rsidP="00501137">
            <w:pPr>
              <w:pStyle w:val="AERtabletextright"/>
              <w:keepNext/>
              <w:keepLines/>
            </w:pPr>
            <w:r>
              <w:t>–18.4</w:t>
            </w:r>
          </w:p>
        </w:tc>
      </w:tr>
      <w:tr w:rsidR="0088341A" w:rsidRPr="00797D6F" w:rsidTr="00501137">
        <w:tc>
          <w:tcPr>
            <w:tcW w:w="2235" w:type="dxa"/>
            <w:shd w:val="clear" w:color="auto" w:fill="auto"/>
            <w:vAlign w:val="center"/>
          </w:tcPr>
          <w:p w:rsidR="0088341A" w:rsidRPr="00797D6F" w:rsidRDefault="0088341A" w:rsidP="00501137">
            <w:pPr>
              <w:pStyle w:val="AERtabletextleft"/>
              <w:keepNext/>
              <w:keepLines/>
              <w:rPr>
                <w:rStyle w:val="AERtextbold"/>
              </w:rPr>
            </w:pPr>
            <w:r w:rsidRPr="00797D6F">
              <w:rPr>
                <w:rStyle w:val="AERtextbold"/>
              </w:rPr>
              <w:t>Total</w:t>
            </w:r>
          </w:p>
        </w:tc>
        <w:tc>
          <w:tcPr>
            <w:tcW w:w="1167" w:type="dxa"/>
            <w:shd w:val="clear" w:color="auto" w:fill="auto"/>
            <w:vAlign w:val="center"/>
          </w:tcPr>
          <w:p w:rsidR="0088341A" w:rsidRPr="00797D6F" w:rsidRDefault="0088341A" w:rsidP="00501137">
            <w:pPr>
              <w:pStyle w:val="AERtabletextright"/>
              <w:keepNext/>
              <w:keepLines/>
              <w:rPr>
                <w:rStyle w:val="AERtextbold"/>
              </w:rPr>
            </w:pPr>
            <w:r>
              <w:rPr>
                <w:rStyle w:val="AERtextbold"/>
              </w:rPr>
              <w:t>123.1</w:t>
            </w:r>
          </w:p>
        </w:tc>
        <w:tc>
          <w:tcPr>
            <w:tcW w:w="1168" w:type="dxa"/>
            <w:shd w:val="clear" w:color="auto" w:fill="auto"/>
            <w:vAlign w:val="center"/>
          </w:tcPr>
          <w:p w:rsidR="0088341A" w:rsidRPr="00797D6F" w:rsidRDefault="0088341A" w:rsidP="00501137">
            <w:pPr>
              <w:pStyle w:val="AERtabletextright"/>
              <w:keepNext/>
              <w:keepLines/>
              <w:rPr>
                <w:rStyle w:val="AERtextbold"/>
              </w:rPr>
            </w:pPr>
            <w:r>
              <w:rPr>
                <w:rStyle w:val="AERtextbold"/>
              </w:rPr>
              <w:t>127.</w:t>
            </w:r>
            <w:r w:rsidR="00501137">
              <w:rPr>
                <w:rStyle w:val="AERtextbold"/>
              </w:rPr>
              <w:t>1</w:t>
            </w:r>
          </w:p>
        </w:tc>
        <w:tc>
          <w:tcPr>
            <w:tcW w:w="1168" w:type="dxa"/>
            <w:shd w:val="clear" w:color="auto" w:fill="auto"/>
            <w:vAlign w:val="center"/>
          </w:tcPr>
          <w:p w:rsidR="0088341A" w:rsidRPr="00797D6F" w:rsidRDefault="0088341A" w:rsidP="00501137">
            <w:pPr>
              <w:pStyle w:val="AERtabletextright"/>
              <w:keepNext/>
              <w:keepLines/>
              <w:rPr>
                <w:rStyle w:val="AERtextbold"/>
              </w:rPr>
            </w:pPr>
            <w:r>
              <w:rPr>
                <w:rStyle w:val="AERtextbold"/>
              </w:rPr>
              <w:t>146.0</w:t>
            </w:r>
          </w:p>
        </w:tc>
        <w:tc>
          <w:tcPr>
            <w:tcW w:w="1168" w:type="dxa"/>
            <w:shd w:val="clear" w:color="auto" w:fill="auto"/>
            <w:vAlign w:val="center"/>
          </w:tcPr>
          <w:p w:rsidR="0088341A" w:rsidRPr="00797D6F" w:rsidRDefault="0088341A" w:rsidP="00501137">
            <w:pPr>
              <w:pStyle w:val="AERtabletextright"/>
              <w:keepNext/>
              <w:keepLines/>
              <w:rPr>
                <w:rStyle w:val="AERtextbold"/>
              </w:rPr>
            </w:pPr>
            <w:r>
              <w:rPr>
                <w:rStyle w:val="AERtextbold"/>
              </w:rPr>
              <w:t>396.</w:t>
            </w:r>
            <w:r w:rsidR="00501137">
              <w:rPr>
                <w:rStyle w:val="AERtextbold"/>
              </w:rPr>
              <w:t>2</w:t>
            </w:r>
          </w:p>
        </w:tc>
        <w:tc>
          <w:tcPr>
            <w:tcW w:w="1168" w:type="dxa"/>
            <w:shd w:val="clear" w:color="auto" w:fill="auto"/>
            <w:vAlign w:val="center"/>
          </w:tcPr>
          <w:p w:rsidR="0088341A" w:rsidRPr="00797D6F" w:rsidRDefault="0088341A" w:rsidP="00501137">
            <w:pPr>
              <w:pStyle w:val="AERtabletextright"/>
              <w:keepNext/>
              <w:keepLines/>
              <w:rPr>
                <w:rStyle w:val="AERtextbold"/>
              </w:rPr>
            </w:pPr>
            <w:r w:rsidRPr="00797D6F">
              <w:rPr>
                <w:rStyle w:val="AERtextbold"/>
              </w:rPr>
              <w:t>564.2</w:t>
            </w:r>
          </w:p>
        </w:tc>
        <w:tc>
          <w:tcPr>
            <w:tcW w:w="1168" w:type="dxa"/>
            <w:shd w:val="clear" w:color="auto" w:fill="auto"/>
            <w:vAlign w:val="center"/>
          </w:tcPr>
          <w:p w:rsidR="0088341A" w:rsidRPr="00797D6F" w:rsidRDefault="00A02FAD" w:rsidP="00501137">
            <w:pPr>
              <w:pStyle w:val="AERtabletextright"/>
              <w:keepNext/>
              <w:keepLines/>
              <w:rPr>
                <w:rStyle w:val="AERtextbold"/>
              </w:rPr>
            </w:pPr>
            <w:r>
              <w:rPr>
                <w:rStyle w:val="AERtextbold"/>
              </w:rPr>
              <w:t>–</w:t>
            </w:r>
            <w:r w:rsidR="0088341A">
              <w:rPr>
                <w:rStyle w:val="AERtextbold"/>
              </w:rPr>
              <w:t>16</w:t>
            </w:r>
            <w:r w:rsidR="00501137">
              <w:rPr>
                <w:rStyle w:val="AERtextbold"/>
              </w:rPr>
              <w:t>8.0</w:t>
            </w:r>
          </w:p>
        </w:tc>
      </w:tr>
    </w:tbl>
    <w:p w:rsidR="0088341A" w:rsidRDefault="0088341A" w:rsidP="0088341A">
      <w:pPr>
        <w:pStyle w:val="AERtablesource"/>
        <w:keepNext/>
        <w:keepLines/>
      </w:pPr>
      <w:r>
        <w:t>Source:</w:t>
      </w:r>
      <w:r>
        <w:tab/>
        <w:t xml:space="preserve">SP AusNet, </w:t>
      </w:r>
      <w:r w:rsidRPr="000F18CD">
        <w:rPr>
          <w:rStyle w:val="AERtextitalic"/>
        </w:rPr>
        <w:t>Revenue proposal</w:t>
      </w:r>
      <w:r>
        <w:t>, p. 84; AER analysis.</w:t>
      </w:r>
      <w:r w:rsidR="00B13615">
        <w:t xml:space="preserve"> Numbers may not add due to rounding.</w:t>
      </w:r>
    </w:p>
    <w:p w:rsidR="0088341A" w:rsidRDefault="0088341A" w:rsidP="0088341A">
      <w:pPr>
        <w:pStyle w:val="Heading2"/>
        <w:numPr>
          <w:ilvl w:val="2"/>
          <w:numId w:val="20"/>
        </w:numPr>
      </w:pPr>
      <w:bookmarkStart w:id="156" w:name="_Toc365283291"/>
      <w:r>
        <w:t>SP AusNet's proposal</w:t>
      </w:r>
      <w:bookmarkEnd w:id="156"/>
    </w:p>
    <w:p w:rsidR="0088341A" w:rsidRDefault="0088341A" w:rsidP="0088341A">
      <w:pPr>
        <w:pStyle w:val="AERbodytext"/>
        <w:numPr>
          <w:ilvl w:val="0"/>
          <w:numId w:val="1"/>
        </w:numPr>
      </w:pPr>
      <w:r>
        <w:fldChar w:fldCharType="begin"/>
      </w:r>
      <w:r>
        <w:instrText xml:space="preserve"> REF _Ref357072890 \h </w:instrText>
      </w:r>
      <w:r>
        <w:fldChar w:fldCharType="separate"/>
      </w:r>
      <w:r w:rsidR="004F35AA">
        <w:t xml:space="preserve">Table </w:t>
      </w:r>
      <w:r w:rsidR="004F35AA">
        <w:rPr>
          <w:noProof/>
        </w:rPr>
        <w:t>2</w:t>
      </w:r>
      <w:r w:rsidR="004F35AA">
        <w:t>.</w:t>
      </w:r>
      <w:r w:rsidR="004F35AA">
        <w:rPr>
          <w:noProof/>
        </w:rPr>
        <w:t>2</w:t>
      </w:r>
      <w:r>
        <w:fldChar w:fldCharType="end"/>
      </w:r>
      <w:r>
        <w:t xml:space="preserve"> shows a breakdown by category of SP AusNet's total forecast capex of $564.2 million ($2013–14) for the 2014–17 regulatory control period. </w:t>
      </w:r>
      <w:r>
        <w:fldChar w:fldCharType="begin"/>
      </w:r>
      <w:r>
        <w:instrText xml:space="preserve"> REF _Ref357072890 \h </w:instrText>
      </w:r>
      <w:r>
        <w:fldChar w:fldCharType="separate"/>
      </w:r>
      <w:r w:rsidR="004F35AA">
        <w:t xml:space="preserve">Table </w:t>
      </w:r>
      <w:r w:rsidR="004F35AA">
        <w:rPr>
          <w:noProof/>
        </w:rPr>
        <w:t>2</w:t>
      </w:r>
      <w:r w:rsidR="004F35AA">
        <w:t>.</w:t>
      </w:r>
      <w:r w:rsidR="004F35AA">
        <w:rPr>
          <w:noProof/>
        </w:rPr>
        <w:t>2</w:t>
      </w:r>
      <w:r>
        <w:fldChar w:fldCharType="end"/>
      </w:r>
      <w:r>
        <w:t xml:space="preserve"> also compares the average annual forecast capex ($188.1 million ($2013–14)) with the average annual actual and estimated capex for the 2008–14 regulatory control period ($131.5 million ($2013–14)). On average, SP AusNet's forecast capex is 43 per cent higher per year than its actual and expected capex for the 2008–14 regulatory control period.</w:t>
      </w:r>
      <w:r>
        <w:rPr>
          <w:rStyle w:val="FootnoteReference"/>
        </w:rPr>
        <w:footnoteReference w:id="179"/>
      </w:r>
      <w:r>
        <w:t xml:space="preserve"> The most significant change is an average annual increase of 91 per cent in capex for rebuilding and refurbishing major stations.</w:t>
      </w:r>
    </w:p>
    <w:p w:rsidR="0088341A" w:rsidRDefault="0088341A" w:rsidP="0088341A">
      <w:pPr>
        <w:pStyle w:val="Caption"/>
        <w:keepLines/>
      </w:pPr>
      <w:bookmarkStart w:id="157" w:name="_Ref357072890"/>
      <w:r>
        <w:lastRenderedPageBreak/>
        <w:t xml:space="preserve">Table </w:t>
      </w:r>
      <w:fldSimple w:instr=" STYLEREF 1 \s ">
        <w:r w:rsidR="004F35AA">
          <w:rPr>
            <w:noProof/>
          </w:rPr>
          <w:t>2</w:t>
        </w:r>
      </w:fldSimple>
      <w:r w:rsidR="00C56A87">
        <w:t>.</w:t>
      </w:r>
      <w:fldSimple w:instr=" SEQ Table \* ARABIC \s 1 ">
        <w:r w:rsidR="004F35AA">
          <w:rPr>
            <w:noProof/>
          </w:rPr>
          <w:t>2</w:t>
        </w:r>
      </w:fldSimple>
      <w:bookmarkEnd w:id="157"/>
      <w:r>
        <w:tab/>
        <w:t>SP AusNet's forecast capex ($million, 2013–14)</w:t>
      </w:r>
    </w:p>
    <w:tbl>
      <w:tblPr>
        <w:tblW w:w="0" w:type="auto"/>
        <w:tblBorders>
          <w:bottom w:val="single" w:sz="4" w:space="0" w:color="365F91"/>
        </w:tblBorders>
        <w:tblLook w:val="04A0" w:firstRow="1" w:lastRow="0" w:firstColumn="1" w:lastColumn="0" w:noHBand="0" w:noVBand="1"/>
      </w:tblPr>
      <w:tblGrid>
        <w:gridCol w:w="1644"/>
        <w:gridCol w:w="1085"/>
        <w:gridCol w:w="1085"/>
        <w:gridCol w:w="1086"/>
        <w:gridCol w:w="1085"/>
        <w:gridCol w:w="1086"/>
        <w:gridCol w:w="1085"/>
        <w:gridCol w:w="1086"/>
      </w:tblGrid>
      <w:tr w:rsidR="0088341A" w:rsidRPr="00F87AB7" w:rsidTr="00501137">
        <w:tc>
          <w:tcPr>
            <w:tcW w:w="1644" w:type="dxa"/>
            <w:shd w:val="clear" w:color="auto" w:fill="365F91"/>
            <w:vAlign w:val="center"/>
          </w:tcPr>
          <w:p w:rsidR="0088341A" w:rsidRPr="00C025B3" w:rsidRDefault="0088341A" w:rsidP="00501137">
            <w:pPr>
              <w:pStyle w:val="AERtabletextright"/>
              <w:keepNext/>
              <w:keepLines/>
              <w:rPr>
                <w:b/>
                <w:color w:val="FFFFFF"/>
              </w:rPr>
            </w:pPr>
            <w:r w:rsidRPr="00C025B3">
              <w:rPr>
                <w:b/>
                <w:color w:val="FFFFFF"/>
              </w:rPr>
              <w:t>Category</w:t>
            </w:r>
          </w:p>
        </w:tc>
        <w:tc>
          <w:tcPr>
            <w:tcW w:w="1085" w:type="dxa"/>
            <w:shd w:val="clear" w:color="auto" w:fill="365F91"/>
            <w:vAlign w:val="center"/>
          </w:tcPr>
          <w:p w:rsidR="0088341A" w:rsidRPr="00C025B3" w:rsidRDefault="0088341A" w:rsidP="00501137">
            <w:pPr>
              <w:pStyle w:val="AERtabletextright"/>
              <w:keepNext/>
              <w:keepLines/>
              <w:rPr>
                <w:b/>
                <w:color w:val="FFFFFF"/>
              </w:rPr>
            </w:pPr>
            <w:r w:rsidRPr="00C025B3">
              <w:rPr>
                <w:b/>
                <w:color w:val="FFFFFF"/>
              </w:rPr>
              <w:t>2014–15</w:t>
            </w:r>
          </w:p>
        </w:tc>
        <w:tc>
          <w:tcPr>
            <w:tcW w:w="1085" w:type="dxa"/>
            <w:shd w:val="clear" w:color="auto" w:fill="365F91"/>
            <w:vAlign w:val="center"/>
          </w:tcPr>
          <w:p w:rsidR="0088341A" w:rsidRPr="00C025B3" w:rsidRDefault="0088341A" w:rsidP="00501137">
            <w:pPr>
              <w:pStyle w:val="AERtabletextright"/>
              <w:keepNext/>
              <w:keepLines/>
              <w:rPr>
                <w:b/>
                <w:color w:val="FFFFFF"/>
              </w:rPr>
            </w:pPr>
            <w:r w:rsidRPr="00C025B3">
              <w:rPr>
                <w:b/>
                <w:color w:val="FFFFFF"/>
              </w:rPr>
              <w:t>2015–16</w:t>
            </w:r>
          </w:p>
        </w:tc>
        <w:tc>
          <w:tcPr>
            <w:tcW w:w="1086" w:type="dxa"/>
            <w:shd w:val="clear" w:color="auto" w:fill="365F91"/>
            <w:vAlign w:val="center"/>
          </w:tcPr>
          <w:p w:rsidR="0088341A" w:rsidRPr="00C025B3" w:rsidRDefault="0088341A" w:rsidP="00501137">
            <w:pPr>
              <w:pStyle w:val="AERtabletextright"/>
              <w:keepNext/>
              <w:keepLines/>
              <w:rPr>
                <w:b/>
                <w:color w:val="FFFFFF"/>
              </w:rPr>
            </w:pPr>
            <w:r w:rsidRPr="00C025B3">
              <w:rPr>
                <w:b/>
                <w:color w:val="FFFFFF"/>
              </w:rPr>
              <w:t>2016–17</w:t>
            </w:r>
          </w:p>
        </w:tc>
        <w:tc>
          <w:tcPr>
            <w:tcW w:w="1085" w:type="dxa"/>
            <w:shd w:val="clear" w:color="auto" w:fill="365F91"/>
            <w:vAlign w:val="center"/>
          </w:tcPr>
          <w:p w:rsidR="0088341A" w:rsidRPr="00C025B3" w:rsidRDefault="0088341A" w:rsidP="00501137">
            <w:pPr>
              <w:pStyle w:val="AERtabletextright"/>
              <w:keepNext/>
              <w:keepLines/>
              <w:rPr>
                <w:b/>
                <w:color w:val="FFFFFF"/>
              </w:rPr>
            </w:pPr>
            <w:r w:rsidRPr="00C025B3">
              <w:rPr>
                <w:b/>
                <w:color w:val="FFFFFF"/>
              </w:rPr>
              <w:t>Total</w:t>
            </w:r>
          </w:p>
        </w:tc>
        <w:tc>
          <w:tcPr>
            <w:tcW w:w="1086" w:type="dxa"/>
            <w:shd w:val="clear" w:color="auto" w:fill="365F91"/>
            <w:vAlign w:val="center"/>
          </w:tcPr>
          <w:p w:rsidR="0088341A" w:rsidRPr="00C025B3" w:rsidRDefault="0088341A" w:rsidP="00501137">
            <w:pPr>
              <w:pStyle w:val="AERtabletextright"/>
              <w:keepNext/>
              <w:keepLines/>
              <w:rPr>
                <w:b/>
                <w:color w:val="FFFFFF"/>
              </w:rPr>
            </w:pPr>
            <w:r w:rsidRPr="00C025B3">
              <w:rPr>
                <w:b/>
                <w:color w:val="FFFFFF"/>
              </w:rPr>
              <w:t>Average</w:t>
            </w:r>
            <w:r>
              <w:t xml:space="preserve"> </w:t>
            </w:r>
            <w:r w:rsidRPr="00C025B3">
              <w:rPr>
                <w:b/>
                <w:color w:val="FFFFFF"/>
              </w:rPr>
              <w:t>2014–17</w:t>
            </w:r>
          </w:p>
        </w:tc>
        <w:tc>
          <w:tcPr>
            <w:tcW w:w="1085" w:type="dxa"/>
            <w:shd w:val="clear" w:color="auto" w:fill="365F91"/>
            <w:vAlign w:val="center"/>
          </w:tcPr>
          <w:p w:rsidR="0088341A" w:rsidRPr="00C025B3" w:rsidRDefault="0088341A" w:rsidP="00501137">
            <w:pPr>
              <w:pStyle w:val="AERtabletextright"/>
              <w:keepNext/>
              <w:keepLines/>
              <w:rPr>
                <w:b/>
                <w:color w:val="FFFFFF"/>
              </w:rPr>
            </w:pPr>
            <w:r w:rsidRPr="00C025B3">
              <w:rPr>
                <w:b/>
                <w:color w:val="FFFFFF"/>
              </w:rPr>
              <w:t>Average</w:t>
            </w:r>
            <w:r>
              <w:t xml:space="preserve"> </w:t>
            </w:r>
            <w:r w:rsidRPr="00C025B3">
              <w:rPr>
                <w:b/>
                <w:color w:val="FFFFFF"/>
              </w:rPr>
              <w:t>2008–14</w:t>
            </w:r>
          </w:p>
        </w:tc>
        <w:tc>
          <w:tcPr>
            <w:tcW w:w="1086" w:type="dxa"/>
            <w:shd w:val="clear" w:color="auto" w:fill="365F91"/>
            <w:vAlign w:val="center"/>
          </w:tcPr>
          <w:p w:rsidR="0088341A" w:rsidRPr="00C025B3" w:rsidRDefault="0088341A" w:rsidP="00501137">
            <w:pPr>
              <w:pStyle w:val="AERtabletextright"/>
              <w:keepNext/>
              <w:keepLines/>
              <w:rPr>
                <w:b/>
                <w:color w:val="FFFFFF"/>
              </w:rPr>
            </w:pPr>
            <w:r w:rsidRPr="00C025B3">
              <w:rPr>
                <w:b/>
                <w:color w:val="FFFFFF"/>
              </w:rPr>
              <w:t>Difference</w:t>
            </w:r>
            <w:r>
              <w:t xml:space="preserve"> </w:t>
            </w:r>
            <w:r w:rsidRPr="00C025B3">
              <w:rPr>
                <w:b/>
                <w:color w:val="FFFFFF"/>
              </w:rPr>
              <w:t>(%)</w:t>
            </w:r>
          </w:p>
        </w:tc>
      </w:tr>
      <w:tr w:rsidR="0088341A" w:rsidTr="00501137">
        <w:tc>
          <w:tcPr>
            <w:tcW w:w="1644" w:type="dxa"/>
            <w:shd w:val="clear" w:color="auto" w:fill="auto"/>
            <w:vAlign w:val="center"/>
          </w:tcPr>
          <w:p w:rsidR="0088341A" w:rsidRDefault="0088341A" w:rsidP="00501137">
            <w:pPr>
              <w:pStyle w:val="AERtabletextleft"/>
              <w:keepNext/>
              <w:keepLines/>
            </w:pPr>
            <w:r>
              <w:t>Major stations:</w:t>
            </w:r>
          </w:p>
        </w:tc>
        <w:tc>
          <w:tcPr>
            <w:tcW w:w="1085" w:type="dxa"/>
            <w:shd w:val="clear" w:color="auto" w:fill="auto"/>
            <w:vAlign w:val="center"/>
          </w:tcPr>
          <w:p w:rsidR="0088341A" w:rsidRDefault="0088341A" w:rsidP="00501137">
            <w:pPr>
              <w:pStyle w:val="AERtabletextright"/>
              <w:keepNext/>
              <w:keepLines/>
            </w:pPr>
          </w:p>
        </w:tc>
        <w:tc>
          <w:tcPr>
            <w:tcW w:w="1085" w:type="dxa"/>
            <w:shd w:val="clear" w:color="auto" w:fill="auto"/>
            <w:vAlign w:val="center"/>
          </w:tcPr>
          <w:p w:rsidR="0088341A" w:rsidRDefault="0088341A" w:rsidP="00501137">
            <w:pPr>
              <w:pStyle w:val="AERtabletextright"/>
              <w:keepNext/>
              <w:keepLines/>
            </w:pPr>
          </w:p>
        </w:tc>
        <w:tc>
          <w:tcPr>
            <w:tcW w:w="1086" w:type="dxa"/>
            <w:shd w:val="clear" w:color="auto" w:fill="auto"/>
            <w:vAlign w:val="center"/>
          </w:tcPr>
          <w:p w:rsidR="0088341A" w:rsidRDefault="0088341A" w:rsidP="00501137">
            <w:pPr>
              <w:pStyle w:val="AERtabletextright"/>
              <w:keepNext/>
              <w:keepLines/>
            </w:pPr>
          </w:p>
        </w:tc>
        <w:tc>
          <w:tcPr>
            <w:tcW w:w="1085" w:type="dxa"/>
            <w:shd w:val="clear" w:color="auto" w:fill="auto"/>
            <w:vAlign w:val="center"/>
          </w:tcPr>
          <w:p w:rsidR="0088341A" w:rsidRDefault="0088341A" w:rsidP="00501137">
            <w:pPr>
              <w:pStyle w:val="AERtabletextright"/>
              <w:keepNext/>
              <w:keepLines/>
            </w:pPr>
          </w:p>
        </w:tc>
        <w:tc>
          <w:tcPr>
            <w:tcW w:w="1086" w:type="dxa"/>
            <w:shd w:val="clear" w:color="auto" w:fill="auto"/>
            <w:vAlign w:val="center"/>
          </w:tcPr>
          <w:p w:rsidR="0088341A" w:rsidRDefault="0088341A" w:rsidP="00501137">
            <w:pPr>
              <w:pStyle w:val="AERtabletextright"/>
              <w:keepNext/>
              <w:keepLines/>
            </w:pPr>
          </w:p>
        </w:tc>
        <w:tc>
          <w:tcPr>
            <w:tcW w:w="1085" w:type="dxa"/>
            <w:shd w:val="clear" w:color="auto" w:fill="auto"/>
            <w:vAlign w:val="center"/>
          </w:tcPr>
          <w:p w:rsidR="0088341A" w:rsidRDefault="0088341A" w:rsidP="00501137">
            <w:pPr>
              <w:pStyle w:val="AERtabletextright"/>
              <w:keepNext/>
              <w:keepLines/>
            </w:pPr>
          </w:p>
        </w:tc>
        <w:tc>
          <w:tcPr>
            <w:tcW w:w="1086" w:type="dxa"/>
            <w:shd w:val="clear" w:color="auto" w:fill="auto"/>
            <w:vAlign w:val="center"/>
          </w:tcPr>
          <w:p w:rsidR="0088341A" w:rsidRDefault="0088341A" w:rsidP="00501137">
            <w:pPr>
              <w:pStyle w:val="AERtabletextright"/>
              <w:keepNext/>
              <w:keepLines/>
            </w:pPr>
          </w:p>
        </w:tc>
      </w:tr>
      <w:tr w:rsidR="0088341A" w:rsidRPr="00C025B3" w:rsidTr="00501137">
        <w:tc>
          <w:tcPr>
            <w:tcW w:w="1644" w:type="dxa"/>
            <w:shd w:val="clear" w:color="auto" w:fill="DBE5F1"/>
            <w:vAlign w:val="center"/>
          </w:tcPr>
          <w:p w:rsidR="0088341A" w:rsidRDefault="0088341A" w:rsidP="00501137">
            <w:pPr>
              <w:pStyle w:val="AERtabletextleft"/>
              <w:keepNext/>
              <w:keepLines/>
            </w:pPr>
            <w:r>
              <w:t xml:space="preserve">   Richmond</w:t>
            </w:r>
          </w:p>
        </w:tc>
        <w:tc>
          <w:tcPr>
            <w:tcW w:w="1085" w:type="dxa"/>
            <w:shd w:val="clear" w:color="auto" w:fill="DBE5F1"/>
            <w:vAlign w:val="center"/>
          </w:tcPr>
          <w:p w:rsidR="0088341A" w:rsidRDefault="0088341A" w:rsidP="00501137">
            <w:pPr>
              <w:pStyle w:val="AERtabletextright"/>
              <w:keepNext/>
              <w:keepLines/>
            </w:pPr>
            <w:r>
              <w:t>32.0</w:t>
            </w:r>
          </w:p>
        </w:tc>
        <w:tc>
          <w:tcPr>
            <w:tcW w:w="1085" w:type="dxa"/>
            <w:shd w:val="clear" w:color="auto" w:fill="DBE5F1"/>
            <w:vAlign w:val="center"/>
          </w:tcPr>
          <w:p w:rsidR="0088341A" w:rsidRDefault="0088341A" w:rsidP="00501137">
            <w:pPr>
              <w:pStyle w:val="AERtabletextright"/>
              <w:keepNext/>
              <w:keepLines/>
            </w:pPr>
            <w:r>
              <w:t>22.8</w:t>
            </w:r>
          </w:p>
        </w:tc>
        <w:tc>
          <w:tcPr>
            <w:tcW w:w="1086" w:type="dxa"/>
            <w:shd w:val="clear" w:color="auto" w:fill="DBE5F1"/>
            <w:vAlign w:val="center"/>
          </w:tcPr>
          <w:p w:rsidR="0088341A" w:rsidRDefault="0088341A" w:rsidP="00501137">
            <w:pPr>
              <w:pStyle w:val="AERtabletextright"/>
              <w:keepNext/>
              <w:keepLines/>
            </w:pPr>
            <w:r>
              <w:t>24.7</w:t>
            </w:r>
          </w:p>
        </w:tc>
        <w:tc>
          <w:tcPr>
            <w:tcW w:w="1085" w:type="dxa"/>
            <w:shd w:val="clear" w:color="auto" w:fill="DBE5F1"/>
            <w:vAlign w:val="center"/>
          </w:tcPr>
          <w:p w:rsidR="0088341A" w:rsidRDefault="0088341A" w:rsidP="00501137">
            <w:pPr>
              <w:pStyle w:val="AERtabletextright"/>
              <w:keepNext/>
              <w:keepLines/>
            </w:pPr>
            <w:r>
              <w:t>79.5</w:t>
            </w:r>
          </w:p>
        </w:tc>
        <w:tc>
          <w:tcPr>
            <w:tcW w:w="1086" w:type="dxa"/>
            <w:shd w:val="clear" w:color="auto" w:fill="DBE5F1"/>
            <w:vAlign w:val="center"/>
          </w:tcPr>
          <w:p w:rsidR="0088341A" w:rsidRDefault="0088341A" w:rsidP="00501137">
            <w:pPr>
              <w:pStyle w:val="AERtabletextright"/>
              <w:keepNext/>
              <w:keepLines/>
            </w:pPr>
          </w:p>
        </w:tc>
        <w:tc>
          <w:tcPr>
            <w:tcW w:w="1085" w:type="dxa"/>
            <w:shd w:val="clear" w:color="auto" w:fill="DBE5F1"/>
            <w:vAlign w:val="center"/>
          </w:tcPr>
          <w:p w:rsidR="0088341A" w:rsidRDefault="0088341A" w:rsidP="00501137">
            <w:pPr>
              <w:pStyle w:val="AERtabletextright"/>
              <w:keepNext/>
              <w:keepLines/>
            </w:pPr>
          </w:p>
        </w:tc>
        <w:tc>
          <w:tcPr>
            <w:tcW w:w="1086" w:type="dxa"/>
            <w:shd w:val="clear" w:color="auto" w:fill="DBE5F1"/>
            <w:vAlign w:val="center"/>
          </w:tcPr>
          <w:p w:rsidR="0088341A" w:rsidRDefault="0088341A" w:rsidP="00501137">
            <w:pPr>
              <w:pStyle w:val="AERtabletextright"/>
              <w:keepNext/>
              <w:keepLines/>
            </w:pPr>
          </w:p>
        </w:tc>
      </w:tr>
      <w:tr w:rsidR="0088341A" w:rsidRPr="00DE2AA2" w:rsidTr="00501137">
        <w:tc>
          <w:tcPr>
            <w:tcW w:w="1644" w:type="dxa"/>
            <w:shd w:val="clear" w:color="auto" w:fill="auto"/>
            <w:vAlign w:val="center"/>
          </w:tcPr>
          <w:p w:rsidR="0088341A" w:rsidRDefault="0088341A" w:rsidP="00501137">
            <w:pPr>
              <w:pStyle w:val="AERtabletextleft"/>
              <w:keepNext/>
              <w:keepLines/>
            </w:pPr>
            <w:r>
              <w:t xml:space="preserve">   West Melbourne</w:t>
            </w:r>
          </w:p>
        </w:tc>
        <w:tc>
          <w:tcPr>
            <w:tcW w:w="1085" w:type="dxa"/>
            <w:shd w:val="clear" w:color="auto" w:fill="auto"/>
            <w:vAlign w:val="center"/>
          </w:tcPr>
          <w:p w:rsidR="0088341A" w:rsidRDefault="0088341A" w:rsidP="00501137">
            <w:pPr>
              <w:pStyle w:val="AERtabletextright"/>
              <w:keepNext/>
              <w:keepLines/>
            </w:pPr>
            <w:r>
              <w:t>32.0</w:t>
            </w:r>
          </w:p>
        </w:tc>
        <w:tc>
          <w:tcPr>
            <w:tcW w:w="1085" w:type="dxa"/>
            <w:shd w:val="clear" w:color="auto" w:fill="auto"/>
            <w:vAlign w:val="center"/>
          </w:tcPr>
          <w:p w:rsidR="0088341A" w:rsidRDefault="0088341A" w:rsidP="00501137">
            <w:pPr>
              <w:pStyle w:val="AERtabletextright"/>
              <w:keepNext/>
              <w:keepLines/>
            </w:pPr>
            <w:r>
              <w:t>35.5</w:t>
            </w:r>
          </w:p>
        </w:tc>
        <w:tc>
          <w:tcPr>
            <w:tcW w:w="1086" w:type="dxa"/>
            <w:shd w:val="clear" w:color="auto" w:fill="auto"/>
            <w:vAlign w:val="center"/>
          </w:tcPr>
          <w:p w:rsidR="0088341A" w:rsidRDefault="0088341A" w:rsidP="00501137">
            <w:pPr>
              <w:pStyle w:val="AERtabletextright"/>
              <w:keepNext/>
              <w:keepLines/>
            </w:pPr>
            <w:r>
              <w:t>37.3</w:t>
            </w:r>
          </w:p>
        </w:tc>
        <w:tc>
          <w:tcPr>
            <w:tcW w:w="1085" w:type="dxa"/>
            <w:shd w:val="clear" w:color="auto" w:fill="auto"/>
            <w:vAlign w:val="center"/>
          </w:tcPr>
          <w:p w:rsidR="0088341A" w:rsidRDefault="0088341A" w:rsidP="00501137">
            <w:pPr>
              <w:pStyle w:val="AERtabletextright"/>
              <w:keepNext/>
              <w:keepLines/>
            </w:pPr>
            <w:r>
              <w:t>106.4</w:t>
            </w:r>
          </w:p>
        </w:tc>
        <w:tc>
          <w:tcPr>
            <w:tcW w:w="1086" w:type="dxa"/>
            <w:shd w:val="clear" w:color="auto" w:fill="auto"/>
            <w:vAlign w:val="center"/>
          </w:tcPr>
          <w:p w:rsidR="0088341A" w:rsidRDefault="0088341A" w:rsidP="00501137">
            <w:pPr>
              <w:pStyle w:val="AERtabletextright"/>
              <w:keepNext/>
              <w:keepLines/>
            </w:pPr>
          </w:p>
        </w:tc>
        <w:tc>
          <w:tcPr>
            <w:tcW w:w="1085" w:type="dxa"/>
            <w:shd w:val="clear" w:color="auto" w:fill="auto"/>
            <w:vAlign w:val="center"/>
          </w:tcPr>
          <w:p w:rsidR="0088341A" w:rsidRDefault="0088341A" w:rsidP="00501137">
            <w:pPr>
              <w:pStyle w:val="AERtabletextright"/>
              <w:keepNext/>
              <w:keepLines/>
            </w:pPr>
          </w:p>
        </w:tc>
        <w:tc>
          <w:tcPr>
            <w:tcW w:w="1086" w:type="dxa"/>
            <w:shd w:val="clear" w:color="auto" w:fill="auto"/>
            <w:vAlign w:val="center"/>
          </w:tcPr>
          <w:p w:rsidR="0088341A" w:rsidRDefault="0088341A" w:rsidP="00501137">
            <w:pPr>
              <w:pStyle w:val="AERtabletextright"/>
              <w:keepNext/>
              <w:keepLines/>
            </w:pPr>
          </w:p>
        </w:tc>
      </w:tr>
      <w:tr w:rsidR="0088341A" w:rsidRPr="00C025B3" w:rsidTr="00501137">
        <w:tc>
          <w:tcPr>
            <w:tcW w:w="1644" w:type="dxa"/>
            <w:shd w:val="clear" w:color="auto" w:fill="DBE5F1"/>
            <w:vAlign w:val="center"/>
          </w:tcPr>
          <w:p w:rsidR="0088341A" w:rsidRDefault="0088341A" w:rsidP="00501137">
            <w:pPr>
              <w:pStyle w:val="AERtabletextleft"/>
              <w:keepNext/>
              <w:keepLines/>
            </w:pPr>
            <w:r>
              <w:t xml:space="preserve">   Other stations</w:t>
            </w:r>
          </w:p>
        </w:tc>
        <w:tc>
          <w:tcPr>
            <w:tcW w:w="1085" w:type="dxa"/>
            <w:shd w:val="clear" w:color="auto" w:fill="DBE5F1"/>
            <w:vAlign w:val="center"/>
          </w:tcPr>
          <w:p w:rsidR="0088341A" w:rsidRDefault="0088341A" w:rsidP="00501137">
            <w:pPr>
              <w:pStyle w:val="AERtabletextright"/>
              <w:keepNext/>
              <w:keepLines/>
            </w:pPr>
            <w:r>
              <w:t>32.1</w:t>
            </w:r>
          </w:p>
        </w:tc>
        <w:tc>
          <w:tcPr>
            <w:tcW w:w="1085" w:type="dxa"/>
            <w:shd w:val="clear" w:color="auto" w:fill="DBE5F1"/>
            <w:vAlign w:val="center"/>
          </w:tcPr>
          <w:p w:rsidR="0088341A" w:rsidRDefault="0088341A" w:rsidP="00501137">
            <w:pPr>
              <w:pStyle w:val="AERtabletextright"/>
              <w:keepNext/>
              <w:keepLines/>
            </w:pPr>
            <w:r>
              <w:t>49.9</w:t>
            </w:r>
          </w:p>
        </w:tc>
        <w:tc>
          <w:tcPr>
            <w:tcW w:w="1086" w:type="dxa"/>
            <w:shd w:val="clear" w:color="auto" w:fill="DBE5F1"/>
            <w:vAlign w:val="center"/>
          </w:tcPr>
          <w:p w:rsidR="0088341A" w:rsidRDefault="0088341A" w:rsidP="00501137">
            <w:pPr>
              <w:pStyle w:val="AERtabletextright"/>
              <w:keepNext/>
              <w:keepLines/>
            </w:pPr>
            <w:r>
              <w:t>67.7</w:t>
            </w:r>
          </w:p>
        </w:tc>
        <w:tc>
          <w:tcPr>
            <w:tcW w:w="1085" w:type="dxa"/>
            <w:shd w:val="clear" w:color="auto" w:fill="DBE5F1"/>
            <w:vAlign w:val="center"/>
          </w:tcPr>
          <w:p w:rsidR="0088341A" w:rsidRDefault="0088341A" w:rsidP="00501137">
            <w:pPr>
              <w:pStyle w:val="AERtabletextright"/>
              <w:keepNext/>
              <w:keepLines/>
            </w:pPr>
            <w:r>
              <w:t>149.8</w:t>
            </w:r>
          </w:p>
        </w:tc>
        <w:tc>
          <w:tcPr>
            <w:tcW w:w="1086" w:type="dxa"/>
            <w:shd w:val="clear" w:color="auto" w:fill="DBE5F1"/>
            <w:vAlign w:val="center"/>
          </w:tcPr>
          <w:p w:rsidR="0088341A" w:rsidRDefault="0088341A" w:rsidP="00501137">
            <w:pPr>
              <w:pStyle w:val="AERtabletextright"/>
              <w:keepNext/>
              <w:keepLines/>
            </w:pPr>
          </w:p>
        </w:tc>
        <w:tc>
          <w:tcPr>
            <w:tcW w:w="1085" w:type="dxa"/>
            <w:shd w:val="clear" w:color="auto" w:fill="DBE5F1"/>
            <w:vAlign w:val="center"/>
          </w:tcPr>
          <w:p w:rsidR="0088341A" w:rsidRDefault="0088341A" w:rsidP="00501137">
            <w:pPr>
              <w:pStyle w:val="AERtabletextright"/>
              <w:keepNext/>
              <w:keepLines/>
            </w:pPr>
          </w:p>
        </w:tc>
        <w:tc>
          <w:tcPr>
            <w:tcW w:w="1086" w:type="dxa"/>
            <w:shd w:val="clear" w:color="auto" w:fill="DBE5F1"/>
            <w:vAlign w:val="center"/>
          </w:tcPr>
          <w:p w:rsidR="0088341A" w:rsidRDefault="0088341A" w:rsidP="00501137">
            <w:pPr>
              <w:pStyle w:val="AERtabletextright"/>
              <w:keepNext/>
              <w:keepLines/>
            </w:pPr>
          </w:p>
        </w:tc>
      </w:tr>
      <w:tr w:rsidR="0088341A" w:rsidTr="00501137">
        <w:tc>
          <w:tcPr>
            <w:tcW w:w="1644" w:type="dxa"/>
            <w:shd w:val="clear" w:color="auto" w:fill="auto"/>
            <w:vAlign w:val="center"/>
          </w:tcPr>
          <w:p w:rsidR="0088341A" w:rsidRDefault="0088341A" w:rsidP="00501137">
            <w:pPr>
              <w:pStyle w:val="AERtabletextleft"/>
              <w:keepNext/>
              <w:keepLines/>
            </w:pPr>
            <w:r>
              <w:t>Total major stations</w:t>
            </w:r>
          </w:p>
        </w:tc>
        <w:tc>
          <w:tcPr>
            <w:tcW w:w="1085" w:type="dxa"/>
            <w:shd w:val="clear" w:color="auto" w:fill="auto"/>
            <w:vAlign w:val="center"/>
          </w:tcPr>
          <w:p w:rsidR="0088341A" w:rsidRDefault="0088341A" w:rsidP="00501137">
            <w:pPr>
              <w:pStyle w:val="AERtabletextright"/>
              <w:keepNext/>
              <w:keepLines/>
            </w:pPr>
            <w:r>
              <w:t>97.8</w:t>
            </w:r>
          </w:p>
        </w:tc>
        <w:tc>
          <w:tcPr>
            <w:tcW w:w="1085" w:type="dxa"/>
            <w:shd w:val="clear" w:color="auto" w:fill="auto"/>
            <w:vAlign w:val="center"/>
          </w:tcPr>
          <w:p w:rsidR="0088341A" w:rsidRDefault="0088341A" w:rsidP="00501137">
            <w:pPr>
              <w:pStyle w:val="AERtabletextright"/>
              <w:keepNext/>
              <w:keepLines/>
            </w:pPr>
            <w:r>
              <w:t>108.2</w:t>
            </w:r>
          </w:p>
        </w:tc>
        <w:tc>
          <w:tcPr>
            <w:tcW w:w="1086" w:type="dxa"/>
            <w:shd w:val="clear" w:color="auto" w:fill="auto"/>
            <w:vAlign w:val="center"/>
          </w:tcPr>
          <w:p w:rsidR="0088341A" w:rsidRDefault="0088341A" w:rsidP="00501137">
            <w:pPr>
              <w:pStyle w:val="AERtabletextright"/>
              <w:keepNext/>
              <w:keepLines/>
            </w:pPr>
            <w:r>
              <w:t>129.6</w:t>
            </w:r>
          </w:p>
        </w:tc>
        <w:tc>
          <w:tcPr>
            <w:tcW w:w="1085" w:type="dxa"/>
            <w:shd w:val="clear" w:color="auto" w:fill="auto"/>
            <w:vAlign w:val="center"/>
          </w:tcPr>
          <w:p w:rsidR="0088341A" w:rsidRDefault="0088341A" w:rsidP="00501137">
            <w:pPr>
              <w:pStyle w:val="AERtabletextright"/>
              <w:keepNext/>
              <w:keepLines/>
            </w:pPr>
            <w:r>
              <w:t>335.7</w:t>
            </w:r>
          </w:p>
        </w:tc>
        <w:tc>
          <w:tcPr>
            <w:tcW w:w="1086" w:type="dxa"/>
            <w:shd w:val="clear" w:color="auto" w:fill="auto"/>
            <w:vAlign w:val="center"/>
          </w:tcPr>
          <w:p w:rsidR="0088341A" w:rsidRDefault="0088341A" w:rsidP="00501137">
            <w:pPr>
              <w:pStyle w:val="AERtabletextright"/>
              <w:keepNext/>
              <w:keepLines/>
            </w:pPr>
            <w:r>
              <w:t>111.9</w:t>
            </w:r>
          </w:p>
        </w:tc>
        <w:tc>
          <w:tcPr>
            <w:tcW w:w="1085" w:type="dxa"/>
            <w:shd w:val="clear" w:color="auto" w:fill="auto"/>
            <w:vAlign w:val="center"/>
          </w:tcPr>
          <w:p w:rsidR="0088341A" w:rsidRDefault="0088341A" w:rsidP="00501137">
            <w:pPr>
              <w:pStyle w:val="AERtabletextright"/>
              <w:keepNext/>
              <w:keepLines/>
            </w:pPr>
            <w:r>
              <w:t>58.7</w:t>
            </w:r>
          </w:p>
        </w:tc>
        <w:tc>
          <w:tcPr>
            <w:tcW w:w="1086" w:type="dxa"/>
            <w:shd w:val="clear" w:color="auto" w:fill="auto"/>
            <w:vAlign w:val="center"/>
          </w:tcPr>
          <w:p w:rsidR="0088341A" w:rsidRDefault="0088341A" w:rsidP="00501137">
            <w:pPr>
              <w:pStyle w:val="AERtabletextright"/>
              <w:keepNext/>
              <w:keepLines/>
            </w:pPr>
            <w:r>
              <w:t>91</w:t>
            </w:r>
          </w:p>
        </w:tc>
      </w:tr>
      <w:tr w:rsidR="0088341A" w:rsidRPr="00C025B3" w:rsidTr="00501137">
        <w:tc>
          <w:tcPr>
            <w:tcW w:w="1644" w:type="dxa"/>
            <w:shd w:val="clear" w:color="auto" w:fill="DBE5F1"/>
            <w:vAlign w:val="center"/>
          </w:tcPr>
          <w:p w:rsidR="0088341A" w:rsidRDefault="0088341A" w:rsidP="00501137">
            <w:pPr>
              <w:pStyle w:val="AERtabletextleft"/>
              <w:keepNext/>
              <w:keepLines/>
            </w:pPr>
            <w:r>
              <w:t>Asset replacement</w:t>
            </w:r>
          </w:p>
        </w:tc>
        <w:tc>
          <w:tcPr>
            <w:tcW w:w="1085" w:type="dxa"/>
            <w:shd w:val="clear" w:color="auto" w:fill="DBE5F1"/>
            <w:vAlign w:val="center"/>
          </w:tcPr>
          <w:p w:rsidR="0088341A" w:rsidRDefault="0088341A" w:rsidP="00501137">
            <w:pPr>
              <w:pStyle w:val="AERtabletextright"/>
              <w:keepNext/>
              <w:keepLines/>
            </w:pPr>
            <w:r>
              <w:t>38.2</w:t>
            </w:r>
          </w:p>
        </w:tc>
        <w:tc>
          <w:tcPr>
            <w:tcW w:w="1085" w:type="dxa"/>
            <w:shd w:val="clear" w:color="auto" w:fill="DBE5F1"/>
            <w:vAlign w:val="center"/>
          </w:tcPr>
          <w:p w:rsidR="0088341A" w:rsidRDefault="0088341A" w:rsidP="00501137">
            <w:pPr>
              <w:pStyle w:val="AERtabletextright"/>
              <w:keepNext/>
              <w:keepLines/>
            </w:pPr>
            <w:r>
              <w:t>38.8</w:t>
            </w:r>
          </w:p>
        </w:tc>
        <w:tc>
          <w:tcPr>
            <w:tcW w:w="1086" w:type="dxa"/>
            <w:shd w:val="clear" w:color="auto" w:fill="DBE5F1"/>
            <w:vAlign w:val="center"/>
          </w:tcPr>
          <w:p w:rsidR="0088341A" w:rsidRDefault="0088341A" w:rsidP="00501137">
            <w:pPr>
              <w:pStyle w:val="AERtabletextright"/>
              <w:keepNext/>
              <w:keepLines/>
            </w:pPr>
            <w:r>
              <w:t>44.1</w:t>
            </w:r>
          </w:p>
        </w:tc>
        <w:tc>
          <w:tcPr>
            <w:tcW w:w="1085" w:type="dxa"/>
            <w:shd w:val="clear" w:color="auto" w:fill="DBE5F1"/>
            <w:vAlign w:val="center"/>
          </w:tcPr>
          <w:p w:rsidR="0088341A" w:rsidRDefault="0088341A" w:rsidP="00501137">
            <w:pPr>
              <w:pStyle w:val="AERtabletextright"/>
              <w:keepNext/>
              <w:keepLines/>
            </w:pPr>
            <w:r>
              <w:t>121.1</w:t>
            </w:r>
          </w:p>
        </w:tc>
        <w:tc>
          <w:tcPr>
            <w:tcW w:w="1086" w:type="dxa"/>
            <w:shd w:val="clear" w:color="auto" w:fill="DBE5F1"/>
            <w:vAlign w:val="center"/>
          </w:tcPr>
          <w:p w:rsidR="0088341A" w:rsidRDefault="0088341A" w:rsidP="00501137">
            <w:pPr>
              <w:pStyle w:val="AERtabletextright"/>
              <w:keepNext/>
              <w:keepLines/>
            </w:pPr>
            <w:r>
              <w:t>40.4</w:t>
            </w:r>
          </w:p>
        </w:tc>
        <w:tc>
          <w:tcPr>
            <w:tcW w:w="1085" w:type="dxa"/>
            <w:shd w:val="clear" w:color="auto" w:fill="DBE5F1"/>
            <w:vAlign w:val="center"/>
          </w:tcPr>
          <w:p w:rsidR="0088341A" w:rsidRDefault="0088341A" w:rsidP="00501137">
            <w:pPr>
              <w:pStyle w:val="AERtabletextright"/>
              <w:keepNext/>
              <w:keepLines/>
            </w:pPr>
            <w:r>
              <w:t>36.4</w:t>
            </w:r>
          </w:p>
        </w:tc>
        <w:tc>
          <w:tcPr>
            <w:tcW w:w="1086" w:type="dxa"/>
            <w:shd w:val="clear" w:color="auto" w:fill="DBE5F1"/>
            <w:vAlign w:val="center"/>
          </w:tcPr>
          <w:p w:rsidR="0088341A" w:rsidRDefault="0088341A" w:rsidP="00501137">
            <w:pPr>
              <w:pStyle w:val="AERtabletextright"/>
              <w:keepNext/>
              <w:keepLines/>
            </w:pPr>
            <w:r>
              <w:t>11</w:t>
            </w:r>
          </w:p>
        </w:tc>
      </w:tr>
      <w:tr w:rsidR="0088341A" w:rsidRPr="00C025B3" w:rsidTr="00501137">
        <w:tc>
          <w:tcPr>
            <w:tcW w:w="1644" w:type="dxa"/>
            <w:shd w:val="clear" w:color="auto" w:fill="auto"/>
            <w:vAlign w:val="center"/>
          </w:tcPr>
          <w:p w:rsidR="0088341A" w:rsidRDefault="0088341A" w:rsidP="00501137">
            <w:pPr>
              <w:pStyle w:val="AERtabletextleft"/>
              <w:keepNext/>
              <w:keepLines/>
            </w:pPr>
            <w:r>
              <w:t>Safety/compliance</w:t>
            </w:r>
          </w:p>
        </w:tc>
        <w:tc>
          <w:tcPr>
            <w:tcW w:w="1085" w:type="dxa"/>
            <w:shd w:val="clear" w:color="auto" w:fill="auto"/>
            <w:vAlign w:val="center"/>
          </w:tcPr>
          <w:p w:rsidR="0088341A" w:rsidRDefault="0088341A" w:rsidP="00501137">
            <w:pPr>
              <w:pStyle w:val="AERtabletextright"/>
              <w:keepNext/>
              <w:keepLines/>
            </w:pPr>
            <w:r>
              <w:t>16.3</w:t>
            </w:r>
          </w:p>
        </w:tc>
        <w:tc>
          <w:tcPr>
            <w:tcW w:w="1085" w:type="dxa"/>
            <w:shd w:val="clear" w:color="auto" w:fill="auto"/>
            <w:vAlign w:val="center"/>
          </w:tcPr>
          <w:p w:rsidR="0088341A" w:rsidRDefault="0088341A" w:rsidP="00501137">
            <w:pPr>
              <w:pStyle w:val="AERtabletextright"/>
              <w:keepNext/>
              <w:keepLines/>
            </w:pPr>
            <w:r>
              <w:t>14.9</w:t>
            </w:r>
          </w:p>
        </w:tc>
        <w:tc>
          <w:tcPr>
            <w:tcW w:w="1086" w:type="dxa"/>
            <w:shd w:val="clear" w:color="auto" w:fill="auto"/>
            <w:vAlign w:val="center"/>
          </w:tcPr>
          <w:p w:rsidR="0088341A" w:rsidRDefault="0088341A" w:rsidP="00501137">
            <w:pPr>
              <w:pStyle w:val="AERtabletextright"/>
              <w:keepNext/>
              <w:keepLines/>
            </w:pPr>
            <w:r>
              <w:t>13.5</w:t>
            </w:r>
          </w:p>
        </w:tc>
        <w:tc>
          <w:tcPr>
            <w:tcW w:w="1085" w:type="dxa"/>
            <w:shd w:val="clear" w:color="auto" w:fill="auto"/>
            <w:vAlign w:val="center"/>
          </w:tcPr>
          <w:p w:rsidR="0088341A" w:rsidRDefault="0088341A" w:rsidP="00501137">
            <w:pPr>
              <w:pStyle w:val="AERtabletextright"/>
              <w:keepNext/>
              <w:keepLines/>
            </w:pPr>
            <w:r>
              <w:t>44.7</w:t>
            </w:r>
          </w:p>
        </w:tc>
        <w:tc>
          <w:tcPr>
            <w:tcW w:w="1086" w:type="dxa"/>
            <w:shd w:val="clear" w:color="auto" w:fill="auto"/>
            <w:vAlign w:val="center"/>
          </w:tcPr>
          <w:p w:rsidR="0088341A" w:rsidRDefault="0088341A" w:rsidP="00501137">
            <w:pPr>
              <w:pStyle w:val="AERtabletextright"/>
              <w:keepNext/>
              <w:keepLines/>
            </w:pPr>
            <w:r>
              <w:t>14.9</w:t>
            </w:r>
          </w:p>
        </w:tc>
        <w:tc>
          <w:tcPr>
            <w:tcW w:w="1085" w:type="dxa"/>
            <w:shd w:val="clear" w:color="auto" w:fill="auto"/>
            <w:vAlign w:val="center"/>
          </w:tcPr>
          <w:p w:rsidR="0088341A" w:rsidRDefault="0088341A" w:rsidP="00501137">
            <w:pPr>
              <w:pStyle w:val="AERtabletextright"/>
              <w:keepNext/>
              <w:keepLines/>
            </w:pPr>
            <w:r>
              <w:t>18.5</w:t>
            </w:r>
          </w:p>
        </w:tc>
        <w:tc>
          <w:tcPr>
            <w:tcW w:w="1086" w:type="dxa"/>
            <w:shd w:val="clear" w:color="auto" w:fill="auto"/>
            <w:vAlign w:val="center"/>
          </w:tcPr>
          <w:p w:rsidR="0088341A" w:rsidRDefault="0088341A" w:rsidP="00501137">
            <w:pPr>
              <w:pStyle w:val="AERtabletextright"/>
              <w:keepNext/>
              <w:keepLines/>
            </w:pPr>
            <w:r>
              <w:t>-19</w:t>
            </w:r>
          </w:p>
        </w:tc>
      </w:tr>
      <w:tr w:rsidR="0088341A" w:rsidRPr="00C025B3" w:rsidTr="00501137">
        <w:tc>
          <w:tcPr>
            <w:tcW w:w="1644" w:type="dxa"/>
            <w:shd w:val="clear" w:color="auto" w:fill="DBE5F1"/>
            <w:vAlign w:val="center"/>
          </w:tcPr>
          <w:p w:rsidR="0088341A" w:rsidRDefault="0088341A" w:rsidP="00501137">
            <w:pPr>
              <w:pStyle w:val="AERtabletextleft"/>
              <w:keepNext/>
              <w:keepLines/>
            </w:pPr>
            <w:r>
              <w:t>Non-system</w:t>
            </w:r>
          </w:p>
        </w:tc>
        <w:tc>
          <w:tcPr>
            <w:tcW w:w="1085" w:type="dxa"/>
            <w:shd w:val="clear" w:color="auto" w:fill="DBE5F1"/>
            <w:vAlign w:val="center"/>
          </w:tcPr>
          <w:p w:rsidR="0088341A" w:rsidRDefault="0088341A" w:rsidP="00501137">
            <w:pPr>
              <w:pStyle w:val="AERtabletextright"/>
              <w:keepNext/>
              <w:keepLines/>
            </w:pPr>
            <w:r>
              <w:t>25.4</w:t>
            </w:r>
          </w:p>
        </w:tc>
        <w:tc>
          <w:tcPr>
            <w:tcW w:w="1085" w:type="dxa"/>
            <w:shd w:val="clear" w:color="auto" w:fill="DBE5F1"/>
            <w:vAlign w:val="center"/>
          </w:tcPr>
          <w:p w:rsidR="0088341A" w:rsidRDefault="0088341A" w:rsidP="00501137">
            <w:pPr>
              <w:pStyle w:val="AERtabletextright"/>
              <w:keepNext/>
              <w:keepLines/>
            </w:pPr>
            <w:r>
              <w:t>19.4</w:t>
            </w:r>
          </w:p>
        </w:tc>
        <w:tc>
          <w:tcPr>
            <w:tcW w:w="1086" w:type="dxa"/>
            <w:shd w:val="clear" w:color="auto" w:fill="DBE5F1"/>
            <w:vAlign w:val="center"/>
          </w:tcPr>
          <w:p w:rsidR="0088341A" w:rsidRDefault="0088341A" w:rsidP="00501137">
            <w:pPr>
              <w:pStyle w:val="AERtabletextright"/>
              <w:keepNext/>
              <w:keepLines/>
            </w:pPr>
            <w:r>
              <w:t>17.8</w:t>
            </w:r>
          </w:p>
        </w:tc>
        <w:tc>
          <w:tcPr>
            <w:tcW w:w="1085" w:type="dxa"/>
            <w:shd w:val="clear" w:color="auto" w:fill="DBE5F1"/>
            <w:vAlign w:val="center"/>
          </w:tcPr>
          <w:p w:rsidR="0088341A" w:rsidRDefault="0088341A" w:rsidP="00501137">
            <w:pPr>
              <w:pStyle w:val="AERtabletextright"/>
              <w:keepNext/>
              <w:keepLines/>
            </w:pPr>
            <w:r>
              <w:t>62.7</w:t>
            </w:r>
          </w:p>
        </w:tc>
        <w:tc>
          <w:tcPr>
            <w:tcW w:w="1086" w:type="dxa"/>
            <w:shd w:val="clear" w:color="auto" w:fill="DBE5F1"/>
            <w:vAlign w:val="center"/>
          </w:tcPr>
          <w:p w:rsidR="0088341A" w:rsidRDefault="0088341A" w:rsidP="00501137">
            <w:pPr>
              <w:pStyle w:val="AERtabletextright"/>
              <w:keepNext/>
              <w:keepLines/>
            </w:pPr>
            <w:r>
              <w:t>20.9</w:t>
            </w:r>
          </w:p>
        </w:tc>
        <w:tc>
          <w:tcPr>
            <w:tcW w:w="1085" w:type="dxa"/>
            <w:shd w:val="clear" w:color="auto" w:fill="DBE5F1"/>
            <w:vAlign w:val="center"/>
          </w:tcPr>
          <w:p w:rsidR="0088341A" w:rsidRDefault="0088341A" w:rsidP="00501137">
            <w:pPr>
              <w:pStyle w:val="AERtabletextright"/>
              <w:keepNext/>
              <w:keepLines/>
            </w:pPr>
            <w:r>
              <w:t>15.9</w:t>
            </w:r>
          </w:p>
        </w:tc>
        <w:tc>
          <w:tcPr>
            <w:tcW w:w="1086" w:type="dxa"/>
            <w:shd w:val="clear" w:color="auto" w:fill="DBE5F1"/>
            <w:vAlign w:val="center"/>
          </w:tcPr>
          <w:p w:rsidR="0088341A" w:rsidRDefault="0088341A" w:rsidP="00501137">
            <w:pPr>
              <w:pStyle w:val="AERtabletextright"/>
              <w:keepNext/>
              <w:keepLines/>
            </w:pPr>
            <w:r>
              <w:t>31</w:t>
            </w:r>
          </w:p>
        </w:tc>
      </w:tr>
      <w:tr w:rsidR="0088341A" w:rsidRPr="00C025B3" w:rsidTr="00501137">
        <w:tc>
          <w:tcPr>
            <w:tcW w:w="1644" w:type="dxa"/>
            <w:shd w:val="clear" w:color="auto" w:fill="auto"/>
            <w:vAlign w:val="center"/>
          </w:tcPr>
          <w:p w:rsidR="0088341A" w:rsidRPr="0097008B" w:rsidRDefault="0088341A" w:rsidP="00501137">
            <w:pPr>
              <w:pStyle w:val="AERtabletextleft"/>
              <w:keepNext/>
              <w:keepLines/>
              <w:rPr>
                <w:rStyle w:val="AERtextbold"/>
              </w:rPr>
            </w:pPr>
            <w:r w:rsidRPr="0097008B">
              <w:rPr>
                <w:rStyle w:val="AERtextbold"/>
              </w:rPr>
              <w:t>Total</w:t>
            </w:r>
          </w:p>
        </w:tc>
        <w:tc>
          <w:tcPr>
            <w:tcW w:w="1085" w:type="dxa"/>
            <w:shd w:val="clear" w:color="auto" w:fill="auto"/>
            <w:vAlign w:val="center"/>
          </w:tcPr>
          <w:p w:rsidR="0088341A" w:rsidRPr="0097008B" w:rsidRDefault="0088341A" w:rsidP="00501137">
            <w:pPr>
              <w:pStyle w:val="AERtabletextright"/>
              <w:keepNext/>
              <w:keepLines/>
              <w:rPr>
                <w:rStyle w:val="AERtextbold"/>
              </w:rPr>
            </w:pPr>
            <w:r w:rsidRPr="0097008B">
              <w:rPr>
                <w:rStyle w:val="AERtextbold"/>
              </w:rPr>
              <w:t>177.8</w:t>
            </w:r>
          </w:p>
        </w:tc>
        <w:tc>
          <w:tcPr>
            <w:tcW w:w="1085" w:type="dxa"/>
            <w:shd w:val="clear" w:color="auto" w:fill="auto"/>
            <w:vAlign w:val="center"/>
          </w:tcPr>
          <w:p w:rsidR="0088341A" w:rsidRPr="0097008B" w:rsidRDefault="0088341A" w:rsidP="00501137">
            <w:pPr>
              <w:pStyle w:val="AERtabletextright"/>
              <w:keepNext/>
              <w:keepLines/>
              <w:rPr>
                <w:rStyle w:val="AERtextbold"/>
              </w:rPr>
            </w:pPr>
            <w:r w:rsidRPr="0097008B">
              <w:rPr>
                <w:rStyle w:val="AERtextbold"/>
              </w:rPr>
              <w:t>181.3</w:t>
            </w:r>
          </w:p>
        </w:tc>
        <w:tc>
          <w:tcPr>
            <w:tcW w:w="1086" w:type="dxa"/>
            <w:shd w:val="clear" w:color="auto" w:fill="auto"/>
            <w:vAlign w:val="center"/>
          </w:tcPr>
          <w:p w:rsidR="0088341A" w:rsidRPr="0097008B" w:rsidRDefault="0088341A" w:rsidP="00501137">
            <w:pPr>
              <w:pStyle w:val="AERtabletextright"/>
              <w:keepNext/>
              <w:keepLines/>
              <w:rPr>
                <w:rStyle w:val="AERtextbold"/>
              </w:rPr>
            </w:pPr>
            <w:r w:rsidRPr="0097008B">
              <w:rPr>
                <w:rStyle w:val="AERtextbold"/>
              </w:rPr>
              <w:t>205.1</w:t>
            </w:r>
          </w:p>
        </w:tc>
        <w:tc>
          <w:tcPr>
            <w:tcW w:w="1085" w:type="dxa"/>
            <w:shd w:val="clear" w:color="auto" w:fill="auto"/>
            <w:vAlign w:val="center"/>
          </w:tcPr>
          <w:p w:rsidR="0088341A" w:rsidRPr="0097008B" w:rsidRDefault="0088341A" w:rsidP="00501137">
            <w:pPr>
              <w:pStyle w:val="AERtabletextright"/>
              <w:keepNext/>
              <w:keepLines/>
              <w:rPr>
                <w:rStyle w:val="AERtextbold"/>
              </w:rPr>
            </w:pPr>
            <w:r w:rsidRPr="0097008B">
              <w:rPr>
                <w:rStyle w:val="AERtextbold"/>
              </w:rPr>
              <w:t>564.2</w:t>
            </w:r>
          </w:p>
        </w:tc>
        <w:tc>
          <w:tcPr>
            <w:tcW w:w="1086" w:type="dxa"/>
            <w:shd w:val="clear" w:color="auto" w:fill="auto"/>
            <w:vAlign w:val="center"/>
          </w:tcPr>
          <w:p w:rsidR="0088341A" w:rsidRPr="0097008B" w:rsidRDefault="0088341A" w:rsidP="00501137">
            <w:pPr>
              <w:pStyle w:val="AERtabletextright"/>
              <w:keepNext/>
              <w:keepLines/>
              <w:rPr>
                <w:rStyle w:val="AERtextbold"/>
              </w:rPr>
            </w:pPr>
            <w:r>
              <w:rPr>
                <w:rStyle w:val="AERtextbold"/>
              </w:rPr>
              <w:t>188.1</w:t>
            </w:r>
          </w:p>
        </w:tc>
        <w:tc>
          <w:tcPr>
            <w:tcW w:w="1085" w:type="dxa"/>
            <w:shd w:val="clear" w:color="auto" w:fill="auto"/>
            <w:vAlign w:val="center"/>
          </w:tcPr>
          <w:p w:rsidR="0088341A" w:rsidRPr="0097008B" w:rsidRDefault="0088341A" w:rsidP="00501137">
            <w:pPr>
              <w:pStyle w:val="AERtabletextright"/>
              <w:keepNext/>
              <w:keepLines/>
              <w:rPr>
                <w:rStyle w:val="AERtextbold"/>
              </w:rPr>
            </w:pPr>
            <w:r>
              <w:rPr>
                <w:rStyle w:val="AERtextbold"/>
              </w:rPr>
              <w:t>131.5</w:t>
            </w:r>
          </w:p>
        </w:tc>
        <w:tc>
          <w:tcPr>
            <w:tcW w:w="1086" w:type="dxa"/>
            <w:shd w:val="clear" w:color="auto" w:fill="auto"/>
            <w:vAlign w:val="center"/>
          </w:tcPr>
          <w:p w:rsidR="0088341A" w:rsidRPr="0097008B" w:rsidRDefault="0088341A" w:rsidP="00501137">
            <w:pPr>
              <w:pStyle w:val="AERtabletextright"/>
              <w:keepNext/>
              <w:keepLines/>
              <w:rPr>
                <w:rStyle w:val="AERtextbold"/>
              </w:rPr>
            </w:pPr>
            <w:r>
              <w:rPr>
                <w:rStyle w:val="AERtextbold"/>
              </w:rPr>
              <w:t>43</w:t>
            </w:r>
          </w:p>
        </w:tc>
      </w:tr>
    </w:tbl>
    <w:p w:rsidR="009C4620" w:rsidRDefault="009C4620" w:rsidP="0088341A">
      <w:pPr>
        <w:pStyle w:val="AERtablesource"/>
        <w:keepNext/>
        <w:keepLines/>
      </w:pPr>
      <w:r>
        <w:t>Source:</w:t>
      </w:r>
      <w:r>
        <w:tab/>
        <w:t xml:space="preserve">SP AusNet, </w:t>
      </w:r>
      <w:r w:rsidRPr="000F18CD">
        <w:rPr>
          <w:rStyle w:val="AERtextitalic"/>
        </w:rPr>
        <w:t>Revenue proposal</w:t>
      </w:r>
      <w:r>
        <w:t>, p. 84.</w:t>
      </w:r>
      <w:r w:rsidR="00AA171A">
        <w:t xml:space="preserve"> Numbers may not add due to rounding.</w:t>
      </w:r>
    </w:p>
    <w:p w:rsidR="0088341A" w:rsidRDefault="0088341A" w:rsidP="0088341A">
      <w:pPr>
        <w:pStyle w:val="AERtablesource"/>
        <w:keepNext/>
        <w:keepLines/>
      </w:pPr>
      <w:r>
        <w:t>Note:</w:t>
      </w:r>
      <w:r>
        <w:tab/>
        <w:t>Section 4 of SP AusNet's revenue proposal further breaks down these cost</w:t>
      </w:r>
      <w:r w:rsidR="009F6576">
        <w:t xml:space="preserve"> categories</w:t>
      </w:r>
      <w:r>
        <w:t xml:space="preserve"> into components.</w:t>
      </w:r>
    </w:p>
    <w:p w:rsidR="0088341A" w:rsidRDefault="0088341A" w:rsidP="0088341A">
      <w:pPr>
        <w:pStyle w:val="AERtablesource"/>
        <w:keepNext/>
        <w:keepLines/>
      </w:pPr>
      <w:r>
        <w:tab/>
        <w:t xml:space="preserve">Some figures in the table above differ from those </w:t>
      </w:r>
      <w:r w:rsidRPr="00BE726E">
        <w:t xml:space="preserve">in </w:t>
      </w:r>
      <w:r>
        <w:t>t</w:t>
      </w:r>
      <w:r w:rsidRPr="00BE726E">
        <w:t xml:space="preserve">able 4.4 </w:t>
      </w:r>
      <w:r w:rsidR="0080298A">
        <w:t xml:space="preserve">(p. 84) </w:t>
      </w:r>
      <w:r w:rsidRPr="00BE726E">
        <w:t xml:space="preserve">of </w:t>
      </w:r>
      <w:r>
        <w:t>SP AusNet's</w:t>
      </w:r>
      <w:r w:rsidRPr="00BE726E">
        <w:t xml:space="preserve"> revenue proposal</w:t>
      </w:r>
      <w:r>
        <w:t xml:space="preserve">. </w:t>
      </w:r>
      <w:r w:rsidRPr="00BE726E">
        <w:t>Since submitting its revenue proposal, SP AusNet informed us of errors in the 'major stations replacement' category.</w:t>
      </w:r>
    </w:p>
    <w:p w:rsidR="0088341A" w:rsidRDefault="0088341A" w:rsidP="009C4620">
      <w:pPr>
        <w:pStyle w:val="AERtablesource"/>
        <w:ind w:left="0" w:firstLine="0"/>
      </w:pPr>
    </w:p>
    <w:p w:rsidR="0088341A" w:rsidRDefault="00204B33" w:rsidP="0088341A">
      <w:pPr>
        <w:pStyle w:val="AERbodytext"/>
        <w:numPr>
          <w:ilvl w:val="0"/>
          <w:numId w:val="1"/>
        </w:numPr>
      </w:pPr>
      <w:r>
        <w:fldChar w:fldCharType="begin"/>
      </w:r>
      <w:r>
        <w:instrText xml:space="preserve"> REF _Ref364771064 \h </w:instrText>
      </w:r>
      <w:r>
        <w:fldChar w:fldCharType="separate"/>
      </w:r>
      <w:r w:rsidR="004F35AA">
        <w:t xml:space="preserve">Figure </w:t>
      </w:r>
      <w:r w:rsidR="004F35AA">
        <w:rPr>
          <w:noProof/>
        </w:rPr>
        <w:t>2</w:t>
      </w:r>
      <w:r w:rsidR="004F35AA">
        <w:t>.</w:t>
      </w:r>
      <w:r w:rsidR="004F35AA">
        <w:rPr>
          <w:noProof/>
        </w:rPr>
        <w:t>1</w:t>
      </w:r>
      <w:r>
        <w:fldChar w:fldCharType="end"/>
      </w:r>
      <w:r>
        <w:t xml:space="preserve"> </w:t>
      </w:r>
      <w:r w:rsidR="0088341A">
        <w:t xml:space="preserve">compares SP AusNet's actual and expected capex by category for the 2008–14 regulatory control period with its forecast capex for the 2014–17 regulatory control period. </w:t>
      </w:r>
      <w:r>
        <w:fldChar w:fldCharType="begin"/>
      </w:r>
      <w:r>
        <w:instrText xml:space="preserve"> REF _Ref364771064 \h </w:instrText>
      </w:r>
      <w:r>
        <w:fldChar w:fldCharType="separate"/>
      </w:r>
      <w:r w:rsidR="004F35AA">
        <w:t xml:space="preserve">Figure </w:t>
      </w:r>
      <w:r w:rsidR="004F35AA">
        <w:rPr>
          <w:noProof/>
        </w:rPr>
        <w:t>2</w:t>
      </w:r>
      <w:r w:rsidR="004F35AA">
        <w:t>.</w:t>
      </w:r>
      <w:r w:rsidR="004F35AA">
        <w:rPr>
          <w:noProof/>
        </w:rPr>
        <w:t>1</w:t>
      </w:r>
      <w:r>
        <w:fldChar w:fldCharType="end"/>
      </w:r>
      <w:r>
        <w:t xml:space="preserve"> </w:t>
      </w:r>
      <w:r w:rsidR="0088341A">
        <w:t>also shows the capex that we allowed for the 2008–14 regulatory control period and our draft decision on forecast capex for the 2014–17 regulatory control period. Overall, SP AusNet expects it will underspend its capex allowance by $120.5 million in the 2008–14 regulatory control period. Only in one year (2012–13) does SP AusNet expect to overspend its allowance.</w:t>
      </w:r>
      <w:r w:rsidR="0088341A">
        <w:rPr>
          <w:rStyle w:val="FootnoteReference"/>
        </w:rPr>
        <w:footnoteReference w:id="180"/>
      </w:r>
    </w:p>
    <w:p w:rsidR="0088341A" w:rsidRDefault="00204B33" w:rsidP="00204B33">
      <w:pPr>
        <w:pStyle w:val="Caption"/>
      </w:pPr>
      <w:bookmarkStart w:id="158" w:name="_Ref364771064"/>
      <w:r>
        <w:lastRenderedPageBreak/>
        <w:t xml:space="preserve">Figure </w:t>
      </w:r>
      <w:fldSimple w:instr=" STYLEREF 1 \s ">
        <w:r w:rsidR="004F35AA">
          <w:rPr>
            <w:noProof/>
          </w:rPr>
          <w:t>2</w:t>
        </w:r>
      </w:fldSimple>
      <w:r w:rsidR="00C56A87">
        <w:t>.</w:t>
      </w:r>
      <w:fldSimple w:instr=" SEQ Figure \* ARABIC \s 1 ">
        <w:r w:rsidR="004F35AA">
          <w:rPr>
            <w:noProof/>
          </w:rPr>
          <w:t>1</w:t>
        </w:r>
      </w:fldSimple>
      <w:bookmarkEnd w:id="158"/>
      <w:r w:rsidR="0088341A">
        <w:tab/>
        <w:t>Comparison of SP AusNet's past and forecast capex ($ million, 2013–14)</w:t>
      </w:r>
    </w:p>
    <w:p w:rsidR="0088341A" w:rsidRDefault="0088341A" w:rsidP="0088341A">
      <w:pPr>
        <w:pStyle w:val="AERbodytext"/>
        <w:keepNext/>
        <w:keepLines/>
        <w:numPr>
          <w:ilvl w:val="0"/>
          <w:numId w:val="0"/>
        </w:numPr>
      </w:pPr>
      <w:r>
        <w:rPr>
          <w:noProof/>
          <w:lang w:eastAsia="en-AU"/>
        </w:rPr>
        <w:drawing>
          <wp:inline distT="0" distB="0" distL="0" distR="0" wp14:anchorId="56D97138" wp14:editId="6ED953DF">
            <wp:extent cx="5039995" cy="3051810"/>
            <wp:effectExtent l="0" t="0" r="825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9995" cy="3051810"/>
                    </a:xfrm>
                    <a:prstGeom prst="rect">
                      <a:avLst/>
                    </a:prstGeom>
                    <a:noFill/>
                    <a:ln>
                      <a:noFill/>
                    </a:ln>
                  </pic:spPr>
                </pic:pic>
              </a:graphicData>
            </a:graphic>
          </wp:inline>
        </w:drawing>
      </w:r>
      <w:r>
        <w:rPr>
          <w:noProof/>
          <w:lang w:eastAsia="en-AU"/>
        </w:rPr>
        <mc:AlternateContent>
          <mc:Choice Requires="wps">
            <w:drawing>
              <wp:anchor distT="0" distB="0" distL="114300" distR="114300" simplePos="0" relativeHeight="251663360" behindDoc="0" locked="0" layoutInCell="1" allowOverlap="1" wp14:anchorId="22738CBF" wp14:editId="45EB4318">
                <wp:simplePos x="0" y="0"/>
                <wp:positionH relativeFrom="column">
                  <wp:posOffset>2730500</wp:posOffset>
                </wp:positionH>
                <wp:positionV relativeFrom="paragraph">
                  <wp:posOffset>188595</wp:posOffset>
                </wp:positionV>
                <wp:extent cx="887095" cy="283845"/>
                <wp:effectExtent l="0" t="0" r="1905" b="381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166E" w:rsidRDefault="009E166E" w:rsidP="0088341A">
                            <w:pPr>
                              <w:pStyle w:val="AERtablesource"/>
                            </w:pPr>
                            <w:r>
                              <w:t>Current RCP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 o:spid="_x0000_s1044" type="#_x0000_t202" style="position:absolute;left:0;text-align:left;margin-left:215pt;margin-top:14.85pt;width:69.85pt;height: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" stroked="f">
                <v:textbox>
                  <w:txbxContent>
                    <w:p w:rsidR="009E166E" w:rsidRDefault="009E166E" w:rsidP="0088341A">
                      <w:pPr>
                        <w:pStyle w:val="AERtablesource"/>
                      </w:pPr>
                      <w:r>
                        <w:t>Current RCP</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6D79C309" wp14:editId="733C2FDF">
                <wp:simplePos x="0" y="0"/>
                <wp:positionH relativeFrom="column">
                  <wp:posOffset>4103370</wp:posOffset>
                </wp:positionH>
                <wp:positionV relativeFrom="paragraph">
                  <wp:posOffset>188595</wp:posOffset>
                </wp:positionV>
                <wp:extent cx="815340" cy="283845"/>
                <wp:effectExtent l="0" t="0" r="0" b="381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166E" w:rsidRDefault="009E166E" w:rsidP="0088341A">
                            <w:pPr>
                              <w:pStyle w:val="AERtablesource"/>
                            </w:pPr>
                            <w:r>
                              <w:t>Next RCP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o:spid="_x0000_s1045" type="#_x0000_t202" style="position:absolute;left:0;text-align:left;margin-left:323.1pt;margin-top:14.85pt;width:64.2pt;height:2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" stroked="f">
                <v:textbox>
                  <w:txbxContent>
                    <w:p w:rsidR="009E166E" w:rsidRDefault="009E166E" w:rsidP="0088341A">
                      <w:pPr>
                        <w:pStyle w:val="AERtablesource"/>
                      </w:pPr>
                      <w:r>
                        <w:t>Next RCP</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670564BD" wp14:editId="54F681B2">
                <wp:simplePos x="0" y="0"/>
                <wp:positionH relativeFrom="column">
                  <wp:posOffset>4031615</wp:posOffset>
                </wp:positionH>
                <wp:positionV relativeFrom="paragraph">
                  <wp:posOffset>104140</wp:posOffset>
                </wp:positionV>
                <wp:extent cx="0" cy="2051685"/>
                <wp:effectExtent l="12065" t="8890" r="6985" b="635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16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4" o:spid="_x0000_s1026" type="#_x0000_t32" style="position:absolute;margin-left:317.45pt;margin-top:8.2pt;width:0;height:16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">
                <v:stroke dashstyle="dash"/>
              </v:shape>
            </w:pict>
          </mc:Fallback>
        </mc:AlternateContent>
      </w:r>
      <w:r>
        <w:rPr>
          <w:noProof/>
          <w:lang w:eastAsia="en-AU"/>
        </w:rPr>
        <mc:AlternateContent>
          <mc:Choice Requires="wps">
            <w:drawing>
              <wp:anchor distT="0" distB="0" distL="114300" distR="114300" simplePos="0" relativeHeight="251662336" behindDoc="0" locked="0" layoutInCell="1" allowOverlap="1" wp14:anchorId="0FDA7E1B" wp14:editId="4C248FA0">
                <wp:simplePos x="0" y="0"/>
                <wp:positionH relativeFrom="column">
                  <wp:posOffset>1184275</wp:posOffset>
                </wp:positionH>
                <wp:positionV relativeFrom="paragraph">
                  <wp:posOffset>188595</wp:posOffset>
                </wp:positionV>
                <wp:extent cx="887095" cy="283845"/>
                <wp:effectExtent l="3175" t="0" r="0" b="381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166E" w:rsidRDefault="009E166E" w:rsidP="0088341A">
                            <w:pPr>
                              <w:pStyle w:val="AERtablesource"/>
                            </w:pPr>
                            <w:r>
                              <w:t>Previous RCP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46" type="#_x0000_t202" style="position:absolute;left:0;text-align:left;margin-left:93.25pt;margin-top:14.85pt;width:69.85pt;height:2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" stroked="f">
                <v:textbox>
                  <w:txbxContent>
                    <w:p w:rsidR="009E166E" w:rsidRDefault="009E166E" w:rsidP="0088341A">
                      <w:pPr>
                        <w:pStyle w:val="AERtablesource"/>
                      </w:pPr>
                      <w:r>
                        <w:t>Previous RCP</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31A6C158" wp14:editId="65542D1A">
                <wp:simplePos x="0" y="0"/>
                <wp:positionH relativeFrom="column">
                  <wp:posOffset>2298065</wp:posOffset>
                </wp:positionH>
                <wp:positionV relativeFrom="paragraph">
                  <wp:posOffset>104140</wp:posOffset>
                </wp:positionV>
                <wp:extent cx="7620" cy="2051685"/>
                <wp:effectExtent l="12065" t="8890" r="8890" b="635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0516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2" o:spid="_x0000_s1026" type="#_x0000_t32" style="position:absolute;margin-left:180.95pt;margin-top:8.2pt;width:.6pt;height:16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">
                <v:stroke dashstyle="dash"/>
              </v:shape>
            </w:pict>
          </mc:Fallback>
        </mc:AlternateContent>
      </w:r>
    </w:p>
    <w:p w:rsidR="00180F57" w:rsidRDefault="00180F57" w:rsidP="0088341A">
      <w:pPr>
        <w:pStyle w:val="AERtablesource"/>
        <w:keepNext/>
        <w:keepLines/>
      </w:pPr>
      <w:r>
        <w:t>Source:</w:t>
      </w:r>
      <w:r>
        <w:tab/>
        <w:t xml:space="preserve">SP AusNet, </w:t>
      </w:r>
      <w:r w:rsidRPr="000F18CD">
        <w:rPr>
          <w:rStyle w:val="AERtextitalic"/>
        </w:rPr>
        <w:t>Revenue proposal</w:t>
      </w:r>
      <w:r>
        <w:t xml:space="preserve">, pp. 51 and 84; SP AusNet, </w:t>
      </w:r>
      <w:r w:rsidR="00CA7B13" w:rsidRPr="007E0FD3">
        <w:rPr>
          <w:rStyle w:val="AERtextitalic"/>
        </w:rPr>
        <w:t xml:space="preserve">Response to information request </w:t>
      </w:r>
      <w:r w:rsidR="001F74BF">
        <w:rPr>
          <w:rStyle w:val="AERtextitalic"/>
        </w:rPr>
        <w:t>AER</w:t>
      </w:r>
      <w:r w:rsidR="0047592F">
        <w:rPr>
          <w:rStyle w:val="AERtextitalic"/>
        </w:rPr>
        <w:t xml:space="preserve"> RP </w:t>
      </w:r>
      <w:r w:rsidR="007E5823">
        <w:rPr>
          <w:rStyle w:val="AERtextitalic"/>
        </w:rPr>
        <w:t>0</w:t>
      </w:r>
      <w:r w:rsidR="001F74BF">
        <w:rPr>
          <w:rStyle w:val="AERtextitalic"/>
        </w:rPr>
        <w:t>23</w:t>
      </w:r>
      <w:r w:rsidR="00CA7B13">
        <w:rPr>
          <w:rStyle w:val="AERtextitalic"/>
        </w:rPr>
        <w:t xml:space="preserve">, </w:t>
      </w:r>
      <w:r w:rsidR="007E5823">
        <w:rPr>
          <w:rStyle w:val="AERtextitalic"/>
        </w:rPr>
        <w:t>time series opex and capex</w:t>
      </w:r>
      <w:r w:rsidR="007E5823">
        <w:t>, 28 May 2013 [confidential]</w:t>
      </w:r>
      <w:r>
        <w:t xml:space="preserve">; </w:t>
      </w:r>
      <w:r w:rsidR="001F74BF">
        <w:t xml:space="preserve">AER, </w:t>
      </w:r>
      <w:r w:rsidR="001F74BF" w:rsidRPr="005D1B67">
        <w:rPr>
          <w:rStyle w:val="AERtextitalic"/>
        </w:rPr>
        <w:t>Final decision Victorian transmission network revenue caps 2003–2008</w:t>
      </w:r>
      <w:r w:rsidR="001F74BF">
        <w:t xml:space="preserve">, 11 December 2002, p. 64; </w:t>
      </w:r>
      <w:r>
        <w:t>AER analysis.</w:t>
      </w:r>
    </w:p>
    <w:p w:rsidR="0088341A" w:rsidRDefault="0088341A" w:rsidP="0088341A">
      <w:pPr>
        <w:pStyle w:val="AERtablesource"/>
        <w:keepNext/>
        <w:keepLines/>
      </w:pPr>
      <w:r>
        <w:t>Note:</w:t>
      </w:r>
      <w:r>
        <w:tab/>
        <w:t>Years 2003–04 to 2011–12 are actual capex, while years 2012–13 and 2013–14 are expected capex.</w:t>
      </w:r>
    </w:p>
    <w:p w:rsidR="0088341A" w:rsidRDefault="0088341A" w:rsidP="0088341A">
      <w:pPr>
        <w:pStyle w:val="AERtablesource"/>
        <w:keepNext/>
        <w:keepLines/>
      </w:pPr>
      <w:r>
        <w:tab/>
        <w:t>RCP = regulatory control period.</w:t>
      </w:r>
    </w:p>
    <w:p w:rsidR="0088341A" w:rsidRDefault="005537A8" w:rsidP="0088341A">
      <w:pPr>
        <w:pStyle w:val="Heading2"/>
        <w:numPr>
          <w:ilvl w:val="2"/>
          <w:numId w:val="20"/>
        </w:numPr>
      </w:pPr>
      <w:bookmarkStart w:id="159" w:name="_Toc365283292"/>
      <w:r>
        <w:t>AER’s a</w:t>
      </w:r>
      <w:r w:rsidR="0088341A">
        <w:t>ssessment approach</w:t>
      </w:r>
      <w:bookmarkEnd w:id="159"/>
    </w:p>
    <w:p w:rsidR="0088341A" w:rsidRDefault="0088341A" w:rsidP="0088341A">
      <w:r>
        <w:t>We must accept SP AusNet's forecast capex if we are satisfied it reasonably reflects the capex criteria.</w:t>
      </w:r>
      <w:r>
        <w:rPr>
          <w:rStyle w:val="FootnoteReference"/>
        </w:rPr>
        <w:footnoteReference w:id="181"/>
      </w:r>
      <w:r>
        <w:t xml:space="preserve"> Otherwise, we must not accept SP AusNet's forecast capex and we must substitute our own.</w:t>
      </w:r>
      <w:r>
        <w:rPr>
          <w:rStyle w:val="FootnoteReference"/>
        </w:rPr>
        <w:footnoteReference w:id="182"/>
      </w:r>
      <w:r>
        <w:t xml:space="preserve"> Forecast capex must reflect the efficient costs that a prudent operator in SP AusNet's circumstances would incur, based on a realistic expectation of the demand forecast and cost inputs to achieve the capex objectives (the capex criteria).</w:t>
      </w:r>
      <w:r>
        <w:rPr>
          <w:rStyle w:val="FootnoteReference"/>
        </w:rPr>
        <w:footnoteReference w:id="183"/>
      </w:r>
      <w:r>
        <w:t xml:space="preserve"> We must </w:t>
      </w:r>
      <w:r w:rsidRPr="00297A96">
        <w:t xml:space="preserve">perform </w:t>
      </w:r>
      <w:r>
        <w:t>our</w:t>
      </w:r>
      <w:r w:rsidRPr="00297A96">
        <w:t xml:space="preserve"> function in a manner that will or is likely to</w:t>
      </w:r>
      <w:r>
        <w:t xml:space="preserve"> </w:t>
      </w:r>
      <w:r w:rsidRPr="00297A96">
        <w:t>contri</w:t>
      </w:r>
      <w:r w:rsidR="002652EB">
        <w:t>bute to the achievement of the National Electricity O</w:t>
      </w:r>
      <w:r w:rsidRPr="00297A96">
        <w:t>bjective</w:t>
      </w:r>
      <w:r w:rsidR="002652EB">
        <w:t xml:space="preserve"> (NEO)</w:t>
      </w:r>
      <w:r>
        <w:t>. We must also have regard to the capex factors and the revenue and pricing principles in the National Electricity Law (NEL).</w:t>
      </w:r>
      <w:r>
        <w:rPr>
          <w:rStyle w:val="FootnoteReference"/>
        </w:rPr>
        <w:footnoteReference w:id="184"/>
      </w:r>
    </w:p>
    <w:p w:rsidR="0088341A" w:rsidRDefault="0088341A" w:rsidP="0088341A">
      <w:pPr>
        <w:pStyle w:val="AERbodytext"/>
        <w:numPr>
          <w:ilvl w:val="0"/>
          <w:numId w:val="1"/>
        </w:numPr>
      </w:pPr>
      <w:r>
        <w:t>Further, we must form a view on the forecast capex in total, rather than for individual projects or programs.</w:t>
      </w:r>
      <w:r>
        <w:rPr>
          <w:rStyle w:val="FootnoteReference"/>
        </w:rPr>
        <w:footnoteReference w:id="185"/>
      </w:r>
      <w:r>
        <w:t xml:space="preserve"> However, because the total forecast is separated into components, we may assess these components to make our decision on the total amount. </w:t>
      </w:r>
    </w:p>
    <w:p w:rsidR="0088341A" w:rsidRDefault="002652EB" w:rsidP="0088341A">
      <w:pPr>
        <w:pStyle w:val="AERbodytext"/>
        <w:numPr>
          <w:ilvl w:val="0"/>
          <w:numId w:val="1"/>
        </w:numPr>
      </w:pPr>
      <w:r>
        <w:t xml:space="preserve">We </w:t>
      </w:r>
      <w:r w:rsidR="0088341A">
        <w:t>considered the material that SP AusNet submitted in its revenue proposal and supporting information. Our considerations included an assessment of SP AusNet's asset management framework, its f</w:t>
      </w:r>
      <w:r>
        <w:t>orecasting method</w:t>
      </w:r>
      <w:r w:rsidR="0088341A">
        <w:t>, and the key inputs and assumptions underlying its total forecast capex. We engaged with SP  AusNet throughout the review process, including a workshop over four days in March 2013 attended by AER staff, SP AusNet, and our technical consultants—Energy Market Consulting associates and Strata Energy Consulting (EMCa).</w:t>
      </w:r>
      <w:r w:rsidR="0088341A">
        <w:rPr>
          <w:rStyle w:val="FootnoteReference"/>
        </w:rPr>
        <w:footnoteReference w:id="186"/>
      </w:r>
      <w:r w:rsidR="0088341A">
        <w:t xml:space="preserve"> In addition, EMCa presented </w:t>
      </w:r>
      <w:r w:rsidR="0088341A">
        <w:lastRenderedPageBreak/>
        <w:t>its initial findings to SP AusN</w:t>
      </w:r>
      <w:r>
        <w:t xml:space="preserve">et on 30 May 2013. We have </w:t>
      </w:r>
      <w:r w:rsidR="0088341A">
        <w:t xml:space="preserve">considered the issues that stakeholders raised in submissions to us on SP AusNet's revenue proposal. </w:t>
      </w:r>
    </w:p>
    <w:p w:rsidR="0088341A" w:rsidRDefault="0088341A" w:rsidP="00050CCA">
      <w:pPr>
        <w:pStyle w:val="AERbodytext"/>
        <w:numPr>
          <w:ilvl w:val="0"/>
          <w:numId w:val="1"/>
        </w:numPr>
      </w:pPr>
      <w:r>
        <w:t>We engaged EMCa to provide expert technical advice on SP AusNet's total forecast capex.</w:t>
      </w:r>
      <w:r>
        <w:rPr>
          <w:rStyle w:val="FootnoteReference"/>
        </w:rPr>
        <w:footnoteReference w:id="187"/>
      </w:r>
      <w:r>
        <w:t xml:space="preserve"> EMCa's approach included a review of capex in the 2008–14 regulatory control period to inform its advice on SP AusNet's forecast capex for the 2014–17 regulatory control period. To assess forecast capex EMCa used both a top down approach and a bottom up approach. Under the top down approach, EMCa assessed to what extent SP AusNet's management framework was likely to produce capex forecasts that are prudent and efficient. Under the bottom up approach it assessed how SP AusNet applied its asset management framework by reviewing a sample of SP AusNet's forecast capex projects.</w:t>
      </w:r>
      <w:r>
        <w:rPr>
          <w:rStyle w:val="FootnoteReference"/>
        </w:rPr>
        <w:footnoteReference w:id="188"/>
      </w:r>
      <w:r>
        <w:t xml:space="preserve"> We used EMCa's review as one element of our assessment of SP AusNet's forecast capex and to develop our substitute forecast. While we sought EMCa's advice and expertise in helping us to understand the proposal from a technical perspective, we are not bound to use its recommended forecasts or adjustments to SP AusNet's forecasts.</w:t>
      </w:r>
    </w:p>
    <w:p w:rsidR="00050CCA" w:rsidRDefault="00050CCA" w:rsidP="001F74BF">
      <w:pPr>
        <w:pStyle w:val="AERbodytext"/>
        <w:numPr>
          <w:ilvl w:val="0"/>
          <w:numId w:val="1"/>
        </w:numPr>
      </w:pPr>
      <w:r w:rsidRPr="0093706E">
        <w:t>We also engaged McGrathNicol to assist us in assessing whether some o</w:t>
      </w:r>
      <w:r>
        <w:t xml:space="preserve">f SP AusNet’s cost allocations </w:t>
      </w:r>
      <w:r w:rsidRPr="0093706E">
        <w:t>were consistent with the approved cost allocation methodology.</w:t>
      </w:r>
      <w:r>
        <w:rPr>
          <w:rStyle w:val="FootnoteReference"/>
        </w:rPr>
        <w:footnoteReference w:id="189"/>
      </w:r>
    </w:p>
    <w:p w:rsidR="0088341A" w:rsidRDefault="0088341A" w:rsidP="0088341A">
      <w:pPr>
        <w:pStyle w:val="AERbodytext"/>
        <w:numPr>
          <w:ilvl w:val="0"/>
          <w:numId w:val="1"/>
        </w:numPr>
      </w:pPr>
      <w:r>
        <w:t>Under the NER, we cannot review historical capex in the 2008–14 regulatory control period for prudency and efficiency.</w:t>
      </w:r>
      <w:r>
        <w:rPr>
          <w:rStyle w:val="FootnoteReference"/>
        </w:rPr>
        <w:footnoteReference w:id="190"/>
      </w:r>
      <w:r>
        <w:t xml:space="preserve"> SP AusNet's actual capex is rolled into the RAB. Nevertheless, in assessing SP AusNet's total forecast capex we must have regard to the actual and expected capex in the 2008–14 regulatory control period.</w:t>
      </w:r>
      <w:r>
        <w:rPr>
          <w:rStyle w:val="FootnoteReference"/>
        </w:rPr>
        <w:footnoteReference w:id="191"/>
      </w:r>
      <w:r>
        <w:t xml:space="preserve"> Given the lumpy and non-recurrent nature of most capex, actual capex in one regulatory control period may not be a good indicator of capex in the next regulatory control period. We still consider, however, reviewing past performance may be useful for assessing forecast capex—for example, examining the prudent deferral of capex projects in the past helps us to determine whether any projects SP AusNet proposed for the 2014–17 regulatory control period could be prudently deferred. Similarly, examining differences in cost estimates and actual costs as projects developed from a concept to completion helps us to assess forecast capex.</w:t>
      </w:r>
    </w:p>
    <w:p w:rsidR="0088341A" w:rsidRDefault="0088341A" w:rsidP="0088341A">
      <w:pPr>
        <w:pStyle w:val="Heading2"/>
        <w:numPr>
          <w:ilvl w:val="2"/>
          <w:numId w:val="20"/>
        </w:numPr>
      </w:pPr>
      <w:bookmarkStart w:id="160" w:name="_Toc365283293"/>
      <w:r>
        <w:t>Reasons for draft decision</w:t>
      </w:r>
      <w:bookmarkEnd w:id="160"/>
      <w:r>
        <w:t xml:space="preserve"> </w:t>
      </w:r>
    </w:p>
    <w:p w:rsidR="0088341A" w:rsidRDefault="0088341A" w:rsidP="0088341A">
      <w:pPr>
        <w:pStyle w:val="AERbodytext"/>
        <w:numPr>
          <w:ilvl w:val="0"/>
          <w:numId w:val="1"/>
        </w:numPr>
      </w:pPr>
      <w:r>
        <w:t>Overall, we are not satisfied that SP AusNet's proposed total forecast capex reasonably reflects the capex criteria. Generally, we consider SP AusNet has good management policies and procedures. We have some concerns, however, with how SP AusNet applied them in deriving its forecast capex. We consider that in deriving its forecast SP AusNet did not sufficiently allow for its commitment to continuous improvement in delivering its capex program. We analysed SP AusNet's performance over the 2008–14 regulatory control period and found SP AusNet achieved cost savings through prudent re-scoping, optimising the design, and/or deferring certain projects. We consider SP AusNet will make similar cost savings over the 2014–17 regulatory control period and SP AusNet should factor these expected savings into its forecast capex.</w:t>
      </w:r>
    </w:p>
    <w:p w:rsidR="0088341A" w:rsidRDefault="0088341A" w:rsidP="0088341A">
      <w:pPr>
        <w:pStyle w:val="AERbodytext"/>
        <w:numPr>
          <w:ilvl w:val="0"/>
          <w:numId w:val="1"/>
        </w:numPr>
      </w:pPr>
      <w:r>
        <w:t xml:space="preserve">In addition, in July 2013 SP AusNet informed us of recent developments which might affect the timing and costs of one of its capex projects, the rebuilding of the West Melbourne terminal station (WMTS). </w:t>
      </w:r>
    </w:p>
    <w:p w:rsidR="0088341A" w:rsidRDefault="0088341A" w:rsidP="0088341A">
      <w:pPr>
        <w:pStyle w:val="AERbodytext"/>
        <w:numPr>
          <w:ilvl w:val="0"/>
          <w:numId w:val="1"/>
        </w:numPr>
      </w:pPr>
      <w:r>
        <w:t>Accordingly, we substitute</w:t>
      </w:r>
      <w:r w:rsidR="00B40D47">
        <w:t>d</w:t>
      </w:r>
      <w:r>
        <w:t xml:space="preserve"> a lower forecast capex than SP AusNet's forecast. In doing so we consider</w:t>
      </w:r>
      <w:r w:rsidR="00B40D47">
        <w:t>ed</w:t>
      </w:r>
      <w:r>
        <w:t>:</w:t>
      </w:r>
    </w:p>
    <w:p w:rsidR="0088341A" w:rsidRDefault="0088341A" w:rsidP="0088341A">
      <w:pPr>
        <w:pStyle w:val="AERbulletlistfirststyle"/>
      </w:pPr>
      <w:r>
        <w:lastRenderedPageBreak/>
        <w:t>we should not allow SP AusNet's forecast capex for the WMTS</w:t>
      </w:r>
    </w:p>
    <w:p w:rsidR="0088341A" w:rsidRDefault="0088341A" w:rsidP="0088341A">
      <w:pPr>
        <w:pStyle w:val="AERbulletlistfirststyle"/>
      </w:pPr>
      <w:r>
        <w:t>we should make a prudency adjustment and a cost estimation adjustment to site-specific projects and programs of work, to reflect continuous improvements during the 2014–17 regulatory control period that result in lower costs</w:t>
      </w:r>
    </w:p>
    <w:p w:rsidR="0088341A" w:rsidRDefault="0088341A" w:rsidP="0088341A">
      <w:pPr>
        <w:pStyle w:val="AERbulletlistfirststyle"/>
      </w:pPr>
      <w:r>
        <w:t>we should not approve Strategic IT investment because SP AusNet did not quantify the benefits of that investment.</w:t>
      </w:r>
    </w:p>
    <w:p w:rsidR="0088341A" w:rsidRPr="00A907E9" w:rsidRDefault="0088341A" w:rsidP="0088341A">
      <w:pPr>
        <w:pStyle w:val="Heading3"/>
        <w:numPr>
          <w:ilvl w:val="3"/>
          <w:numId w:val="20"/>
        </w:numPr>
      </w:pPr>
      <w:bookmarkStart w:id="161" w:name="_Ref363574534"/>
      <w:r w:rsidRPr="00A907E9">
        <w:t>Asset management framework and forecasting methodology</w:t>
      </w:r>
      <w:bookmarkEnd w:id="161"/>
    </w:p>
    <w:p w:rsidR="0088341A" w:rsidRDefault="0088341A" w:rsidP="0088341A">
      <w:pPr>
        <w:pStyle w:val="HeadingBoldBlue"/>
      </w:pPr>
      <w:r>
        <w:t>Asset management</w:t>
      </w:r>
    </w:p>
    <w:p w:rsidR="0088341A" w:rsidRDefault="0088341A" w:rsidP="0088341A">
      <w:pPr>
        <w:pStyle w:val="AERbodytext"/>
        <w:numPr>
          <w:ilvl w:val="0"/>
          <w:numId w:val="1"/>
        </w:numPr>
      </w:pPr>
      <w:r>
        <w:t>We reviewed SP AusNet's asset management framework and consider SP AusNet has good management policies and procedures. We agree with EMCa that SP AusNet generally undertakes appropriate analysis to establish the need, scope and proposed timing of individual projects and programs of work.</w:t>
      </w:r>
      <w:r>
        <w:rPr>
          <w:rStyle w:val="FootnoteReference"/>
        </w:rPr>
        <w:footnoteReference w:id="192"/>
      </w:r>
      <w:r>
        <w:t xml:space="preserve"> We consider, however, that SP AusNet relied too much on its bottom up build of the cost estimates of individual projects without adequately considering the size and scope of its forecast capex at a portfolio level. Consequently, SP AusNet set itself a challenging capex program over the 2014–17 regulator</w:t>
      </w:r>
      <w:r w:rsidR="00D422B0">
        <w:t>y control period, particularly</w:t>
      </w:r>
      <w:r>
        <w:t xml:space="preserve"> if it redevelops the WMTS and Richmond terminal station (RTS) in parallel. We also consider SP AusNet did not apply its asset management framework diligently in implementing its strategic IT program. We do not consider SP AusNet adequately demonstrated or quantified the benefits to justify the level of its forecast strategic IT expenditure. Moreover, we consider that in deriving its forecast capex SP AusNet has not adequately accounted for its own commitment to continuous improvement in the delivery of its capex program. We also have some concerns with SP AusNet's cost estimation process. These last two issues are discussed in section </w:t>
      </w:r>
      <w:r>
        <w:fldChar w:fldCharType="begin"/>
      </w:r>
      <w:r>
        <w:instrText xml:space="preserve"> REF _Ref360117147 \r \h </w:instrText>
      </w:r>
      <w:r>
        <w:fldChar w:fldCharType="separate"/>
      </w:r>
      <w:r w:rsidR="004F35AA">
        <w:t>2.4.2</w:t>
      </w:r>
      <w:r>
        <w:fldChar w:fldCharType="end"/>
      </w:r>
      <w:r>
        <w:t>.</w:t>
      </w:r>
    </w:p>
    <w:p w:rsidR="0088341A" w:rsidRDefault="0088341A" w:rsidP="0088341A">
      <w:pPr>
        <w:pStyle w:val="AERbodytext"/>
        <w:numPr>
          <w:ilvl w:val="0"/>
          <w:numId w:val="1"/>
        </w:numPr>
      </w:pPr>
      <w:r>
        <w:t>SP AusNet's asset management approach is set out in section 2.7 and appendix 2A of its revenue proposal. In 2008 SP AusNet became accredited to the British Standards Institution's Publicly Available Specification 55 (PAS 55). SP AusNet submitted 'PAS 55 is the internally recognised standard for the optimised management of physical infrastructure assets to achieve a desired and sustainable outcome.'</w:t>
      </w:r>
      <w:r>
        <w:rPr>
          <w:rStyle w:val="FootnoteReference"/>
        </w:rPr>
        <w:footnoteReference w:id="193"/>
      </w:r>
      <w:r>
        <w:t xml:space="preserve"> The accreditation is relevant in the context of SP AusNet's corporate governance and overall asset management framework. </w:t>
      </w:r>
      <w:r w:rsidRPr="0037327F">
        <w:t>SP AusNet submitted its ‘prudent decision-making practices are supported by a robust project governance framework which incorporates continuous improvements to ensure projects are delivered at lowest efficient cost’</w:t>
      </w:r>
      <w:r>
        <w:t>.</w:t>
      </w:r>
      <w:r>
        <w:rPr>
          <w:rStyle w:val="FootnoteReference"/>
        </w:rPr>
        <w:footnoteReference w:id="194"/>
      </w:r>
    </w:p>
    <w:p w:rsidR="0088341A" w:rsidRDefault="0088341A" w:rsidP="0088341A">
      <w:pPr>
        <w:pStyle w:val="AERbodytext"/>
        <w:numPr>
          <w:ilvl w:val="0"/>
          <w:numId w:val="1"/>
        </w:numPr>
      </w:pPr>
      <w:r>
        <w:t>EMCa reviewed SP AusNet's asset management policies and procedures, and how SP AusNet applied them. It noted the PAS 55 accreditation is evidence that SP AusNet's asset management framework meets international practice. EMCa found SP AusNet has established an asset management framework that is benchmarked against international good practice standards that includes well-documented:</w:t>
      </w:r>
    </w:p>
    <w:p w:rsidR="0088341A" w:rsidRDefault="0088341A" w:rsidP="0088341A">
      <w:pPr>
        <w:pStyle w:val="AERbulletlistfirststyle"/>
      </w:pPr>
      <w:r>
        <w:t>policies</w:t>
      </w:r>
    </w:p>
    <w:p w:rsidR="0088341A" w:rsidRDefault="0088341A" w:rsidP="0088341A">
      <w:pPr>
        <w:pStyle w:val="AERbulletlistfirststyle"/>
      </w:pPr>
      <w:r>
        <w:t>corporate level strategies</w:t>
      </w:r>
    </w:p>
    <w:p w:rsidR="0088341A" w:rsidRDefault="0088341A" w:rsidP="0088341A">
      <w:pPr>
        <w:pStyle w:val="AERbulletlistfirststyle"/>
      </w:pPr>
      <w:r>
        <w:t>specific asset strategies</w:t>
      </w:r>
    </w:p>
    <w:p w:rsidR="0088341A" w:rsidRDefault="0088341A" w:rsidP="0088341A">
      <w:pPr>
        <w:pStyle w:val="AERbulletlistfirststyle"/>
      </w:pPr>
      <w:r>
        <w:lastRenderedPageBreak/>
        <w:t>procedures.</w:t>
      </w:r>
      <w:r>
        <w:rPr>
          <w:rStyle w:val="FootnoteReference"/>
        </w:rPr>
        <w:footnoteReference w:id="195"/>
      </w:r>
    </w:p>
    <w:p w:rsidR="0088341A" w:rsidRDefault="0088341A" w:rsidP="0088341A">
      <w:pPr>
        <w:pStyle w:val="AERbodytext"/>
        <w:numPr>
          <w:ilvl w:val="0"/>
          <w:numId w:val="1"/>
        </w:numPr>
      </w:pPr>
      <w:r>
        <w:t>While EMCa concluded SP AusNet's ass</w:t>
      </w:r>
      <w:r w:rsidR="00B40D47">
        <w:t>et management framework provides</w:t>
      </w:r>
      <w:r>
        <w:t xml:space="preserve"> a sound basis for asset management, it considered SP AusNet's applica</w:t>
      </w:r>
      <w:r w:rsidR="00B40D47">
        <w:t>tion of it could be improved. EMCa</w:t>
      </w:r>
      <w:r>
        <w:t xml:space="preserve"> stated:</w:t>
      </w:r>
      <w:r w:rsidRPr="005934AA">
        <w:t xml:space="preserve"> </w:t>
      </w:r>
      <w:r>
        <w:rPr>
          <w:rStyle w:val="FootnoteReference"/>
        </w:rPr>
        <w:footnoteReference w:id="196"/>
      </w:r>
    </w:p>
    <w:p w:rsidR="0088341A" w:rsidRDefault="0088341A" w:rsidP="0088341A">
      <w:pPr>
        <w:pStyle w:val="AERquote"/>
      </w:pPr>
      <w:r>
        <w:t>We take this view because the forecast expenditures rely on a bottom</w:t>
      </w:r>
      <w:r w:rsidR="00D422B0">
        <w:t>-</w:t>
      </w:r>
      <w:r>
        <w:t>up aggregation with insufficient attention to the aggregate portfolio forecast that results, and its realism.</w:t>
      </w:r>
    </w:p>
    <w:p w:rsidR="0088341A" w:rsidRPr="00945D65" w:rsidRDefault="0088341A" w:rsidP="0088341A">
      <w:pPr>
        <w:pStyle w:val="AERbodytext"/>
        <w:numPr>
          <w:ilvl w:val="0"/>
          <w:numId w:val="1"/>
        </w:numPr>
      </w:pPr>
      <w:r>
        <w:t xml:space="preserve">In coming to our decision on the overall capex forecast, we agree with EMCa's opinion that SP AusNet </w:t>
      </w:r>
      <w:r w:rsidR="00B40D47">
        <w:t>gave</w:t>
      </w:r>
      <w:r>
        <w:t xml:space="preserve"> insufficient attention to the aggregate portfolio level forecast. We have therefore reduced the forecast capex for prudency adjustments (section </w:t>
      </w:r>
      <w:r>
        <w:fldChar w:fldCharType="begin"/>
      </w:r>
      <w:r>
        <w:instrText xml:space="preserve"> REF _Ref360117147 \r \h </w:instrText>
      </w:r>
      <w:r>
        <w:fldChar w:fldCharType="separate"/>
      </w:r>
      <w:r w:rsidR="004F35AA">
        <w:t>2.4.2</w:t>
      </w:r>
      <w:r>
        <w:fldChar w:fldCharType="end"/>
      </w:r>
      <w:r>
        <w:t xml:space="preserve">). </w:t>
      </w:r>
    </w:p>
    <w:p w:rsidR="0088341A" w:rsidRDefault="00B40D47" w:rsidP="0088341A">
      <w:pPr>
        <w:pStyle w:val="HeadingBoldBlue"/>
      </w:pPr>
      <w:r>
        <w:t>Forecasting method</w:t>
      </w:r>
    </w:p>
    <w:p w:rsidR="0088341A" w:rsidRDefault="0088341A" w:rsidP="0088341A">
      <w:pPr>
        <w:pStyle w:val="AERbodytext"/>
        <w:numPr>
          <w:ilvl w:val="0"/>
          <w:numId w:val="1"/>
        </w:numPr>
      </w:pPr>
      <w:r>
        <w:t xml:space="preserve">Overall we consider </w:t>
      </w:r>
      <w:r w:rsidRPr="00647921">
        <w:t xml:space="preserve">SP AusNet’s </w:t>
      </w:r>
      <w:r w:rsidR="00B40D47">
        <w:t>method</w:t>
      </w:r>
      <w:r>
        <w:t xml:space="preserve"> for forecasting capex of individual projects, which is </w:t>
      </w:r>
      <w:r w:rsidRPr="00647921">
        <w:t>based on a bottom up build of individual project costs to form an initial total forecast</w:t>
      </w:r>
      <w:r>
        <w:t xml:space="preserve"> capex, to be sound</w:t>
      </w:r>
      <w:r w:rsidRPr="00647921">
        <w:t>.</w:t>
      </w:r>
      <w:r>
        <w:t xml:space="preserve"> We also agree with SP AusNet's approach of estimating the cost of asset failures by using historical failure rates to predict future rates. We agree with EMCa, however, that SP AusNet should have applied a similar approach to forecasting its capex.</w:t>
      </w:r>
      <w:r>
        <w:rPr>
          <w:rStyle w:val="FootnoteReference"/>
        </w:rPr>
        <w:footnoteReference w:id="197"/>
      </w:r>
      <w:r>
        <w:t xml:space="preserve"> In other words, having determined its capex requirements using its bottom up approach, SP AusNet should have adjusted its forecast by comparing past forecast capex with historical capex. </w:t>
      </w:r>
    </w:p>
    <w:p w:rsidR="0088341A" w:rsidRDefault="0088341A" w:rsidP="0088341A">
      <w:pPr>
        <w:pStyle w:val="AERbodytext"/>
        <w:numPr>
          <w:ilvl w:val="0"/>
          <w:numId w:val="1"/>
        </w:numPr>
      </w:pPr>
      <w:r>
        <w:t>SP </w:t>
      </w:r>
      <w:r w:rsidR="00B40D47">
        <w:t>AusNet's forecasting method</w:t>
      </w:r>
      <w:r>
        <w:t xml:space="preserve"> is set out in section 4.3 of its revenue proposal. Once SP AusNet formed its total forecast capex, it then </w:t>
      </w:r>
      <w:r w:rsidRPr="00647921">
        <w:t>escalate</w:t>
      </w:r>
      <w:r>
        <w:t>d</w:t>
      </w:r>
      <w:r w:rsidRPr="00647921">
        <w:t xml:space="preserve"> (or de-escalate</w:t>
      </w:r>
      <w:r>
        <w:t>d</w:t>
      </w:r>
      <w:r w:rsidRPr="00647921">
        <w:t xml:space="preserve">) </w:t>
      </w:r>
      <w:r>
        <w:t xml:space="preserve">costs </w:t>
      </w:r>
      <w:r w:rsidRPr="00647921">
        <w:t xml:space="preserve">to account for changes in input costs. </w:t>
      </w:r>
      <w:r>
        <w:t>T</w:t>
      </w:r>
      <w:r w:rsidRPr="00647921">
        <w:t>o provide the final forecast</w:t>
      </w:r>
      <w:r>
        <w:t xml:space="preserve"> capex SP AusNet submitted it applied t</w:t>
      </w:r>
      <w:r w:rsidRPr="00647921">
        <w:t xml:space="preserve">he expected level of savings delivered across the capex program in the </w:t>
      </w:r>
      <w:r>
        <w:t>2014–17 regulatory control</w:t>
      </w:r>
      <w:r w:rsidRPr="00647921">
        <w:t xml:space="preserve"> period from continuous capital project management and governance improvements (capex efficiency) </w:t>
      </w:r>
      <w:r>
        <w:t>in that period</w:t>
      </w:r>
      <w:r w:rsidRPr="00647921">
        <w:t>.</w:t>
      </w:r>
      <w:r>
        <w:rPr>
          <w:rStyle w:val="FootnoteReference"/>
        </w:rPr>
        <w:footnoteReference w:id="198"/>
      </w:r>
      <w:r>
        <w:t xml:space="preserve"> It </w:t>
      </w:r>
      <w:r w:rsidRPr="00F32334">
        <w:t xml:space="preserve">submitted </w:t>
      </w:r>
      <w:r>
        <w:t xml:space="preserve">that </w:t>
      </w:r>
      <w:r w:rsidRPr="00F32334">
        <w:t xml:space="preserve">it assessed individual projects and replacement programs using economic evaluations. </w:t>
      </w:r>
      <w:r>
        <w:t>It</w:t>
      </w:r>
      <w:r w:rsidRPr="00F32334">
        <w:t xml:space="preserve"> evaluated the expected total cost of asset failures, which is a function of consequence and probability. </w:t>
      </w:r>
      <w:r>
        <w:t>It</w:t>
      </w:r>
      <w:r w:rsidRPr="00F32334">
        <w:t xml:space="preserve"> also evaluated the costs and benefits of feasible options that addressed the risk of asset failure.</w:t>
      </w:r>
      <w:r w:rsidRPr="00F32334">
        <w:rPr>
          <w:rStyle w:val="FootnoteReference"/>
        </w:rPr>
        <w:footnoteReference w:id="199"/>
      </w:r>
      <w:r>
        <w:t xml:space="preserve"> </w:t>
      </w:r>
      <w:r w:rsidR="00CB05AA">
        <w:fldChar w:fldCharType="begin"/>
      </w:r>
      <w:r w:rsidR="00CB05AA">
        <w:instrText xml:space="preserve"> REF _Ref365291317 \h </w:instrText>
      </w:r>
      <w:r w:rsidR="00CB05AA">
        <w:fldChar w:fldCharType="separate"/>
      </w:r>
      <w:r w:rsidR="004F35AA">
        <w:t xml:space="preserve">Table </w:t>
      </w:r>
      <w:r w:rsidR="004F35AA">
        <w:rPr>
          <w:noProof/>
        </w:rPr>
        <w:t>2</w:t>
      </w:r>
      <w:r w:rsidR="004F35AA">
        <w:t>.</w:t>
      </w:r>
      <w:r w:rsidR="004F35AA">
        <w:rPr>
          <w:noProof/>
        </w:rPr>
        <w:t>3</w:t>
      </w:r>
      <w:r w:rsidR="00CB05AA">
        <w:fldChar w:fldCharType="end"/>
      </w:r>
      <w:r w:rsidR="00CB05AA">
        <w:t xml:space="preserve"> </w:t>
      </w:r>
      <w:r>
        <w:t>summaries how SP AusNet selects its capex projects.</w:t>
      </w:r>
    </w:p>
    <w:p w:rsidR="0088341A" w:rsidRDefault="0088341A" w:rsidP="0088341A">
      <w:pPr>
        <w:pStyle w:val="Caption"/>
      </w:pPr>
      <w:bookmarkStart w:id="162" w:name="_Ref365291317"/>
      <w:r>
        <w:t xml:space="preserve">Table </w:t>
      </w:r>
      <w:fldSimple w:instr=" STYLEREF 1 \s ">
        <w:r w:rsidR="004F35AA">
          <w:rPr>
            <w:noProof/>
          </w:rPr>
          <w:t>2</w:t>
        </w:r>
      </w:fldSimple>
      <w:r w:rsidR="00C56A87">
        <w:t>.</w:t>
      </w:r>
      <w:fldSimple w:instr=" SEQ Table \* ARABIC \s 1 ">
        <w:r w:rsidR="004F35AA">
          <w:rPr>
            <w:noProof/>
          </w:rPr>
          <w:t>3</w:t>
        </w:r>
      </w:fldSimple>
      <w:bookmarkEnd w:id="162"/>
      <w:r>
        <w:tab/>
        <w:t>SP AusNet's project selection method</w:t>
      </w:r>
    </w:p>
    <w:tbl>
      <w:tblPr>
        <w:tblStyle w:val="AERtable-text"/>
        <w:tblW w:w="0" w:type="auto"/>
        <w:tblLook w:val="04A0" w:firstRow="1" w:lastRow="0" w:firstColumn="1" w:lastColumn="0" w:noHBand="0" w:noVBand="1"/>
      </w:tblPr>
      <w:tblGrid>
        <w:gridCol w:w="3936"/>
        <w:gridCol w:w="5306"/>
      </w:tblGrid>
      <w:tr w:rsidR="0088341A" w:rsidTr="009C4620">
        <w:trPr>
          <w:cnfStyle w:val="100000000000" w:firstRow="1" w:lastRow="0" w:firstColumn="0" w:lastColumn="0" w:oddVBand="0" w:evenVBand="0" w:oddHBand="0" w:evenHBand="0" w:firstRowFirstColumn="0" w:firstRowLastColumn="0" w:lastRowFirstColumn="0" w:lastRowLastColumn="0"/>
        </w:trPr>
        <w:tc>
          <w:tcPr>
            <w:tcW w:w="3936" w:type="dxa"/>
          </w:tcPr>
          <w:p w:rsidR="0088341A" w:rsidRPr="00722930" w:rsidRDefault="0088341A" w:rsidP="009C4620">
            <w:pPr>
              <w:pStyle w:val="AERtabletextleft"/>
              <w:rPr>
                <w:b w:val="0"/>
              </w:rPr>
            </w:pPr>
            <w:r>
              <w:t>Stage</w:t>
            </w:r>
          </w:p>
        </w:tc>
        <w:tc>
          <w:tcPr>
            <w:tcW w:w="5306" w:type="dxa"/>
          </w:tcPr>
          <w:p w:rsidR="0088341A" w:rsidRPr="00722930" w:rsidRDefault="0088341A" w:rsidP="009C4620">
            <w:pPr>
              <w:pStyle w:val="AERtabletextleft"/>
              <w:rPr>
                <w:b w:val="0"/>
              </w:rPr>
            </w:pPr>
            <w:r>
              <w:t>Action</w:t>
            </w:r>
          </w:p>
        </w:tc>
      </w:tr>
      <w:tr w:rsidR="0088341A" w:rsidTr="009C4620">
        <w:tc>
          <w:tcPr>
            <w:tcW w:w="3936" w:type="dxa"/>
          </w:tcPr>
          <w:p w:rsidR="0088341A" w:rsidRPr="00722930" w:rsidRDefault="0088341A" w:rsidP="009C4620">
            <w:pPr>
              <w:pStyle w:val="AERtabletextleft"/>
            </w:pPr>
            <w:r w:rsidRPr="00722930">
              <w:t>Asset condition and risk modelling</w:t>
            </w:r>
          </w:p>
        </w:tc>
        <w:tc>
          <w:tcPr>
            <w:tcW w:w="5306" w:type="dxa"/>
          </w:tcPr>
          <w:p w:rsidR="0088341A" w:rsidRPr="00722930" w:rsidRDefault="0088341A" w:rsidP="009C4620">
            <w:pPr>
              <w:pStyle w:val="AERtabletextleft"/>
            </w:pPr>
            <w:r w:rsidRPr="00722930">
              <w:t>Risks identified through asset condition reports and modelling.</w:t>
            </w:r>
          </w:p>
          <w:p w:rsidR="0088341A" w:rsidRPr="00722930" w:rsidRDefault="0088341A" w:rsidP="009C4620">
            <w:pPr>
              <w:pStyle w:val="AERtabletextleft"/>
            </w:pPr>
            <w:r w:rsidRPr="00722930">
              <w:t>Cost of risk quantified taking into account supply risk, safety risk and environmental risk.</w:t>
            </w:r>
          </w:p>
        </w:tc>
      </w:tr>
      <w:tr w:rsidR="0088341A" w:rsidTr="009C4620">
        <w:trPr>
          <w:cnfStyle w:val="000000010000" w:firstRow="0" w:lastRow="0" w:firstColumn="0" w:lastColumn="0" w:oddVBand="0" w:evenVBand="0" w:oddHBand="0" w:evenHBand="1" w:firstRowFirstColumn="0" w:firstRowLastColumn="0" w:lastRowFirstColumn="0" w:lastRowLastColumn="0"/>
        </w:trPr>
        <w:tc>
          <w:tcPr>
            <w:tcW w:w="3936" w:type="dxa"/>
          </w:tcPr>
          <w:p w:rsidR="0088341A" w:rsidRPr="00722930" w:rsidRDefault="0088341A" w:rsidP="009C4620">
            <w:pPr>
              <w:pStyle w:val="AERtabletextleft"/>
            </w:pPr>
            <w:r w:rsidRPr="00722930">
              <w:t>Technical options developed and costed</w:t>
            </w:r>
          </w:p>
        </w:tc>
        <w:tc>
          <w:tcPr>
            <w:tcW w:w="5306" w:type="dxa"/>
          </w:tcPr>
          <w:p w:rsidR="0088341A" w:rsidRPr="00722930" w:rsidRDefault="0088341A" w:rsidP="009C4620">
            <w:pPr>
              <w:pStyle w:val="AERtabletextleft"/>
            </w:pPr>
            <w:r w:rsidRPr="00722930">
              <w:t>Options to address risk scoped and costed</w:t>
            </w:r>
            <w:r>
              <w:t>.</w:t>
            </w:r>
          </w:p>
        </w:tc>
      </w:tr>
      <w:tr w:rsidR="0088341A" w:rsidTr="009C4620">
        <w:tc>
          <w:tcPr>
            <w:tcW w:w="3936" w:type="dxa"/>
          </w:tcPr>
          <w:p w:rsidR="0088341A" w:rsidRPr="00722930" w:rsidRDefault="0088341A" w:rsidP="009C4620">
            <w:pPr>
              <w:pStyle w:val="AERtabletextleft"/>
            </w:pPr>
            <w:r w:rsidRPr="00722930">
              <w:t>Economic evaluation of risk</w:t>
            </w:r>
          </w:p>
        </w:tc>
        <w:tc>
          <w:tcPr>
            <w:tcW w:w="5306" w:type="dxa"/>
          </w:tcPr>
          <w:p w:rsidR="0088341A" w:rsidRPr="00722930" w:rsidRDefault="0088341A" w:rsidP="009C4620">
            <w:pPr>
              <w:pStyle w:val="AERtabletextleft"/>
            </w:pPr>
            <w:r w:rsidRPr="00722930">
              <w:t>NPV analysis of costs and benefits of options</w:t>
            </w:r>
            <w:r>
              <w:t>.</w:t>
            </w:r>
          </w:p>
        </w:tc>
      </w:tr>
      <w:tr w:rsidR="0088341A" w:rsidTr="009C4620">
        <w:trPr>
          <w:cnfStyle w:val="000000010000" w:firstRow="0" w:lastRow="0" w:firstColumn="0" w:lastColumn="0" w:oddVBand="0" w:evenVBand="0" w:oddHBand="0" w:evenHBand="1" w:firstRowFirstColumn="0" w:firstRowLastColumn="0" w:lastRowFirstColumn="0" w:lastRowLastColumn="0"/>
        </w:trPr>
        <w:tc>
          <w:tcPr>
            <w:tcW w:w="3936" w:type="dxa"/>
          </w:tcPr>
          <w:p w:rsidR="0088341A" w:rsidRPr="00722930" w:rsidRDefault="0088341A" w:rsidP="009C4620">
            <w:pPr>
              <w:pStyle w:val="AERtabletextleft"/>
            </w:pPr>
            <w:r w:rsidRPr="00722930">
              <w:t>Preferred project</w:t>
            </w:r>
          </w:p>
        </w:tc>
        <w:tc>
          <w:tcPr>
            <w:tcW w:w="5306" w:type="dxa"/>
          </w:tcPr>
          <w:p w:rsidR="0088341A" w:rsidRPr="00722930" w:rsidRDefault="0088341A" w:rsidP="009C4620">
            <w:pPr>
              <w:pStyle w:val="AERtabletextleft"/>
            </w:pPr>
            <w:r w:rsidRPr="00722930">
              <w:t>Option with lowest PV cost selected.</w:t>
            </w:r>
          </w:p>
          <w:p w:rsidR="0088341A" w:rsidRPr="00722930" w:rsidRDefault="0088341A" w:rsidP="009C4620">
            <w:pPr>
              <w:pStyle w:val="AERtabletextleft"/>
            </w:pPr>
            <w:r w:rsidRPr="00722930">
              <w:t>Detailed design prepared and costed.</w:t>
            </w:r>
          </w:p>
        </w:tc>
      </w:tr>
    </w:tbl>
    <w:p w:rsidR="0088341A" w:rsidRDefault="0088341A" w:rsidP="0088341A">
      <w:pPr>
        <w:pStyle w:val="AERtablesource"/>
      </w:pPr>
      <w:r>
        <w:t>Source:</w:t>
      </w:r>
      <w:r>
        <w:tab/>
        <w:t xml:space="preserve">SP AusNet, </w:t>
      </w:r>
      <w:r w:rsidRPr="00F3010F">
        <w:rPr>
          <w:rStyle w:val="AERtextitalic"/>
        </w:rPr>
        <w:t>Revenue proposal</w:t>
      </w:r>
      <w:r>
        <w:t>, p. 77.</w:t>
      </w:r>
    </w:p>
    <w:p w:rsidR="0088341A" w:rsidRDefault="0088341A" w:rsidP="0088341A">
      <w:pPr>
        <w:pStyle w:val="AERbodytext"/>
        <w:numPr>
          <w:ilvl w:val="0"/>
          <w:numId w:val="1"/>
        </w:numPr>
      </w:pPr>
      <w:r>
        <w:t xml:space="preserve">EMCa considered the method for establishing the projects and programs to be sound and likely to result in an accurate assessment of the level of work required to maintain the asset portfolio on a </w:t>
      </w:r>
      <w:r>
        <w:lastRenderedPageBreak/>
        <w:t>bottom up basis. EMCa considered, however, such a forecast should also be subject to a rigorous top down assessment. EMCa noted SP AusNet used such an approach to predict future asset failure rates. Similarly, EMCa expected SP AusNet would have applied a top down assessment of historical forecast</w:t>
      </w:r>
      <w:r w:rsidR="00D422B0">
        <w:t>s</w:t>
      </w:r>
      <w:r>
        <w:t xml:space="preserve"> versus actual capex to inform its forecast capex. EMCa stated:</w:t>
      </w:r>
      <w:r>
        <w:rPr>
          <w:rStyle w:val="FootnoteReference"/>
        </w:rPr>
        <w:footnoteReference w:id="200"/>
      </w:r>
    </w:p>
    <w:p w:rsidR="0088341A" w:rsidRDefault="0088341A" w:rsidP="0088341A">
      <w:pPr>
        <w:pStyle w:val="AERquote"/>
      </w:pPr>
      <w:r>
        <w:t>Whilst we observed the use of a feedback loop to calibrate the calculated failure rate predictions we did not observe a similar feedback loop for the calibration of the resulting expenditure forecast</w:t>
      </w:r>
      <w:r w:rsidR="002863DF">
        <w:t>.</w:t>
      </w:r>
      <w:r>
        <w:t xml:space="preserve"> Given that the methodology is well established, we would have expected that a top down calibration against historical forecast vs actual would have been applied.</w:t>
      </w:r>
    </w:p>
    <w:p w:rsidR="0088341A" w:rsidRPr="00CF3795" w:rsidRDefault="0088341A" w:rsidP="0088341A">
      <w:pPr>
        <w:pStyle w:val="AERbodytext"/>
        <w:numPr>
          <w:ilvl w:val="0"/>
          <w:numId w:val="1"/>
        </w:numPr>
      </w:pPr>
      <w:r>
        <w:t>We agree with EMCa's opinion that a top down calibration is appropriate.</w:t>
      </w:r>
    </w:p>
    <w:p w:rsidR="0088341A" w:rsidRDefault="0088341A" w:rsidP="0088341A">
      <w:pPr>
        <w:pStyle w:val="HeadingBoldBlue"/>
      </w:pPr>
      <w:r>
        <w:t>Real cost escalators</w:t>
      </w:r>
    </w:p>
    <w:p w:rsidR="0088341A" w:rsidRPr="00E930D1" w:rsidRDefault="0088341A" w:rsidP="0088341A">
      <w:pPr>
        <w:pStyle w:val="AERbodytext"/>
        <w:numPr>
          <w:ilvl w:val="0"/>
          <w:numId w:val="1"/>
        </w:numPr>
      </w:pPr>
      <w:r w:rsidRPr="00E930D1">
        <w:t xml:space="preserve">We do not </w:t>
      </w:r>
      <w:r>
        <w:t>consider</w:t>
      </w:r>
      <w:r w:rsidRPr="00E930D1">
        <w:t xml:space="preserve"> SP AusNet's proposed real cost escalators reasonably reflect a realistic expectation of the cost inputs required to achieve the opex and capex objectives over the 2014–17 regulatory control period. </w:t>
      </w:r>
      <w:r>
        <w:t>So,</w:t>
      </w:r>
      <w:r w:rsidRPr="00E930D1">
        <w:t xml:space="preserve"> we determined substitute escalators</w:t>
      </w:r>
      <w:r>
        <w:t>,</w:t>
      </w:r>
      <w:r w:rsidRPr="00E930D1">
        <w:t xml:space="preserve"> which reflect our considerations that:</w:t>
      </w:r>
    </w:p>
    <w:p w:rsidR="0088341A" w:rsidRPr="00E930D1" w:rsidRDefault="0088341A" w:rsidP="0088341A">
      <w:pPr>
        <w:pStyle w:val="AERbulletlistfirststyle"/>
      </w:pPr>
      <w:r w:rsidRPr="00E930D1">
        <w:t>labour cost forecasts developed by Deloitte Access Economics (DAE) reasonably reflect a realistic expectation of the cost inputs required to achieve the opex and capex objectives</w:t>
      </w:r>
    </w:p>
    <w:p w:rsidR="0088341A" w:rsidRPr="00E930D1" w:rsidRDefault="0088341A" w:rsidP="0088341A">
      <w:pPr>
        <w:pStyle w:val="AERbulletlistfirststyle"/>
      </w:pPr>
      <w:r w:rsidRPr="00E930D1">
        <w:t>the inclusion of labour inputs in the material escalators double counts SPA AusNet's forecast labour cost requirements</w:t>
      </w:r>
    </w:p>
    <w:p w:rsidR="0088341A" w:rsidRDefault="0088341A" w:rsidP="0088341A">
      <w:pPr>
        <w:pStyle w:val="AERbulletlistfirststyle"/>
      </w:pPr>
      <w:r>
        <w:t xml:space="preserve">SP AusNet should update its </w:t>
      </w:r>
      <w:r w:rsidRPr="00E930D1">
        <w:t xml:space="preserve">forecast inputs for material escalation and exchange rates to reflect </w:t>
      </w:r>
      <w:r>
        <w:t xml:space="preserve">the </w:t>
      </w:r>
      <w:r w:rsidRPr="00E930D1">
        <w:t>most recent data.</w:t>
      </w:r>
    </w:p>
    <w:p w:rsidR="0088341A" w:rsidRDefault="0088341A" w:rsidP="0088341A">
      <w:pPr>
        <w:pStyle w:val="AERbodytext"/>
        <w:numPr>
          <w:ilvl w:val="0"/>
          <w:numId w:val="0"/>
        </w:numPr>
      </w:pPr>
      <w:r>
        <w:t xml:space="preserve">Attachment 1 contains our assessment of SP AusNet's proposed real cost escalators. </w:t>
      </w:r>
      <w:r w:rsidRPr="00FC6925">
        <w:fldChar w:fldCharType="begin"/>
      </w:r>
      <w:r w:rsidRPr="00FC6925">
        <w:instrText xml:space="preserve"> REF _Ref360437446 \h </w:instrText>
      </w:r>
      <w:r w:rsidRPr="00FC6925">
        <w:fldChar w:fldCharType="separate"/>
      </w:r>
      <w:r w:rsidR="004F35AA">
        <w:t xml:space="preserve">Table </w:t>
      </w:r>
      <w:r w:rsidR="004F35AA">
        <w:rPr>
          <w:noProof/>
        </w:rPr>
        <w:t>2</w:t>
      </w:r>
      <w:r w:rsidR="004F35AA">
        <w:t>.</w:t>
      </w:r>
      <w:r w:rsidR="004F35AA">
        <w:rPr>
          <w:noProof/>
        </w:rPr>
        <w:t>4</w:t>
      </w:r>
      <w:r w:rsidRPr="00FC6925">
        <w:fldChar w:fldCharType="end"/>
      </w:r>
      <w:r>
        <w:t xml:space="preserve"> shows the impact of our real cost escalators on SP AusNet's forecast capex. </w:t>
      </w:r>
    </w:p>
    <w:p w:rsidR="0088341A" w:rsidRDefault="0088341A" w:rsidP="0088341A">
      <w:pPr>
        <w:pStyle w:val="Caption"/>
      </w:pPr>
      <w:bookmarkStart w:id="163" w:name="_Ref360437446"/>
      <w:r>
        <w:t xml:space="preserve">Table </w:t>
      </w:r>
      <w:fldSimple w:instr=" STYLEREF 1 \s ">
        <w:r w:rsidR="004F35AA">
          <w:rPr>
            <w:noProof/>
          </w:rPr>
          <w:t>2</w:t>
        </w:r>
      </w:fldSimple>
      <w:r w:rsidR="00C56A87">
        <w:t>.</w:t>
      </w:r>
      <w:fldSimple w:instr=" SEQ Table \* ARABIC \s 1 ">
        <w:r w:rsidR="004F35AA">
          <w:rPr>
            <w:noProof/>
          </w:rPr>
          <w:t>4</w:t>
        </w:r>
      </w:fldSimple>
      <w:bookmarkEnd w:id="163"/>
      <w:r>
        <w:tab/>
        <w:t>Impact of the AER's real cost escalators ($ million, 2013–14)</w:t>
      </w:r>
    </w:p>
    <w:tbl>
      <w:tblPr>
        <w:tblStyle w:val="AERtable-numbers"/>
        <w:tblW w:w="0" w:type="auto"/>
        <w:tblLook w:val="04A0" w:firstRow="1" w:lastRow="0" w:firstColumn="1" w:lastColumn="0" w:noHBand="0" w:noVBand="1"/>
      </w:tblPr>
      <w:tblGrid>
        <w:gridCol w:w="1848"/>
        <w:gridCol w:w="1848"/>
        <w:gridCol w:w="1848"/>
        <w:gridCol w:w="1849"/>
        <w:gridCol w:w="1849"/>
      </w:tblGrid>
      <w:tr w:rsidR="0088341A" w:rsidTr="00EB4A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88341A" w:rsidRPr="008B5465" w:rsidRDefault="0088341A" w:rsidP="009C4620">
            <w:pPr>
              <w:pStyle w:val="AERtabletextleft"/>
            </w:pPr>
          </w:p>
        </w:tc>
        <w:tc>
          <w:tcPr>
            <w:tcW w:w="1848" w:type="dxa"/>
          </w:tcPr>
          <w:p w:rsidR="0088341A" w:rsidRPr="008B5465" w:rsidRDefault="0088341A" w:rsidP="009C4620">
            <w:pPr>
              <w:pStyle w:val="AERtabletextleft"/>
              <w:cnfStyle w:val="100000000000" w:firstRow="1" w:lastRow="0" w:firstColumn="0" w:lastColumn="0" w:oddVBand="0" w:evenVBand="0" w:oddHBand="0" w:evenHBand="0" w:firstRowFirstColumn="0" w:firstRowLastColumn="0" w:lastRowFirstColumn="0" w:lastRowLastColumn="0"/>
            </w:pPr>
            <w:r w:rsidRPr="008B5465">
              <w:t>2014–15</w:t>
            </w:r>
          </w:p>
        </w:tc>
        <w:tc>
          <w:tcPr>
            <w:tcW w:w="1848" w:type="dxa"/>
          </w:tcPr>
          <w:p w:rsidR="0088341A" w:rsidRPr="008B5465" w:rsidRDefault="0088341A" w:rsidP="009C4620">
            <w:pPr>
              <w:pStyle w:val="AERtabletextleft"/>
              <w:cnfStyle w:val="100000000000" w:firstRow="1" w:lastRow="0" w:firstColumn="0" w:lastColumn="0" w:oddVBand="0" w:evenVBand="0" w:oddHBand="0" w:evenHBand="0" w:firstRowFirstColumn="0" w:firstRowLastColumn="0" w:lastRowFirstColumn="0" w:lastRowLastColumn="0"/>
            </w:pPr>
            <w:r w:rsidRPr="008B5465">
              <w:t>2015–16</w:t>
            </w:r>
          </w:p>
        </w:tc>
        <w:tc>
          <w:tcPr>
            <w:tcW w:w="1849" w:type="dxa"/>
          </w:tcPr>
          <w:p w:rsidR="0088341A" w:rsidRPr="008B5465" w:rsidRDefault="0088341A" w:rsidP="009C4620">
            <w:pPr>
              <w:pStyle w:val="AERtabletextleft"/>
              <w:cnfStyle w:val="100000000000" w:firstRow="1" w:lastRow="0" w:firstColumn="0" w:lastColumn="0" w:oddVBand="0" w:evenVBand="0" w:oddHBand="0" w:evenHBand="0" w:firstRowFirstColumn="0" w:firstRowLastColumn="0" w:lastRowFirstColumn="0" w:lastRowLastColumn="0"/>
            </w:pPr>
            <w:r w:rsidRPr="008B5465">
              <w:t>2016–17</w:t>
            </w:r>
          </w:p>
        </w:tc>
        <w:tc>
          <w:tcPr>
            <w:tcW w:w="1849" w:type="dxa"/>
          </w:tcPr>
          <w:p w:rsidR="0088341A" w:rsidRPr="008B5465" w:rsidRDefault="0088341A" w:rsidP="009C4620">
            <w:pPr>
              <w:pStyle w:val="AERtabletextleft"/>
              <w:cnfStyle w:val="100000000000" w:firstRow="1" w:lastRow="0" w:firstColumn="0" w:lastColumn="0" w:oddVBand="0" w:evenVBand="0" w:oddHBand="0" w:evenHBand="0" w:firstRowFirstColumn="0" w:firstRowLastColumn="0" w:lastRowFirstColumn="0" w:lastRowLastColumn="0"/>
            </w:pPr>
            <w:r w:rsidRPr="008B5465">
              <w:t>Total</w:t>
            </w:r>
          </w:p>
        </w:tc>
      </w:tr>
      <w:tr w:rsidR="0088341A" w:rsidTr="00EB4AB0">
        <w:tc>
          <w:tcPr>
            <w:cnfStyle w:val="001000000000" w:firstRow="0" w:lastRow="0" w:firstColumn="1" w:lastColumn="0" w:oddVBand="0" w:evenVBand="0" w:oddHBand="0" w:evenHBand="0" w:firstRowFirstColumn="0" w:firstRowLastColumn="0" w:lastRowFirstColumn="0" w:lastRowLastColumn="0"/>
            <w:tcW w:w="1848" w:type="dxa"/>
          </w:tcPr>
          <w:p w:rsidR="0088341A" w:rsidRPr="008B5465" w:rsidRDefault="0088341A" w:rsidP="009C4620">
            <w:pPr>
              <w:pStyle w:val="AERtabletextleft"/>
            </w:pPr>
            <w:r w:rsidRPr="008B5465">
              <w:t>SP AusNet</w:t>
            </w:r>
            <w:r w:rsidR="00B40D47">
              <w:t>’s</w:t>
            </w:r>
            <w:r w:rsidRPr="008B5465">
              <w:t xml:space="preserve"> proposal</w:t>
            </w:r>
          </w:p>
        </w:tc>
        <w:tc>
          <w:tcPr>
            <w:tcW w:w="1848" w:type="dxa"/>
          </w:tcPr>
          <w:p w:rsidR="0088341A" w:rsidRDefault="0088341A" w:rsidP="009C4620">
            <w:pPr>
              <w:pStyle w:val="AERtabletextleft"/>
              <w:cnfStyle w:val="000000000000" w:firstRow="0" w:lastRow="0" w:firstColumn="0" w:lastColumn="0" w:oddVBand="0" w:evenVBand="0" w:oddHBand="0" w:evenHBand="0" w:firstRowFirstColumn="0" w:firstRowLastColumn="0" w:lastRowFirstColumn="0" w:lastRowLastColumn="0"/>
            </w:pPr>
            <w:r>
              <w:t>4.7</w:t>
            </w:r>
          </w:p>
        </w:tc>
        <w:tc>
          <w:tcPr>
            <w:tcW w:w="1848" w:type="dxa"/>
          </w:tcPr>
          <w:p w:rsidR="0088341A" w:rsidRDefault="0088341A" w:rsidP="009C4620">
            <w:pPr>
              <w:pStyle w:val="AERtabletextleft"/>
              <w:cnfStyle w:val="000000000000" w:firstRow="0" w:lastRow="0" w:firstColumn="0" w:lastColumn="0" w:oddVBand="0" w:evenVBand="0" w:oddHBand="0" w:evenHBand="0" w:firstRowFirstColumn="0" w:firstRowLastColumn="0" w:lastRowFirstColumn="0" w:lastRowLastColumn="0"/>
            </w:pPr>
            <w:r>
              <w:t>7.2</w:t>
            </w:r>
          </w:p>
        </w:tc>
        <w:tc>
          <w:tcPr>
            <w:tcW w:w="1849" w:type="dxa"/>
          </w:tcPr>
          <w:p w:rsidR="0088341A" w:rsidRDefault="0088341A" w:rsidP="009C4620">
            <w:pPr>
              <w:pStyle w:val="AERtabletextleft"/>
              <w:cnfStyle w:val="000000000000" w:firstRow="0" w:lastRow="0" w:firstColumn="0" w:lastColumn="0" w:oddVBand="0" w:evenVBand="0" w:oddHBand="0" w:evenHBand="0" w:firstRowFirstColumn="0" w:firstRowLastColumn="0" w:lastRowFirstColumn="0" w:lastRowLastColumn="0"/>
            </w:pPr>
            <w:r>
              <w:t>10.2</w:t>
            </w:r>
          </w:p>
        </w:tc>
        <w:tc>
          <w:tcPr>
            <w:tcW w:w="1849" w:type="dxa"/>
          </w:tcPr>
          <w:p w:rsidR="0088341A" w:rsidRDefault="0088341A" w:rsidP="009C4620">
            <w:pPr>
              <w:pStyle w:val="AERtabletextleft"/>
              <w:cnfStyle w:val="000000000000" w:firstRow="0" w:lastRow="0" w:firstColumn="0" w:lastColumn="0" w:oddVBand="0" w:evenVBand="0" w:oddHBand="0" w:evenHBand="0" w:firstRowFirstColumn="0" w:firstRowLastColumn="0" w:lastRowFirstColumn="0" w:lastRowLastColumn="0"/>
            </w:pPr>
            <w:r>
              <w:t>22.1</w:t>
            </w:r>
          </w:p>
        </w:tc>
      </w:tr>
      <w:tr w:rsidR="0088341A" w:rsidTr="00EB4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88341A" w:rsidRPr="008B5465" w:rsidRDefault="00B40D47" w:rsidP="009C4620">
            <w:pPr>
              <w:pStyle w:val="AERtabletextleft"/>
            </w:pPr>
            <w:r>
              <w:t>AER’s d</w:t>
            </w:r>
            <w:r w:rsidR="0088341A" w:rsidRPr="008B5465">
              <w:t>raft decision</w:t>
            </w:r>
          </w:p>
        </w:tc>
        <w:tc>
          <w:tcPr>
            <w:tcW w:w="1848" w:type="dxa"/>
          </w:tcPr>
          <w:p w:rsidR="0088341A" w:rsidRDefault="0088341A" w:rsidP="009C4620">
            <w:pPr>
              <w:pStyle w:val="AERtabletextleft"/>
              <w:cnfStyle w:val="000000010000" w:firstRow="0" w:lastRow="0" w:firstColumn="0" w:lastColumn="0" w:oddVBand="0" w:evenVBand="0" w:oddHBand="0" w:evenHBand="1" w:firstRowFirstColumn="0" w:firstRowLastColumn="0" w:lastRowFirstColumn="0" w:lastRowLastColumn="0"/>
            </w:pPr>
            <w:r>
              <w:t>1.</w:t>
            </w:r>
            <w:r w:rsidR="00501137">
              <w:t>5</w:t>
            </w:r>
          </w:p>
        </w:tc>
        <w:tc>
          <w:tcPr>
            <w:tcW w:w="1848" w:type="dxa"/>
          </w:tcPr>
          <w:p w:rsidR="0088341A" w:rsidRDefault="0088341A" w:rsidP="009C4620">
            <w:pPr>
              <w:pStyle w:val="AERtabletextleft"/>
              <w:cnfStyle w:val="000000010000" w:firstRow="0" w:lastRow="0" w:firstColumn="0" w:lastColumn="0" w:oddVBand="0" w:evenVBand="0" w:oddHBand="0" w:evenHBand="1" w:firstRowFirstColumn="0" w:firstRowLastColumn="0" w:lastRowFirstColumn="0" w:lastRowLastColumn="0"/>
            </w:pPr>
            <w:r>
              <w:t>2.8</w:t>
            </w:r>
          </w:p>
        </w:tc>
        <w:tc>
          <w:tcPr>
            <w:tcW w:w="1849" w:type="dxa"/>
          </w:tcPr>
          <w:p w:rsidR="0088341A" w:rsidRDefault="0088341A" w:rsidP="009C4620">
            <w:pPr>
              <w:pStyle w:val="AERtabletextleft"/>
              <w:cnfStyle w:val="000000010000" w:firstRow="0" w:lastRow="0" w:firstColumn="0" w:lastColumn="0" w:oddVBand="0" w:evenVBand="0" w:oddHBand="0" w:evenHBand="1" w:firstRowFirstColumn="0" w:firstRowLastColumn="0" w:lastRowFirstColumn="0" w:lastRowLastColumn="0"/>
            </w:pPr>
            <w:r>
              <w:t>4.4</w:t>
            </w:r>
          </w:p>
        </w:tc>
        <w:tc>
          <w:tcPr>
            <w:tcW w:w="1849" w:type="dxa"/>
          </w:tcPr>
          <w:p w:rsidR="0088341A" w:rsidRDefault="0088341A" w:rsidP="009C4620">
            <w:pPr>
              <w:pStyle w:val="AERtabletextleft"/>
              <w:cnfStyle w:val="000000010000" w:firstRow="0" w:lastRow="0" w:firstColumn="0" w:lastColumn="0" w:oddVBand="0" w:evenVBand="0" w:oddHBand="0" w:evenHBand="1" w:firstRowFirstColumn="0" w:firstRowLastColumn="0" w:lastRowFirstColumn="0" w:lastRowLastColumn="0"/>
            </w:pPr>
            <w:r>
              <w:t>8.</w:t>
            </w:r>
            <w:r w:rsidR="00501137">
              <w:t>6</w:t>
            </w:r>
          </w:p>
        </w:tc>
      </w:tr>
      <w:tr w:rsidR="0088341A" w:rsidTr="00EB4AB0">
        <w:tc>
          <w:tcPr>
            <w:cnfStyle w:val="001000000000" w:firstRow="0" w:lastRow="0" w:firstColumn="1" w:lastColumn="0" w:oddVBand="0" w:evenVBand="0" w:oddHBand="0" w:evenHBand="0" w:firstRowFirstColumn="0" w:firstRowLastColumn="0" w:lastRowFirstColumn="0" w:lastRowLastColumn="0"/>
            <w:tcW w:w="1848" w:type="dxa"/>
          </w:tcPr>
          <w:p w:rsidR="0088341A" w:rsidRPr="008B5465" w:rsidRDefault="0088341A" w:rsidP="009C4620">
            <w:pPr>
              <w:pStyle w:val="AERtabletextleft"/>
            </w:pPr>
            <w:r w:rsidRPr="008B5465">
              <w:t>Difference</w:t>
            </w:r>
          </w:p>
        </w:tc>
        <w:tc>
          <w:tcPr>
            <w:tcW w:w="1848" w:type="dxa"/>
          </w:tcPr>
          <w:p w:rsidR="0088341A" w:rsidRDefault="0088341A" w:rsidP="009C4620">
            <w:pPr>
              <w:pStyle w:val="AERtabletextleft"/>
              <w:cnfStyle w:val="000000000000" w:firstRow="0" w:lastRow="0" w:firstColumn="0" w:lastColumn="0" w:oddVBand="0" w:evenVBand="0" w:oddHBand="0" w:evenHBand="0" w:firstRowFirstColumn="0" w:firstRowLastColumn="0" w:lastRowFirstColumn="0" w:lastRowLastColumn="0"/>
            </w:pPr>
            <w:r>
              <w:t>3.</w:t>
            </w:r>
            <w:r w:rsidR="00501137">
              <w:t>2</w:t>
            </w:r>
          </w:p>
        </w:tc>
        <w:tc>
          <w:tcPr>
            <w:tcW w:w="1848" w:type="dxa"/>
          </w:tcPr>
          <w:p w:rsidR="0088341A" w:rsidRDefault="0088341A" w:rsidP="009C4620">
            <w:pPr>
              <w:pStyle w:val="AERtabletextleft"/>
              <w:cnfStyle w:val="000000000000" w:firstRow="0" w:lastRow="0" w:firstColumn="0" w:lastColumn="0" w:oddVBand="0" w:evenVBand="0" w:oddHBand="0" w:evenHBand="0" w:firstRowFirstColumn="0" w:firstRowLastColumn="0" w:lastRowFirstColumn="0" w:lastRowLastColumn="0"/>
            </w:pPr>
            <w:r>
              <w:t>4.4</w:t>
            </w:r>
          </w:p>
        </w:tc>
        <w:tc>
          <w:tcPr>
            <w:tcW w:w="1849" w:type="dxa"/>
          </w:tcPr>
          <w:p w:rsidR="0088341A" w:rsidRDefault="0088341A" w:rsidP="009C4620">
            <w:pPr>
              <w:pStyle w:val="AERtabletextleft"/>
              <w:cnfStyle w:val="000000000000" w:firstRow="0" w:lastRow="0" w:firstColumn="0" w:lastColumn="0" w:oddVBand="0" w:evenVBand="0" w:oddHBand="0" w:evenHBand="0" w:firstRowFirstColumn="0" w:firstRowLastColumn="0" w:lastRowFirstColumn="0" w:lastRowLastColumn="0"/>
            </w:pPr>
            <w:r>
              <w:t>5.9</w:t>
            </w:r>
          </w:p>
        </w:tc>
        <w:tc>
          <w:tcPr>
            <w:tcW w:w="1849" w:type="dxa"/>
          </w:tcPr>
          <w:p w:rsidR="0088341A" w:rsidRDefault="0088341A" w:rsidP="009C4620">
            <w:pPr>
              <w:pStyle w:val="AERtabletextleft"/>
              <w:cnfStyle w:val="000000000000" w:firstRow="0" w:lastRow="0" w:firstColumn="0" w:lastColumn="0" w:oddVBand="0" w:evenVBand="0" w:oddHBand="0" w:evenHBand="0" w:firstRowFirstColumn="0" w:firstRowLastColumn="0" w:lastRowFirstColumn="0" w:lastRowLastColumn="0"/>
            </w:pPr>
            <w:r>
              <w:t>13.</w:t>
            </w:r>
            <w:r w:rsidR="00501137">
              <w:t>5</w:t>
            </w:r>
          </w:p>
        </w:tc>
      </w:tr>
    </w:tbl>
    <w:p w:rsidR="0088341A" w:rsidRDefault="0088341A" w:rsidP="0088341A">
      <w:pPr>
        <w:pStyle w:val="AERtablesource"/>
      </w:pPr>
      <w:r>
        <w:t>Source:</w:t>
      </w:r>
      <w:r>
        <w:tab/>
        <w:t xml:space="preserve">AER analysis. </w:t>
      </w:r>
      <w:r w:rsidR="00501137">
        <w:t>Numbers may not add due to rounding.</w:t>
      </w:r>
    </w:p>
    <w:p w:rsidR="0088341A" w:rsidRPr="00A907E9" w:rsidRDefault="0088341A" w:rsidP="0088341A">
      <w:pPr>
        <w:pStyle w:val="Heading3"/>
        <w:numPr>
          <w:ilvl w:val="3"/>
          <w:numId w:val="20"/>
        </w:numPr>
      </w:pPr>
      <w:bookmarkStart w:id="164" w:name="_Ref360117147"/>
      <w:r w:rsidRPr="00A907E9">
        <w:t>Prudency and cost estimation</w:t>
      </w:r>
      <w:bookmarkEnd w:id="164"/>
    </w:p>
    <w:p w:rsidR="0088341A" w:rsidRDefault="0088341A" w:rsidP="0088341A">
      <w:pPr>
        <w:pStyle w:val="HeadingBoldBlue"/>
      </w:pPr>
      <w:r>
        <w:t>Prudency</w:t>
      </w:r>
    </w:p>
    <w:p w:rsidR="0088341A" w:rsidRPr="00FB510E" w:rsidRDefault="0088341A" w:rsidP="0088341A">
      <w:pPr>
        <w:pStyle w:val="AERbodytext"/>
        <w:numPr>
          <w:ilvl w:val="0"/>
          <w:numId w:val="1"/>
        </w:numPr>
      </w:pPr>
      <w:r>
        <w:t xml:space="preserve">We reduced SP AusNet's forecast capex by $26.4 million to account for prudent changes we expect SP AusNet will make to its capex program during the 2014–17 regulatory control period. We consider that in deriving its forecast capex SP AusNet has not adequately accounted for its own commitment to continuous improvement in delivering its capex program. </w:t>
      </w:r>
      <w:r w:rsidRPr="00FB510E">
        <w:t>As projects and work programs progress from being a concept to being fully scoped, a prudent transmission network service provider (TNSP) is likely to find ways to make improvements</w:t>
      </w:r>
      <w:r>
        <w:t>. F</w:t>
      </w:r>
      <w:r w:rsidRPr="00FB510E">
        <w:t xml:space="preserve">or example, </w:t>
      </w:r>
      <w:r>
        <w:t xml:space="preserve">a TNSP might </w:t>
      </w:r>
      <w:r w:rsidRPr="00FB510E">
        <w:t>chang</w:t>
      </w:r>
      <w:r>
        <w:t>e</w:t>
      </w:r>
      <w:r w:rsidRPr="00FB510E">
        <w:t xml:space="preserve"> the scope of a project, optimis</w:t>
      </w:r>
      <w:r>
        <w:t>e</w:t>
      </w:r>
      <w:r w:rsidRPr="00FB510E">
        <w:t xml:space="preserve"> a project's design and specification, defer certain projects, and find economies of </w:t>
      </w:r>
      <w:r w:rsidRPr="00FB510E">
        <w:lastRenderedPageBreak/>
        <w:t xml:space="preserve">scope by integrating projects. Such continuous improvement will lead to </w:t>
      </w:r>
      <w:r>
        <w:t>a prudent TNSP</w:t>
      </w:r>
      <w:r w:rsidRPr="00FB510E">
        <w:t xml:space="preserve"> revising its cost estimates as projects develop. </w:t>
      </w:r>
    </w:p>
    <w:p w:rsidR="0088341A" w:rsidRDefault="0088341A" w:rsidP="0088341A">
      <w:pPr>
        <w:pStyle w:val="AERbodytext"/>
        <w:numPr>
          <w:ilvl w:val="0"/>
          <w:numId w:val="1"/>
        </w:numPr>
      </w:pPr>
      <w:r>
        <w:t xml:space="preserve">We consider </w:t>
      </w:r>
      <w:r w:rsidRPr="00FB510E">
        <w:t xml:space="preserve">SP AusNet's asset management framework (including SP AusNet's commitment to continuous improvement) will lead to SP AusNet finding economies and making prudent changes to </w:t>
      </w:r>
      <w:r>
        <w:t>certain</w:t>
      </w:r>
      <w:r w:rsidRPr="00FB510E">
        <w:t xml:space="preserve"> projects</w:t>
      </w:r>
      <w:r>
        <w:t xml:space="preserve"> during the 2014–17 regulatory control period</w:t>
      </w:r>
      <w:r w:rsidRPr="00FB510E">
        <w:t xml:space="preserve">. </w:t>
      </w:r>
      <w:r>
        <w:t xml:space="preserve">During this period </w:t>
      </w:r>
      <w:r w:rsidRPr="00FB510E">
        <w:t xml:space="preserve">SP AusNet </w:t>
      </w:r>
      <w:r>
        <w:t>should be able</w:t>
      </w:r>
      <w:r w:rsidRPr="00FB510E">
        <w:t xml:space="preserve"> </w:t>
      </w:r>
      <w:r w:rsidR="00D422B0">
        <w:t xml:space="preserve">to </w:t>
      </w:r>
      <w:r w:rsidRPr="00FB510E">
        <w:t>identify projects for which it would be prudent to change the scope, optimise the design and specification, integrate with other projects, and/or defer projects. As identified by EMCa, such changes occurred during the 2008–14 regulatory control period, so actual capex was less than SP AusNet estimated.</w:t>
      </w:r>
      <w:r>
        <w:rPr>
          <w:rStyle w:val="FootnoteReference"/>
        </w:rPr>
        <w:footnoteReference w:id="201"/>
      </w:r>
      <w:r w:rsidRPr="00FB510E">
        <w:t xml:space="preserve"> </w:t>
      </w:r>
      <w:r>
        <w:t>Further, EMCa stated:</w:t>
      </w:r>
      <w:r>
        <w:rPr>
          <w:rStyle w:val="FootnoteReference"/>
        </w:rPr>
        <w:footnoteReference w:id="202"/>
      </w:r>
    </w:p>
    <w:p w:rsidR="0088341A" w:rsidRDefault="0088341A" w:rsidP="0088341A">
      <w:pPr>
        <w:pStyle w:val="AERquote"/>
      </w:pPr>
      <w:r>
        <w:t>At a portfolio level, we consider that there will be considerable opportunities to rationalise this [capex] program, to de-scope certain projects through prudent engineering, to prudently defer projects as more information is gathered and to refine cost estimates. We consider that the evidence from the current RCP outcomes leads to the conclusion that SP AusNet will find that it needs to spend less at a portfolio level than it has currently proposed.</w:t>
      </w:r>
    </w:p>
    <w:p w:rsidR="0088341A" w:rsidRDefault="0088341A" w:rsidP="0088341A">
      <w:pPr>
        <w:pStyle w:val="AERbodytext"/>
        <w:numPr>
          <w:ilvl w:val="0"/>
          <w:numId w:val="1"/>
        </w:numPr>
      </w:pPr>
      <w:r>
        <w:t xml:space="preserve">SP AusNet's forecast capex is built up from the cost estimates of its individual projects and programs of work. However, taking account of the continuous improvement to its capex delivery program during the 2014–17 regulatory control period, at a portfolio level we consider SP AusNet's efficient and prudent capex requirements will be less than it has forecast. We consider that in developing a portfolio of capital projects that make up the total capex forecast, SP AusNet should account for these prudent adjustments. </w:t>
      </w:r>
    </w:p>
    <w:p w:rsidR="0088341A" w:rsidRDefault="0088341A" w:rsidP="0088341A">
      <w:pPr>
        <w:pStyle w:val="AERbodytext"/>
        <w:numPr>
          <w:ilvl w:val="0"/>
          <w:numId w:val="1"/>
        </w:numPr>
      </w:pPr>
      <w:r>
        <w:t>We adopte</w:t>
      </w:r>
      <w:r w:rsidR="00B40D47">
        <w:t>d EMCa's recommended method</w:t>
      </w:r>
      <w:r>
        <w:t xml:space="preserve"> to determine the prudency adjustments that should be made to SP AusNet's capex forecast. EMCa compared SP AusNet's forecast capex with its historical capex in the 2008–14 regulatory control period. It reviewed 57 projects, of which it classified 14 as site-specific projects and the remaining 43 as programs of work. All of the 14 site-specific projects relate to the 'major stations' capex category, while the programs of work cover the 'asset replacement' and the 'safety, security and compliance' categories. For those projects that had</w:t>
      </w:r>
      <w:r w:rsidR="00B40D47">
        <w:t xml:space="preserve"> business cases, EMCa found</w:t>
      </w:r>
      <w:r>
        <w:t xml:space="preserve"> SP AusNet's cost estimates were relatively accurate, with only a 1.4 per cent over-estimation bias. </w:t>
      </w:r>
    </w:p>
    <w:p w:rsidR="0088341A" w:rsidRDefault="0088341A" w:rsidP="0088341A">
      <w:pPr>
        <w:pStyle w:val="AERbodytext"/>
        <w:numPr>
          <w:ilvl w:val="0"/>
          <w:numId w:val="1"/>
        </w:numPr>
      </w:pPr>
      <w:r>
        <w:t>For those projects and programs without business cases, EMCa found SP AusNet spent on average 11.7 per cent less than it proposed on site-specific projects and 12.6 per cent less on programs of works. In its review of those projects EMCa found the reason for this underspend was a combination of prudent changes to the scope of some projects, optimising the engineering design and specification, and the prudent deferral of some projects.</w:t>
      </w:r>
      <w:r w:rsidRPr="000E388A">
        <w:rPr>
          <w:rStyle w:val="FootnoteReference"/>
        </w:rPr>
        <w:footnoteReference w:id="203"/>
      </w:r>
      <w:r>
        <w:t xml:space="preserve"> EMCa also found cost estimation bias accounted for 1.4 percent</w:t>
      </w:r>
      <w:r w:rsidR="00AA171A">
        <w:t>age points</w:t>
      </w:r>
      <w:r>
        <w:t xml:space="preserve"> of this underspend (discussed in the subsection below). The remaining underspend—10.3 percent</w:t>
      </w:r>
      <w:r w:rsidR="00AA171A">
        <w:t>age points</w:t>
      </w:r>
      <w:r>
        <w:t xml:space="preserve"> for site-specific projects and 11.2 percent</w:t>
      </w:r>
      <w:r w:rsidR="00AA171A">
        <w:t>age points</w:t>
      </w:r>
      <w:r>
        <w:t xml:space="preserve"> for programs of work—are for prudency gains. Except for</w:t>
      </w:r>
      <w:r w:rsidRPr="009002F2">
        <w:t xml:space="preserve"> </w:t>
      </w:r>
      <w:r>
        <w:t xml:space="preserve">the </w:t>
      </w:r>
      <w:r w:rsidRPr="009002F2">
        <w:t xml:space="preserve">projects for which </w:t>
      </w:r>
      <w:r>
        <w:t>it</w:t>
      </w:r>
      <w:r w:rsidRPr="009002F2">
        <w:t xml:space="preserve"> recommended specific adjustments (section </w:t>
      </w:r>
      <w:r w:rsidRPr="009002F2">
        <w:fldChar w:fldCharType="begin"/>
      </w:r>
      <w:r w:rsidRPr="009002F2">
        <w:instrText xml:space="preserve"> REF _Ref359852811 \r \h </w:instrText>
      </w:r>
      <w:r w:rsidRPr="009002F2">
        <w:fldChar w:fldCharType="separate"/>
      </w:r>
      <w:r w:rsidR="004F35AA">
        <w:t>2.4.3</w:t>
      </w:r>
      <w:r w:rsidRPr="009002F2">
        <w:fldChar w:fldCharType="end"/>
      </w:r>
      <w:r>
        <w:t xml:space="preserve"> of this draft decision) EMCa reco</w:t>
      </w:r>
      <w:r w:rsidRPr="009002F2">
        <w:t xml:space="preserve">mmended we </w:t>
      </w:r>
      <w:r>
        <w:t>reduce</w:t>
      </w:r>
      <w:r w:rsidRPr="009002F2">
        <w:t xml:space="preserve"> SP AusNet's forecast capex for the 2014–17 regulatory control period by the </w:t>
      </w:r>
      <w:r>
        <w:t>these</w:t>
      </w:r>
      <w:r w:rsidRPr="009002F2">
        <w:t xml:space="preserve"> percentages</w:t>
      </w:r>
      <w:r>
        <w:t>, which are:</w:t>
      </w:r>
    </w:p>
    <w:p w:rsidR="0088341A" w:rsidRDefault="0088341A" w:rsidP="0088341A">
      <w:pPr>
        <w:pStyle w:val="AERbulletlistfirststyle"/>
      </w:pPr>
      <w:r>
        <w:t>a 1.4 per cent reduction for projects and programs of work with business cases (other than those that are substantially underway)</w:t>
      </w:r>
    </w:p>
    <w:p w:rsidR="0088341A" w:rsidRDefault="0088341A" w:rsidP="0088341A">
      <w:pPr>
        <w:pStyle w:val="AERbulletlistfirststyle"/>
      </w:pPr>
      <w:r>
        <w:t>an 11.7 per cent reduction for other site-specific projects</w:t>
      </w:r>
    </w:p>
    <w:p w:rsidR="0088341A" w:rsidRDefault="0088341A" w:rsidP="0088341A">
      <w:pPr>
        <w:pStyle w:val="AERbulletlistfirststyle"/>
      </w:pPr>
      <w:r>
        <w:lastRenderedPageBreak/>
        <w:t>a 12.6 per cent reduction for other programs of work that are not site-specific.</w:t>
      </w:r>
      <w:r>
        <w:rPr>
          <w:rStyle w:val="FootnoteReference"/>
        </w:rPr>
        <w:footnoteReference w:id="204"/>
      </w:r>
      <w:r>
        <w:t xml:space="preserve"> </w:t>
      </w:r>
    </w:p>
    <w:p w:rsidR="0088341A" w:rsidRPr="00DB03F3" w:rsidRDefault="0088341A" w:rsidP="0088341A">
      <w:pPr>
        <w:pStyle w:val="AERbodytext"/>
        <w:numPr>
          <w:ilvl w:val="0"/>
          <w:numId w:val="1"/>
        </w:numPr>
      </w:pPr>
      <w:r>
        <w:t>As in the 2008–14 regulatory control period, SP AusNet's forecast capex for the 2014–17 regulatory control period is built up from SP AusNet's cost estimates for 35 individual projects or programs of work. SP AusNet's total forecast capex includes 16 site-specific projects (plus one project that is an aggregate of existing committed projects that are underway) and 18 programs of work that are not site-specific. Of</w:t>
      </w:r>
      <w:r w:rsidR="00A02FAD">
        <w:t xml:space="preserve"> the site-specific projects, five</w:t>
      </w:r>
      <w:r>
        <w:t xml:space="preserve"> are well underway (all of these projects have business cases), three other projects have business cases, and eight do not have business cases. None of the 18 programs of work have business cases. We expect SP AusNet will identify prudent changes to its capex program over the course of the 2014–17 regulatory control period similar to the prudent changes it made during the 2008–</w:t>
      </w:r>
      <w:r w:rsidRPr="00DB03F3">
        <w:t xml:space="preserve">14 regulatory control period. </w:t>
      </w:r>
      <w:r w:rsidRPr="00992249">
        <w:t xml:space="preserve">So at the portfolio level </w:t>
      </w:r>
      <w:r>
        <w:t xml:space="preserve">we expect </w:t>
      </w:r>
      <w:r w:rsidR="00D422B0">
        <w:t>SP </w:t>
      </w:r>
      <w:r w:rsidRPr="00992249">
        <w:t xml:space="preserve">AusNet's actual total capex in the 2014–17 regulatory control period </w:t>
      </w:r>
      <w:r>
        <w:t>will</w:t>
      </w:r>
      <w:r w:rsidRPr="00992249">
        <w:t xml:space="preserve"> be less than the aggregate of the forecast capex for each of its individual projects and programs of work. </w:t>
      </w:r>
      <w:r>
        <w:t>We consider these expected changes should be reflected in lower forecast capex than SP AusNet forecast by applying the adjustments that EMCa recommended.</w:t>
      </w:r>
    </w:p>
    <w:p w:rsidR="0088341A" w:rsidRDefault="0088341A" w:rsidP="0088341A">
      <w:pPr>
        <w:pStyle w:val="HeadingBoldBlue"/>
      </w:pPr>
      <w:r>
        <w:t>Cost estimation bias</w:t>
      </w:r>
    </w:p>
    <w:p w:rsidR="0088341A" w:rsidRDefault="0088341A" w:rsidP="0088341A">
      <w:pPr>
        <w:pStyle w:val="AERbodytext"/>
        <w:numPr>
          <w:ilvl w:val="0"/>
          <w:numId w:val="0"/>
        </w:numPr>
      </w:pPr>
      <w:r>
        <w:t>Although we consider SP AusNet's cost estimation process for individual projects and programs of work to be generally sound, we consider there is an over-estimation bias which is likely to flow into SP AusNet's forecast capex. For this reason we reduced SP AusNet's forecast capex by $3.9 million to eliminate the expected over-estimation bias. This over-estimation bias stems from concerns we and EMCa have with certain aspects of SP AusNet's cost estimation process:</w:t>
      </w:r>
    </w:p>
    <w:p w:rsidR="0088341A" w:rsidRDefault="0088341A" w:rsidP="0088341A">
      <w:pPr>
        <w:pStyle w:val="AERbulletlistfirststyle"/>
      </w:pPr>
      <w:r>
        <w:t xml:space="preserve">SP AusNet uses a spreadsheet-based approach which we consider may lead to errors. These errors could include SP AusNet applying unit rates inconsistently to different projects and making calculation errors for some projects. </w:t>
      </w:r>
    </w:p>
    <w:p w:rsidR="0088341A" w:rsidRDefault="0088341A" w:rsidP="0088341A">
      <w:pPr>
        <w:pStyle w:val="AERbulletlistfirststyle"/>
      </w:pPr>
      <w:r>
        <w:t>SP AusNet's labour cost estimates do not appear to be based on competitive outcomes—for example, projects sourced internally are allocated to project delivery teams and competitive quotes are not sought.</w:t>
      </w:r>
    </w:p>
    <w:p w:rsidR="0088341A" w:rsidRDefault="0088341A" w:rsidP="0088341A">
      <w:pPr>
        <w:pStyle w:val="AERbulletlistfirststyle"/>
      </w:pPr>
      <w:r>
        <w:t>SP AusNet did not provide comparable benchmark information to demonstrate that its labour costs are competitive.</w:t>
      </w:r>
      <w:r>
        <w:rPr>
          <w:rStyle w:val="FootnoteReference"/>
        </w:rPr>
        <w:footnoteReference w:id="205"/>
      </w:r>
      <w:r>
        <w:t xml:space="preserve"> </w:t>
      </w:r>
    </w:p>
    <w:p w:rsidR="0088341A" w:rsidRDefault="0088341A" w:rsidP="0088341A">
      <w:pPr>
        <w:pStyle w:val="AERbodytext"/>
        <w:numPr>
          <w:ilvl w:val="0"/>
          <w:numId w:val="0"/>
        </w:numPr>
      </w:pPr>
      <w:r>
        <w:t>For these reasons, EMCa undertook</w:t>
      </w:r>
      <w:r w:rsidR="00B40D47">
        <w:t xml:space="preserve"> an ex post analysis of how SP AusNet</w:t>
      </w:r>
      <w:r>
        <w:t xml:space="preserve"> applied its cost estimation process during the 2008–14 regulatory control period to test the reasonableness of the cost estimates used to derive its forecast capex for the 2014–17 regulatory control period. EMCa found that for projects with business cases (and which were not substantially underway at the commencement of the 2008–14 regulatory control period) SP AusNet's cost estimates were within an acceptable range (compared with the eventual actual costs). However, it found an over-estimation bias of 1.4 per cent. Accordingly, EMCa recommended we reduce SP AusNet's forecast capex by 1.4 per cent (other than for projects that are substantially underway).</w:t>
      </w:r>
      <w:r>
        <w:rPr>
          <w:rStyle w:val="FootnoteReference"/>
        </w:rPr>
        <w:footnoteReference w:id="206"/>
      </w:r>
      <w:r>
        <w:t xml:space="preserve"> We accept EMCa's recommendation that the over-estimation bias should be removed from SP AusNet's forecast capex. This 1.4 per cent adjustment is not in addition to the prudency adjustmen</w:t>
      </w:r>
      <w:r w:rsidRPr="00A055C4">
        <w:t xml:space="preserve">ts identified in the previous </w:t>
      </w:r>
      <w:r>
        <w:t>subsections, but rather it is inherent in those adjustments—for example, of the 11.7 per cent adjustment for site-specific</w:t>
      </w:r>
      <w:r w:rsidR="00D422B0">
        <w:t xml:space="preserve"> projects, we attribute 1.4 per</w:t>
      </w:r>
      <w:r>
        <w:t>cent</w:t>
      </w:r>
      <w:r w:rsidR="00D422B0">
        <w:t>age points</w:t>
      </w:r>
      <w:r>
        <w:t xml:space="preserve"> to cost estimation bias and 10.3 percent</w:t>
      </w:r>
      <w:r w:rsidR="00D422B0">
        <w:t>age</w:t>
      </w:r>
      <w:r>
        <w:t xml:space="preserve"> </w:t>
      </w:r>
      <w:r w:rsidR="00A02FAD">
        <w:t xml:space="preserve">points </w:t>
      </w:r>
      <w:r>
        <w:t xml:space="preserve">to prudent changes. </w:t>
      </w:r>
    </w:p>
    <w:p w:rsidR="0088341A" w:rsidRDefault="0088341A" w:rsidP="0088341A">
      <w:pPr>
        <w:pStyle w:val="HeadingBoldBlue"/>
      </w:pPr>
      <w:r>
        <w:lastRenderedPageBreak/>
        <w:t>Summary</w:t>
      </w:r>
    </w:p>
    <w:p w:rsidR="0088341A" w:rsidRDefault="0088341A" w:rsidP="0088341A">
      <w:pPr>
        <w:pStyle w:val="AERbodytext"/>
        <w:numPr>
          <w:ilvl w:val="0"/>
          <w:numId w:val="0"/>
        </w:numPr>
      </w:pPr>
      <w:r>
        <w:t>A simple, hypothetical example of how the 11.7 per cent adjustment is applied to a site-specific project is set out below. In short, as the project progresses from the concept stage to completion, SP AusNet is likely to make prudent changes to the project, resulting in a reduction in the estimated cost of 10.3 per cent (on average). Once the project is substantially underway, because of the over-estimation bias, actual costs are likely to be a further 1.4 per cent lower than the conceptual stage cost estimate.</w:t>
      </w:r>
    </w:p>
    <w:p w:rsidR="0088341A" w:rsidRPr="003A2B3B" w:rsidRDefault="0088341A" w:rsidP="0088341A">
      <w:pPr>
        <w:pStyle w:val="AERbodytext"/>
        <w:numPr>
          <w:ilvl w:val="0"/>
          <w:numId w:val="0"/>
        </w:numPr>
      </w:pPr>
      <w:r>
        <w:rPr>
          <w:noProof/>
          <w:lang w:eastAsia="en-AU"/>
        </w:rPr>
        <mc:AlternateContent>
          <mc:Choice Requires="wps">
            <w:drawing>
              <wp:anchor distT="0" distB="0" distL="114300" distR="114300" simplePos="0" relativeHeight="251665408" behindDoc="0" locked="0" layoutInCell="1" allowOverlap="1" wp14:anchorId="69531A01" wp14:editId="34199738">
                <wp:simplePos x="0" y="0"/>
                <wp:positionH relativeFrom="column">
                  <wp:posOffset>1600200</wp:posOffset>
                </wp:positionH>
                <wp:positionV relativeFrom="paragraph">
                  <wp:posOffset>254000</wp:posOffset>
                </wp:positionV>
                <wp:extent cx="2502535" cy="508635"/>
                <wp:effectExtent l="19050" t="25400" r="21590" b="2794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2535" cy="508635"/>
                        </a:xfrm>
                        <a:prstGeom prst="rect">
                          <a:avLst/>
                        </a:prstGeom>
                        <a:solidFill>
                          <a:srgbClr val="DAEEF3"/>
                        </a:solidFill>
                        <a:ln w="38100" cmpd="dbl">
                          <a:solidFill>
                            <a:srgbClr val="000000"/>
                          </a:solidFill>
                          <a:miter lim="800000"/>
                          <a:headEnd/>
                          <a:tailEnd/>
                        </a:ln>
                      </wps:spPr>
                      <wps:txbx>
                        <w:txbxContent>
                          <w:p w:rsidR="009E166E" w:rsidRDefault="009E166E" w:rsidP="0088341A">
                            <w:pPr>
                              <w:pStyle w:val="AERtabletextleft"/>
                            </w:pPr>
                            <w:r>
                              <w:t>Conceptual stage design. Cost estimate of the project is $100 million.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47" type="#_x0000_t202" style="position:absolute;left:0;text-align:left;margin-left:126pt;margin-top:20pt;width:197.05pt;height:4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" fillcolor="#daeef3" strokeweight="3pt">
                <v:stroke linestyle="thinThin"/>
                <v:textbox>
                  <w:txbxContent>
                    <w:p w:rsidR="009E166E" w:rsidRDefault="009E166E" w:rsidP="0088341A">
                      <w:pPr>
                        <w:pStyle w:val="AERtabletextleft"/>
                      </w:pPr>
                      <w:r>
                        <w:t>Conceptual stage design. Cost estimate of the project is $100 million.</w:t>
                      </w:r>
                    </w:p>
                  </w:txbxContent>
                </v:textbox>
              </v:shape>
            </w:pict>
          </mc:Fallback>
        </mc:AlternateContent>
      </w:r>
    </w:p>
    <w:p w:rsidR="0088341A" w:rsidRDefault="0088341A" w:rsidP="0088341A">
      <w:pPr>
        <w:pStyle w:val="AERbodytext"/>
        <w:numPr>
          <w:ilvl w:val="0"/>
          <w:numId w:val="1"/>
        </w:numPr>
      </w:pPr>
    </w:p>
    <w:p w:rsidR="0088341A" w:rsidRPr="00175AB2" w:rsidRDefault="0088341A" w:rsidP="0088341A">
      <w:pPr>
        <w:pStyle w:val="AERbodytext"/>
        <w:numPr>
          <w:ilvl w:val="0"/>
          <w:numId w:val="1"/>
        </w:numPr>
      </w:pPr>
    </w:p>
    <w:p w:rsidR="0088341A" w:rsidRDefault="0088341A" w:rsidP="0088341A">
      <w:pPr>
        <w:pStyle w:val="AERbodytext"/>
        <w:numPr>
          <w:ilvl w:val="0"/>
          <w:numId w:val="1"/>
        </w:numPr>
      </w:pPr>
      <w:r>
        <w:rPr>
          <w:noProof/>
          <w:lang w:eastAsia="en-AU"/>
        </w:rPr>
        <mc:AlternateContent>
          <mc:Choice Requires="wps">
            <w:drawing>
              <wp:anchor distT="0" distB="0" distL="114300" distR="114300" simplePos="0" relativeHeight="251667456" behindDoc="0" locked="0" layoutInCell="1" allowOverlap="1" wp14:anchorId="54CB06AD" wp14:editId="0BCBF1B1">
                <wp:simplePos x="0" y="0"/>
                <wp:positionH relativeFrom="column">
                  <wp:posOffset>1588135</wp:posOffset>
                </wp:positionH>
                <wp:positionV relativeFrom="paragraph">
                  <wp:posOffset>166370</wp:posOffset>
                </wp:positionV>
                <wp:extent cx="2514600" cy="685800"/>
                <wp:effectExtent l="26035" t="23495" r="21590" b="2413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85800"/>
                        </a:xfrm>
                        <a:prstGeom prst="rect">
                          <a:avLst/>
                        </a:prstGeom>
                        <a:solidFill>
                          <a:srgbClr val="DAEEF3"/>
                        </a:solidFill>
                        <a:ln w="38100" cmpd="dbl">
                          <a:solidFill>
                            <a:srgbClr val="000000"/>
                          </a:solidFill>
                          <a:miter lim="800000"/>
                          <a:headEnd/>
                          <a:tailEnd/>
                        </a:ln>
                      </wps:spPr>
                      <wps:txbx>
                        <w:txbxContent>
                          <w:p w:rsidR="009E166E" w:rsidRDefault="009E166E" w:rsidP="0088341A">
                            <w:pPr>
                              <w:pStyle w:val="AERtabletextleft"/>
                            </w:pPr>
                            <w:r>
                              <w:t>As the project develops from the concept stage and becomes more refined and detailed</w:t>
                            </w:r>
                            <w:r w:rsidRPr="00A61BB5">
                              <w:t xml:space="preserve">, </w:t>
                            </w:r>
                            <w:r>
                              <w:t>the TNSP identifies cost savings</w:t>
                            </w:r>
                            <w:r w:rsidRPr="00A61BB5">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48" type="#_x0000_t202" style="position:absolute;left:0;text-align:left;margin-left:125.05pt;margin-top:13.1pt;width:198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" fillcolor="#daeef3" strokeweight="3pt">
                <v:stroke linestyle="thinThin"/>
                <v:textbox>
                  <w:txbxContent>
                    <w:p w:rsidR="009E166E" w:rsidRDefault="009E166E" w:rsidP="0088341A">
                      <w:pPr>
                        <w:pStyle w:val="AERtabletextleft"/>
                      </w:pPr>
                      <w:r>
                        <w:t>As the project develops from the concept stage and becomes more refined and detailed</w:t>
                      </w:r>
                      <w:r w:rsidRPr="00A61BB5">
                        <w:t xml:space="preserve">, </w:t>
                      </w:r>
                      <w:r>
                        <w:t>the TNSP identifies cost savings</w:t>
                      </w:r>
                      <w:r w:rsidRPr="00A61BB5">
                        <w:t>.</w:t>
                      </w:r>
                    </w:p>
                  </w:txbxContent>
                </v:textbox>
              </v:shape>
            </w:pict>
          </mc:Fallback>
        </mc:AlternateContent>
      </w:r>
    </w:p>
    <w:p w:rsidR="0088341A" w:rsidRPr="00175AB2" w:rsidRDefault="0088341A" w:rsidP="0088341A">
      <w:pPr>
        <w:pStyle w:val="AERbodytext"/>
        <w:numPr>
          <w:ilvl w:val="0"/>
          <w:numId w:val="1"/>
        </w:numPr>
      </w:pPr>
    </w:p>
    <w:p w:rsidR="0088341A" w:rsidRDefault="0088341A" w:rsidP="0088341A">
      <w:pPr>
        <w:pStyle w:val="AERbodytext"/>
        <w:numPr>
          <w:ilvl w:val="0"/>
          <w:numId w:val="1"/>
        </w:numPr>
      </w:pPr>
      <w:r>
        <w:rPr>
          <w:noProof/>
          <w:lang w:eastAsia="en-AU"/>
        </w:rPr>
        <mc:AlternateContent>
          <mc:Choice Requires="wps">
            <w:drawing>
              <wp:anchor distT="0" distB="0" distL="114300" distR="114300" simplePos="0" relativeHeight="251670528" behindDoc="0" locked="0" layoutInCell="1" allowOverlap="1" wp14:anchorId="2A03DAC9" wp14:editId="70ED0F6F">
                <wp:simplePos x="0" y="0"/>
                <wp:positionH relativeFrom="column">
                  <wp:posOffset>2851150</wp:posOffset>
                </wp:positionH>
                <wp:positionV relativeFrom="paragraph">
                  <wp:posOffset>196850</wp:posOffset>
                </wp:positionV>
                <wp:extent cx="635" cy="386715"/>
                <wp:effectExtent l="60325" t="15875" r="62865" b="26035"/>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8671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9" o:spid="_x0000_s1026" type="#_x0000_t32" style="position:absolute;margin-left:224.5pt;margin-top:15.5pt;width:.05pt;height:30.4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" strokeweight="1.5pt">
                <v:stroke endarrow="block"/>
              </v:shape>
            </w:pict>
          </mc:Fallback>
        </mc:AlternateContent>
      </w:r>
    </w:p>
    <w:p w:rsidR="0088341A" w:rsidRPr="00175AB2" w:rsidRDefault="0088341A" w:rsidP="0088341A">
      <w:pPr>
        <w:pStyle w:val="AERbodytext"/>
        <w:numPr>
          <w:ilvl w:val="0"/>
          <w:numId w:val="1"/>
        </w:numPr>
      </w:pPr>
      <w:r>
        <w:rPr>
          <w:noProof/>
          <w:lang w:eastAsia="en-AU"/>
        </w:rPr>
        <mc:AlternateContent>
          <mc:Choice Requires="wps">
            <w:drawing>
              <wp:anchor distT="0" distB="0" distL="114300" distR="114300" simplePos="0" relativeHeight="251668480" behindDoc="0" locked="0" layoutInCell="1" allowOverlap="1" wp14:anchorId="5175FAED" wp14:editId="36283BA0">
                <wp:simplePos x="0" y="0"/>
                <wp:positionH relativeFrom="column">
                  <wp:posOffset>1600200</wp:posOffset>
                </wp:positionH>
                <wp:positionV relativeFrom="paragraph">
                  <wp:posOffset>241935</wp:posOffset>
                </wp:positionV>
                <wp:extent cx="2524125" cy="623570"/>
                <wp:effectExtent l="19050" t="22860" r="19050" b="2032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623570"/>
                        </a:xfrm>
                        <a:prstGeom prst="rect">
                          <a:avLst/>
                        </a:prstGeom>
                        <a:solidFill>
                          <a:srgbClr val="DAEEF3"/>
                        </a:solidFill>
                        <a:ln w="38100" cmpd="dbl">
                          <a:solidFill>
                            <a:srgbClr val="000000"/>
                          </a:solidFill>
                          <a:miter lim="800000"/>
                          <a:headEnd/>
                          <a:tailEnd/>
                        </a:ln>
                      </wps:spPr>
                      <wps:txbx>
                        <w:txbxContent>
                          <w:p w:rsidR="009E166E" w:rsidRDefault="009E166E" w:rsidP="0088341A">
                            <w:pPr>
                              <w:pStyle w:val="AERtabletextleft"/>
                            </w:pPr>
                            <w:r>
                              <w:t>Revised cost estimate is $89.7 million (10.3 per cent less than the conceptual stage estimate). A business case is prepared.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49" type="#_x0000_t202" style="position:absolute;left:0;text-align:left;margin-left:126pt;margin-top:19.05pt;width:198.75pt;height:49.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" fillcolor="#daeef3" strokeweight="3pt">
                <v:stroke linestyle="thinThin"/>
                <v:textbox>
                  <w:txbxContent>
                    <w:p w:rsidR="009E166E" w:rsidRDefault="009E166E" w:rsidP="0088341A">
                      <w:pPr>
                        <w:pStyle w:val="AERtabletextleft"/>
                      </w:pPr>
                      <w:r>
                        <w:t>Revised cost estimate is $89.7 million (10.3 per cent less than the conceptual stage estimate). A business case is prepared.</w:t>
                      </w:r>
                    </w:p>
                  </w:txbxContent>
                </v:textbox>
              </v:shape>
            </w:pict>
          </mc:Fallback>
        </mc:AlternateContent>
      </w:r>
    </w:p>
    <w:p w:rsidR="0088341A" w:rsidRDefault="0088341A" w:rsidP="0088341A">
      <w:pPr>
        <w:pStyle w:val="AERbodytext"/>
        <w:numPr>
          <w:ilvl w:val="0"/>
          <w:numId w:val="1"/>
        </w:numPr>
      </w:pPr>
    </w:p>
    <w:p w:rsidR="0088341A" w:rsidRPr="00175AB2" w:rsidRDefault="0088341A" w:rsidP="0088341A">
      <w:pPr>
        <w:pStyle w:val="AERbodytext"/>
        <w:numPr>
          <w:ilvl w:val="0"/>
          <w:numId w:val="1"/>
        </w:numPr>
      </w:pPr>
      <w:r>
        <w:rPr>
          <w:noProof/>
          <w:lang w:eastAsia="en-AU"/>
        </w:rPr>
        <mc:AlternateContent>
          <mc:Choice Requires="wps">
            <w:drawing>
              <wp:anchor distT="0" distB="0" distL="114300" distR="114300" simplePos="0" relativeHeight="251671552" behindDoc="0" locked="0" layoutInCell="1" allowOverlap="1" wp14:anchorId="408447AF" wp14:editId="2DBEE742">
                <wp:simplePos x="0" y="0"/>
                <wp:positionH relativeFrom="column">
                  <wp:posOffset>2850515</wp:posOffset>
                </wp:positionH>
                <wp:positionV relativeFrom="paragraph">
                  <wp:posOffset>-1858645</wp:posOffset>
                </wp:positionV>
                <wp:extent cx="635" cy="386715"/>
                <wp:effectExtent l="59690" t="17780" r="63500" b="2413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8671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7" o:spid="_x0000_s1026" type="#_x0000_t32" style="position:absolute;margin-left:224.45pt;margin-top:-146.35pt;width:.05pt;height:30.4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" strokeweight="1.5pt">
                <v:stroke endarrow="block"/>
              </v:shape>
            </w:pict>
          </mc:Fallback>
        </mc:AlternateContent>
      </w:r>
      <w:r>
        <w:rPr>
          <w:noProof/>
          <w:lang w:eastAsia="en-AU"/>
        </w:rPr>
        <mc:AlternateContent>
          <mc:Choice Requires="wps">
            <w:drawing>
              <wp:anchor distT="0" distB="0" distL="114300" distR="114300" simplePos="0" relativeHeight="251666432" behindDoc="0" locked="0" layoutInCell="1" allowOverlap="1" wp14:anchorId="0FBA8AEC" wp14:editId="02703F34">
                <wp:simplePos x="0" y="0"/>
                <wp:positionH relativeFrom="column">
                  <wp:posOffset>2857500</wp:posOffset>
                </wp:positionH>
                <wp:positionV relativeFrom="paragraph">
                  <wp:posOffset>224155</wp:posOffset>
                </wp:positionV>
                <wp:extent cx="635" cy="386715"/>
                <wp:effectExtent l="66675" t="14605" r="56515" b="2730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8671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 o:spid="_x0000_s1026" type="#_x0000_t32" style="position:absolute;margin-left:225pt;margin-top:17.65pt;width:.05pt;height:30.4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" strokeweight="1.5pt">
                <v:stroke endarrow="block"/>
              </v:shape>
            </w:pict>
          </mc:Fallback>
        </mc:AlternateContent>
      </w:r>
    </w:p>
    <w:p w:rsidR="0088341A" w:rsidRDefault="0088341A" w:rsidP="0088341A">
      <w:pPr>
        <w:pStyle w:val="AERbodytext"/>
        <w:numPr>
          <w:ilvl w:val="0"/>
          <w:numId w:val="1"/>
        </w:numPr>
      </w:pPr>
      <w:r>
        <w:rPr>
          <w:noProof/>
          <w:lang w:eastAsia="en-AU"/>
        </w:rPr>
        <mc:AlternateContent>
          <mc:Choice Requires="wps">
            <w:drawing>
              <wp:anchor distT="0" distB="0" distL="114300" distR="114300" simplePos="0" relativeHeight="251669504" behindDoc="0" locked="0" layoutInCell="1" allowOverlap="1" wp14:anchorId="27355B99" wp14:editId="4507CEC8">
                <wp:simplePos x="0" y="0"/>
                <wp:positionH relativeFrom="column">
                  <wp:posOffset>1600200</wp:posOffset>
                </wp:positionH>
                <wp:positionV relativeFrom="paragraph">
                  <wp:posOffset>283210</wp:posOffset>
                </wp:positionV>
                <wp:extent cx="2502535" cy="744220"/>
                <wp:effectExtent l="19050" t="26035" r="21590" b="2032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2535" cy="744220"/>
                        </a:xfrm>
                        <a:prstGeom prst="rect">
                          <a:avLst/>
                        </a:prstGeom>
                        <a:solidFill>
                          <a:srgbClr val="DAEEF3"/>
                        </a:solidFill>
                        <a:ln w="38100" cmpd="dbl">
                          <a:solidFill>
                            <a:srgbClr val="000000"/>
                          </a:solidFill>
                          <a:miter lim="800000"/>
                          <a:headEnd/>
                          <a:tailEnd/>
                        </a:ln>
                      </wps:spPr>
                      <wps:txbx>
                        <w:txbxContent>
                          <w:p w:rsidR="009E166E" w:rsidRDefault="009E166E" w:rsidP="0088341A">
                            <w:pPr>
                              <w:pStyle w:val="AERtabletextleft"/>
                            </w:pPr>
                            <w:r>
                              <w:t>The project is completed. Actual cost is $88.3 million (an additional 1.4 per cent less than the conceptual stage estimate making a total reduction of 11.7 per cent).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50" type="#_x0000_t202" style="position:absolute;left:0;text-align:left;margin-left:126pt;margin-top:22.3pt;width:197.05pt;height:5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" fillcolor="#daeef3" strokeweight="3pt">
                <v:stroke linestyle="thinThin"/>
                <v:textbox>
                  <w:txbxContent>
                    <w:p w:rsidR="009E166E" w:rsidRDefault="009E166E" w:rsidP="0088341A">
                      <w:pPr>
                        <w:pStyle w:val="AERtabletextleft"/>
                      </w:pPr>
                      <w:r>
                        <w:t>The project is completed. Actual cost is $88.3 million (an additional 1.4 per cent less than the conceptual stage estimate making a total reduction of 11.7 per cent).</w:t>
                      </w:r>
                    </w:p>
                  </w:txbxContent>
                </v:textbox>
              </v:shape>
            </w:pict>
          </mc:Fallback>
        </mc:AlternateContent>
      </w:r>
    </w:p>
    <w:p w:rsidR="0088341A" w:rsidRDefault="0088341A" w:rsidP="0088341A">
      <w:pPr>
        <w:pStyle w:val="AERbodytext"/>
        <w:numPr>
          <w:ilvl w:val="0"/>
          <w:numId w:val="1"/>
        </w:numPr>
      </w:pPr>
    </w:p>
    <w:p w:rsidR="0088341A" w:rsidRPr="00175AB2" w:rsidRDefault="0088341A" w:rsidP="0088341A">
      <w:pPr>
        <w:pStyle w:val="AERbodytext"/>
        <w:numPr>
          <w:ilvl w:val="0"/>
          <w:numId w:val="1"/>
        </w:numPr>
      </w:pPr>
    </w:p>
    <w:p w:rsidR="0088341A" w:rsidRDefault="0088341A" w:rsidP="0088341A">
      <w:pPr>
        <w:pStyle w:val="AERbodytext"/>
        <w:numPr>
          <w:ilvl w:val="0"/>
          <w:numId w:val="0"/>
        </w:numPr>
      </w:pPr>
    </w:p>
    <w:p w:rsidR="0088341A" w:rsidRDefault="0088341A" w:rsidP="0088341A">
      <w:pPr>
        <w:pStyle w:val="AERbodytext"/>
        <w:numPr>
          <w:ilvl w:val="0"/>
          <w:numId w:val="0"/>
        </w:numPr>
      </w:pPr>
      <w:r>
        <w:t>In summary, we reduced SP AusNet's forecast capex by $30.4 million for the following factors (excluding projects that are substantially underway</w:t>
      </w:r>
      <w:r w:rsidRPr="00FC788A">
        <w:t xml:space="preserve"> </w:t>
      </w:r>
      <w:r>
        <w:t>and projects for which we made specific adjustments):</w:t>
      </w:r>
    </w:p>
    <w:p w:rsidR="0088341A" w:rsidRDefault="0088341A" w:rsidP="0088341A">
      <w:pPr>
        <w:pStyle w:val="AERbulletlistfirststyle"/>
      </w:pPr>
      <w:r>
        <w:t xml:space="preserve">a cost estimation adjustment of 1.4 per cent </w:t>
      </w:r>
    </w:p>
    <w:p w:rsidR="0088341A" w:rsidRDefault="0088341A" w:rsidP="0088341A">
      <w:pPr>
        <w:pStyle w:val="AERbulletlistfirststyle"/>
      </w:pPr>
      <w:r>
        <w:t>a prudency adjustment of 10.3 per cent (11.7 per cent less 1.4 per cent) for site-specific projects</w:t>
      </w:r>
    </w:p>
    <w:p w:rsidR="0088341A" w:rsidRDefault="0088341A" w:rsidP="0088341A">
      <w:pPr>
        <w:pStyle w:val="AERbulletlistfirststyle"/>
      </w:pPr>
      <w:r>
        <w:t>a prudency adjustment of 11.2 per cent (12.6 per cent less 1.4 per cent) for programs of work.</w:t>
      </w:r>
    </w:p>
    <w:p w:rsidR="0088341A" w:rsidRDefault="0088341A" w:rsidP="0088341A">
      <w:pPr>
        <w:pStyle w:val="AERbodytext"/>
        <w:numPr>
          <w:ilvl w:val="0"/>
          <w:numId w:val="0"/>
        </w:numPr>
      </w:pPr>
      <w:r>
        <w:fldChar w:fldCharType="begin"/>
      </w:r>
      <w:r>
        <w:instrText xml:space="preserve"> REF _Ref360718285 \h </w:instrText>
      </w:r>
      <w:r>
        <w:fldChar w:fldCharType="separate"/>
      </w:r>
      <w:r w:rsidR="004F35AA">
        <w:t xml:space="preserve">Table </w:t>
      </w:r>
      <w:r w:rsidR="004F35AA">
        <w:rPr>
          <w:noProof/>
        </w:rPr>
        <w:t>2</w:t>
      </w:r>
      <w:r w:rsidR="004F35AA">
        <w:t>.</w:t>
      </w:r>
      <w:r w:rsidR="004F35AA">
        <w:rPr>
          <w:noProof/>
        </w:rPr>
        <w:t>5</w:t>
      </w:r>
      <w:r>
        <w:fldChar w:fldCharType="end"/>
      </w:r>
      <w:r>
        <w:t xml:space="preserve"> shows the effect of each of the prudency and cost estimation factors on SP AusNet's forecast capex. </w:t>
      </w:r>
    </w:p>
    <w:p w:rsidR="0088341A" w:rsidRDefault="0088341A" w:rsidP="009C4620">
      <w:pPr>
        <w:pStyle w:val="Caption"/>
        <w:keepLines/>
      </w:pPr>
      <w:bookmarkStart w:id="165" w:name="_Ref360718285"/>
      <w:r>
        <w:lastRenderedPageBreak/>
        <w:t xml:space="preserve">Table </w:t>
      </w:r>
      <w:fldSimple w:instr=" STYLEREF 1 \s ">
        <w:r w:rsidR="004F35AA">
          <w:rPr>
            <w:noProof/>
          </w:rPr>
          <w:t>2</w:t>
        </w:r>
      </w:fldSimple>
      <w:r w:rsidR="00C56A87">
        <w:t>.</w:t>
      </w:r>
      <w:fldSimple w:instr=" SEQ Table \* ARABIC \s 1 ">
        <w:r w:rsidR="004F35AA">
          <w:rPr>
            <w:noProof/>
          </w:rPr>
          <w:t>5</w:t>
        </w:r>
      </w:fldSimple>
      <w:bookmarkEnd w:id="165"/>
      <w:r>
        <w:tab/>
        <w:t>Effect of prudency and cost estimation factors on SP AusNet's forecast capex ($ million, 2013–14)</w:t>
      </w:r>
    </w:p>
    <w:tbl>
      <w:tblPr>
        <w:tblW w:w="0" w:type="auto"/>
        <w:tblBorders>
          <w:bottom w:val="single" w:sz="4" w:space="0" w:color="365F91"/>
        </w:tblBorders>
        <w:tblLook w:val="04A0" w:firstRow="1" w:lastRow="0" w:firstColumn="1" w:lastColumn="0" w:noHBand="0" w:noVBand="1"/>
      </w:tblPr>
      <w:tblGrid>
        <w:gridCol w:w="2091"/>
        <w:gridCol w:w="1191"/>
        <w:gridCol w:w="1192"/>
        <w:gridCol w:w="1192"/>
        <w:gridCol w:w="1192"/>
        <w:gridCol w:w="1192"/>
        <w:gridCol w:w="1192"/>
      </w:tblGrid>
      <w:tr w:rsidR="0088341A" w:rsidRPr="000F368F" w:rsidTr="00501137">
        <w:tc>
          <w:tcPr>
            <w:tcW w:w="2091" w:type="dxa"/>
            <w:shd w:val="clear" w:color="auto" w:fill="365F91"/>
            <w:vAlign w:val="center"/>
          </w:tcPr>
          <w:p w:rsidR="0088341A" w:rsidRPr="000F368F" w:rsidRDefault="0088341A" w:rsidP="009C4620">
            <w:pPr>
              <w:pStyle w:val="AERtabletextright"/>
              <w:keepNext/>
              <w:keepLines/>
              <w:rPr>
                <w:rStyle w:val="AERtextbold"/>
                <w:b w:val="0"/>
                <w:color w:val="FFFFFF"/>
              </w:rPr>
            </w:pPr>
          </w:p>
        </w:tc>
        <w:tc>
          <w:tcPr>
            <w:tcW w:w="1191" w:type="dxa"/>
            <w:shd w:val="clear" w:color="auto" w:fill="365F91"/>
            <w:vAlign w:val="center"/>
          </w:tcPr>
          <w:p w:rsidR="0088341A" w:rsidRPr="000F368F" w:rsidRDefault="0088341A" w:rsidP="009C4620">
            <w:pPr>
              <w:pStyle w:val="AERtabletextright"/>
              <w:keepNext/>
              <w:keepLines/>
              <w:rPr>
                <w:rStyle w:val="AERtextbold"/>
                <w:b w:val="0"/>
                <w:color w:val="FFFFFF"/>
              </w:rPr>
            </w:pPr>
            <w:r w:rsidRPr="000F368F">
              <w:rPr>
                <w:rStyle w:val="AERtextbold"/>
                <w:b w:val="0"/>
                <w:color w:val="FFFFFF"/>
              </w:rPr>
              <w:t>CBD rebuilds</w:t>
            </w:r>
          </w:p>
        </w:tc>
        <w:tc>
          <w:tcPr>
            <w:tcW w:w="1192" w:type="dxa"/>
            <w:shd w:val="clear" w:color="auto" w:fill="365F91"/>
            <w:vAlign w:val="center"/>
          </w:tcPr>
          <w:p w:rsidR="0088341A" w:rsidRPr="000F368F" w:rsidRDefault="0088341A" w:rsidP="009C4620">
            <w:pPr>
              <w:pStyle w:val="AERtabletextright"/>
              <w:keepNext/>
              <w:keepLines/>
              <w:rPr>
                <w:rStyle w:val="AERtextbold"/>
                <w:b w:val="0"/>
                <w:color w:val="FFFFFF"/>
              </w:rPr>
            </w:pPr>
            <w:r w:rsidRPr="000F368F">
              <w:rPr>
                <w:rStyle w:val="AERtextbold"/>
                <w:b w:val="0"/>
                <w:color w:val="FFFFFF"/>
              </w:rPr>
              <w:t>Major stations</w:t>
            </w:r>
          </w:p>
        </w:tc>
        <w:tc>
          <w:tcPr>
            <w:tcW w:w="1192" w:type="dxa"/>
            <w:shd w:val="clear" w:color="auto" w:fill="365F91"/>
            <w:vAlign w:val="center"/>
          </w:tcPr>
          <w:p w:rsidR="0088341A" w:rsidRPr="000F368F" w:rsidRDefault="0088341A" w:rsidP="009C4620">
            <w:pPr>
              <w:pStyle w:val="AERtabletextright"/>
              <w:keepNext/>
              <w:keepLines/>
              <w:rPr>
                <w:rStyle w:val="AERtextbold"/>
                <w:b w:val="0"/>
                <w:color w:val="FFFFFF"/>
              </w:rPr>
            </w:pPr>
            <w:r w:rsidRPr="000F368F">
              <w:rPr>
                <w:rStyle w:val="AERtextbold"/>
                <w:b w:val="0"/>
                <w:color w:val="FFFFFF"/>
              </w:rPr>
              <w:t>Asset replacement</w:t>
            </w:r>
          </w:p>
        </w:tc>
        <w:tc>
          <w:tcPr>
            <w:tcW w:w="1192" w:type="dxa"/>
            <w:shd w:val="clear" w:color="auto" w:fill="365F91"/>
            <w:vAlign w:val="center"/>
          </w:tcPr>
          <w:p w:rsidR="0088341A" w:rsidRPr="000F368F" w:rsidRDefault="0088341A" w:rsidP="009C4620">
            <w:pPr>
              <w:pStyle w:val="AERtabletextright"/>
              <w:keepNext/>
              <w:keepLines/>
              <w:rPr>
                <w:rStyle w:val="AERtextbold"/>
                <w:b w:val="0"/>
                <w:color w:val="FFFFFF"/>
              </w:rPr>
            </w:pPr>
            <w:r w:rsidRPr="000F368F">
              <w:rPr>
                <w:rStyle w:val="AERtextbold"/>
                <w:b w:val="0"/>
                <w:color w:val="FFFFFF"/>
              </w:rPr>
              <w:t>Safety and compliance</w:t>
            </w:r>
          </w:p>
        </w:tc>
        <w:tc>
          <w:tcPr>
            <w:tcW w:w="1192" w:type="dxa"/>
            <w:shd w:val="clear" w:color="auto" w:fill="365F91"/>
            <w:vAlign w:val="center"/>
          </w:tcPr>
          <w:p w:rsidR="0088341A" w:rsidRPr="000F368F" w:rsidRDefault="0088341A" w:rsidP="009C4620">
            <w:pPr>
              <w:pStyle w:val="AERtabletextright"/>
              <w:keepNext/>
              <w:keepLines/>
              <w:rPr>
                <w:rStyle w:val="AERtextbold"/>
                <w:b w:val="0"/>
                <w:color w:val="FFFFFF"/>
              </w:rPr>
            </w:pPr>
            <w:r w:rsidRPr="000F368F">
              <w:rPr>
                <w:rStyle w:val="AERtextbold"/>
                <w:b w:val="0"/>
                <w:color w:val="FFFFFF"/>
              </w:rPr>
              <w:t>Non-system</w:t>
            </w:r>
          </w:p>
        </w:tc>
        <w:tc>
          <w:tcPr>
            <w:tcW w:w="1192" w:type="dxa"/>
            <w:shd w:val="clear" w:color="auto" w:fill="365F91"/>
            <w:vAlign w:val="center"/>
          </w:tcPr>
          <w:p w:rsidR="0088341A" w:rsidRPr="000F368F" w:rsidRDefault="0088341A" w:rsidP="009C4620">
            <w:pPr>
              <w:pStyle w:val="AERtabletextright"/>
              <w:keepNext/>
              <w:keepLines/>
              <w:rPr>
                <w:rStyle w:val="AERtextbold"/>
                <w:b w:val="0"/>
                <w:color w:val="FFFFFF"/>
              </w:rPr>
            </w:pPr>
            <w:r w:rsidRPr="000F368F">
              <w:rPr>
                <w:rStyle w:val="AERtextbold"/>
                <w:b w:val="0"/>
                <w:color w:val="FFFFFF"/>
              </w:rPr>
              <w:t>Total</w:t>
            </w:r>
          </w:p>
        </w:tc>
      </w:tr>
      <w:tr w:rsidR="0088341A" w:rsidTr="00501137">
        <w:tc>
          <w:tcPr>
            <w:tcW w:w="2091" w:type="dxa"/>
            <w:shd w:val="clear" w:color="auto" w:fill="auto"/>
            <w:vAlign w:val="center"/>
          </w:tcPr>
          <w:p w:rsidR="0088341A" w:rsidRDefault="0088341A" w:rsidP="009C4620">
            <w:pPr>
              <w:pStyle w:val="AERtabletextleft"/>
              <w:keepNext/>
              <w:keepLines/>
            </w:pPr>
            <w:r>
              <w:t>SP AusNet forecast capex</w:t>
            </w:r>
          </w:p>
        </w:tc>
        <w:tc>
          <w:tcPr>
            <w:tcW w:w="1191" w:type="dxa"/>
            <w:shd w:val="clear" w:color="auto" w:fill="auto"/>
            <w:vAlign w:val="center"/>
          </w:tcPr>
          <w:p w:rsidR="0088341A" w:rsidRDefault="0088341A" w:rsidP="009C4620">
            <w:pPr>
              <w:pStyle w:val="AERtabletextright"/>
              <w:keepNext/>
              <w:keepLines/>
            </w:pPr>
            <w:r>
              <w:t>185.9</w:t>
            </w:r>
          </w:p>
        </w:tc>
        <w:tc>
          <w:tcPr>
            <w:tcW w:w="1192" w:type="dxa"/>
            <w:shd w:val="clear" w:color="auto" w:fill="auto"/>
            <w:vAlign w:val="center"/>
          </w:tcPr>
          <w:p w:rsidR="0088341A" w:rsidRDefault="0088341A" w:rsidP="009C4620">
            <w:pPr>
              <w:pStyle w:val="AERtabletextright"/>
              <w:keepNext/>
              <w:keepLines/>
            </w:pPr>
            <w:r>
              <w:t>149.8</w:t>
            </w:r>
          </w:p>
        </w:tc>
        <w:tc>
          <w:tcPr>
            <w:tcW w:w="1192" w:type="dxa"/>
            <w:shd w:val="clear" w:color="auto" w:fill="auto"/>
            <w:vAlign w:val="center"/>
          </w:tcPr>
          <w:p w:rsidR="0088341A" w:rsidRDefault="0088341A" w:rsidP="009C4620">
            <w:pPr>
              <w:pStyle w:val="AERtabletextright"/>
              <w:keepNext/>
              <w:keepLines/>
            </w:pPr>
            <w:r>
              <w:t>121.1</w:t>
            </w:r>
          </w:p>
        </w:tc>
        <w:tc>
          <w:tcPr>
            <w:tcW w:w="1192" w:type="dxa"/>
            <w:shd w:val="clear" w:color="auto" w:fill="auto"/>
            <w:vAlign w:val="center"/>
          </w:tcPr>
          <w:p w:rsidR="0088341A" w:rsidRDefault="0088341A" w:rsidP="009C4620">
            <w:pPr>
              <w:pStyle w:val="AERtabletextright"/>
              <w:keepNext/>
              <w:keepLines/>
            </w:pPr>
            <w:r>
              <w:t>44.7</w:t>
            </w:r>
          </w:p>
        </w:tc>
        <w:tc>
          <w:tcPr>
            <w:tcW w:w="1192" w:type="dxa"/>
            <w:shd w:val="clear" w:color="auto" w:fill="auto"/>
            <w:vAlign w:val="center"/>
          </w:tcPr>
          <w:p w:rsidR="0088341A" w:rsidRDefault="0088341A" w:rsidP="009C4620">
            <w:pPr>
              <w:pStyle w:val="AERtabletextright"/>
              <w:keepNext/>
              <w:keepLines/>
            </w:pPr>
            <w:r>
              <w:t>62.7</w:t>
            </w:r>
          </w:p>
        </w:tc>
        <w:tc>
          <w:tcPr>
            <w:tcW w:w="1192" w:type="dxa"/>
            <w:shd w:val="clear" w:color="auto" w:fill="auto"/>
            <w:vAlign w:val="center"/>
          </w:tcPr>
          <w:p w:rsidR="0088341A" w:rsidRDefault="0088341A" w:rsidP="009C4620">
            <w:pPr>
              <w:pStyle w:val="AERtabletextright"/>
              <w:keepNext/>
              <w:keepLines/>
            </w:pPr>
            <w:r>
              <w:t>564.2</w:t>
            </w:r>
          </w:p>
        </w:tc>
      </w:tr>
      <w:tr w:rsidR="0088341A" w:rsidTr="00501137">
        <w:tc>
          <w:tcPr>
            <w:tcW w:w="2091" w:type="dxa"/>
            <w:shd w:val="clear" w:color="auto" w:fill="DBE5F1"/>
            <w:vAlign w:val="center"/>
          </w:tcPr>
          <w:p w:rsidR="0088341A" w:rsidRDefault="0088341A" w:rsidP="009C4620">
            <w:pPr>
              <w:pStyle w:val="AERtabletextleft"/>
              <w:keepNext/>
              <w:keepLines/>
            </w:pPr>
            <w:r>
              <w:t>Part of capex to which 1.4% factor applies</w:t>
            </w:r>
          </w:p>
        </w:tc>
        <w:tc>
          <w:tcPr>
            <w:tcW w:w="1191" w:type="dxa"/>
            <w:shd w:val="clear" w:color="auto" w:fill="DBE5F1"/>
            <w:vAlign w:val="center"/>
          </w:tcPr>
          <w:p w:rsidR="0088341A" w:rsidRDefault="0088341A" w:rsidP="009C4620">
            <w:pPr>
              <w:pStyle w:val="AERtabletextright"/>
              <w:keepNext/>
              <w:keepLines/>
            </w:pPr>
            <w:r>
              <w:t>nil</w:t>
            </w:r>
          </w:p>
        </w:tc>
        <w:tc>
          <w:tcPr>
            <w:tcW w:w="1192" w:type="dxa"/>
            <w:shd w:val="clear" w:color="auto" w:fill="DBE5F1"/>
            <w:vAlign w:val="center"/>
          </w:tcPr>
          <w:p w:rsidR="0088341A" w:rsidRDefault="0088341A" w:rsidP="009C4620">
            <w:pPr>
              <w:pStyle w:val="AERtabletextright"/>
              <w:keepNext/>
              <w:keepLines/>
            </w:pPr>
            <w:r>
              <w:t>116.6</w:t>
            </w:r>
          </w:p>
        </w:tc>
        <w:tc>
          <w:tcPr>
            <w:tcW w:w="1192" w:type="dxa"/>
            <w:shd w:val="clear" w:color="auto" w:fill="DBE5F1"/>
            <w:vAlign w:val="center"/>
          </w:tcPr>
          <w:p w:rsidR="0088341A" w:rsidRDefault="0088341A" w:rsidP="009C4620">
            <w:pPr>
              <w:pStyle w:val="AERtabletextright"/>
              <w:keepNext/>
              <w:keepLines/>
            </w:pPr>
            <w:r>
              <w:t>120.2</w:t>
            </w:r>
          </w:p>
        </w:tc>
        <w:tc>
          <w:tcPr>
            <w:tcW w:w="1192" w:type="dxa"/>
            <w:shd w:val="clear" w:color="auto" w:fill="DBE5F1"/>
            <w:vAlign w:val="center"/>
          </w:tcPr>
          <w:p w:rsidR="0088341A" w:rsidRDefault="0088341A" w:rsidP="009C4620">
            <w:pPr>
              <w:pStyle w:val="AERtabletextright"/>
              <w:keepNext/>
              <w:keepLines/>
            </w:pPr>
            <w:r>
              <w:t>44.7</w:t>
            </w:r>
          </w:p>
        </w:tc>
        <w:tc>
          <w:tcPr>
            <w:tcW w:w="1192" w:type="dxa"/>
            <w:shd w:val="clear" w:color="auto" w:fill="DBE5F1"/>
            <w:vAlign w:val="center"/>
          </w:tcPr>
          <w:p w:rsidR="0088341A" w:rsidRDefault="0088341A" w:rsidP="009C4620">
            <w:pPr>
              <w:pStyle w:val="AERtabletextright"/>
              <w:keepNext/>
              <w:keepLines/>
            </w:pPr>
            <w:r>
              <w:t>nil</w:t>
            </w:r>
          </w:p>
        </w:tc>
        <w:tc>
          <w:tcPr>
            <w:tcW w:w="1192" w:type="dxa"/>
            <w:shd w:val="clear" w:color="auto" w:fill="DBE5F1"/>
            <w:vAlign w:val="center"/>
          </w:tcPr>
          <w:p w:rsidR="0088341A" w:rsidRDefault="0088341A" w:rsidP="009C4620">
            <w:pPr>
              <w:pStyle w:val="AERtabletextright"/>
              <w:keepNext/>
              <w:keepLines/>
            </w:pPr>
            <w:r>
              <w:t>281.6</w:t>
            </w:r>
          </w:p>
        </w:tc>
      </w:tr>
      <w:tr w:rsidR="0088341A" w:rsidTr="00501137">
        <w:tc>
          <w:tcPr>
            <w:tcW w:w="2091" w:type="dxa"/>
            <w:shd w:val="clear" w:color="auto" w:fill="auto"/>
            <w:vAlign w:val="center"/>
          </w:tcPr>
          <w:p w:rsidR="0088341A" w:rsidRDefault="0088341A" w:rsidP="009C4620">
            <w:pPr>
              <w:pStyle w:val="AERtabletextleft"/>
              <w:keepNext/>
              <w:keepLines/>
            </w:pPr>
            <w:r>
              <w:t>Amount of 1.4% adjustment</w:t>
            </w:r>
          </w:p>
        </w:tc>
        <w:tc>
          <w:tcPr>
            <w:tcW w:w="1191" w:type="dxa"/>
            <w:shd w:val="clear" w:color="auto" w:fill="auto"/>
            <w:vAlign w:val="center"/>
          </w:tcPr>
          <w:p w:rsidR="0088341A" w:rsidRDefault="0088341A" w:rsidP="009C4620">
            <w:pPr>
              <w:pStyle w:val="AERtabletextright"/>
              <w:keepNext/>
              <w:keepLines/>
            </w:pPr>
            <w:r>
              <w:t>nil</w:t>
            </w:r>
          </w:p>
        </w:tc>
        <w:tc>
          <w:tcPr>
            <w:tcW w:w="1192" w:type="dxa"/>
            <w:shd w:val="clear" w:color="auto" w:fill="auto"/>
            <w:vAlign w:val="center"/>
          </w:tcPr>
          <w:p w:rsidR="0088341A" w:rsidRDefault="0088341A" w:rsidP="009C4620">
            <w:pPr>
              <w:pStyle w:val="AERtabletextright"/>
              <w:keepNext/>
              <w:keepLines/>
            </w:pPr>
            <w:r>
              <w:t>1.6</w:t>
            </w:r>
          </w:p>
        </w:tc>
        <w:tc>
          <w:tcPr>
            <w:tcW w:w="1192" w:type="dxa"/>
            <w:shd w:val="clear" w:color="auto" w:fill="auto"/>
            <w:vAlign w:val="center"/>
          </w:tcPr>
          <w:p w:rsidR="0088341A" w:rsidRDefault="0088341A" w:rsidP="009C4620">
            <w:pPr>
              <w:pStyle w:val="AERtabletextright"/>
              <w:keepNext/>
              <w:keepLines/>
            </w:pPr>
            <w:r>
              <w:t>1.7</w:t>
            </w:r>
          </w:p>
        </w:tc>
        <w:tc>
          <w:tcPr>
            <w:tcW w:w="1192" w:type="dxa"/>
            <w:shd w:val="clear" w:color="auto" w:fill="auto"/>
            <w:vAlign w:val="center"/>
          </w:tcPr>
          <w:p w:rsidR="0088341A" w:rsidRDefault="0088341A" w:rsidP="009C4620">
            <w:pPr>
              <w:pStyle w:val="AERtabletextright"/>
              <w:keepNext/>
              <w:keepLines/>
            </w:pPr>
            <w:r>
              <w:t>0.6</w:t>
            </w:r>
          </w:p>
        </w:tc>
        <w:tc>
          <w:tcPr>
            <w:tcW w:w="1192" w:type="dxa"/>
            <w:shd w:val="clear" w:color="auto" w:fill="auto"/>
            <w:vAlign w:val="center"/>
          </w:tcPr>
          <w:p w:rsidR="0088341A" w:rsidRDefault="0088341A" w:rsidP="009C4620">
            <w:pPr>
              <w:pStyle w:val="AERtabletextright"/>
              <w:keepNext/>
              <w:keepLines/>
            </w:pPr>
            <w:r>
              <w:t>nil</w:t>
            </w:r>
          </w:p>
        </w:tc>
        <w:tc>
          <w:tcPr>
            <w:tcW w:w="1192" w:type="dxa"/>
            <w:shd w:val="clear" w:color="auto" w:fill="auto"/>
            <w:vAlign w:val="center"/>
          </w:tcPr>
          <w:p w:rsidR="0088341A" w:rsidRDefault="0088341A" w:rsidP="009C4620">
            <w:pPr>
              <w:pStyle w:val="AERtabletextright"/>
              <w:keepNext/>
              <w:keepLines/>
            </w:pPr>
            <w:r>
              <w:t>3.9</w:t>
            </w:r>
          </w:p>
        </w:tc>
      </w:tr>
      <w:tr w:rsidR="0088341A" w:rsidTr="00501137">
        <w:tc>
          <w:tcPr>
            <w:tcW w:w="2091" w:type="dxa"/>
            <w:shd w:val="clear" w:color="auto" w:fill="DBE5F1"/>
            <w:vAlign w:val="center"/>
          </w:tcPr>
          <w:p w:rsidR="0088341A" w:rsidRDefault="0088341A" w:rsidP="009C4620">
            <w:pPr>
              <w:pStyle w:val="AERtabletextleft"/>
              <w:keepNext/>
              <w:keepLines/>
            </w:pPr>
            <w:r>
              <w:t>Part of capex to which 10.3% factor applies</w:t>
            </w:r>
          </w:p>
        </w:tc>
        <w:tc>
          <w:tcPr>
            <w:tcW w:w="1191" w:type="dxa"/>
            <w:shd w:val="clear" w:color="auto" w:fill="DBE5F1"/>
            <w:vAlign w:val="center"/>
          </w:tcPr>
          <w:p w:rsidR="0088341A" w:rsidRDefault="0088341A" w:rsidP="009C4620">
            <w:pPr>
              <w:pStyle w:val="AERtabletextright"/>
              <w:keepNext/>
              <w:keepLines/>
            </w:pPr>
            <w:r>
              <w:t>nil</w:t>
            </w:r>
          </w:p>
        </w:tc>
        <w:tc>
          <w:tcPr>
            <w:tcW w:w="1192" w:type="dxa"/>
            <w:shd w:val="clear" w:color="auto" w:fill="DBE5F1"/>
            <w:vAlign w:val="center"/>
          </w:tcPr>
          <w:p w:rsidR="0088341A" w:rsidRDefault="0088341A" w:rsidP="009C4620">
            <w:pPr>
              <w:pStyle w:val="AERtabletextright"/>
              <w:keepNext/>
              <w:keepLines/>
            </w:pPr>
            <w:r>
              <w:t>77.2</w:t>
            </w:r>
          </w:p>
        </w:tc>
        <w:tc>
          <w:tcPr>
            <w:tcW w:w="1192" w:type="dxa"/>
            <w:shd w:val="clear" w:color="auto" w:fill="DBE5F1"/>
            <w:vAlign w:val="center"/>
          </w:tcPr>
          <w:p w:rsidR="0088341A" w:rsidRDefault="0088341A" w:rsidP="009C4620">
            <w:pPr>
              <w:pStyle w:val="AERtabletextright"/>
              <w:keepNext/>
              <w:keepLines/>
            </w:pPr>
            <w:r>
              <w:t>nil</w:t>
            </w:r>
          </w:p>
        </w:tc>
        <w:tc>
          <w:tcPr>
            <w:tcW w:w="1192" w:type="dxa"/>
            <w:shd w:val="clear" w:color="auto" w:fill="DBE5F1"/>
            <w:vAlign w:val="center"/>
          </w:tcPr>
          <w:p w:rsidR="0088341A" w:rsidRDefault="0088341A" w:rsidP="009C4620">
            <w:pPr>
              <w:pStyle w:val="AERtabletextright"/>
              <w:keepNext/>
              <w:keepLines/>
            </w:pPr>
            <w:r>
              <w:t>nil</w:t>
            </w:r>
          </w:p>
        </w:tc>
        <w:tc>
          <w:tcPr>
            <w:tcW w:w="1192" w:type="dxa"/>
            <w:shd w:val="clear" w:color="auto" w:fill="DBE5F1"/>
            <w:vAlign w:val="center"/>
          </w:tcPr>
          <w:p w:rsidR="0088341A" w:rsidRDefault="0088341A" w:rsidP="009C4620">
            <w:pPr>
              <w:pStyle w:val="AERtabletextright"/>
              <w:keepNext/>
              <w:keepLines/>
            </w:pPr>
            <w:r>
              <w:t>nil</w:t>
            </w:r>
          </w:p>
        </w:tc>
        <w:tc>
          <w:tcPr>
            <w:tcW w:w="1192" w:type="dxa"/>
            <w:shd w:val="clear" w:color="auto" w:fill="DBE5F1"/>
            <w:vAlign w:val="center"/>
          </w:tcPr>
          <w:p w:rsidR="0088341A" w:rsidRDefault="0088341A" w:rsidP="009C4620">
            <w:pPr>
              <w:pStyle w:val="AERtabletextright"/>
              <w:keepNext/>
              <w:keepLines/>
            </w:pPr>
            <w:r>
              <w:t>77.2</w:t>
            </w:r>
          </w:p>
        </w:tc>
      </w:tr>
      <w:tr w:rsidR="0088341A" w:rsidTr="00501137">
        <w:tc>
          <w:tcPr>
            <w:tcW w:w="2091" w:type="dxa"/>
            <w:shd w:val="clear" w:color="auto" w:fill="auto"/>
            <w:vAlign w:val="center"/>
          </w:tcPr>
          <w:p w:rsidR="0088341A" w:rsidRDefault="0088341A" w:rsidP="009C4620">
            <w:pPr>
              <w:pStyle w:val="AERtabletextleft"/>
              <w:keepNext/>
              <w:keepLines/>
            </w:pPr>
            <w:r>
              <w:t>Amount of 10.3% adjustment</w:t>
            </w:r>
          </w:p>
        </w:tc>
        <w:tc>
          <w:tcPr>
            <w:tcW w:w="1191" w:type="dxa"/>
            <w:shd w:val="clear" w:color="auto" w:fill="auto"/>
            <w:vAlign w:val="center"/>
          </w:tcPr>
          <w:p w:rsidR="0088341A" w:rsidRDefault="0088341A" w:rsidP="009C4620">
            <w:pPr>
              <w:pStyle w:val="AERtabletextright"/>
              <w:keepNext/>
              <w:keepLines/>
            </w:pPr>
            <w:r>
              <w:t>nil</w:t>
            </w:r>
          </w:p>
        </w:tc>
        <w:tc>
          <w:tcPr>
            <w:tcW w:w="1192" w:type="dxa"/>
            <w:shd w:val="clear" w:color="auto" w:fill="auto"/>
            <w:vAlign w:val="center"/>
          </w:tcPr>
          <w:p w:rsidR="0088341A" w:rsidRDefault="0088341A" w:rsidP="009C4620">
            <w:pPr>
              <w:pStyle w:val="AERtabletextright"/>
              <w:keepNext/>
              <w:keepLines/>
            </w:pPr>
            <w:r>
              <w:t>8.0</w:t>
            </w:r>
          </w:p>
        </w:tc>
        <w:tc>
          <w:tcPr>
            <w:tcW w:w="1192" w:type="dxa"/>
            <w:shd w:val="clear" w:color="auto" w:fill="auto"/>
            <w:vAlign w:val="center"/>
          </w:tcPr>
          <w:p w:rsidR="0088341A" w:rsidRDefault="0088341A" w:rsidP="009C4620">
            <w:pPr>
              <w:pStyle w:val="AERtabletextright"/>
              <w:keepNext/>
              <w:keepLines/>
            </w:pPr>
            <w:r>
              <w:t>nil</w:t>
            </w:r>
          </w:p>
        </w:tc>
        <w:tc>
          <w:tcPr>
            <w:tcW w:w="1192" w:type="dxa"/>
            <w:shd w:val="clear" w:color="auto" w:fill="auto"/>
            <w:vAlign w:val="center"/>
          </w:tcPr>
          <w:p w:rsidR="0088341A" w:rsidRDefault="0088341A" w:rsidP="009C4620">
            <w:pPr>
              <w:pStyle w:val="AERtabletextright"/>
              <w:keepNext/>
              <w:keepLines/>
            </w:pPr>
            <w:r>
              <w:t>nil</w:t>
            </w:r>
          </w:p>
        </w:tc>
        <w:tc>
          <w:tcPr>
            <w:tcW w:w="1192" w:type="dxa"/>
            <w:shd w:val="clear" w:color="auto" w:fill="auto"/>
            <w:vAlign w:val="center"/>
          </w:tcPr>
          <w:p w:rsidR="0088341A" w:rsidRDefault="0088341A" w:rsidP="009C4620">
            <w:pPr>
              <w:pStyle w:val="AERtabletextright"/>
              <w:keepNext/>
              <w:keepLines/>
            </w:pPr>
            <w:r>
              <w:t>nil</w:t>
            </w:r>
          </w:p>
        </w:tc>
        <w:tc>
          <w:tcPr>
            <w:tcW w:w="1192" w:type="dxa"/>
            <w:shd w:val="clear" w:color="auto" w:fill="auto"/>
            <w:vAlign w:val="center"/>
          </w:tcPr>
          <w:p w:rsidR="0088341A" w:rsidRDefault="0088341A" w:rsidP="009C4620">
            <w:pPr>
              <w:pStyle w:val="AERtabletextright"/>
              <w:keepNext/>
              <w:keepLines/>
            </w:pPr>
            <w:r>
              <w:t>8.0</w:t>
            </w:r>
          </w:p>
        </w:tc>
      </w:tr>
      <w:tr w:rsidR="0088341A" w:rsidTr="00501137">
        <w:tc>
          <w:tcPr>
            <w:tcW w:w="2091" w:type="dxa"/>
            <w:shd w:val="clear" w:color="auto" w:fill="DBE5F1"/>
            <w:vAlign w:val="center"/>
          </w:tcPr>
          <w:p w:rsidR="0088341A" w:rsidRDefault="0088341A" w:rsidP="009C4620">
            <w:pPr>
              <w:pStyle w:val="AERtabletextleft"/>
              <w:keepNext/>
              <w:keepLines/>
            </w:pPr>
            <w:r>
              <w:t>Part of capex to which 11.2% factor applies</w:t>
            </w:r>
          </w:p>
        </w:tc>
        <w:tc>
          <w:tcPr>
            <w:tcW w:w="1191" w:type="dxa"/>
            <w:shd w:val="clear" w:color="auto" w:fill="DBE5F1"/>
            <w:vAlign w:val="center"/>
          </w:tcPr>
          <w:p w:rsidR="0088341A" w:rsidRDefault="0088341A" w:rsidP="009C4620">
            <w:pPr>
              <w:pStyle w:val="AERtabletextright"/>
              <w:keepNext/>
              <w:keepLines/>
            </w:pPr>
            <w:r>
              <w:t>nil</w:t>
            </w:r>
          </w:p>
        </w:tc>
        <w:tc>
          <w:tcPr>
            <w:tcW w:w="1192" w:type="dxa"/>
            <w:shd w:val="clear" w:color="auto" w:fill="DBE5F1"/>
            <w:vAlign w:val="center"/>
          </w:tcPr>
          <w:p w:rsidR="0088341A" w:rsidRDefault="0088341A" w:rsidP="009C4620">
            <w:pPr>
              <w:pStyle w:val="AERtabletextright"/>
              <w:keepNext/>
              <w:keepLines/>
            </w:pPr>
            <w:r>
              <w:t>nil</w:t>
            </w:r>
          </w:p>
        </w:tc>
        <w:tc>
          <w:tcPr>
            <w:tcW w:w="1192" w:type="dxa"/>
            <w:shd w:val="clear" w:color="auto" w:fill="DBE5F1"/>
            <w:vAlign w:val="center"/>
          </w:tcPr>
          <w:p w:rsidR="0088341A" w:rsidRDefault="0088341A" w:rsidP="009C4620">
            <w:pPr>
              <w:pStyle w:val="AERtabletextright"/>
              <w:keepNext/>
              <w:keepLines/>
            </w:pPr>
            <w:r>
              <w:t>120.2</w:t>
            </w:r>
          </w:p>
        </w:tc>
        <w:tc>
          <w:tcPr>
            <w:tcW w:w="1192" w:type="dxa"/>
            <w:shd w:val="clear" w:color="auto" w:fill="DBE5F1"/>
            <w:vAlign w:val="center"/>
          </w:tcPr>
          <w:p w:rsidR="0088341A" w:rsidRDefault="0088341A" w:rsidP="009C4620">
            <w:pPr>
              <w:pStyle w:val="AERtabletextright"/>
              <w:keepNext/>
              <w:keepLines/>
            </w:pPr>
            <w:r>
              <w:t>44.7</w:t>
            </w:r>
          </w:p>
        </w:tc>
        <w:tc>
          <w:tcPr>
            <w:tcW w:w="1192" w:type="dxa"/>
            <w:shd w:val="clear" w:color="auto" w:fill="DBE5F1"/>
            <w:vAlign w:val="center"/>
          </w:tcPr>
          <w:p w:rsidR="0088341A" w:rsidRDefault="0088341A" w:rsidP="009C4620">
            <w:pPr>
              <w:pStyle w:val="AERtabletextright"/>
              <w:keepNext/>
              <w:keepLines/>
            </w:pPr>
            <w:r>
              <w:t>nil</w:t>
            </w:r>
          </w:p>
        </w:tc>
        <w:tc>
          <w:tcPr>
            <w:tcW w:w="1192" w:type="dxa"/>
            <w:shd w:val="clear" w:color="auto" w:fill="DBE5F1"/>
            <w:vAlign w:val="center"/>
          </w:tcPr>
          <w:p w:rsidR="0088341A" w:rsidRDefault="0088341A" w:rsidP="009C4620">
            <w:pPr>
              <w:pStyle w:val="AERtabletextright"/>
              <w:keepNext/>
              <w:keepLines/>
            </w:pPr>
            <w:r>
              <w:t>165.0</w:t>
            </w:r>
          </w:p>
        </w:tc>
      </w:tr>
      <w:tr w:rsidR="0088341A" w:rsidTr="00501137">
        <w:tc>
          <w:tcPr>
            <w:tcW w:w="2091" w:type="dxa"/>
            <w:shd w:val="clear" w:color="auto" w:fill="auto"/>
            <w:vAlign w:val="center"/>
          </w:tcPr>
          <w:p w:rsidR="0088341A" w:rsidRDefault="0088341A" w:rsidP="009C4620">
            <w:pPr>
              <w:pStyle w:val="AERtabletextleft"/>
              <w:keepNext/>
              <w:keepLines/>
            </w:pPr>
            <w:r>
              <w:t>Amount of 11.2% adjustment</w:t>
            </w:r>
          </w:p>
        </w:tc>
        <w:tc>
          <w:tcPr>
            <w:tcW w:w="1191" w:type="dxa"/>
            <w:shd w:val="clear" w:color="auto" w:fill="auto"/>
            <w:vAlign w:val="center"/>
          </w:tcPr>
          <w:p w:rsidR="0088341A" w:rsidRDefault="0088341A" w:rsidP="009C4620">
            <w:pPr>
              <w:pStyle w:val="AERtabletextright"/>
              <w:keepNext/>
              <w:keepLines/>
            </w:pPr>
            <w:r>
              <w:t>nil</w:t>
            </w:r>
          </w:p>
        </w:tc>
        <w:tc>
          <w:tcPr>
            <w:tcW w:w="1192" w:type="dxa"/>
            <w:shd w:val="clear" w:color="auto" w:fill="auto"/>
            <w:vAlign w:val="center"/>
          </w:tcPr>
          <w:p w:rsidR="0088341A" w:rsidRDefault="0088341A" w:rsidP="009C4620">
            <w:pPr>
              <w:pStyle w:val="AERtabletextright"/>
              <w:keepNext/>
              <w:keepLines/>
            </w:pPr>
            <w:r>
              <w:t>nil</w:t>
            </w:r>
          </w:p>
        </w:tc>
        <w:tc>
          <w:tcPr>
            <w:tcW w:w="1192" w:type="dxa"/>
            <w:shd w:val="clear" w:color="auto" w:fill="auto"/>
            <w:vAlign w:val="center"/>
          </w:tcPr>
          <w:p w:rsidR="0088341A" w:rsidRDefault="0088341A" w:rsidP="009C4620">
            <w:pPr>
              <w:pStyle w:val="AERtabletextright"/>
              <w:keepNext/>
              <w:keepLines/>
            </w:pPr>
            <w:r>
              <w:t>13.5</w:t>
            </w:r>
          </w:p>
        </w:tc>
        <w:tc>
          <w:tcPr>
            <w:tcW w:w="1192" w:type="dxa"/>
            <w:shd w:val="clear" w:color="auto" w:fill="auto"/>
            <w:vAlign w:val="center"/>
          </w:tcPr>
          <w:p w:rsidR="0088341A" w:rsidRDefault="0088341A" w:rsidP="009C4620">
            <w:pPr>
              <w:pStyle w:val="AERtabletextright"/>
              <w:keepNext/>
              <w:keepLines/>
            </w:pPr>
            <w:r>
              <w:t>5.0</w:t>
            </w:r>
          </w:p>
        </w:tc>
        <w:tc>
          <w:tcPr>
            <w:tcW w:w="1192" w:type="dxa"/>
            <w:shd w:val="clear" w:color="auto" w:fill="auto"/>
            <w:vAlign w:val="center"/>
          </w:tcPr>
          <w:p w:rsidR="0088341A" w:rsidRDefault="0088341A" w:rsidP="009C4620">
            <w:pPr>
              <w:pStyle w:val="AERtabletextright"/>
              <w:keepNext/>
              <w:keepLines/>
            </w:pPr>
            <w:r>
              <w:t>nil</w:t>
            </w:r>
          </w:p>
        </w:tc>
        <w:tc>
          <w:tcPr>
            <w:tcW w:w="1192" w:type="dxa"/>
            <w:shd w:val="clear" w:color="auto" w:fill="auto"/>
            <w:vAlign w:val="center"/>
          </w:tcPr>
          <w:p w:rsidR="0088341A" w:rsidRDefault="0088341A" w:rsidP="009C4620">
            <w:pPr>
              <w:pStyle w:val="AERtabletextright"/>
              <w:keepNext/>
              <w:keepLines/>
            </w:pPr>
            <w:r>
              <w:t>18.5</w:t>
            </w:r>
          </w:p>
        </w:tc>
      </w:tr>
      <w:tr w:rsidR="0088341A" w:rsidTr="00501137">
        <w:tc>
          <w:tcPr>
            <w:tcW w:w="2091" w:type="dxa"/>
            <w:shd w:val="clear" w:color="auto" w:fill="DBE5F1"/>
            <w:vAlign w:val="center"/>
          </w:tcPr>
          <w:p w:rsidR="0088341A" w:rsidRDefault="0088341A" w:rsidP="009C4620">
            <w:pPr>
              <w:pStyle w:val="AERtabletextleft"/>
              <w:keepNext/>
              <w:keepLines/>
            </w:pPr>
            <w:r>
              <w:t>Total adjustment</w:t>
            </w:r>
          </w:p>
        </w:tc>
        <w:tc>
          <w:tcPr>
            <w:tcW w:w="1191" w:type="dxa"/>
            <w:shd w:val="clear" w:color="auto" w:fill="DBE5F1"/>
            <w:vAlign w:val="center"/>
          </w:tcPr>
          <w:p w:rsidR="0088341A" w:rsidRDefault="0088341A" w:rsidP="009C4620">
            <w:pPr>
              <w:pStyle w:val="AERtabletextright"/>
              <w:keepNext/>
              <w:keepLines/>
            </w:pPr>
            <w:r>
              <w:t>nil</w:t>
            </w:r>
          </w:p>
        </w:tc>
        <w:tc>
          <w:tcPr>
            <w:tcW w:w="1192" w:type="dxa"/>
            <w:shd w:val="clear" w:color="auto" w:fill="DBE5F1"/>
            <w:vAlign w:val="center"/>
          </w:tcPr>
          <w:p w:rsidR="0088341A" w:rsidRDefault="0088341A" w:rsidP="009C4620">
            <w:pPr>
              <w:pStyle w:val="AERtabletextright"/>
              <w:keepNext/>
              <w:keepLines/>
            </w:pPr>
            <w:r>
              <w:t>9.6</w:t>
            </w:r>
          </w:p>
        </w:tc>
        <w:tc>
          <w:tcPr>
            <w:tcW w:w="1192" w:type="dxa"/>
            <w:shd w:val="clear" w:color="auto" w:fill="DBE5F1"/>
            <w:vAlign w:val="center"/>
          </w:tcPr>
          <w:p w:rsidR="0088341A" w:rsidRDefault="0088341A" w:rsidP="009C4620">
            <w:pPr>
              <w:pStyle w:val="AERtabletextright"/>
              <w:keepNext/>
              <w:keepLines/>
            </w:pPr>
            <w:r>
              <w:t>15.2</w:t>
            </w:r>
          </w:p>
        </w:tc>
        <w:tc>
          <w:tcPr>
            <w:tcW w:w="1192" w:type="dxa"/>
            <w:shd w:val="clear" w:color="auto" w:fill="DBE5F1"/>
            <w:vAlign w:val="center"/>
          </w:tcPr>
          <w:p w:rsidR="0088341A" w:rsidRDefault="0088341A" w:rsidP="009C4620">
            <w:pPr>
              <w:pStyle w:val="AERtabletextright"/>
              <w:keepNext/>
              <w:keepLines/>
            </w:pPr>
            <w:r>
              <w:t>5.6</w:t>
            </w:r>
          </w:p>
        </w:tc>
        <w:tc>
          <w:tcPr>
            <w:tcW w:w="1192" w:type="dxa"/>
            <w:shd w:val="clear" w:color="auto" w:fill="DBE5F1"/>
            <w:vAlign w:val="center"/>
          </w:tcPr>
          <w:p w:rsidR="0088341A" w:rsidRDefault="0088341A" w:rsidP="009C4620">
            <w:pPr>
              <w:pStyle w:val="AERtabletextright"/>
              <w:keepNext/>
              <w:keepLines/>
            </w:pPr>
            <w:r>
              <w:t>nil</w:t>
            </w:r>
          </w:p>
        </w:tc>
        <w:tc>
          <w:tcPr>
            <w:tcW w:w="1192" w:type="dxa"/>
            <w:shd w:val="clear" w:color="auto" w:fill="DBE5F1"/>
            <w:vAlign w:val="center"/>
          </w:tcPr>
          <w:p w:rsidR="0088341A" w:rsidRDefault="0088341A" w:rsidP="009C4620">
            <w:pPr>
              <w:pStyle w:val="AERtabletextright"/>
              <w:keepNext/>
              <w:keepLines/>
            </w:pPr>
            <w:r>
              <w:t>30.4</w:t>
            </w:r>
          </w:p>
        </w:tc>
      </w:tr>
      <w:tr w:rsidR="0088341A" w:rsidTr="00501137">
        <w:tc>
          <w:tcPr>
            <w:tcW w:w="2091" w:type="dxa"/>
            <w:shd w:val="clear" w:color="auto" w:fill="auto"/>
            <w:vAlign w:val="center"/>
          </w:tcPr>
          <w:p w:rsidR="0088341A" w:rsidRDefault="0088341A" w:rsidP="009C4620">
            <w:pPr>
              <w:pStyle w:val="AERtabletextleft"/>
              <w:keepNext/>
              <w:keepLines/>
            </w:pPr>
            <w:r>
              <w:t>Adjusted capex</w:t>
            </w:r>
          </w:p>
        </w:tc>
        <w:tc>
          <w:tcPr>
            <w:tcW w:w="1191" w:type="dxa"/>
            <w:shd w:val="clear" w:color="auto" w:fill="auto"/>
            <w:vAlign w:val="center"/>
          </w:tcPr>
          <w:p w:rsidR="0088341A" w:rsidRDefault="0088341A" w:rsidP="009C4620">
            <w:pPr>
              <w:pStyle w:val="AERtabletextright"/>
              <w:keepNext/>
              <w:keepLines/>
            </w:pPr>
            <w:r>
              <w:t>185.9</w:t>
            </w:r>
          </w:p>
        </w:tc>
        <w:tc>
          <w:tcPr>
            <w:tcW w:w="1192" w:type="dxa"/>
            <w:shd w:val="clear" w:color="auto" w:fill="auto"/>
            <w:vAlign w:val="center"/>
          </w:tcPr>
          <w:p w:rsidR="0088341A" w:rsidRDefault="0088341A" w:rsidP="009C4620">
            <w:pPr>
              <w:pStyle w:val="AERtabletextright"/>
              <w:keepNext/>
              <w:keepLines/>
            </w:pPr>
            <w:r>
              <w:t>140.2</w:t>
            </w:r>
          </w:p>
        </w:tc>
        <w:tc>
          <w:tcPr>
            <w:tcW w:w="1192" w:type="dxa"/>
            <w:shd w:val="clear" w:color="auto" w:fill="auto"/>
            <w:vAlign w:val="center"/>
          </w:tcPr>
          <w:p w:rsidR="0088341A" w:rsidRDefault="0088341A" w:rsidP="009C4620">
            <w:pPr>
              <w:pStyle w:val="AERtabletextright"/>
              <w:keepNext/>
              <w:keepLines/>
            </w:pPr>
            <w:r>
              <w:t>105.9</w:t>
            </w:r>
          </w:p>
        </w:tc>
        <w:tc>
          <w:tcPr>
            <w:tcW w:w="1192" w:type="dxa"/>
            <w:shd w:val="clear" w:color="auto" w:fill="auto"/>
            <w:vAlign w:val="center"/>
          </w:tcPr>
          <w:p w:rsidR="0088341A" w:rsidRDefault="0088341A" w:rsidP="009C4620">
            <w:pPr>
              <w:pStyle w:val="AERtabletextright"/>
              <w:keepNext/>
              <w:keepLines/>
            </w:pPr>
            <w:r>
              <w:t>39.1</w:t>
            </w:r>
          </w:p>
        </w:tc>
        <w:tc>
          <w:tcPr>
            <w:tcW w:w="1192" w:type="dxa"/>
            <w:shd w:val="clear" w:color="auto" w:fill="auto"/>
            <w:vAlign w:val="center"/>
          </w:tcPr>
          <w:p w:rsidR="0088341A" w:rsidRDefault="0088341A" w:rsidP="009C4620">
            <w:pPr>
              <w:pStyle w:val="AERtabletextright"/>
              <w:keepNext/>
              <w:keepLines/>
            </w:pPr>
            <w:r>
              <w:t>62.7</w:t>
            </w:r>
          </w:p>
        </w:tc>
        <w:tc>
          <w:tcPr>
            <w:tcW w:w="1192" w:type="dxa"/>
            <w:shd w:val="clear" w:color="auto" w:fill="auto"/>
            <w:vAlign w:val="center"/>
          </w:tcPr>
          <w:p w:rsidR="0088341A" w:rsidRDefault="0088341A" w:rsidP="009C4620">
            <w:pPr>
              <w:pStyle w:val="AERtabletextright"/>
              <w:keepNext/>
              <w:keepLines/>
            </w:pPr>
            <w:r>
              <w:t>533.8</w:t>
            </w:r>
          </w:p>
        </w:tc>
      </w:tr>
    </w:tbl>
    <w:p w:rsidR="009C4620" w:rsidRDefault="009C4620" w:rsidP="009C4620">
      <w:pPr>
        <w:pStyle w:val="AERtablesource"/>
      </w:pPr>
      <w:r>
        <w:t>Source:</w:t>
      </w:r>
      <w:r>
        <w:tab/>
        <w:t>EMCa and AER analysis.</w:t>
      </w:r>
      <w:r w:rsidR="00AA171A">
        <w:t xml:space="preserve"> Numbers may not add due to rounding.</w:t>
      </w:r>
    </w:p>
    <w:p w:rsidR="0088341A" w:rsidRDefault="0088341A" w:rsidP="009C4620">
      <w:pPr>
        <w:pStyle w:val="AERtablesource"/>
      </w:pPr>
      <w:r>
        <w:t>Note:</w:t>
      </w:r>
      <w:r>
        <w:tab/>
        <w:t>We made no prudency or cost estimation adjustment to the 'CBD rebuilds' category because the RTS is substantially underway and we allowed no capex for the WMTS.</w:t>
      </w:r>
    </w:p>
    <w:p w:rsidR="0088341A" w:rsidRPr="008D7BE1" w:rsidRDefault="0088341A" w:rsidP="009C4620">
      <w:pPr>
        <w:pStyle w:val="AERtablesource"/>
      </w:pPr>
      <w:r>
        <w:tab/>
        <w:t>Most of the non-system capex is IT capex for which we made a specific adjustment, and so we made no adjustment to IT capex to account for the cost estimation and prudency factors.</w:t>
      </w:r>
    </w:p>
    <w:p w:rsidR="0088341A" w:rsidRPr="00A907E9" w:rsidRDefault="0088341A" w:rsidP="0088341A">
      <w:pPr>
        <w:pStyle w:val="Heading3"/>
        <w:numPr>
          <w:ilvl w:val="3"/>
          <w:numId w:val="20"/>
        </w:numPr>
      </w:pPr>
      <w:bookmarkStart w:id="166" w:name="_Ref359852811"/>
      <w:r w:rsidRPr="00A907E9">
        <w:t>Major stations rebuilding and refurbishment program</w:t>
      </w:r>
      <w:bookmarkEnd w:id="166"/>
    </w:p>
    <w:p w:rsidR="0088341A" w:rsidRDefault="0088341A" w:rsidP="0088341A">
      <w:pPr>
        <w:pStyle w:val="AERbodytext"/>
        <w:numPr>
          <w:ilvl w:val="0"/>
          <w:numId w:val="1"/>
        </w:numPr>
      </w:pPr>
      <w:r>
        <w:t xml:space="preserve">SP AusNet </w:t>
      </w:r>
      <w:r w:rsidRPr="00B80DB9">
        <w:t>forecast capex of $335.</w:t>
      </w:r>
      <w:r>
        <w:t>7</w:t>
      </w:r>
      <w:r w:rsidRPr="00B80DB9">
        <w:t xml:space="preserve"> million ($2013–14) </w:t>
      </w:r>
      <w:r>
        <w:t>for</w:t>
      </w:r>
      <w:r w:rsidRPr="00B80DB9">
        <w:t xml:space="preserve"> its major station rebuilding and refurbishment program. </w:t>
      </w:r>
      <w:r>
        <w:t xml:space="preserve">We are not satisfied with how SP AusNet developed this </w:t>
      </w:r>
      <w:r w:rsidR="009F6576">
        <w:t xml:space="preserve">category </w:t>
      </w:r>
      <w:r>
        <w:t xml:space="preserve">of its overall capex forecast. Our concerns with this capex </w:t>
      </w:r>
      <w:r w:rsidR="009F6576">
        <w:t xml:space="preserve">category </w:t>
      </w:r>
      <w:r>
        <w:t xml:space="preserve">are discussed below. Our substitute forecast is </w:t>
      </w:r>
      <w:r w:rsidR="002863DF">
        <w:t>$</w:t>
      </w:r>
      <w:r>
        <w:t xml:space="preserve">210.6 </w:t>
      </w:r>
      <w:r w:rsidRPr="00B80DB9">
        <w:t>million ($2013–14</w:t>
      </w:r>
      <w:r>
        <w:t>).</w:t>
      </w:r>
    </w:p>
    <w:p w:rsidR="0088341A" w:rsidRDefault="00C77931" w:rsidP="0088341A">
      <w:pPr>
        <w:pStyle w:val="AERbodytext"/>
        <w:numPr>
          <w:ilvl w:val="0"/>
          <w:numId w:val="1"/>
        </w:numPr>
      </w:pPr>
      <w:r>
        <w:fldChar w:fldCharType="begin"/>
      </w:r>
      <w:r>
        <w:instrText xml:space="preserve"> REF _Ref365385525 \h </w:instrText>
      </w:r>
      <w:r>
        <w:fldChar w:fldCharType="separate"/>
      </w:r>
      <w:r w:rsidR="004F35AA">
        <w:t xml:space="preserve">Figure </w:t>
      </w:r>
      <w:r w:rsidR="004F35AA">
        <w:rPr>
          <w:noProof/>
        </w:rPr>
        <w:t>2</w:t>
      </w:r>
      <w:r w:rsidR="004F35AA">
        <w:t>.</w:t>
      </w:r>
      <w:r w:rsidR="004F35AA">
        <w:rPr>
          <w:noProof/>
        </w:rPr>
        <w:t>2</w:t>
      </w:r>
      <w:r>
        <w:fldChar w:fldCharType="end"/>
      </w:r>
      <w:r>
        <w:t xml:space="preserve"> </w:t>
      </w:r>
      <w:r w:rsidR="0088341A" w:rsidRPr="004869D6">
        <w:t xml:space="preserve">compares SP AusNet's actual and expected capex for this category for the 2008–14 regulatory control period with its forecast capex for the 2014–17 regulatory control period. It also shows </w:t>
      </w:r>
      <w:r w:rsidR="0088341A">
        <w:t>our</w:t>
      </w:r>
      <w:r w:rsidR="0088341A" w:rsidRPr="004869D6">
        <w:t xml:space="preserve"> </w:t>
      </w:r>
      <w:r w:rsidR="0088341A">
        <w:t>forecast capex</w:t>
      </w:r>
      <w:r w:rsidR="0088341A" w:rsidRPr="004869D6">
        <w:t>.</w:t>
      </w:r>
      <w:r w:rsidR="0088341A">
        <w:t xml:space="preserve"> Included in SP AusNet's forecast capex of $3</w:t>
      </w:r>
      <w:r w:rsidR="0088341A" w:rsidRPr="00B80DB9">
        <w:t>35.</w:t>
      </w:r>
      <w:r w:rsidR="00D422B0">
        <w:t xml:space="preserve">7 </w:t>
      </w:r>
      <w:r w:rsidR="0088341A" w:rsidRPr="00B80DB9">
        <w:t xml:space="preserve">million ($2013–14) </w:t>
      </w:r>
      <w:r w:rsidR="0088341A">
        <w:t>are</w:t>
      </w:r>
      <w:r w:rsidR="0088341A" w:rsidRPr="00B80DB9">
        <w:t xml:space="preserve"> the 'CBD rebuilds'</w:t>
      </w:r>
      <w:r w:rsidR="0088341A">
        <w:t>, which are the redevelopment</w:t>
      </w:r>
      <w:r w:rsidR="0088341A" w:rsidRPr="00B80DB9">
        <w:t xml:space="preserve"> of the </w:t>
      </w:r>
      <w:r w:rsidR="0088341A">
        <w:t xml:space="preserve">RTS </w:t>
      </w:r>
      <w:r w:rsidR="0088341A" w:rsidRPr="00B80DB9">
        <w:t xml:space="preserve">($79.5 million, $2013–14) and </w:t>
      </w:r>
      <w:r w:rsidR="0088341A">
        <w:t xml:space="preserve">the WMTS </w:t>
      </w:r>
      <w:r w:rsidR="0088341A" w:rsidRPr="00B80DB9">
        <w:t>($106.4 million, $2013–14).</w:t>
      </w:r>
      <w:r w:rsidR="0088341A" w:rsidRPr="00B80DB9">
        <w:rPr>
          <w:rStyle w:val="FootnoteReference"/>
        </w:rPr>
        <w:footnoteReference w:id="207"/>
      </w:r>
      <w:r w:rsidR="0088341A" w:rsidRPr="00B80DB9">
        <w:t xml:space="preserve"> </w:t>
      </w:r>
      <w:r w:rsidR="00B40D47">
        <w:t>The figure</w:t>
      </w:r>
      <w:r w:rsidR="0088341A">
        <w:t xml:space="preserve"> also reflects our draft decision to include forecast capex for the RTS ($77.6 million</w:t>
      </w:r>
      <w:r w:rsidR="0088341A">
        <w:rPr>
          <w:rStyle w:val="FootnoteReference"/>
        </w:rPr>
        <w:footnoteReference w:id="208"/>
      </w:r>
      <w:r w:rsidR="0088341A">
        <w:t>) and to exclude forecast capex for the WMTS.</w:t>
      </w:r>
    </w:p>
    <w:p w:rsidR="0088341A" w:rsidRDefault="00C77931" w:rsidP="00C77931">
      <w:pPr>
        <w:pStyle w:val="Caption"/>
      </w:pPr>
      <w:bookmarkStart w:id="167" w:name="_Ref365385525"/>
      <w:r>
        <w:lastRenderedPageBreak/>
        <w:t xml:space="preserve">Figure </w:t>
      </w:r>
      <w:fldSimple w:instr=" STYLEREF 1 \s ">
        <w:r w:rsidR="004F35AA">
          <w:rPr>
            <w:noProof/>
          </w:rPr>
          <w:t>2</w:t>
        </w:r>
      </w:fldSimple>
      <w:r w:rsidR="00C56A87">
        <w:t>.</w:t>
      </w:r>
      <w:fldSimple w:instr=" SEQ Figure \* ARABIC \s 1 ">
        <w:r w:rsidR="004F35AA">
          <w:rPr>
            <w:noProof/>
          </w:rPr>
          <w:t>2</w:t>
        </w:r>
      </w:fldSimple>
      <w:bookmarkEnd w:id="167"/>
      <w:r w:rsidR="0088341A">
        <w:tab/>
        <w:t>SP AusNet's major stations capex ($ million, 2013–14)</w:t>
      </w:r>
    </w:p>
    <w:p w:rsidR="0088341A" w:rsidRDefault="0088341A" w:rsidP="0088341A">
      <w:pPr>
        <w:pStyle w:val="AERbodytext"/>
        <w:numPr>
          <w:ilvl w:val="0"/>
          <w:numId w:val="1"/>
        </w:numPr>
      </w:pPr>
      <w:r>
        <w:rPr>
          <w:noProof/>
          <w:lang w:eastAsia="en-AU"/>
        </w:rPr>
        <w:drawing>
          <wp:inline distT="0" distB="0" distL="0" distR="0" wp14:anchorId="5794A319" wp14:editId="7C41EB1E">
            <wp:extent cx="4561205" cy="27324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61205" cy="2732405"/>
                    </a:xfrm>
                    <a:prstGeom prst="rect">
                      <a:avLst/>
                    </a:prstGeom>
                    <a:noFill/>
                    <a:ln>
                      <a:noFill/>
                    </a:ln>
                  </pic:spPr>
                </pic:pic>
              </a:graphicData>
            </a:graphic>
          </wp:inline>
        </w:drawing>
      </w:r>
    </w:p>
    <w:p w:rsidR="00F55AE3" w:rsidRPr="004869D6" w:rsidRDefault="000C73F7" w:rsidP="00F55AE3">
      <w:pPr>
        <w:pStyle w:val="AERtablesource"/>
      </w:pPr>
      <w:r>
        <w:t>Source:</w:t>
      </w:r>
      <w:r>
        <w:tab/>
        <w:t xml:space="preserve">SP AusNet, </w:t>
      </w:r>
      <w:r w:rsidRPr="00E72C84">
        <w:rPr>
          <w:rStyle w:val="AERtextitalic"/>
        </w:rPr>
        <w:t>Revenue proposal</w:t>
      </w:r>
      <w:r>
        <w:t>, p. 84 and p. 91; AER analysis.</w:t>
      </w:r>
    </w:p>
    <w:p w:rsidR="0088341A" w:rsidRDefault="007475DE" w:rsidP="0088341A">
      <w:pPr>
        <w:pStyle w:val="AERbodytext"/>
        <w:numPr>
          <w:ilvl w:val="0"/>
          <w:numId w:val="0"/>
        </w:numPr>
      </w:pPr>
      <w:r>
        <w:fldChar w:fldCharType="begin"/>
      </w:r>
      <w:r>
        <w:instrText xml:space="preserve"> REF _Ref365385525 \h </w:instrText>
      </w:r>
      <w:r>
        <w:fldChar w:fldCharType="separate"/>
      </w:r>
      <w:r w:rsidR="004F35AA">
        <w:t xml:space="preserve">Figure </w:t>
      </w:r>
      <w:r w:rsidR="004F35AA">
        <w:rPr>
          <w:noProof/>
        </w:rPr>
        <w:t>2</w:t>
      </w:r>
      <w:r w:rsidR="004F35AA">
        <w:t>.</w:t>
      </w:r>
      <w:r w:rsidR="004F35AA">
        <w:rPr>
          <w:noProof/>
        </w:rPr>
        <w:t>2</w:t>
      </w:r>
      <w:r>
        <w:fldChar w:fldCharType="end"/>
      </w:r>
      <w:r>
        <w:t xml:space="preserve"> </w:t>
      </w:r>
      <w:r w:rsidR="0088341A" w:rsidRPr="004869D6">
        <w:t xml:space="preserve">shows </w:t>
      </w:r>
      <w:r w:rsidR="0088341A">
        <w:t xml:space="preserve">major station </w:t>
      </w:r>
      <w:r w:rsidR="0088341A" w:rsidRPr="004869D6">
        <w:t>capex</w:t>
      </w:r>
      <w:r w:rsidR="0088341A">
        <w:t xml:space="preserve"> (including the CBD rebuilds)</w:t>
      </w:r>
      <w:r w:rsidR="0088341A" w:rsidRPr="004869D6">
        <w:t xml:space="preserve"> is forecast to increase significantly from less than $50 million (2013–14) a year in the first three years of 2008–14 to over $125 million in the last year of </w:t>
      </w:r>
      <w:r w:rsidR="0088341A">
        <w:t xml:space="preserve">the </w:t>
      </w:r>
      <w:r w:rsidR="0088341A" w:rsidRPr="004869D6">
        <w:t xml:space="preserve">2014–17 regulatory control period. </w:t>
      </w:r>
      <w:r>
        <w:fldChar w:fldCharType="begin"/>
      </w:r>
      <w:r>
        <w:instrText xml:space="preserve"> REF _Ref365385525 \h </w:instrText>
      </w:r>
      <w:r>
        <w:fldChar w:fldCharType="separate"/>
      </w:r>
      <w:r w:rsidR="004F35AA">
        <w:t xml:space="preserve">Figure </w:t>
      </w:r>
      <w:r w:rsidR="004F35AA">
        <w:rPr>
          <w:noProof/>
        </w:rPr>
        <w:t>2</w:t>
      </w:r>
      <w:r w:rsidR="004F35AA">
        <w:t>.</w:t>
      </w:r>
      <w:r w:rsidR="004F35AA">
        <w:rPr>
          <w:noProof/>
        </w:rPr>
        <w:t>2</w:t>
      </w:r>
      <w:r>
        <w:fldChar w:fldCharType="end"/>
      </w:r>
      <w:r w:rsidR="0088341A" w:rsidRPr="004869D6">
        <w:t xml:space="preserve"> also shows the significant contribution of the two CBD rebuilds to the forecast capex.</w:t>
      </w:r>
      <w:r w:rsidR="0088341A">
        <w:t xml:space="preserve"> SP </w:t>
      </w:r>
      <w:r w:rsidR="0088341A" w:rsidRPr="00B80DB9">
        <w:t>AusNet</w:t>
      </w:r>
      <w:r w:rsidR="0088341A">
        <w:t>'s</w:t>
      </w:r>
      <w:r w:rsidR="0088341A" w:rsidRPr="00B80DB9">
        <w:t xml:space="preserve"> forecast capex </w:t>
      </w:r>
      <w:r w:rsidR="0088341A">
        <w:t xml:space="preserve">for this cost category is an </w:t>
      </w:r>
      <w:r w:rsidR="0088341A" w:rsidRPr="00B80DB9">
        <w:t xml:space="preserve">average increase of 91 per cent </w:t>
      </w:r>
      <w:r w:rsidR="0088341A">
        <w:t xml:space="preserve">per year </w:t>
      </w:r>
      <w:r w:rsidR="0088341A" w:rsidRPr="00B80DB9">
        <w:t>on actual and expected capex in the 2008–14 regulatory control period.</w:t>
      </w:r>
      <w:r w:rsidR="0088341A">
        <w:t xml:space="preserve"> This category, including the rebuilding of the WMTS and RTS, is the main driver behind the forecast increase in total capex. SP AusNet commenced this works program in 2001 and expects to complete most of it by 2030, after which the program will taper off.</w:t>
      </w:r>
      <w:r w:rsidR="0088341A">
        <w:rPr>
          <w:rStyle w:val="FootnoteReference"/>
        </w:rPr>
        <w:footnoteReference w:id="209"/>
      </w:r>
      <w:r w:rsidR="0088341A">
        <w:t xml:space="preserve"> </w:t>
      </w:r>
    </w:p>
    <w:p w:rsidR="0088341A" w:rsidRDefault="0088341A" w:rsidP="0088341A">
      <w:pPr>
        <w:pStyle w:val="AERbodytext"/>
        <w:numPr>
          <w:ilvl w:val="0"/>
          <w:numId w:val="0"/>
        </w:numPr>
      </w:pPr>
      <w:r w:rsidRPr="009421A1">
        <w:t>As shown in</w:t>
      </w:r>
      <w:r>
        <w:t xml:space="preserve"> </w:t>
      </w:r>
      <w:r w:rsidR="007475DE">
        <w:fldChar w:fldCharType="begin"/>
      </w:r>
      <w:r w:rsidR="007475DE">
        <w:instrText xml:space="preserve"> REF _Ref365385647 \h </w:instrText>
      </w:r>
      <w:r w:rsidR="007475DE">
        <w:fldChar w:fldCharType="separate"/>
      </w:r>
      <w:r w:rsidR="004F35AA">
        <w:t xml:space="preserve">Figure </w:t>
      </w:r>
      <w:r w:rsidR="004F35AA">
        <w:rPr>
          <w:noProof/>
        </w:rPr>
        <w:t>2</w:t>
      </w:r>
      <w:r w:rsidR="004F35AA">
        <w:t>.</w:t>
      </w:r>
      <w:r w:rsidR="004F35AA">
        <w:rPr>
          <w:noProof/>
        </w:rPr>
        <w:t>3</w:t>
      </w:r>
      <w:r w:rsidR="007475DE">
        <w:fldChar w:fldCharType="end"/>
      </w:r>
      <w:r>
        <w:t>, SP AusNet's rebuilding and refurbishment</w:t>
      </w:r>
      <w:r w:rsidRPr="009421A1">
        <w:t xml:space="preserve"> program accounts for well over half of </w:t>
      </w:r>
      <w:r>
        <w:t>its</w:t>
      </w:r>
      <w:r w:rsidRPr="009421A1">
        <w:t xml:space="preserve"> forecast</w:t>
      </w:r>
      <w:r>
        <w:t xml:space="preserve"> total </w:t>
      </w:r>
      <w:r w:rsidRPr="009421A1">
        <w:t>capex.</w:t>
      </w:r>
      <w:r>
        <w:t xml:space="preserve"> </w:t>
      </w:r>
      <w:r w:rsidRPr="00B80DB9">
        <w:t xml:space="preserve">Together </w:t>
      </w:r>
      <w:r>
        <w:t>the RTS and WMTS</w:t>
      </w:r>
      <w:r w:rsidRPr="00B80DB9">
        <w:t xml:space="preserve"> account for 33 per cent of SP AusNet's total forecast capex</w:t>
      </w:r>
      <w:r w:rsidRPr="004869D6">
        <w:t xml:space="preserve"> for all categories.</w:t>
      </w:r>
    </w:p>
    <w:p w:rsidR="0088341A" w:rsidRDefault="007475DE" w:rsidP="007475DE">
      <w:pPr>
        <w:pStyle w:val="Caption"/>
      </w:pPr>
      <w:bookmarkStart w:id="168" w:name="_Ref365385647"/>
      <w:r>
        <w:lastRenderedPageBreak/>
        <w:t xml:space="preserve">Figure </w:t>
      </w:r>
      <w:fldSimple w:instr=" STYLEREF 1 \s ">
        <w:r w:rsidR="004F35AA">
          <w:rPr>
            <w:noProof/>
          </w:rPr>
          <w:t>2</w:t>
        </w:r>
      </w:fldSimple>
      <w:r w:rsidR="00C56A87">
        <w:t>.</w:t>
      </w:r>
      <w:fldSimple w:instr=" SEQ Figure \* ARABIC \s 1 ">
        <w:r w:rsidR="004F35AA">
          <w:rPr>
            <w:noProof/>
          </w:rPr>
          <w:t>3</w:t>
        </w:r>
      </w:fldSimple>
      <w:bookmarkEnd w:id="168"/>
      <w:r w:rsidR="0088341A">
        <w:tab/>
        <w:t>SP AusNet's forecast capex for major stations refurbishment and rebuilding, 2014–17 ($ million, 2013–14)</w:t>
      </w:r>
    </w:p>
    <w:p w:rsidR="000C73F7" w:rsidRDefault="000C73F7" w:rsidP="000C73F7">
      <w:pPr>
        <w:pStyle w:val="AERbodytext"/>
      </w:pPr>
      <w:r w:rsidRPr="000C73F7">
        <w:rPr>
          <w:noProof/>
          <w:lang w:eastAsia="en-AU"/>
        </w:rPr>
        <w:drawing>
          <wp:inline distT="0" distB="0" distL="0" distR="0" wp14:anchorId="07E5D377" wp14:editId="16EE2F8F">
            <wp:extent cx="4563745" cy="2734945"/>
            <wp:effectExtent l="0" t="0" r="825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63745" cy="2734945"/>
                    </a:xfrm>
                    <a:prstGeom prst="rect">
                      <a:avLst/>
                    </a:prstGeom>
                    <a:noFill/>
                    <a:ln>
                      <a:noFill/>
                    </a:ln>
                  </pic:spPr>
                </pic:pic>
              </a:graphicData>
            </a:graphic>
          </wp:inline>
        </w:drawing>
      </w:r>
    </w:p>
    <w:p w:rsidR="0088341A" w:rsidRDefault="0088341A" w:rsidP="00F55AE3">
      <w:pPr>
        <w:pStyle w:val="AERtablesource"/>
      </w:pPr>
      <w:r>
        <w:t>Source:</w:t>
      </w:r>
      <w:r>
        <w:tab/>
        <w:t xml:space="preserve">SP AusNet, </w:t>
      </w:r>
      <w:r w:rsidRPr="00E72C84">
        <w:rPr>
          <w:rStyle w:val="AERtextitalic"/>
        </w:rPr>
        <w:t>Revenue proposal</w:t>
      </w:r>
      <w:r>
        <w:t>, p. 84 and p. 91; AER analysis.</w:t>
      </w:r>
    </w:p>
    <w:p w:rsidR="0088341A" w:rsidRDefault="0088341A" w:rsidP="0088341A">
      <w:pPr>
        <w:pStyle w:val="AERbodytext"/>
        <w:numPr>
          <w:ilvl w:val="0"/>
          <w:numId w:val="1"/>
        </w:numPr>
      </w:pPr>
      <w:r>
        <w:t xml:space="preserve">The </w:t>
      </w:r>
      <w:r w:rsidRPr="00F03D9B">
        <w:t xml:space="preserve">Energy Users Association of Australia (EUAA) submitted </w:t>
      </w:r>
      <w:r>
        <w:t>SP AusNet could defer</w:t>
      </w:r>
      <w:r w:rsidRPr="00F03D9B">
        <w:t xml:space="preserve"> part of </w:t>
      </w:r>
      <w:r>
        <w:t>its</w:t>
      </w:r>
      <w:r w:rsidRPr="00F03D9B">
        <w:t xml:space="preserve"> replacement capex. </w:t>
      </w:r>
      <w:r>
        <w:t>It</w:t>
      </w:r>
      <w:r w:rsidRPr="00F03D9B">
        <w:t xml:space="preserve"> noted SP</w:t>
      </w:r>
      <w:r>
        <w:t> </w:t>
      </w:r>
      <w:r w:rsidRPr="00F03D9B">
        <w:t xml:space="preserve">AusNet </w:t>
      </w:r>
      <w:r>
        <w:t xml:space="preserve">relied on AEMO's demand forecasts in 2012 (which showed </w:t>
      </w:r>
      <w:r w:rsidRPr="00F03D9B">
        <w:t>expected peak demand in 2012–13 at 9 690 MW</w:t>
      </w:r>
      <w:r>
        <w:t xml:space="preserve"> and an average 1.6 per cent per year increase from 2012–13 to 2021–22)</w:t>
      </w:r>
      <w:r>
        <w:rPr>
          <w:rStyle w:val="FootnoteReference"/>
        </w:rPr>
        <w:footnoteReference w:id="210"/>
      </w:r>
      <w:r>
        <w:t xml:space="preserve"> to inform its replacement program.</w:t>
      </w:r>
      <w:r w:rsidRPr="00F03D9B">
        <w:rPr>
          <w:rStyle w:val="FootnoteReference"/>
        </w:rPr>
        <w:footnoteReference w:id="211"/>
      </w:r>
      <w:r w:rsidRPr="00F03D9B">
        <w:t xml:space="preserve"> EUAA submitted that</w:t>
      </w:r>
      <w:r>
        <w:t xml:space="preserve"> on this basis</w:t>
      </w:r>
      <w:r w:rsidRPr="00F03D9B">
        <w:t xml:space="preserve"> the expected pe</w:t>
      </w:r>
      <w:r w:rsidR="00B40D47">
        <w:t>ak demand by the end of the 2014</w:t>
      </w:r>
      <w:r w:rsidRPr="00F03D9B">
        <w:t>–17 regulatory control period would be 10 325 </w:t>
      </w:r>
      <w:r>
        <w:t>megawatts (</w:t>
      </w:r>
      <w:r w:rsidRPr="00F03D9B">
        <w:t>MW</w:t>
      </w:r>
      <w:r>
        <w:t>)</w:t>
      </w:r>
      <w:r w:rsidRPr="00F03D9B">
        <w:t xml:space="preserve">. In contrast, </w:t>
      </w:r>
      <w:r>
        <w:t>it</w:t>
      </w:r>
      <w:r w:rsidRPr="00F03D9B">
        <w:t xml:space="preserve"> submitted annual demand fell by 17 MW</w:t>
      </w:r>
      <w:r>
        <w:t xml:space="preserve"> </w:t>
      </w:r>
      <w:r w:rsidRPr="00F03D9B">
        <w:t>from 2007 to 2012</w:t>
      </w:r>
      <w:r>
        <w:t>, and,</w:t>
      </w:r>
      <w:r w:rsidRPr="00F03D9B">
        <w:t xml:space="preserve"> </w:t>
      </w:r>
      <w:r w:rsidR="002863DF">
        <w:t>i</w:t>
      </w:r>
      <w:r w:rsidRPr="00F03D9B">
        <w:t>f that trend continued, expected peak demand by the end of the 201</w:t>
      </w:r>
      <w:r>
        <w:t>4</w:t>
      </w:r>
      <w:r w:rsidRPr="00F03D9B">
        <w:t xml:space="preserve">–17 regulatory control period would be 9 342 MW (983 MW or 10 per cent less than the forecast </w:t>
      </w:r>
      <w:r>
        <w:t xml:space="preserve">that </w:t>
      </w:r>
      <w:r w:rsidRPr="00F03D9B">
        <w:t xml:space="preserve">SP AusNet used). </w:t>
      </w:r>
      <w:r w:rsidR="00D76F06">
        <w:t xml:space="preserve">The </w:t>
      </w:r>
      <w:r w:rsidRPr="00F03D9B">
        <w:t xml:space="preserve">EUAA submitted this difference was sufficiently large to affect the timing of some of SP AusNet's capital projects. </w:t>
      </w:r>
      <w:r>
        <w:t>It</w:t>
      </w:r>
      <w:r w:rsidRPr="00F03D9B">
        <w:t xml:space="preserve"> also submitted the high level of replacement capex, both actual and forecast, </w:t>
      </w:r>
      <w:r>
        <w:t>is</w:t>
      </w:r>
      <w:r w:rsidRPr="00F03D9B">
        <w:t xml:space="preserve"> substantially increasing the average age of certain types of assets. </w:t>
      </w:r>
      <w:r>
        <w:t>For this reason</w:t>
      </w:r>
      <w:r w:rsidRPr="00F03D9B">
        <w:t xml:space="preserve"> and its submission on demand forecasts, </w:t>
      </w:r>
      <w:r w:rsidR="00D76F06">
        <w:t xml:space="preserve">the </w:t>
      </w:r>
      <w:r w:rsidRPr="00F03D9B">
        <w:t>EUAA questioned whether SP AusNet needed such a high level of replacement capex and considered SP AusNet could defer some capex without putting supply at risk.</w:t>
      </w:r>
      <w:r w:rsidRPr="00F03D9B">
        <w:rPr>
          <w:rStyle w:val="FootnoteReference"/>
        </w:rPr>
        <w:footnoteReference w:id="212"/>
      </w:r>
    </w:p>
    <w:p w:rsidR="0088341A" w:rsidRDefault="0088341A" w:rsidP="0088341A">
      <w:pPr>
        <w:pStyle w:val="AERbodytext"/>
        <w:numPr>
          <w:ilvl w:val="0"/>
          <w:numId w:val="1"/>
        </w:numPr>
      </w:pPr>
      <w:r>
        <w:t>Similarly, b</w:t>
      </w:r>
      <w:r w:rsidRPr="00366B82">
        <w:t xml:space="preserve">ased on an assessment of remaining asset lives, </w:t>
      </w:r>
      <w:r>
        <w:t>the Energy Users Coalition of Victoria (</w:t>
      </w:r>
      <w:r w:rsidRPr="00366B82">
        <w:t>EUCV</w:t>
      </w:r>
      <w:r>
        <w:t>)</w:t>
      </w:r>
      <w:r w:rsidRPr="00366B82">
        <w:t xml:space="preserve"> submitted SP AusNet is likely to have overstated the capex </w:t>
      </w:r>
      <w:r>
        <w:t xml:space="preserve">that </w:t>
      </w:r>
      <w:r w:rsidRPr="00366B82">
        <w:t xml:space="preserve">it needs. Moreover, </w:t>
      </w:r>
      <w:r>
        <w:t>it</w:t>
      </w:r>
      <w:r w:rsidRPr="00366B82">
        <w:t xml:space="preserve"> submitted SP AusNet could defer some replacement projects </w:t>
      </w:r>
      <w:r>
        <w:t>until</w:t>
      </w:r>
      <w:r w:rsidRPr="00366B82">
        <w:t xml:space="preserve"> the regulatory control period commencing 2017–18 with little risk to supply.</w:t>
      </w:r>
      <w:r w:rsidRPr="00366B82">
        <w:rPr>
          <w:rStyle w:val="FootnoteReference"/>
        </w:rPr>
        <w:footnoteReference w:id="213"/>
      </w:r>
    </w:p>
    <w:p w:rsidR="0088341A" w:rsidRDefault="0088341A" w:rsidP="0088341A">
      <w:pPr>
        <w:pStyle w:val="AERbodytext"/>
        <w:numPr>
          <w:ilvl w:val="0"/>
          <w:numId w:val="1"/>
        </w:numPr>
      </w:pPr>
      <w:r>
        <w:t>SP AusNet used demand forecasts, as well as discount rates and asset failure rates, in its sensitivity analysis to test the robustness of the economic evaluations of its projects. It</w:t>
      </w:r>
      <w:r w:rsidRPr="00F03D9B">
        <w:t xml:space="preserve"> used demand forecasts at terminal stations to inform its decisions to replace </w:t>
      </w:r>
      <w:r>
        <w:t xml:space="preserve">certain </w:t>
      </w:r>
      <w:r w:rsidRPr="00F03D9B">
        <w:t>assets.</w:t>
      </w:r>
      <w:r>
        <w:t xml:space="preserve"> Specifically, </w:t>
      </w:r>
      <w:r w:rsidRPr="00F03D9B">
        <w:t xml:space="preserve">SP AusNet used </w:t>
      </w:r>
      <w:r>
        <w:t xml:space="preserve">those </w:t>
      </w:r>
      <w:r w:rsidRPr="00F03D9B">
        <w:t>demand forecasts to asse</w:t>
      </w:r>
      <w:r>
        <w:t>s</w:t>
      </w:r>
      <w:r w:rsidRPr="00F03D9B">
        <w:t>s the level of load at risk if a transformer fails. This assessment form</w:t>
      </w:r>
      <w:r>
        <w:t>ed</w:t>
      </w:r>
      <w:r w:rsidRPr="00F03D9B">
        <w:t xml:space="preserve"> part of SP AusNet's economic evaluation of options to replace assets. </w:t>
      </w:r>
    </w:p>
    <w:p w:rsidR="0088341A" w:rsidRPr="00F03D9B" w:rsidRDefault="0088341A" w:rsidP="0088341A">
      <w:pPr>
        <w:pStyle w:val="AERbodytext"/>
        <w:numPr>
          <w:ilvl w:val="0"/>
          <w:numId w:val="1"/>
        </w:numPr>
      </w:pPr>
      <w:r>
        <w:lastRenderedPageBreak/>
        <w:t>We consider it reasonable for SP AusNet to use AEMO's demand forecasts in 2012 to inform its replacement capex program that it submitted in its revenue proposal. We also note that in its 2013 report AEMO has revised its demand growth rate to an average of 0.8 per cent (half its forecast demand growth rate in 2012).</w:t>
      </w:r>
      <w:r>
        <w:rPr>
          <w:rStyle w:val="FootnoteReference"/>
        </w:rPr>
        <w:footnoteReference w:id="214"/>
      </w:r>
    </w:p>
    <w:p w:rsidR="0088341A" w:rsidRPr="00366B82" w:rsidRDefault="0088341A" w:rsidP="0088341A">
      <w:pPr>
        <w:pStyle w:val="AERbodytext"/>
        <w:numPr>
          <w:ilvl w:val="0"/>
          <w:numId w:val="1"/>
        </w:numPr>
      </w:pPr>
      <w:r>
        <w:t xml:space="preserve">Generally, we consider the submissions </w:t>
      </w:r>
      <w:r w:rsidR="00D76F06">
        <w:t xml:space="preserve">of </w:t>
      </w:r>
      <w:r>
        <w:t>the EUAA and EUCV have some merit. SP AusNet set itself a challenging capex program over the 2014–17 regulatory control period, particularly if the RTS and WMTS projects procee</w:t>
      </w:r>
      <w:r w:rsidR="00D76F06">
        <w:t xml:space="preserve">d in parallel. Although we </w:t>
      </w:r>
      <w:r>
        <w:t xml:space="preserve">made no specific adjustment to SP AusNet's forecast capex to account for AEMO's revised demand forecasts, the prudency adjustment that we made (section </w:t>
      </w:r>
      <w:r>
        <w:fldChar w:fldCharType="begin"/>
      </w:r>
      <w:r>
        <w:instrText xml:space="preserve"> REF _Ref360117147 \r \h </w:instrText>
      </w:r>
      <w:r>
        <w:fldChar w:fldCharType="separate"/>
      </w:r>
      <w:r w:rsidR="004F35AA">
        <w:t>2.4.2</w:t>
      </w:r>
      <w:r>
        <w:fldChar w:fldCharType="end"/>
      </w:r>
      <w:r>
        <w:t xml:space="preserve">) accounts for (among other things) potential prudent deferral of capex owing to changing circumstances. </w:t>
      </w:r>
    </w:p>
    <w:p w:rsidR="0088341A" w:rsidRDefault="0088341A" w:rsidP="0088341A">
      <w:pPr>
        <w:pStyle w:val="HeadingBoldBlue"/>
      </w:pPr>
      <w:r>
        <w:t>CBD rebuilds</w:t>
      </w:r>
    </w:p>
    <w:p w:rsidR="0088341A" w:rsidRDefault="0088341A" w:rsidP="0088341A">
      <w:pPr>
        <w:pStyle w:val="AERbodytext"/>
        <w:numPr>
          <w:ilvl w:val="0"/>
          <w:numId w:val="0"/>
        </w:numPr>
      </w:pPr>
      <w:r>
        <w:t>SP AusNet proposed to rebuild the RTS and WMTS concurrently, expecting to complete both projects in 2017–18.</w:t>
      </w:r>
      <w:r>
        <w:rPr>
          <w:rStyle w:val="FootnoteReference"/>
        </w:rPr>
        <w:footnoteReference w:id="215"/>
      </w:r>
      <w:r>
        <w:t xml:space="preserve"> By contrast, five years ago in its revenue proposal for the 2008–14 regulatory control period, SP AusNet expected work on the RTS would be well underway before work </w:t>
      </w:r>
      <w:r w:rsidR="00D76F06">
        <w:t>commenced on the WMTS</w:t>
      </w:r>
      <w:r>
        <w:t>. It had forecast the WMTS would be completed two years after the RTS was completed.</w:t>
      </w:r>
      <w:r>
        <w:rPr>
          <w:rStyle w:val="FootnoteReference"/>
        </w:rPr>
        <w:footnoteReference w:id="216"/>
      </w:r>
      <w:r>
        <w:t xml:space="preserve"> </w:t>
      </w:r>
    </w:p>
    <w:p w:rsidR="0088341A" w:rsidRDefault="0088341A" w:rsidP="0088341A">
      <w:pPr>
        <w:pStyle w:val="AERbodytext"/>
        <w:numPr>
          <w:ilvl w:val="0"/>
          <w:numId w:val="0"/>
        </w:numPr>
      </w:pPr>
      <w:r>
        <w:t>While SP </w:t>
      </w:r>
      <w:r w:rsidRPr="004E1432">
        <w:t xml:space="preserve">AusNet </w:t>
      </w:r>
      <w:r>
        <w:t xml:space="preserve">rescheduled </w:t>
      </w:r>
      <w:r w:rsidRPr="004E1432">
        <w:t xml:space="preserve">the </w:t>
      </w:r>
      <w:r>
        <w:t>RTS</w:t>
      </w:r>
      <w:r w:rsidRPr="004E1432">
        <w:t xml:space="preserve">, it </w:t>
      </w:r>
      <w:r>
        <w:t>did</w:t>
      </w:r>
      <w:r w:rsidRPr="004E1432">
        <w:t xml:space="preserve"> not </w:t>
      </w:r>
      <w:r>
        <w:t>change</w:t>
      </w:r>
      <w:r w:rsidRPr="004E1432">
        <w:t xml:space="preserve"> the scheduling for the </w:t>
      </w:r>
      <w:r>
        <w:t>WMTS</w:t>
      </w:r>
      <w:r w:rsidRPr="004E1432">
        <w:t xml:space="preserve"> as envisaged in its original revenue proposal for the 2008–14 regulatory control period</w:t>
      </w:r>
      <w:r>
        <w:t xml:space="preserve"> (although SP AusNet deferred some work from </w:t>
      </w:r>
      <w:r w:rsidR="00D76F06">
        <w:t>that</w:t>
      </w:r>
      <w:r>
        <w:t xml:space="preserve"> period).</w:t>
      </w:r>
      <w:r>
        <w:rPr>
          <w:rStyle w:val="FootnoteReference"/>
        </w:rPr>
        <w:footnoteReference w:id="217"/>
      </w:r>
      <w:r>
        <w:t xml:space="preserve"> </w:t>
      </w:r>
    </w:p>
    <w:p w:rsidR="0088341A" w:rsidRDefault="0088341A" w:rsidP="0088341A">
      <w:pPr>
        <w:pStyle w:val="HeadingBoldItalic"/>
      </w:pPr>
      <w:r>
        <w:t>Richmond rebuild</w:t>
      </w:r>
    </w:p>
    <w:p w:rsidR="0088341A" w:rsidRDefault="0088341A" w:rsidP="0088341A">
      <w:pPr>
        <w:pStyle w:val="AERbodytext"/>
        <w:numPr>
          <w:ilvl w:val="0"/>
          <w:numId w:val="1"/>
        </w:numPr>
      </w:pPr>
      <w:r>
        <w:t>We and EMCa agree with SP AusNet's proposed RTS rebuild and its timing, given most of the equipment is at the end of its useful life. We also agree with the use of gas insulated switchgear (GIS), rather than the less expensive air insulated switchgear (AIS), given the site is confined on all sides and replacement with AIS would be extremely difficult and risky.</w:t>
      </w:r>
      <w:r>
        <w:rPr>
          <w:rStyle w:val="FootnoteReference"/>
        </w:rPr>
        <w:footnoteReference w:id="218"/>
      </w:r>
      <w:r>
        <w:t xml:space="preserve"> </w:t>
      </w:r>
    </w:p>
    <w:p w:rsidR="0088341A" w:rsidRDefault="0088341A" w:rsidP="0088341A">
      <w:pPr>
        <w:pStyle w:val="AERbodytext"/>
        <w:numPr>
          <w:ilvl w:val="0"/>
          <w:numId w:val="0"/>
        </w:numPr>
      </w:pPr>
      <w:r>
        <w:t>SP AusNet deferred rebuilding</w:t>
      </w:r>
      <w:r w:rsidRPr="00B80DB9">
        <w:t xml:space="preserve"> the </w:t>
      </w:r>
      <w:r>
        <w:t>RTS</w:t>
      </w:r>
      <w:r w:rsidRPr="00B80DB9">
        <w:t xml:space="preserve"> from the 2008–14 regulatory control period to the 2014–17 regulatory control period</w:t>
      </w:r>
      <w:r>
        <w:t>,</w:t>
      </w:r>
      <w:r w:rsidRPr="00B80DB9">
        <w:t xml:space="preserve"> following a revision to the</w:t>
      </w:r>
      <w:r>
        <w:t xml:space="preserve"> project's</w:t>
      </w:r>
      <w:r w:rsidRPr="00B80DB9">
        <w:t xml:space="preserve"> scope </w:t>
      </w:r>
      <w:r>
        <w:t>i</w:t>
      </w:r>
      <w:r w:rsidRPr="00B80DB9">
        <w:t xml:space="preserve">n 2012. </w:t>
      </w:r>
      <w:r>
        <w:t>It</w:t>
      </w:r>
      <w:r w:rsidRPr="00B80DB9">
        <w:t xml:space="preserve"> decided to redevelop the entire 66</w:t>
      </w:r>
      <w:r>
        <w:t xml:space="preserve"> kilovolt</w:t>
      </w:r>
      <w:r w:rsidRPr="00B80DB9">
        <w:t xml:space="preserve"> </w:t>
      </w:r>
      <w:r>
        <w:t>(</w:t>
      </w:r>
      <w:r w:rsidRPr="00B80DB9">
        <w:t>kV</w:t>
      </w:r>
      <w:r>
        <w:t>)</w:t>
      </w:r>
      <w:r w:rsidRPr="00B80DB9">
        <w:t xml:space="preserve"> switchyard with </w:t>
      </w:r>
      <w:r>
        <w:t>GIS</w:t>
      </w:r>
      <w:r w:rsidRPr="00B80DB9">
        <w:t xml:space="preserve"> rather </w:t>
      </w:r>
      <w:r>
        <w:t>than AIS,</w:t>
      </w:r>
      <w:r w:rsidRPr="00B80DB9">
        <w:t xml:space="preserve"> because it found the </w:t>
      </w:r>
      <w:r>
        <w:t>site's</w:t>
      </w:r>
      <w:r w:rsidRPr="00B80DB9">
        <w:t xml:space="preserve"> foundations could not support the weight of AIS. Moreover, SP AusNet decided to 'improve the site's visual amenity consistent with the expectations of the local community and council'.</w:t>
      </w:r>
      <w:r w:rsidRPr="00B80DB9">
        <w:rPr>
          <w:rStyle w:val="FootnoteReference"/>
        </w:rPr>
        <w:footnoteReference w:id="219"/>
      </w:r>
      <w:r>
        <w:t xml:space="preserve"> In our last review we assessed the project and included forecast capex for it in SP AusNet's capex allowance. Following SP AusNet's review in 2012, we also accept</w:t>
      </w:r>
      <w:r w:rsidRPr="00A92913">
        <w:t xml:space="preserve"> </w:t>
      </w:r>
      <w:r>
        <w:t>the scope of the project needed to change owing</w:t>
      </w:r>
      <w:r w:rsidRPr="00647FAF">
        <w:t xml:space="preserve"> to site conditions</w:t>
      </w:r>
      <w:r>
        <w:t xml:space="preserve">, which increases costs. </w:t>
      </w:r>
    </w:p>
    <w:p w:rsidR="0088341A" w:rsidRDefault="0088341A" w:rsidP="0088341A">
      <w:pPr>
        <w:pStyle w:val="AERbodytext"/>
        <w:numPr>
          <w:ilvl w:val="0"/>
          <w:numId w:val="0"/>
        </w:numPr>
      </w:pPr>
      <w:r>
        <w:t xml:space="preserve">SP AusNet submitted on 16 July 2013 that it will incur additional capex relating to moving assets owned by distributors </w:t>
      </w:r>
      <w:r w:rsidRPr="00D001C9">
        <w:t xml:space="preserve">at the </w:t>
      </w:r>
      <w:r>
        <w:t>RTS</w:t>
      </w:r>
      <w:r w:rsidRPr="00D001C9">
        <w:t xml:space="preserve"> (about $</w:t>
      </w:r>
      <w:r>
        <w:t>7.6</w:t>
      </w:r>
      <w:r w:rsidRPr="00D001C9">
        <w:t xml:space="preserve"> million). It foreshadowed that it would provide further material that explained and justified the capex early in August. It also submitted that it would include more accurate forecasts of the capex in its revised revenue proposal.</w:t>
      </w:r>
      <w:r w:rsidRPr="00D001C9">
        <w:rPr>
          <w:rStyle w:val="FootnoteReference"/>
        </w:rPr>
        <w:footnoteReference w:id="220"/>
      </w:r>
      <w:r w:rsidRPr="00D001C9">
        <w:t xml:space="preserve"> Because SP AusNet </w:t>
      </w:r>
      <w:r w:rsidRPr="00D001C9">
        <w:lastRenderedPageBreak/>
        <w:t>submitted this material late, we had no time to consider it for our draft decision. We will consider it for our final decision when we receive SP AusNet's revised revenue proposal</w:t>
      </w:r>
      <w:r>
        <w:t>.</w:t>
      </w:r>
    </w:p>
    <w:p w:rsidR="0088341A" w:rsidRDefault="0088341A" w:rsidP="0088341A">
      <w:pPr>
        <w:pStyle w:val="HeadingBoldItalic"/>
      </w:pPr>
      <w:r>
        <w:t xml:space="preserve">West Melbourne rebuild </w:t>
      </w:r>
    </w:p>
    <w:p w:rsidR="0088341A" w:rsidRDefault="0088341A" w:rsidP="0088341A">
      <w:pPr>
        <w:pStyle w:val="AERbodytext"/>
        <w:numPr>
          <w:ilvl w:val="0"/>
          <w:numId w:val="1"/>
        </w:numPr>
      </w:pPr>
      <w:r>
        <w:t>Given the age and condition of the WMTS, we agree with SP AusNet that it needs to be rebuilt. However, on 22 July 2013 SP </w:t>
      </w:r>
      <w:r w:rsidRPr="003A0A1D">
        <w:t xml:space="preserve">AusNet </w:t>
      </w:r>
      <w:r>
        <w:t>submitted</w:t>
      </w:r>
      <w:r w:rsidRPr="003A0A1D">
        <w:t xml:space="preserve"> it may have to materially revise the project t</w:t>
      </w:r>
      <w:r>
        <w:t>iming and costs indicated in its revenue</w:t>
      </w:r>
      <w:r w:rsidRPr="003A0A1D">
        <w:t xml:space="preserve"> proposal </w:t>
      </w:r>
      <w:r w:rsidR="00D76F06">
        <w:t>given</w:t>
      </w:r>
      <w:r w:rsidRPr="003A0A1D">
        <w:t xml:space="preserve"> rece</w:t>
      </w:r>
      <w:r w:rsidR="00D76F06">
        <w:t xml:space="preserve">nt developments. It stated </w:t>
      </w:r>
      <w:r w:rsidRPr="003A0A1D">
        <w:t>the current prop</w:t>
      </w:r>
      <w:r>
        <w:t>osed solution may be unworkable, because</w:t>
      </w:r>
      <w:r w:rsidRPr="003A0A1D">
        <w:t xml:space="preserve"> the Linking Melbourne Authority notif</w:t>
      </w:r>
      <w:r>
        <w:t>ied SP </w:t>
      </w:r>
      <w:r w:rsidRPr="003A0A1D">
        <w:t xml:space="preserve">AusNet </w:t>
      </w:r>
      <w:r>
        <w:t>it might compulsorily acquire</w:t>
      </w:r>
      <w:r w:rsidRPr="003A0A1D">
        <w:t xml:space="preserve"> part of the land at the WMTS </w:t>
      </w:r>
      <w:r>
        <w:t xml:space="preserve">site </w:t>
      </w:r>
      <w:r w:rsidRPr="003A0A1D">
        <w:t>for road works.</w:t>
      </w:r>
      <w:r>
        <w:t xml:space="preserve"> SP AusNet submitted any revisions to the WMTS project would not be available in time for our draft decision.</w:t>
      </w:r>
      <w:r>
        <w:rPr>
          <w:rStyle w:val="FootnoteReference"/>
        </w:rPr>
        <w:footnoteReference w:id="221"/>
      </w:r>
      <w:r>
        <w:t xml:space="preserve"> </w:t>
      </w:r>
    </w:p>
    <w:p w:rsidR="0088341A" w:rsidRPr="00D023AA" w:rsidRDefault="0088341A" w:rsidP="0088341A">
      <w:pPr>
        <w:pStyle w:val="AERbodytext"/>
        <w:numPr>
          <w:ilvl w:val="0"/>
          <w:numId w:val="1"/>
        </w:numPr>
      </w:pPr>
      <w:r>
        <w:t xml:space="preserve">Given these latest developments and the uncertainty over the timing and costs of the WMTS project, for our draft decision we </w:t>
      </w:r>
      <w:r w:rsidR="00D76F06">
        <w:t>cannot</w:t>
      </w:r>
      <w:r>
        <w:t xml:space="preserve"> make a reasonable forecast of capex for the 2014–17 regulatory control period that complies with the requirements of the NEL and NER. Accordingly, we reduced SP AusNet's total forecast capex by the forecast capex for the WMTS ($106</w:t>
      </w:r>
      <w:r w:rsidR="00D76F06">
        <w:t>.4 million</w:t>
      </w:r>
      <w:r w:rsidR="00D422B0">
        <w:t>, $2013–14</w:t>
      </w:r>
      <w:r w:rsidR="00D76F06">
        <w:t>). For our</w:t>
      </w:r>
      <w:r>
        <w:t xml:space="preserve"> final decision</w:t>
      </w:r>
      <w:r w:rsidR="00D76F06">
        <w:t>,</w:t>
      </w:r>
      <w:r>
        <w:t xml:space="preserve"> we will consider any revised proposal for the WMTS that SP AusNet submits in its revised revenue proposal.</w:t>
      </w:r>
      <w:r>
        <w:rPr>
          <w:rStyle w:val="FootnoteReference"/>
        </w:rPr>
        <w:footnoteReference w:id="222"/>
      </w:r>
      <w:r w:rsidRPr="00D023AA">
        <w:t xml:space="preserve">  </w:t>
      </w:r>
    </w:p>
    <w:p w:rsidR="0088341A" w:rsidRDefault="0088341A" w:rsidP="0088341A">
      <w:pPr>
        <w:pStyle w:val="HeadingBoldBlue"/>
      </w:pPr>
      <w:r>
        <w:t>Other projects</w:t>
      </w:r>
    </w:p>
    <w:p w:rsidR="0088341A" w:rsidRDefault="0088341A" w:rsidP="0088341A">
      <w:pPr>
        <w:pStyle w:val="AERbodytext"/>
        <w:numPr>
          <w:ilvl w:val="0"/>
          <w:numId w:val="1"/>
        </w:numPr>
      </w:pPr>
      <w:r>
        <w:t>In addition to the RTS and WMTS rebuilds, SP AusNet forecast total capex of $149.8 million ($2013–14) for major station replacement projects.</w:t>
      </w:r>
      <w:r>
        <w:rPr>
          <w:rStyle w:val="FootnoteReference"/>
        </w:rPr>
        <w:footnoteReference w:id="223"/>
      </w:r>
      <w:r>
        <w:t xml:space="preserve"> We do not agree with SP AusNet's forecast capex for one of these projects. We do not consider SP AusNet needs to replace the transformer at the Fisherman's Bend terminal station (FBTS) during the 2014–17 regulatory control period. After also adjusting for the prudency and cost estimation factors (except for the FBTS), our substi</w:t>
      </w:r>
      <w:r w:rsidR="00B40D47">
        <w:t>tute forecast for this category</w:t>
      </w:r>
      <w:r>
        <w:t xml:space="preserve"> of SP AusNet's forecast capex is $13</w:t>
      </w:r>
      <w:r w:rsidR="00B13615">
        <w:t>2</w:t>
      </w:r>
      <w:r>
        <w:t>.</w:t>
      </w:r>
      <w:r w:rsidR="00B13615">
        <w:t>9</w:t>
      </w:r>
      <w:r>
        <w:t xml:space="preserve"> million ($2013–14).</w:t>
      </w:r>
    </w:p>
    <w:p w:rsidR="0088341A" w:rsidRPr="00B330A4" w:rsidRDefault="0088341A" w:rsidP="0088341A">
      <w:pPr>
        <w:numPr>
          <w:ilvl w:val="0"/>
          <w:numId w:val="2"/>
        </w:numPr>
      </w:pPr>
      <w:r w:rsidRPr="00B330A4">
        <w:t xml:space="preserve">EMCa reviewed five projects that account for most of SP AusNet's </w:t>
      </w:r>
      <w:r w:rsidR="00D76F06">
        <w:t>forecast capex in this category:</w:t>
      </w:r>
      <w:r>
        <w:rPr>
          <w:rStyle w:val="FootnoteReference"/>
        </w:rPr>
        <w:footnoteReference w:id="224"/>
      </w:r>
      <w:r w:rsidRPr="00B330A4">
        <w:t xml:space="preserve"> </w:t>
      </w:r>
    </w:p>
    <w:p w:rsidR="0088341A" w:rsidRPr="00B330A4" w:rsidRDefault="0088341A" w:rsidP="0088341A">
      <w:pPr>
        <w:pStyle w:val="AERbulletlistfirststyle"/>
      </w:pPr>
      <w:r w:rsidRPr="00B330A4">
        <w:t>Heatherton terminal station—$39.4 million</w:t>
      </w:r>
    </w:p>
    <w:p w:rsidR="0088341A" w:rsidRPr="00B330A4" w:rsidRDefault="0088341A" w:rsidP="0088341A">
      <w:pPr>
        <w:pStyle w:val="AERbulletlistfirststyle"/>
      </w:pPr>
      <w:r w:rsidRPr="00B330A4">
        <w:t xml:space="preserve">Yallourn power station switchyard—$19.7 million </w:t>
      </w:r>
    </w:p>
    <w:p w:rsidR="0088341A" w:rsidRPr="00B330A4" w:rsidRDefault="0088341A" w:rsidP="0088341A">
      <w:pPr>
        <w:pStyle w:val="AERbulletlistfirststyle"/>
      </w:pPr>
      <w:r w:rsidRPr="00B330A4">
        <w:t>South Morang terminal station—$30.3 million</w:t>
      </w:r>
    </w:p>
    <w:p w:rsidR="0088341A" w:rsidRPr="00B330A4" w:rsidRDefault="0088341A" w:rsidP="0088341A">
      <w:pPr>
        <w:pStyle w:val="AERbulletlistfirststyle"/>
      </w:pPr>
      <w:r w:rsidRPr="00B330A4">
        <w:t>Fisherman's Bend terminal station—$15.6 million</w:t>
      </w:r>
    </w:p>
    <w:p w:rsidR="0088341A" w:rsidRPr="00B330A4" w:rsidRDefault="0088341A" w:rsidP="0088341A">
      <w:pPr>
        <w:pStyle w:val="AERbulletlistfirststyle"/>
      </w:pPr>
      <w:r w:rsidRPr="00B330A4">
        <w:t xml:space="preserve">Hazelwood power station switchyard—$0.9 million </w:t>
      </w:r>
    </w:p>
    <w:p w:rsidR="0088341A" w:rsidRPr="00B330A4" w:rsidRDefault="0088341A" w:rsidP="0088341A">
      <w:pPr>
        <w:numPr>
          <w:ilvl w:val="0"/>
          <w:numId w:val="2"/>
        </w:numPr>
      </w:pPr>
      <w:r w:rsidRPr="00B330A4">
        <w:t>While EMCa supported the first three of these projects in full, it did not support the remaining two as SP AusNet proposed. Given the condition of the transformer at Fisherman's Bend terminal station, EMCa considered SP AusNet could defer replacing it to the 2017–22 regulatory control period without any undue risk. It recommended we reduce the forecast capex for this project by 25 per cent.</w:t>
      </w:r>
      <w:r>
        <w:rPr>
          <w:rStyle w:val="FootnoteReference"/>
        </w:rPr>
        <w:footnoteReference w:id="225"/>
      </w:r>
      <w:r w:rsidRPr="00B330A4">
        <w:t xml:space="preserve"> We agree with EMCa's assessment and reduced SP AusNet's forecast capex from $15.6 million to $11.7 million ($2013–14). </w:t>
      </w:r>
    </w:p>
    <w:p w:rsidR="0088341A" w:rsidRPr="00B330A4" w:rsidRDefault="0088341A" w:rsidP="0088341A">
      <w:pPr>
        <w:numPr>
          <w:ilvl w:val="0"/>
          <w:numId w:val="2"/>
        </w:numPr>
      </w:pPr>
      <w:r w:rsidRPr="00B330A4">
        <w:lastRenderedPageBreak/>
        <w:t>For the Hazelwood power station switchyard</w:t>
      </w:r>
      <w:r w:rsidR="00D76F06">
        <w:t>,</w:t>
      </w:r>
      <w:r w:rsidRPr="00B330A4">
        <w:t xml:space="preserve"> EMCa recommended we reduce the forecast capex by about 50 per cent for the 2014–17 regulatory control period to $0.5 million ($2013–14).</w:t>
      </w:r>
      <w:r>
        <w:rPr>
          <w:rStyle w:val="FootnoteReference"/>
        </w:rPr>
        <w:footnoteReference w:id="226"/>
      </w:r>
      <w:r w:rsidRPr="00B330A4">
        <w:t xml:space="preserve"> However, notwithstanding EMCa's recommendation we did not reduce SP AusNet's forecast capex of $0.9 million for 2014–17 regulatory control period because this is only a small part of the expected costs of this project and the reduction would be marginal.  </w:t>
      </w:r>
    </w:p>
    <w:p w:rsidR="0088341A" w:rsidRPr="00A907E9" w:rsidRDefault="0088341A" w:rsidP="0088341A">
      <w:pPr>
        <w:pStyle w:val="Heading3"/>
        <w:numPr>
          <w:ilvl w:val="3"/>
          <w:numId w:val="20"/>
        </w:numPr>
      </w:pPr>
      <w:r w:rsidRPr="00A907E9">
        <w:t xml:space="preserve">Asset replacement program </w:t>
      </w:r>
    </w:p>
    <w:p w:rsidR="0088341A" w:rsidRPr="00651AE8" w:rsidRDefault="0088341A" w:rsidP="0088341A">
      <w:pPr>
        <w:pStyle w:val="AERbodytext"/>
        <w:numPr>
          <w:ilvl w:val="0"/>
          <w:numId w:val="1"/>
        </w:numPr>
      </w:pPr>
      <w:r>
        <w:t>We do not agree with SP AusNet's forecast total capex of $121.1 million for replacing certain assets</w:t>
      </w:r>
      <w:r w:rsidRPr="00EC7BC7">
        <w:t>, suc</w:t>
      </w:r>
      <w:r>
        <w:t>h as lines and plant. By reducing the forecast capex by $17.7 million to account for our real cost escalators (section </w:t>
      </w:r>
      <w:r>
        <w:fldChar w:fldCharType="begin"/>
      </w:r>
      <w:r>
        <w:instrText xml:space="preserve"> REF _Ref363574534 \n \h </w:instrText>
      </w:r>
      <w:r>
        <w:fldChar w:fldCharType="separate"/>
      </w:r>
      <w:r w:rsidR="004F35AA">
        <w:t>2.4.1</w:t>
      </w:r>
      <w:r>
        <w:fldChar w:fldCharType="end"/>
      </w:r>
      <w:r>
        <w:t>) and the prudency and cost estimation factors (section </w:t>
      </w:r>
      <w:r>
        <w:fldChar w:fldCharType="begin"/>
      </w:r>
      <w:r>
        <w:instrText xml:space="preserve"> REF _Ref360117147 \n \h </w:instrText>
      </w:r>
      <w:r>
        <w:fldChar w:fldCharType="separate"/>
      </w:r>
      <w:r w:rsidR="004F35AA">
        <w:t>2.4.2</w:t>
      </w:r>
      <w:r>
        <w:fldChar w:fldCharType="end"/>
      </w:r>
      <w:r>
        <w:t xml:space="preserve">), our substitute forecast for this </w:t>
      </w:r>
      <w:r w:rsidR="009F6576">
        <w:t xml:space="preserve">category </w:t>
      </w:r>
      <w:r>
        <w:t>of SP AusNet's forecast capex is $103.</w:t>
      </w:r>
      <w:r w:rsidR="004852A8">
        <w:t>3</w:t>
      </w:r>
      <w:r>
        <w:t xml:space="preserve"> million. </w:t>
      </w:r>
      <w:r w:rsidR="007475DE">
        <w:fldChar w:fldCharType="begin"/>
      </w:r>
      <w:r w:rsidR="007475DE">
        <w:instrText xml:space="preserve"> REF _Ref365385702 \h </w:instrText>
      </w:r>
      <w:r w:rsidR="007475DE">
        <w:fldChar w:fldCharType="separate"/>
      </w:r>
      <w:r w:rsidR="004F35AA">
        <w:t xml:space="preserve">Figure </w:t>
      </w:r>
      <w:r w:rsidR="004F35AA">
        <w:rPr>
          <w:noProof/>
        </w:rPr>
        <w:t>2</w:t>
      </w:r>
      <w:r w:rsidR="004F35AA">
        <w:t>.</w:t>
      </w:r>
      <w:r w:rsidR="004F35AA">
        <w:rPr>
          <w:noProof/>
        </w:rPr>
        <w:t>4</w:t>
      </w:r>
      <w:r w:rsidR="007475DE">
        <w:fldChar w:fldCharType="end"/>
      </w:r>
      <w:r w:rsidR="007475DE">
        <w:t xml:space="preserve"> </w:t>
      </w:r>
      <w:r w:rsidRPr="00651AE8">
        <w:t xml:space="preserve">compares SP AusNet's </w:t>
      </w:r>
      <w:r>
        <w:t>forecast capex</w:t>
      </w:r>
      <w:r w:rsidRPr="00651AE8">
        <w:t xml:space="preserve"> with </w:t>
      </w:r>
      <w:r>
        <w:t>our forecast capex</w:t>
      </w:r>
      <w:r w:rsidRPr="00651AE8">
        <w:t xml:space="preserve">. </w:t>
      </w:r>
    </w:p>
    <w:p w:rsidR="0088341A" w:rsidRDefault="007475DE" w:rsidP="007475DE">
      <w:pPr>
        <w:pStyle w:val="Caption"/>
      </w:pPr>
      <w:bookmarkStart w:id="169" w:name="_Ref365385702"/>
      <w:r>
        <w:t xml:space="preserve">Figure </w:t>
      </w:r>
      <w:fldSimple w:instr=" STYLEREF 1 \s ">
        <w:r w:rsidR="004F35AA">
          <w:rPr>
            <w:noProof/>
          </w:rPr>
          <w:t>2</w:t>
        </w:r>
      </w:fldSimple>
      <w:r w:rsidR="00C56A87">
        <w:t>.</w:t>
      </w:r>
      <w:fldSimple w:instr=" SEQ Figure \* ARABIC \s 1 ">
        <w:r w:rsidR="004F35AA">
          <w:rPr>
            <w:noProof/>
          </w:rPr>
          <w:t>4</w:t>
        </w:r>
      </w:fldSimple>
      <w:bookmarkEnd w:id="169"/>
      <w:r w:rsidR="0088341A">
        <w:tab/>
        <w:t>SP AusNet's asset replacement capex ($ million, 2013–14)</w:t>
      </w:r>
    </w:p>
    <w:p w:rsidR="0088341A" w:rsidRPr="00651AE8" w:rsidRDefault="0088341A" w:rsidP="0088341A">
      <w:pPr>
        <w:pStyle w:val="AERbodytext"/>
        <w:numPr>
          <w:ilvl w:val="0"/>
          <w:numId w:val="1"/>
        </w:numPr>
      </w:pPr>
      <w:r>
        <w:rPr>
          <w:noProof/>
          <w:lang w:eastAsia="en-AU"/>
        </w:rPr>
        <w:drawing>
          <wp:inline distT="0" distB="0" distL="0" distR="0" wp14:anchorId="4AA344AF" wp14:editId="748ECF34">
            <wp:extent cx="4561205" cy="273240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61205" cy="2732405"/>
                    </a:xfrm>
                    <a:prstGeom prst="rect">
                      <a:avLst/>
                    </a:prstGeom>
                    <a:noFill/>
                    <a:ln>
                      <a:noFill/>
                    </a:ln>
                  </pic:spPr>
                </pic:pic>
              </a:graphicData>
            </a:graphic>
          </wp:inline>
        </w:drawing>
      </w:r>
    </w:p>
    <w:p w:rsidR="0088341A" w:rsidRDefault="0088341A" w:rsidP="0088341A">
      <w:pPr>
        <w:pStyle w:val="AERtablesource"/>
      </w:pPr>
      <w:r>
        <w:t>Source:</w:t>
      </w:r>
      <w:r>
        <w:tab/>
        <w:t xml:space="preserve">SP AusNet, </w:t>
      </w:r>
      <w:r w:rsidRPr="00F3010F">
        <w:rPr>
          <w:rStyle w:val="AERtextitalic"/>
        </w:rPr>
        <w:t>Revenue proposal</w:t>
      </w:r>
      <w:r>
        <w:t>, p. 51 and p. 84; AER analysis.</w:t>
      </w:r>
    </w:p>
    <w:p w:rsidR="0088341A" w:rsidRDefault="0088341A" w:rsidP="0088341A">
      <w:pPr>
        <w:pStyle w:val="AERbodytext"/>
        <w:numPr>
          <w:ilvl w:val="0"/>
          <w:numId w:val="1"/>
        </w:numPr>
      </w:pPr>
      <w:r>
        <w:t xml:space="preserve">SP AusNet's forecast capex for this category is an average annual increase of 11 per cent </w:t>
      </w:r>
      <w:r w:rsidRPr="00EC7BC7">
        <w:t>on actual and expected capex in the 2008–14 regulatory control period.</w:t>
      </w:r>
      <w:r w:rsidRPr="00EC7BC7">
        <w:rPr>
          <w:rStyle w:val="FootnoteReference"/>
        </w:rPr>
        <w:t xml:space="preserve"> </w:t>
      </w:r>
      <w:r w:rsidRPr="00EC7BC7">
        <w:t>SP AusNet submitted the capex is required to maintain the resilience and reliability of the network</w:t>
      </w:r>
      <w:r>
        <w:t>,</w:t>
      </w:r>
      <w:r w:rsidRPr="00EC7BC7">
        <w:t xml:space="preserve"> and to address operational or asset failure risk.</w:t>
      </w:r>
      <w:r w:rsidRPr="00EC7BC7">
        <w:rPr>
          <w:rStyle w:val="FootnoteReference"/>
        </w:rPr>
        <w:footnoteReference w:id="227"/>
      </w:r>
    </w:p>
    <w:p w:rsidR="0088341A" w:rsidRDefault="0088341A" w:rsidP="0088341A">
      <w:pPr>
        <w:pStyle w:val="AERbodytext"/>
        <w:numPr>
          <w:ilvl w:val="0"/>
          <w:numId w:val="0"/>
        </w:numPr>
      </w:pPr>
      <w:r>
        <w:t>We agree the proposed work is appropriate and we should allow capex for this purpose. However, we reduced the forecast capex by the prudency and cost estimation factors in accordance with our assessment of SP AusNet's forecast capex for its programs of work (section </w:t>
      </w:r>
      <w:r w:rsidRPr="00BF2912">
        <w:fldChar w:fldCharType="begin"/>
      </w:r>
      <w:r w:rsidRPr="00BF2912">
        <w:instrText xml:space="preserve"> REF _Ref360117147 \r \h </w:instrText>
      </w:r>
      <w:r w:rsidRPr="00BF2912">
        <w:fldChar w:fldCharType="separate"/>
      </w:r>
      <w:r w:rsidR="004F35AA">
        <w:t>2.4.2</w:t>
      </w:r>
      <w:r w:rsidRPr="00BF2912">
        <w:fldChar w:fldCharType="end"/>
      </w:r>
      <w:r w:rsidRPr="00BF2912">
        <w:t>)</w:t>
      </w:r>
      <w:r>
        <w:t xml:space="preserve">. </w:t>
      </w:r>
    </w:p>
    <w:p w:rsidR="0088341A" w:rsidRPr="00631E49" w:rsidRDefault="0088341A" w:rsidP="0088341A">
      <w:pPr>
        <w:pStyle w:val="Heading2"/>
        <w:numPr>
          <w:ilvl w:val="2"/>
          <w:numId w:val="20"/>
        </w:numPr>
      </w:pPr>
      <w:bookmarkStart w:id="170" w:name="_Toc365283294"/>
      <w:r w:rsidRPr="00631E49">
        <w:t>Safety, security and compliance</w:t>
      </w:r>
      <w:bookmarkEnd w:id="170"/>
      <w:r w:rsidRPr="00631E49">
        <w:t xml:space="preserve"> </w:t>
      </w:r>
    </w:p>
    <w:p w:rsidR="0088341A" w:rsidRPr="00C81ADB" w:rsidRDefault="0088341A" w:rsidP="0088341A">
      <w:pPr>
        <w:pStyle w:val="AERbodytext"/>
        <w:numPr>
          <w:ilvl w:val="0"/>
          <w:numId w:val="1"/>
        </w:numPr>
      </w:pPr>
      <w:r>
        <w:t xml:space="preserve">We do not agree with SP AusNet's forecast total capex of $44.7 million for </w:t>
      </w:r>
      <w:r w:rsidRPr="00EC7BC7">
        <w:t>safety, security and compliance</w:t>
      </w:r>
      <w:r>
        <w:t>. By reducing the forecast capex by $6.</w:t>
      </w:r>
      <w:r w:rsidR="004852A8">
        <w:t>8</w:t>
      </w:r>
      <w:r>
        <w:t xml:space="preserve"> million to account for the our real cost escalators (section </w:t>
      </w:r>
      <w:r>
        <w:fldChar w:fldCharType="begin"/>
      </w:r>
      <w:r>
        <w:instrText xml:space="preserve"> REF _Ref363574534 \n \h </w:instrText>
      </w:r>
      <w:r>
        <w:fldChar w:fldCharType="separate"/>
      </w:r>
      <w:r w:rsidR="004F35AA">
        <w:t>2.4.1</w:t>
      </w:r>
      <w:r>
        <w:fldChar w:fldCharType="end"/>
      </w:r>
      <w:r>
        <w:t>) and prudency and cost estimation factors (section </w:t>
      </w:r>
      <w:r>
        <w:fldChar w:fldCharType="begin"/>
      </w:r>
      <w:r>
        <w:instrText xml:space="preserve"> REF _Ref360117147 \n \h </w:instrText>
      </w:r>
      <w:r>
        <w:fldChar w:fldCharType="separate"/>
      </w:r>
      <w:r w:rsidR="004F35AA">
        <w:t>2.4.2</w:t>
      </w:r>
      <w:r>
        <w:fldChar w:fldCharType="end"/>
      </w:r>
      <w:r>
        <w:t xml:space="preserve">), our substitute forecast for this </w:t>
      </w:r>
      <w:r w:rsidR="009F6576">
        <w:t xml:space="preserve">category </w:t>
      </w:r>
      <w:r>
        <w:t xml:space="preserve">of SP AusNet's forecast capex is $38.0 million. </w:t>
      </w:r>
      <w:r w:rsidR="008061EC">
        <w:fldChar w:fldCharType="begin"/>
      </w:r>
      <w:r w:rsidR="008061EC">
        <w:instrText xml:space="preserve"> REF _Ref365385738 \h </w:instrText>
      </w:r>
      <w:r w:rsidR="008061EC">
        <w:fldChar w:fldCharType="separate"/>
      </w:r>
      <w:r w:rsidR="004F35AA">
        <w:t xml:space="preserve">Figure </w:t>
      </w:r>
      <w:r w:rsidR="004F35AA">
        <w:rPr>
          <w:noProof/>
        </w:rPr>
        <w:t>2</w:t>
      </w:r>
      <w:r w:rsidR="004F35AA">
        <w:t>.</w:t>
      </w:r>
      <w:r w:rsidR="004F35AA">
        <w:rPr>
          <w:noProof/>
        </w:rPr>
        <w:t>5</w:t>
      </w:r>
      <w:r w:rsidR="008061EC">
        <w:fldChar w:fldCharType="end"/>
      </w:r>
      <w:r>
        <w:t xml:space="preserve"> </w:t>
      </w:r>
      <w:r w:rsidRPr="00C81ADB">
        <w:t xml:space="preserve">compares SP AusNet's </w:t>
      </w:r>
      <w:r>
        <w:t>forecast capex with our forecast</w:t>
      </w:r>
      <w:r w:rsidRPr="00C81ADB">
        <w:t>.</w:t>
      </w:r>
    </w:p>
    <w:p w:rsidR="0088341A" w:rsidRPr="00F3742E" w:rsidRDefault="008061EC" w:rsidP="008061EC">
      <w:pPr>
        <w:pStyle w:val="Caption"/>
      </w:pPr>
      <w:bookmarkStart w:id="171" w:name="_Ref365385738"/>
      <w:r>
        <w:lastRenderedPageBreak/>
        <w:t xml:space="preserve">Figure </w:t>
      </w:r>
      <w:fldSimple w:instr=" STYLEREF 1 \s ">
        <w:r w:rsidR="004F35AA">
          <w:rPr>
            <w:noProof/>
          </w:rPr>
          <w:t>2</w:t>
        </w:r>
      </w:fldSimple>
      <w:r w:rsidR="00C56A87">
        <w:t>.</w:t>
      </w:r>
      <w:fldSimple w:instr=" SEQ Figure \* ARABIC \s 1 ">
        <w:r w:rsidR="004F35AA">
          <w:rPr>
            <w:noProof/>
          </w:rPr>
          <w:t>5</w:t>
        </w:r>
      </w:fldSimple>
      <w:bookmarkEnd w:id="171"/>
      <w:r w:rsidR="0088341A">
        <w:tab/>
      </w:r>
      <w:r w:rsidR="005802F3">
        <w:t>SP AusNet’s s</w:t>
      </w:r>
      <w:r w:rsidR="0088341A">
        <w:t>afety, security and compliance capex ($ million, 2013–14)</w:t>
      </w:r>
    </w:p>
    <w:p w:rsidR="0088341A" w:rsidRPr="00F3742E" w:rsidRDefault="0088341A" w:rsidP="0088341A">
      <w:pPr>
        <w:pStyle w:val="AERbodytext"/>
        <w:numPr>
          <w:ilvl w:val="0"/>
          <w:numId w:val="1"/>
        </w:numPr>
      </w:pPr>
      <w:r>
        <w:rPr>
          <w:noProof/>
          <w:lang w:eastAsia="en-AU"/>
        </w:rPr>
        <w:drawing>
          <wp:inline distT="0" distB="0" distL="0" distR="0" wp14:anchorId="25AFF1BB" wp14:editId="69D965BA">
            <wp:extent cx="4561205" cy="27324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61205" cy="2732405"/>
                    </a:xfrm>
                    <a:prstGeom prst="rect">
                      <a:avLst/>
                    </a:prstGeom>
                    <a:noFill/>
                    <a:ln>
                      <a:noFill/>
                    </a:ln>
                  </pic:spPr>
                </pic:pic>
              </a:graphicData>
            </a:graphic>
          </wp:inline>
        </w:drawing>
      </w:r>
    </w:p>
    <w:p w:rsidR="0088341A" w:rsidRPr="00EC7BC7" w:rsidRDefault="0088341A" w:rsidP="0088341A">
      <w:pPr>
        <w:pStyle w:val="AERtablesource"/>
      </w:pPr>
      <w:r>
        <w:t>Source:</w:t>
      </w:r>
      <w:r>
        <w:tab/>
        <w:t xml:space="preserve">SP AusNet, </w:t>
      </w:r>
      <w:r w:rsidRPr="00F3010F">
        <w:rPr>
          <w:rStyle w:val="AERtextitalic"/>
        </w:rPr>
        <w:t>Revenue proposal</w:t>
      </w:r>
      <w:r>
        <w:t>, p. 51 and p. 84; AER analysis.</w:t>
      </w:r>
    </w:p>
    <w:p w:rsidR="0088341A" w:rsidRDefault="0088341A" w:rsidP="0088341A">
      <w:pPr>
        <w:pStyle w:val="AERbodytext"/>
        <w:numPr>
          <w:ilvl w:val="0"/>
          <w:numId w:val="1"/>
        </w:numPr>
      </w:pPr>
      <w:r>
        <w:t xml:space="preserve">SP AusNet's forecast total capex of $44.7 million </w:t>
      </w:r>
      <w:r w:rsidRPr="00EC7BC7">
        <w:t>is an average annual decrease of 19 per cent on actual and expected capex in the 2008–14 regulatory control period. SP AusNet submitted the capex is required to comply with various laws, regulations and standards.</w:t>
      </w:r>
      <w:r w:rsidRPr="00EC7BC7">
        <w:rPr>
          <w:rStyle w:val="FootnoteReference"/>
        </w:rPr>
        <w:footnoteReference w:id="228"/>
      </w:r>
      <w:r w:rsidRPr="00EC7BC7">
        <w:t xml:space="preserve"> </w:t>
      </w:r>
      <w:r>
        <w:t>We consider</w:t>
      </w:r>
      <w:r w:rsidRPr="00C81ADB">
        <w:t xml:space="preserve"> the proposed work </w:t>
      </w:r>
      <w:r>
        <w:t xml:space="preserve">is appropriate </w:t>
      </w:r>
      <w:r w:rsidRPr="00C81ADB">
        <w:t xml:space="preserve">and </w:t>
      </w:r>
      <w:r>
        <w:t>we</w:t>
      </w:r>
      <w:r w:rsidRPr="00C81ADB">
        <w:t xml:space="preserve"> should allow capex for this purpose.</w:t>
      </w:r>
      <w:r>
        <w:t xml:space="preserve"> However, we reduced the forecast capex by the prudency and cost estimation factors in accordance with our assessment of SP AusNet's forecast capex for its programs of work (section </w:t>
      </w:r>
      <w:r>
        <w:fldChar w:fldCharType="begin"/>
      </w:r>
      <w:r>
        <w:instrText xml:space="preserve"> REF _Ref360117147 \r \h </w:instrText>
      </w:r>
      <w:r>
        <w:fldChar w:fldCharType="separate"/>
      </w:r>
      <w:r w:rsidR="004F35AA">
        <w:t>2.4.2</w:t>
      </w:r>
      <w:r>
        <w:fldChar w:fldCharType="end"/>
      </w:r>
      <w:r>
        <w:t>).</w:t>
      </w:r>
    </w:p>
    <w:p w:rsidR="0088341A" w:rsidRPr="00A907E9" w:rsidRDefault="0088341A" w:rsidP="0088341A">
      <w:pPr>
        <w:pStyle w:val="Heading3"/>
        <w:numPr>
          <w:ilvl w:val="3"/>
          <w:numId w:val="20"/>
        </w:numPr>
      </w:pPr>
      <w:r w:rsidRPr="00A907E9">
        <w:t>Non-system capex</w:t>
      </w:r>
    </w:p>
    <w:p w:rsidR="0088341A" w:rsidRDefault="0088341A" w:rsidP="0088341A">
      <w:pPr>
        <w:pStyle w:val="AERbodytext"/>
        <w:numPr>
          <w:ilvl w:val="0"/>
          <w:numId w:val="0"/>
        </w:numPr>
      </w:pPr>
      <w:r>
        <w:t>SP AusNet forecast total capex of $62.7 million for non-system capex.</w:t>
      </w:r>
      <w:r>
        <w:rPr>
          <w:rStyle w:val="FootnoteReference"/>
        </w:rPr>
        <w:footnoteReference w:id="229"/>
      </w:r>
      <w:r>
        <w:t xml:space="preserve"> </w:t>
      </w:r>
      <w:r w:rsidR="005802F3" w:rsidRPr="00EC7BC7">
        <w:t xml:space="preserve">This category includes capex on buildings and property, </w:t>
      </w:r>
      <w:r w:rsidR="005802F3">
        <w:t>I</w:t>
      </w:r>
      <w:r w:rsidR="005802F3" w:rsidRPr="00EC7BC7">
        <w:t>T and vehicles.</w:t>
      </w:r>
      <w:r w:rsidR="005802F3" w:rsidRPr="00EC7BC7">
        <w:rPr>
          <w:rStyle w:val="FootnoteReference"/>
        </w:rPr>
        <w:footnoteReference w:id="230"/>
      </w:r>
      <w:r w:rsidR="005802F3">
        <w:t xml:space="preserve"> </w:t>
      </w:r>
      <w:r>
        <w:t>W</w:t>
      </w:r>
      <w:r w:rsidRPr="002A1B3C">
        <w:t>e</w:t>
      </w:r>
      <w:r>
        <w:t xml:space="preserve"> are</w:t>
      </w:r>
      <w:r w:rsidRPr="002A1B3C">
        <w:t xml:space="preserve"> not satisfied with </w:t>
      </w:r>
      <w:r>
        <w:t>how</w:t>
      </w:r>
      <w:r w:rsidRPr="002A1B3C">
        <w:t xml:space="preserve"> SP AusNet developed this </w:t>
      </w:r>
      <w:r w:rsidR="009F6576">
        <w:t>category</w:t>
      </w:r>
      <w:r w:rsidR="009F6576" w:rsidRPr="002A1B3C">
        <w:t xml:space="preserve"> </w:t>
      </w:r>
      <w:r w:rsidRPr="002A1B3C">
        <w:t xml:space="preserve">of its overall capex forecast. </w:t>
      </w:r>
      <w:r>
        <w:t>Specifically, we do not consider SP AusNet adequately demonstrated and quantified the benefits of its $16.8 millio</w:t>
      </w:r>
      <w:r w:rsidR="005802F3">
        <w:t>n strategic IT investment. For this reason</w:t>
      </w:r>
      <w:r>
        <w:t xml:space="preserve"> we do not consider SP AusNet justified that </w:t>
      </w:r>
      <w:r w:rsidR="00D422B0">
        <w:t>component</w:t>
      </w:r>
      <w:r w:rsidR="009F6576">
        <w:t xml:space="preserve"> </w:t>
      </w:r>
      <w:r>
        <w:t xml:space="preserve">of </w:t>
      </w:r>
      <w:r w:rsidRPr="00E370D0">
        <w:t>its forecast IT capex</w:t>
      </w:r>
      <w:r>
        <w:t>.</w:t>
      </w:r>
      <w:r w:rsidRPr="00E370D0">
        <w:t xml:space="preserve"> </w:t>
      </w:r>
    </w:p>
    <w:p w:rsidR="0088341A" w:rsidRDefault="005B7E0F" w:rsidP="0088341A">
      <w:pPr>
        <w:pStyle w:val="AERbodytext"/>
        <w:numPr>
          <w:ilvl w:val="0"/>
          <w:numId w:val="0"/>
        </w:numPr>
      </w:pPr>
      <w:r>
        <w:fldChar w:fldCharType="begin"/>
      </w:r>
      <w:r>
        <w:instrText xml:space="preserve"> REF _Ref365385775 \h </w:instrText>
      </w:r>
      <w:r>
        <w:fldChar w:fldCharType="separate"/>
      </w:r>
      <w:r w:rsidR="004F35AA">
        <w:t xml:space="preserve">Figure </w:t>
      </w:r>
      <w:r w:rsidR="004F35AA">
        <w:rPr>
          <w:noProof/>
        </w:rPr>
        <w:t>2</w:t>
      </w:r>
      <w:r w:rsidR="004F35AA">
        <w:t>.</w:t>
      </w:r>
      <w:r w:rsidR="004F35AA">
        <w:rPr>
          <w:noProof/>
        </w:rPr>
        <w:t>6</w:t>
      </w:r>
      <w:r>
        <w:fldChar w:fldCharType="end"/>
      </w:r>
      <w:r w:rsidR="0088341A">
        <w:t xml:space="preserve"> shows SP AusNet's actual and estimated non-system capex for the 2008–14 regulatory control period, and forecast capex for the 2014–17 regulatory control period. It also shows our substitute total non-system forecast capex of</w:t>
      </w:r>
      <w:r w:rsidR="0088341A" w:rsidRPr="00B71289">
        <w:t xml:space="preserve"> $4</w:t>
      </w:r>
      <w:r w:rsidR="0088341A">
        <w:t xml:space="preserve">4.3 </w:t>
      </w:r>
      <w:r w:rsidR="0088341A" w:rsidRPr="00B71289">
        <w:t>million</w:t>
      </w:r>
      <w:r w:rsidR="0088341A">
        <w:t>.</w:t>
      </w:r>
    </w:p>
    <w:p w:rsidR="0088341A" w:rsidRDefault="005B7E0F" w:rsidP="005B7E0F">
      <w:pPr>
        <w:pStyle w:val="Caption"/>
      </w:pPr>
      <w:bookmarkStart w:id="172" w:name="_Ref365385775"/>
      <w:r>
        <w:lastRenderedPageBreak/>
        <w:t xml:space="preserve">Figure </w:t>
      </w:r>
      <w:fldSimple w:instr=" STYLEREF 1 \s ">
        <w:r w:rsidR="004F35AA">
          <w:rPr>
            <w:noProof/>
          </w:rPr>
          <w:t>2</w:t>
        </w:r>
      </w:fldSimple>
      <w:r w:rsidR="00C56A87">
        <w:t>.</w:t>
      </w:r>
      <w:fldSimple w:instr=" SEQ Figure \* ARABIC \s 1 ">
        <w:r w:rsidR="004F35AA">
          <w:rPr>
            <w:noProof/>
          </w:rPr>
          <w:t>6</w:t>
        </w:r>
      </w:fldSimple>
      <w:bookmarkEnd w:id="172"/>
      <w:r w:rsidR="0088341A">
        <w:tab/>
        <w:t>SP AusNet's non-system capex ($ million, 2013–14)</w:t>
      </w:r>
    </w:p>
    <w:p w:rsidR="0088341A" w:rsidRDefault="000C73F7" w:rsidP="0088341A">
      <w:pPr>
        <w:pStyle w:val="AERbodytext"/>
        <w:numPr>
          <w:ilvl w:val="0"/>
          <w:numId w:val="0"/>
        </w:numPr>
      </w:pPr>
      <w:r w:rsidRPr="000C73F7">
        <w:rPr>
          <w:noProof/>
          <w:lang w:eastAsia="en-AU"/>
        </w:rPr>
        <w:drawing>
          <wp:inline distT="0" distB="0" distL="0" distR="0" wp14:anchorId="542085C2" wp14:editId="7EB8409C">
            <wp:extent cx="4563745" cy="2734945"/>
            <wp:effectExtent l="0" t="0" r="825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63745" cy="2734945"/>
                    </a:xfrm>
                    <a:prstGeom prst="rect">
                      <a:avLst/>
                    </a:prstGeom>
                    <a:noFill/>
                    <a:ln>
                      <a:noFill/>
                    </a:ln>
                  </pic:spPr>
                </pic:pic>
              </a:graphicData>
            </a:graphic>
          </wp:inline>
        </w:drawing>
      </w:r>
    </w:p>
    <w:p w:rsidR="0088341A" w:rsidRDefault="0088341A" w:rsidP="0088341A">
      <w:pPr>
        <w:pStyle w:val="AERtablesource"/>
      </w:pPr>
      <w:r>
        <w:t>Source:</w:t>
      </w:r>
      <w:r>
        <w:tab/>
        <w:t xml:space="preserve">SP AusNet, </w:t>
      </w:r>
      <w:r w:rsidRPr="00F3010F">
        <w:rPr>
          <w:rStyle w:val="AERtextitalic"/>
        </w:rPr>
        <w:t>Revenue proposal</w:t>
      </w:r>
      <w:r>
        <w:t>, p. 51 and p. 102; AER analysis.</w:t>
      </w:r>
    </w:p>
    <w:p w:rsidR="0088341A" w:rsidRPr="009024EC" w:rsidRDefault="0088341A" w:rsidP="0088341A">
      <w:pPr>
        <w:pStyle w:val="AERbodytext"/>
        <w:numPr>
          <w:ilvl w:val="0"/>
          <w:numId w:val="1"/>
        </w:numPr>
      </w:pPr>
      <w:r>
        <w:t>SP AusNet's forecast non-system capex is an average annual increase</w:t>
      </w:r>
      <w:r w:rsidRPr="00EC7BC7">
        <w:t xml:space="preserve"> of 3</w:t>
      </w:r>
      <w:r>
        <w:t>1</w:t>
      </w:r>
      <w:r w:rsidRPr="00EC7BC7">
        <w:t xml:space="preserve"> per cent on actual and expected capex in the 2008–14 regulatory control period. </w:t>
      </w:r>
    </w:p>
    <w:p w:rsidR="0088341A" w:rsidRDefault="0088341A" w:rsidP="0088341A">
      <w:pPr>
        <w:pStyle w:val="HeadingBoldBlue"/>
      </w:pPr>
      <w:r>
        <w:t>Information technology</w:t>
      </w:r>
    </w:p>
    <w:p w:rsidR="0088341A" w:rsidRDefault="0088341A" w:rsidP="0088341A">
      <w:pPr>
        <w:pStyle w:val="AERbodytext"/>
        <w:numPr>
          <w:ilvl w:val="0"/>
          <w:numId w:val="1"/>
        </w:numPr>
      </w:pPr>
      <w:r>
        <w:t>Most of SP AusNet's forecast non-system</w:t>
      </w:r>
      <w:r w:rsidRPr="00EC7BC7">
        <w:t xml:space="preserve"> capex</w:t>
      </w:r>
      <w:r>
        <w:t xml:space="preserve"> </w:t>
      </w:r>
      <w:r w:rsidRPr="00EC7BC7">
        <w:t xml:space="preserve">is for IT. </w:t>
      </w:r>
      <w:r>
        <w:t xml:space="preserve">SP AusNet forecast IT capex of $47.9 </w:t>
      </w:r>
      <w:r w:rsidRPr="00EC7BC7">
        <w:t>million (</w:t>
      </w:r>
      <w:r>
        <w:t>$</w:t>
      </w:r>
      <w:r w:rsidRPr="00EC7BC7">
        <w:t xml:space="preserve">2013–14), </w:t>
      </w:r>
      <w:r>
        <w:t>which is 76 per cent of the total forecast non-system capex of $62.7</w:t>
      </w:r>
      <w:r w:rsidR="009F6576">
        <w:t xml:space="preserve"> </w:t>
      </w:r>
      <w:r>
        <w:t>million. To justify its forecast, SP </w:t>
      </w:r>
      <w:r w:rsidRPr="00EC7BC7">
        <w:t>AusNet submitted</w:t>
      </w:r>
      <w:r>
        <w:t>:</w:t>
      </w:r>
    </w:p>
    <w:p w:rsidR="0088341A" w:rsidRDefault="0088341A" w:rsidP="0088341A">
      <w:pPr>
        <w:pStyle w:val="AERbulletlistfirststyle"/>
      </w:pPr>
      <w:r w:rsidRPr="00EC7BC7">
        <w:t>the forecast IT capex builds on programs completed in the 20</w:t>
      </w:r>
      <w:r>
        <w:t>08–14 regulatory control period</w:t>
      </w:r>
    </w:p>
    <w:p w:rsidR="0088341A" w:rsidRDefault="0088341A" w:rsidP="0088341A">
      <w:pPr>
        <w:pStyle w:val="AERbulletlistfirststyle"/>
      </w:pPr>
      <w:r w:rsidRPr="00EC7BC7">
        <w:t>the capex is necessary to maintain IT infrastructure and systems</w:t>
      </w:r>
      <w:r>
        <w:t xml:space="preserve"> </w:t>
      </w:r>
      <w:r w:rsidRPr="00EC7BC7">
        <w:t>to enable SP AusNet to deliver reliable p</w:t>
      </w:r>
      <w:r>
        <w:t>rescribed transmission services</w:t>
      </w:r>
      <w:r w:rsidRPr="00EC7BC7">
        <w:t xml:space="preserve"> </w:t>
      </w:r>
    </w:p>
    <w:p w:rsidR="0088341A" w:rsidRDefault="0088341A" w:rsidP="0088341A">
      <w:pPr>
        <w:pStyle w:val="AERbulletlistfirststyle"/>
      </w:pPr>
      <w:r>
        <w:t xml:space="preserve">its IT program is an integrated program across its three businesses; gas distribution, electricity distribution, and electricity transmission </w:t>
      </w:r>
    </w:p>
    <w:p w:rsidR="0088341A" w:rsidRDefault="0088341A" w:rsidP="0088341A">
      <w:pPr>
        <w:pStyle w:val="AERbulletlistfirststyle"/>
      </w:pPr>
      <w:r>
        <w:t>the forecast builds on the capex we approved previously in our decisions for electricity and gas distribution.</w:t>
      </w:r>
      <w:r>
        <w:rPr>
          <w:rStyle w:val="FootnoteReference"/>
        </w:rPr>
        <w:footnoteReference w:id="231"/>
      </w:r>
      <w:r>
        <w:t xml:space="preserve"> </w:t>
      </w:r>
    </w:p>
    <w:p w:rsidR="0088341A" w:rsidRPr="00F03D9B" w:rsidRDefault="005802F3" w:rsidP="0088341A">
      <w:pPr>
        <w:pStyle w:val="AERbodytext"/>
        <w:numPr>
          <w:ilvl w:val="0"/>
          <w:numId w:val="1"/>
        </w:numPr>
      </w:pPr>
      <w:r>
        <w:t xml:space="preserve">The </w:t>
      </w:r>
      <w:r w:rsidR="0088341A">
        <w:t>EUAA submitted we should closely examine the substantial increase in forecast IT capex.</w:t>
      </w:r>
      <w:r w:rsidR="0088341A" w:rsidRPr="00F03D9B">
        <w:rPr>
          <w:rStyle w:val="FootnoteReference"/>
        </w:rPr>
        <w:footnoteReference w:id="232"/>
      </w:r>
      <w:r w:rsidR="0088341A">
        <w:t xml:space="preserve"> </w:t>
      </w:r>
      <w:r>
        <w:t xml:space="preserve">The </w:t>
      </w:r>
      <w:r w:rsidR="0088341A">
        <w:t>EUCV submitted SP AusNet had not justified its proposed increase in IT capex.</w:t>
      </w:r>
      <w:r w:rsidR="0088341A" w:rsidRPr="00F03D9B">
        <w:rPr>
          <w:rStyle w:val="FootnoteReference"/>
        </w:rPr>
        <w:footnoteReference w:id="233"/>
      </w:r>
    </w:p>
    <w:p w:rsidR="0088341A" w:rsidRPr="00057EA3" w:rsidRDefault="0088341A" w:rsidP="0088341A">
      <w:pPr>
        <w:pStyle w:val="AERbodytext"/>
        <w:numPr>
          <w:ilvl w:val="0"/>
          <w:numId w:val="1"/>
        </w:numPr>
      </w:pPr>
      <w:r>
        <w:t xml:space="preserve">EMCa reviewed SP AusNet's forecast IT capex, which it considered had a strategic component and a replacement cycle component. It recommended we approve the part of </w:t>
      </w:r>
      <w:r w:rsidRPr="00057EA3">
        <w:t xml:space="preserve">SP AusNet’s proposed capex that is replacement IT capex, because </w:t>
      </w:r>
      <w:r>
        <w:t>that part</w:t>
      </w:r>
      <w:r w:rsidRPr="00057EA3">
        <w:t xml:space="preserve"> is consistent with the expected IT asset replacement cycle. EMCa recommend</w:t>
      </w:r>
      <w:r>
        <w:t>ed we</w:t>
      </w:r>
      <w:r w:rsidRPr="00057EA3">
        <w:t xml:space="preserve"> not approve strategic IT investment capex of $16.8</w:t>
      </w:r>
      <w:r>
        <w:t xml:space="preserve"> </w:t>
      </w:r>
      <w:r w:rsidRPr="00057EA3">
        <w:t>m</w:t>
      </w:r>
      <w:r>
        <w:t>illion</w:t>
      </w:r>
      <w:r w:rsidRPr="00057EA3">
        <w:t>, which EMCa consider</w:t>
      </w:r>
      <w:r>
        <w:t>ed</w:t>
      </w:r>
      <w:r w:rsidRPr="00057EA3">
        <w:t xml:space="preserve"> SP AusNet </w:t>
      </w:r>
      <w:r>
        <w:t>did not justify</w:t>
      </w:r>
      <w:r w:rsidRPr="00057EA3">
        <w:t>.</w:t>
      </w:r>
      <w:r>
        <w:t xml:space="preserve"> EMCa had the following concerns about SP AusNet's forecast strategic IT capex:</w:t>
      </w:r>
    </w:p>
    <w:p w:rsidR="0088341A" w:rsidRPr="00057EA3" w:rsidRDefault="0088341A" w:rsidP="0088341A">
      <w:pPr>
        <w:pStyle w:val="AERbulletlistfirststyle"/>
      </w:pPr>
      <w:r>
        <w:lastRenderedPageBreak/>
        <w:t xml:space="preserve">an </w:t>
      </w:r>
      <w:r w:rsidRPr="00057EA3">
        <w:t xml:space="preserve">insufficient business case </w:t>
      </w:r>
      <w:r>
        <w:t>to justify</w:t>
      </w:r>
      <w:r w:rsidRPr="00057EA3">
        <w:t xml:space="preserve"> the investment</w:t>
      </w:r>
    </w:p>
    <w:p w:rsidR="0088341A" w:rsidRPr="00057EA3" w:rsidRDefault="0088341A" w:rsidP="0088341A">
      <w:pPr>
        <w:pStyle w:val="AERbulletlistfirststyle"/>
      </w:pPr>
      <w:r>
        <w:t xml:space="preserve">SP AusNet did not quantify the </w:t>
      </w:r>
      <w:r w:rsidRPr="00057EA3">
        <w:t xml:space="preserve">benefits (other than $695,000 in opex savings) </w:t>
      </w:r>
    </w:p>
    <w:p w:rsidR="0088341A" w:rsidRPr="00057EA3" w:rsidRDefault="0088341A" w:rsidP="0088341A">
      <w:pPr>
        <w:pStyle w:val="AERbulletlistfirststyle"/>
      </w:pPr>
      <w:r>
        <w:t xml:space="preserve">SP AusNet did not quantify </w:t>
      </w:r>
      <w:r w:rsidRPr="00057EA3">
        <w:t xml:space="preserve">synergies across SP AusNet </w:t>
      </w:r>
    </w:p>
    <w:p w:rsidR="0088341A" w:rsidRPr="00057EA3" w:rsidRDefault="0088341A" w:rsidP="0088341A">
      <w:pPr>
        <w:pStyle w:val="AERbulletlistfirststyle"/>
      </w:pPr>
      <w:r w:rsidRPr="00057EA3">
        <w:t xml:space="preserve">the </w:t>
      </w:r>
      <w:r>
        <w:t xml:space="preserve">shifting </w:t>
      </w:r>
      <w:r w:rsidRPr="00057EA3">
        <w:t xml:space="preserve">allocation </w:t>
      </w:r>
      <w:r>
        <w:t xml:space="preserve">(in percentage terms) </w:t>
      </w:r>
      <w:r w:rsidRPr="00057EA3">
        <w:t>of IT capex across SP AusNet’s three businesses over time.</w:t>
      </w:r>
      <w:r>
        <w:rPr>
          <w:rStyle w:val="FootnoteReference"/>
        </w:rPr>
        <w:footnoteReference w:id="234"/>
      </w:r>
    </w:p>
    <w:p w:rsidR="0088341A" w:rsidRDefault="0088341A" w:rsidP="0088341A">
      <w:pPr>
        <w:pStyle w:val="AERbodytext"/>
        <w:numPr>
          <w:ilvl w:val="0"/>
          <w:numId w:val="0"/>
        </w:numPr>
      </w:pPr>
      <w:r>
        <w:t>EMCa stated:</w:t>
      </w:r>
    </w:p>
    <w:p w:rsidR="0088341A" w:rsidRDefault="0088341A" w:rsidP="0088341A">
      <w:pPr>
        <w:pStyle w:val="AERquote"/>
      </w:pPr>
      <w:r>
        <w:t>The proposed strategic investments in IT systems should only be made if there are clear quantifiable benefits that will be derived from the investment. SP AusNet has not adequately identified where these benefits lie.</w:t>
      </w:r>
      <w:r>
        <w:rPr>
          <w:rStyle w:val="FootnoteReference"/>
        </w:rPr>
        <w:footnoteReference w:id="235"/>
      </w:r>
    </w:p>
    <w:p w:rsidR="0088341A" w:rsidRPr="007A7103" w:rsidRDefault="0088341A" w:rsidP="0088341A">
      <w:pPr>
        <w:pStyle w:val="AERbodytext"/>
        <w:numPr>
          <w:ilvl w:val="0"/>
          <w:numId w:val="1"/>
        </w:numPr>
      </w:pPr>
      <w:r>
        <w:t>We agree with EMCa's assessment. SP AusNet should demonstrate and quantify t</w:t>
      </w:r>
      <w:r w:rsidRPr="007A7103">
        <w:t xml:space="preserve">he benefits of </w:t>
      </w:r>
      <w:r>
        <w:t xml:space="preserve">its </w:t>
      </w:r>
      <w:r w:rsidRPr="007A7103">
        <w:t xml:space="preserve">strategic </w:t>
      </w:r>
      <w:r>
        <w:t xml:space="preserve">IT </w:t>
      </w:r>
      <w:r w:rsidRPr="007A7103">
        <w:t>investment as part of an</w:t>
      </w:r>
      <w:r>
        <w:t xml:space="preserve"> efficient and prudent forecast for its transmission business, otherwise:</w:t>
      </w:r>
    </w:p>
    <w:p w:rsidR="0088341A" w:rsidRPr="007A7103" w:rsidRDefault="0088341A" w:rsidP="0088341A">
      <w:pPr>
        <w:pStyle w:val="AERbulletlistfirststyle"/>
      </w:pPr>
      <w:r>
        <w:t>c</w:t>
      </w:r>
      <w:r w:rsidRPr="007A7103">
        <w:t>ustomers are underwriting strategic costs without</w:t>
      </w:r>
      <w:r>
        <w:t xml:space="preserve"> seeing the benefits quantified</w:t>
      </w:r>
    </w:p>
    <w:p w:rsidR="0088341A" w:rsidRPr="007A7103" w:rsidRDefault="0088341A" w:rsidP="0088341A">
      <w:pPr>
        <w:pStyle w:val="AERbulletlistfirststyle"/>
      </w:pPr>
      <w:r>
        <w:t>t</w:t>
      </w:r>
      <w:r w:rsidRPr="007A7103">
        <w:t>he timeframe for</w:t>
      </w:r>
      <w:r>
        <w:t xml:space="preserve"> recovering benefits is unknown</w:t>
      </w:r>
    </w:p>
    <w:p w:rsidR="0088341A" w:rsidRDefault="0088341A" w:rsidP="0088341A">
      <w:pPr>
        <w:pStyle w:val="AERbulletlistfirststyle"/>
      </w:pPr>
      <w:r>
        <w:t>customers bear the risk</w:t>
      </w:r>
      <w:r w:rsidRPr="007A7103">
        <w:t xml:space="preserve"> of benefits not being realised because an ex post analysis may reveal </w:t>
      </w:r>
      <w:r>
        <w:t xml:space="preserve">that </w:t>
      </w:r>
      <w:r w:rsidRPr="007A7103">
        <w:t xml:space="preserve">no benefits </w:t>
      </w:r>
      <w:r>
        <w:t>were</w:t>
      </w:r>
      <w:r w:rsidRPr="007A7103">
        <w:t xml:space="preserve"> achieved.</w:t>
      </w:r>
    </w:p>
    <w:p w:rsidR="0088341A" w:rsidRDefault="0088341A" w:rsidP="0088341A">
      <w:pPr>
        <w:pStyle w:val="AERbulletlistfirststyle"/>
        <w:numPr>
          <w:ilvl w:val="0"/>
          <w:numId w:val="0"/>
        </w:numPr>
      </w:pPr>
      <w:r>
        <w:t>We note SP AusNet's submission that its strategic IT capex is part of an enterprise-wide program covering all three of its businesses. We had previously approved similar capex for its electricity distribution and gas distribution businesses. However, for the electricity and gas distribution reviews we reviewed SP AusNet's forecast IT capex only within the scope of each review. We did not decide on the enterprise-wide capex or the amounts allocated to SP AusNet's other businesses.</w:t>
      </w:r>
      <w:r>
        <w:rPr>
          <w:rStyle w:val="FootnoteReference"/>
        </w:rPr>
        <w:footnoteReference w:id="236"/>
      </w:r>
      <w:r>
        <w:t xml:space="preserve"> Similarly, for this review</w:t>
      </w:r>
      <w:r w:rsidR="005802F3">
        <w:t>,</w:t>
      </w:r>
      <w:r>
        <w:t xml:space="preserve"> we assessed SP AusNet's forecast capex for its electricity transmission business only, and not its enterprise-wide program, in accordance with the NER. We consider SP AusNet did not quantify sufficient benefits to justify its forecast strategic IT capex (confidential appendix A). A prudent TNSP would not incur the costs of strategic investment without evidence that the benefits outweigh the costs. </w:t>
      </w:r>
    </w:p>
    <w:p w:rsidR="0088341A" w:rsidRDefault="0088341A" w:rsidP="0088341A">
      <w:pPr>
        <w:pStyle w:val="HeadingBoldItalic"/>
      </w:pPr>
      <w:r>
        <w:t>Cost allocation</w:t>
      </w:r>
    </w:p>
    <w:p w:rsidR="0088341A" w:rsidRDefault="00FC56B0" w:rsidP="00FC56B0">
      <w:pPr>
        <w:pStyle w:val="AERbodytext"/>
        <w:numPr>
          <w:ilvl w:val="0"/>
          <w:numId w:val="0"/>
        </w:numPr>
      </w:pPr>
      <w:r>
        <w:t xml:space="preserve">Appendix A (confidential) contains our assessment of how SP AusNet allocates its shared IT capex among its three businesses—electricity transmission, electricity distribution and gas distribution. </w:t>
      </w:r>
    </w:p>
    <w:p w:rsidR="0088341A" w:rsidRDefault="0088341A" w:rsidP="0088341A">
      <w:pPr>
        <w:pStyle w:val="HeadingBoldBlue"/>
      </w:pPr>
      <w:r>
        <w:t>Other non-system capex</w:t>
      </w:r>
    </w:p>
    <w:p w:rsidR="0088341A" w:rsidRDefault="0088341A" w:rsidP="0088341A">
      <w:pPr>
        <w:pStyle w:val="AERbodytext"/>
        <w:numPr>
          <w:ilvl w:val="0"/>
          <w:numId w:val="0"/>
        </w:numPr>
      </w:pPr>
      <w:r>
        <w:t>Excluding IT capex, SP AusNet forecast total non-system capex of $14.9 million ($2013–14). This amount included $0.7 million ($2013–14) for buildings and property and $5.2 million ($2013–14) for motor vehicles. SP AusNet submitted the capex for motor vehicles is required to maintain the existing capability of its fleet. The remaining forecast capex of $9.0 million ($2013–14) is for 'other' capex, including expenditure to procure tools and measurement equipment.</w:t>
      </w:r>
      <w:r>
        <w:rPr>
          <w:rStyle w:val="FootnoteReference"/>
        </w:rPr>
        <w:footnoteReference w:id="237"/>
      </w:r>
      <w:r>
        <w:t xml:space="preserve"> </w:t>
      </w:r>
    </w:p>
    <w:p w:rsidR="0088341A" w:rsidRDefault="0088341A" w:rsidP="0088341A">
      <w:pPr>
        <w:pStyle w:val="AERbodytext"/>
        <w:numPr>
          <w:ilvl w:val="0"/>
          <w:numId w:val="0"/>
        </w:numPr>
      </w:pPr>
      <w:r>
        <w:lastRenderedPageBreak/>
        <w:t xml:space="preserve">We agree with SP AusNet that the </w:t>
      </w:r>
      <w:r w:rsidR="005802F3">
        <w:t xml:space="preserve">proposed </w:t>
      </w:r>
      <w:r>
        <w:t>capex is required to maintain the servic</w:t>
      </w:r>
      <w:r w:rsidR="005802F3">
        <w:t>e capability of these assets so we</w:t>
      </w:r>
      <w:r>
        <w:t xml:space="preserve"> accept SP AusNet's forecast capex (subject to reductions for cost escalators).</w:t>
      </w:r>
    </w:p>
    <w:p w:rsidR="0088341A" w:rsidRDefault="0088341A" w:rsidP="0088341A">
      <w:pPr>
        <w:pStyle w:val="Heading2"/>
        <w:numPr>
          <w:ilvl w:val="2"/>
          <w:numId w:val="20"/>
        </w:numPr>
      </w:pPr>
      <w:bookmarkStart w:id="173" w:name="_Toc365283295"/>
      <w:r>
        <w:t>Revisions</w:t>
      </w:r>
      <w:bookmarkEnd w:id="173"/>
      <w:r>
        <w:t xml:space="preserve"> </w:t>
      </w:r>
    </w:p>
    <w:p w:rsidR="0088341A" w:rsidRDefault="0088341A" w:rsidP="0088341A">
      <w:pPr>
        <w:pStyle w:val="AERrevisionbox"/>
      </w:pPr>
      <w:r>
        <w:rPr>
          <w:rStyle w:val="AERtextbold"/>
        </w:rPr>
        <w:t>Revision 2</w:t>
      </w:r>
      <w:r w:rsidRPr="00C87760">
        <w:rPr>
          <w:rStyle w:val="AERtextbold"/>
        </w:rPr>
        <w:t>.1:</w:t>
      </w:r>
      <w:r>
        <w:t xml:space="preserve"> </w:t>
      </w:r>
      <w:r w:rsidR="00457603">
        <w:tab/>
        <w:t>M</w:t>
      </w:r>
      <w:r>
        <w:t>ake all necessary amendments to reflect the AE</w:t>
      </w:r>
      <w:r w:rsidR="005802F3">
        <w:t>R's draft decision on forecast</w:t>
      </w:r>
      <w:r>
        <w:t xml:space="preserve"> capital expenditure for the 2014–17 regulatory control period </w:t>
      </w:r>
      <w:r w:rsidR="005802F3">
        <w:t xml:space="preserve">as set out </w:t>
      </w:r>
      <w:r>
        <w:t xml:space="preserve">in </w:t>
      </w:r>
      <w:r>
        <w:fldChar w:fldCharType="begin"/>
      </w:r>
      <w:r>
        <w:instrText xml:space="preserve"> REF _Ref357072378 \h </w:instrText>
      </w:r>
      <w:r>
        <w:fldChar w:fldCharType="separate"/>
      </w:r>
      <w:r w:rsidR="004F35AA">
        <w:t xml:space="preserve">Table </w:t>
      </w:r>
      <w:r w:rsidR="004F35AA">
        <w:rPr>
          <w:noProof/>
        </w:rPr>
        <w:t>2</w:t>
      </w:r>
      <w:r w:rsidR="004F35AA">
        <w:t>.</w:t>
      </w:r>
      <w:r w:rsidR="004F35AA">
        <w:rPr>
          <w:noProof/>
        </w:rPr>
        <w:t>1</w:t>
      </w:r>
      <w:r>
        <w:fldChar w:fldCharType="end"/>
      </w:r>
      <w:r>
        <w:t>.</w:t>
      </w:r>
    </w:p>
    <w:p w:rsidR="0088341A" w:rsidRPr="0031382F" w:rsidRDefault="0088341A" w:rsidP="0088341A">
      <w:pPr>
        <w:pStyle w:val="AERbodytext"/>
        <w:numPr>
          <w:ilvl w:val="0"/>
          <w:numId w:val="1"/>
        </w:numPr>
      </w:pPr>
    </w:p>
    <w:p w:rsidR="0088341A" w:rsidRPr="008F3D22" w:rsidRDefault="0088341A" w:rsidP="0088341A">
      <w:pPr>
        <w:pStyle w:val="AERbodytext"/>
        <w:numPr>
          <w:ilvl w:val="0"/>
          <w:numId w:val="1"/>
        </w:numPr>
        <w:rPr>
          <w:rStyle w:val="AERbody"/>
        </w:rPr>
      </w:pPr>
    </w:p>
    <w:p w:rsidR="0088341A" w:rsidRDefault="0088341A" w:rsidP="0088341A">
      <w:pPr>
        <w:pStyle w:val="AERbodytext"/>
        <w:numPr>
          <w:ilvl w:val="0"/>
          <w:numId w:val="1"/>
        </w:numPr>
        <w:rPr>
          <w:rStyle w:val="AERbody"/>
        </w:rPr>
        <w:sectPr w:rsidR="0088341A">
          <w:footerReference w:type="default" r:id="rId40"/>
          <w:pgSz w:w="11906" w:h="16838"/>
          <w:pgMar w:top="1440" w:right="1440" w:bottom="1440" w:left="1440" w:header="708" w:footer="708" w:gutter="0"/>
          <w:cols w:space="708"/>
          <w:docGrid w:linePitch="360"/>
        </w:sectPr>
      </w:pPr>
    </w:p>
    <w:p w:rsidR="0088341A" w:rsidRPr="000A1CC2" w:rsidRDefault="0088341A" w:rsidP="0088341A">
      <w:pPr>
        <w:pStyle w:val="Heading1"/>
        <w:numPr>
          <w:ilvl w:val="1"/>
          <w:numId w:val="20"/>
        </w:numPr>
      </w:pPr>
      <w:bookmarkStart w:id="174" w:name="_Toc365283296"/>
      <w:bookmarkStart w:id="175" w:name="_Toc365461999"/>
      <w:r>
        <w:lastRenderedPageBreak/>
        <w:t>Operating expenditure</w:t>
      </w:r>
      <w:bookmarkEnd w:id="174"/>
      <w:bookmarkEnd w:id="175"/>
    </w:p>
    <w:p w:rsidR="0088341A" w:rsidRPr="00CF3742" w:rsidRDefault="0088341A" w:rsidP="0088341A">
      <w:pPr>
        <w:pStyle w:val="AERbodytext"/>
        <w:numPr>
          <w:ilvl w:val="0"/>
          <w:numId w:val="13"/>
        </w:numPr>
      </w:pPr>
      <w:r w:rsidRPr="00CF3742">
        <w:t>Operating expenditure (opex) refers to the operating, maintenance and other non-capital costs incurred in the provision of prescribed transmission services. It includes labour costs and other non-capital costs.</w:t>
      </w:r>
      <w:r>
        <w:t xml:space="preserve"> </w:t>
      </w:r>
      <w:r w:rsidR="002A0246">
        <w:t>We</w:t>
      </w:r>
      <w:r>
        <w:t xml:space="preserve"> </w:t>
      </w:r>
      <w:r w:rsidRPr="00CF3742">
        <w:t xml:space="preserve">must accept </w:t>
      </w:r>
      <w:r>
        <w:t xml:space="preserve">SP AusNet's </w:t>
      </w:r>
      <w:r w:rsidRPr="00CF3742">
        <w:t>proposed forecast opex for the 201</w:t>
      </w:r>
      <w:r>
        <w:t>4</w:t>
      </w:r>
      <w:r w:rsidRPr="00CF3742">
        <w:t>–1</w:t>
      </w:r>
      <w:r>
        <w:t>7</w:t>
      </w:r>
      <w:r w:rsidRPr="00CF3742">
        <w:t xml:space="preserve"> regulatory control period, if satisfied the forecast reasonably reflects the opex criteria set out in the NER.</w:t>
      </w:r>
      <w:r w:rsidRPr="00CF3742">
        <w:rPr>
          <w:rStyle w:val="FootnoteReference"/>
        </w:rPr>
        <w:footnoteReference w:id="238"/>
      </w:r>
      <w:r w:rsidRPr="00CF3742">
        <w:t xml:space="preserve"> If not satisfied, </w:t>
      </w:r>
      <w:r>
        <w:t>we</w:t>
      </w:r>
      <w:r w:rsidRPr="00CF3742">
        <w:t xml:space="preserve"> must give reasons for not accepting the proposal and estimate the total required opex that reasonably reflects the opex criteria.</w:t>
      </w:r>
      <w:r>
        <w:rPr>
          <w:rStyle w:val="FootnoteReference"/>
        </w:rPr>
        <w:footnoteReference w:id="239"/>
      </w:r>
      <w:r w:rsidRPr="00CF3742">
        <w:t xml:space="preserve"> In doing so, </w:t>
      </w:r>
      <w:r>
        <w:t>we</w:t>
      </w:r>
      <w:r w:rsidRPr="00CF3742">
        <w:t xml:space="preserve"> must have regard to the opex factors.</w:t>
      </w:r>
      <w:r w:rsidRPr="00CF3742">
        <w:rPr>
          <w:rStyle w:val="FootnoteReference"/>
        </w:rPr>
        <w:footnoteReference w:id="240"/>
      </w:r>
      <w:r w:rsidRPr="00CF3742">
        <w:t xml:space="preserve"> </w:t>
      </w:r>
    </w:p>
    <w:p w:rsidR="0088341A" w:rsidRPr="003800E4" w:rsidRDefault="0088341A" w:rsidP="0088341A">
      <w:pPr>
        <w:pStyle w:val="Heading2"/>
        <w:numPr>
          <w:ilvl w:val="2"/>
          <w:numId w:val="20"/>
        </w:numPr>
      </w:pPr>
      <w:bookmarkStart w:id="176" w:name="_Toc365283297"/>
      <w:r w:rsidRPr="00A907E9">
        <w:t>Draft</w:t>
      </w:r>
      <w:r>
        <w:t xml:space="preserve"> decision</w:t>
      </w:r>
      <w:bookmarkEnd w:id="176"/>
    </w:p>
    <w:p w:rsidR="0088341A" w:rsidRDefault="0088341A" w:rsidP="0088341A">
      <w:pPr>
        <w:pStyle w:val="AERbodytext"/>
        <w:numPr>
          <w:ilvl w:val="0"/>
          <w:numId w:val="13"/>
        </w:numPr>
      </w:pPr>
      <w:r>
        <w:t>We do not accept SP AusNet's proposed total opex of $607.2 million</w:t>
      </w:r>
      <w:r>
        <w:rPr>
          <w:rStyle w:val="FootnoteReference"/>
        </w:rPr>
        <w:footnoteReference w:id="241"/>
      </w:r>
      <w:r>
        <w:t xml:space="preserve"> ($2013–14, mid-year)</w:t>
      </w:r>
      <w:r>
        <w:rPr>
          <w:rStyle w:val="FootnoteReference"/>
        </w:rPr>
        <w:footnoteReference w:id="242"/>
      </w:r>
      <w:r>
        <w:t xml:space="preserve"> for the 2014–17 regulatory control period because we are not satisfied the proposed total opex forecast reasonably reflects the opex criteria.</w:t>
      </w:r>
      <w:r>
        <w:rPr>
          <w:rStyle w:val="FootnoteReference"/>
        </w:rPr>
        <w:footnoteReference w:id="243"/>
      </w:r>
      <w:r>
        <w:t xml:space="preserve"> </w:t>
      </w:r>
    </w:p>
    <w:p w:rsidR="0088341A" w:rsidRDefault="0088341A" w:rsidP="0088341A">
      <w:pPr>
        <w:pStyle w:val="AERbodytext"/>
        <w:numPr>
          <w:ilvl w:val="0"/>
          <w:numId w:val="13"/>
        </w:numPr>
      </w:pPr>
      <w:r>
        <w:t>Total opex comprises controllable and non-controllable expenditure. We examined SP AusNet's controllable opex proposal using two approaches: a top down assessment and a detailed bottom up technical review.</w:t>
      </w:r>
      <w:r>
        <w:rPr>
          <w:rStyle w:val="FootnoteReference"/>
        </w:rPr>
        <w:footnoteReference w:id="244"/>
      </w:r>
      <w:r>
        <w:t xml:space="preserve"> Both controllable opex reviews showed SP AusNet's forecast opex is more than what is reasonably required to reasonably reflect the opex criteria.</w:t>
      </w:r>
      <w:r>
        <w:rPr>
          <w:rStyle w:val="FootnoteReference"/>
        </w:rPr>
        <w:footnoteReference w:id="245"/>
      </w:r>
      <w:r>
        <w:t xml:space="preserve"> We also examined non-controllable opex and found elements of the proposal to be more than what is required to reasonably reflect the opex criteria.</w:t>
      </w:r>
      <w:r>
        <w:rPr>
          <w:rStyle w:val="FootnoteReference"/>
        </w:rPr>
        <w:footnoteReference w:id="246"/>
      </w:r>
      <w:r>
        <w:t xml:space="preserve"> </w:t>
      </w:r>
    </w:p>
    <w:p w:rsidR="0088341A" w:rsidRDefault="0088341A" w:rsidP="0088341A">
      <w:pPr>
        <w:pStyle w:val="AERbodytext"/>
        <w:numPr>
          <w:ilvl w:val="0"/>
          <w:numId w:val="13"/>
        </w:numPr>
      </w:pPr>
      <w:r>
        <w:t>We substituted a total opex forecast developed from our preferred forecasting approach: a top down method for controllable opex, but we included step changes when we assessed they were necessary to reflect the opex criteria.</w:t>
      </w:r>
      <w:r>
        <w:rPr>
          <w:rStyle w:val="FootnoteReference"/>
        </w:rPr>
        <w:footnoteReference w:id="247"/>
      </w:r>
      <w:r>
        <w:t xml:space="preserve"> Our substitute forecast opex for the 2014–17 regulatory control period is $543.2 million,</w:t>
      </w:r>
      <w:r w:rsidR="003354D5" w:rsidRPr="003354D5">
        <w:t xml:space="preserve"> </w:t>
      </w:r>
      <w:r w:rsidR="003354D5">
        <w:t>which is $64.0 million less than SP AusNet proposed (</w:t>
      </w:r>
      <w:r w:rsidR="003354D5">
        <w:fldChar w:fldCharType="begin"/>
      </w:r>
      <w:r w:rsidR="003354D5">
        <w:instrText xml:space="preserve"> REF _Ref362366168 \h </w:instrText>
      </w:r>
      <w:r w:rsidR="003354D5">
        <w:fldChar w:fldCharType="separate"/>
      </w:r>
      <w:r w:rsidR="004F35AA">
        <w:t xml:space="preserve">Table </w:t>
      </w:r>
      <w:r w:rsidR="004F35AA">
        <w:rPr>
          <w:noProof/>
        </w:rPr>
        <w:t>3</w:t>
      </w:r>
      <w:r w:rsidR="004F35AA">
        <w:t>.</w:t>
      </w:r>
      <w:r w:rsidR="004F35AA">
        <w:rPr>
          <w:noProof/>
        </w:rPr>
        <w:t>1</w:t>
      </w:r>
      <w:r w:rsidR="003354D5">
        <w:fldChar w:fldCharType="end"/>
      </w:r>
      <w:r w:rsidR="003354D5">
        <w:t>).</w:t>
      </w:r>
      <w:r>
        <w:rPr>
          <w:rStyle w:val="FootnoteReference"/>
        </w:rPr>
        <w:footnoteReference w:id="248"/>
      </w:r>
      <w:r>
        <w:t xml:space="preserve"> </w:t>
      </w:r>
      <w:r w:rsidR="00BF4A7A">
        <w:t>In annual terms, i</w:t>
      </w:r>
      <w:r>
        <w:t>t is a decrease of 4.5 per cent (real) on the transmission network service provider's (TNSP) annual average opex in the 2008–14 regulatory control period.</w:t>
      </w:r>
      <w:r w:rsidR="003354D5">
        <w:rPr>
          <w:rStyle w:val="FootnoteReference"/>
        </w:rPr>
        <w:footnoteReference w:id="249"/>
      </w:r>
      <w:r>
        <w:t xml:space="preserve"> </w:t>
      </w:r>
      <w:r>
        <w:fldChar w:fldCharType="begin"/>
      </w:r>
      <w:r>
        <w:instrText xml:space="preserve"> REF _Ref362357920 \h </w:instrText>
      </w:r>
      <w:r>
        <w:fldChar w:fldCharType="separate"/>
      </w:r>
      <w:r w:rsidR="004F35AA">
        <w:t xml:space="preserve">Figure </w:t>
      </w:r>
      <w:r w:rsidR="004F35AA">
        <w:rPr>
          <w:noProof/>
        </w:rPr>
        <w:t>3</w:t>
      </w:r>
      <w:r w:rsidR="004F35AA">
        <w:t>.</w:t>
      </w:r>
      <w:r w:rsidR="004F35AA">
        <w:rPr>
          <w:noProof/>
        </w:rPr>
        <w:t>1</w:t>
      </w:r>
      <w:r>
        <w:fldChar w:fldCharType="end"/>
      </w:r>
      <w:r>
        <w:t xml:space="preserve"> shows our draft decision for total opex and </w:t>
      </w:r>
      <w:r>
        <w:fldChar w:fldCharType="begin"/>
      </w:r>
      <w:r>
        <w:instrText xml:space="preserve"> REF _Ref363418399 \h </w:instrText>
      </w:r>
      <w:r>
        <w:fldChar w:fldCharType="separate"/>
      </w:r>
      <w:r w:rsidR="004F35AA">
        <w:t xml:space="preserve">Figure </w:t>
      </w:r>
      <w:r w:rsidR="004F35AA">
        <w:rPr>
          <w:noProof/>
        </w:rPr>
        <w:t>3</w:t>
      </w:r>
      <w:r w:rsidR="004F35AA">
        <w:t>.</w:t>
      </w:r>
      <w:r w:rsidR="004F35AA">
        <w:rPr>
          <w:noProof/>
        </w:rPr>
        <w:t>2</w:t>
      </w:r>
      <w:r>
        <w:fldChar w:fldCharType="end"/>
      </w:r>
      <w:r>
        <w:t xml:space="preserve"> shows our draft decision for controllable opex.</w:t>
      </w:r>
    </w:p>
    <w:p w:rsidR="0088341A" w:rsidRDefault="0088341A" w:rsidP="0088341A">
      <w:pPr>
        <w:pStyle w:val="Caption"/>
        <w:keepLines/>
      </w:pPr>
      <w:bookmarkStart w:id="177" w:name="_Ref362366168"/>
      <w:bookmarkStart w:id="178" w:name="_Ref363663131"/>
      <w:r>
        <w:lastRenderedPageBreak/>
        <w:t xml:space="preserve">Table </w:t>
      </w:r>
      <w:fldSimple w:instr=" STYLEREF 1 \s ">
        <w:r w:rsidR="004F35AA">
          <w:rPr>
            <w:noProof/>
          </w:rPr>
          <w:t>3</w:t>
        </w:r>
      </w:fldSimple>
      <w:r w:rsidR="00C56A87">
        <w:t>.</w:t>
      </w:r>
      <w:fldSimple w:instr=" SEQ Table \* ARABIC \s 1 ">
        <w:r w:rsidR="004F35AA">
          <w:rPr>
            <w:noProof/>
          </w:rPr>
          <w:t>1</w:t>
        </w:r>
      </w:fldSimple>
      <w:bookmarkEnd w:id="177"/>
      <w:r>
        <w:tab/>
        <w:t>AER's draft decision and SP AusNet's proposed total* opex ($ million, 2013–14)</w:t>
      </w:r>
      <w:bookmarkEnd w:id="178"/>
    </w:p>
    <w:tbl>
      <w:tblPr>
        <w:tblW w:w="5000" w:type="pct"/>
        <w:tblBorders>
          <w:bottom w:val="single" w:sz="4" w:space="0" w:color="365F91"/>
        </w:tblBorders>
        <w:tblLook w:val="04A0" w:firstRow="1" w:lastRow="0" w:firstColumn="1" w:lastColumn="0" w:noHBand="0" w:noVBand="1"/>
      </w:tblPr>
      <w:tblGrid>
        <w:gridCol w:w="3071"/>
        <w:gridCol w:w="1543"/>
        <w:gridCol w:w="1543"/>
        <w:gridCol w:w="1543"/>
        <w:gridCol w:w="1542"/>
      </w:tblGrid>
      <w:tr w:rsidR="0088341A" w:rsidRPr="00E8069B" w:rsidTr="00501137">
        <w:tc>
          <w:tcPr>
            <w:tcW w:w="1661" w:type="pct"/>
            <w:shd w:val="clear" w:color="auto" w:fill="365F91"/>
            <w:vAlign w:val="center"/>
          </w:tcPr>
          <w:p w:rsidR="0088341A" w:rsidRPr="00520C96" w:rsidRDefault="0088341A" w:rsidP="00501137">
            <w:pPr>
              <w:pStyle w:val="AERtabletextleft"/>
              <w:keepNext/>
              <w:keepLines/>
              <w:rPr>
                <w:b/>
                <w:color w:val="FFFFFF"/>
              </w:rPr>
            </w:pPr>
            <w:r w:rsidRPr="00520C96">
              <w:rPr>
                <w:b/>
                <w:color w:val="FFFFFF"/>
              </w:rPr>
              <w:t>Year ending 31 March</w:t>
            </w:r>
          </w:p>
        </w:tc>
        <w:tc>
          <w:tcPr>
            <w:tcW w:w="835" w:type="pct"/>
            <w:shd w:val="clear" w:color="auto" w:fill="365F91"/>
            <w:vAlign w:val="center"/>
          </w:tcPr>
          <w:p w:rsidR="0088341A" w:rsidRPr="00520C96" w:rsidRDefault="0088341A" w:rsidP="00501137">
            <w:pPr>
              <w:pStyle w:val="AERtabletextright"/>
              <w:keepNext/>
              <w:keepLines/>
              <w:rPr>
                <w:b/>
                <w:color w:val="FFFFFF"/>
              </w:rPr>
            </w:pPr>
            <w:r w:rsidRPr="00520C96">
              <w:rPr>
                <w:b/>
                <w:color w:val="FFFFFF"/>
              </w:rPr>
              <w:t>2014–15</w:t>
            </w:r>
          </w:p>
        </w:tc>
        <w:tc>
          <w:tcPr>
            <w:tcW w:w="835" w:type="pct"/>
            <w:shd w:val="clear" w:color="auto" w:fill="365F91"/>
            <w:vAlign w:val="center"/>
          </w:tcPr>
          <w:p w:rsidR="0088341A" w:rsidRPr="00520C96" w:rsidRDefault="0088341A" w:rsidP="00501137">
            <w:pPr>
              <w:pStyle w:val="AERtabletextright"/>
              <w:keepNext/>
              <w:keepLines/>
              <w:rPr>
                <w:b/>
                <w:color w:val="FFFFFF"/>
              </w:rPr>
            </w:pPr>
            <w:r w:rsidRPr="00520C96">
              <w:rPr>
                <w:b/>
                <w:color w:val="FFFFFF"/>
              </w:rPr>
              <w:t>2015–16</w:t>
            </w:r>
          </w:p>
        </w:tc>
        <w:tc>
          <w:tcPr>
            <w:tcW w:w="835" w:type="pct"/>
            <w:shd w:val="clear" w:color="auto" w:fill="365F91"/>
            <w:vAlign w:val="center"/>
          </w:tcPr>
          <w:p w:rsidR="0088341A" w:rsidRPr="00520C96" w:rsidRDefault="0088341A" w:rsidP="00501137">
            <w:pPr>
              <w:pStyle w:val="AERtabletextright"/>
              <w:keepNext/>
              <w:keepLines/>
              <w:rPr>
                <w:b/>
                <w:color w:val="FFFFFF"/>
              </w:rPr>
            </w:pPr>
            <w:r w:rsidRPr="00520C96">
              <w:rPr>
                <w:b/>
                <w:color w:val="FFFFFF"/>
              </w:rPr>
              <w:t>2016–17</w:t>
            </w:r>
          </w:p>
        </w:tc>
        <w:tc>
          <w:tcPr>
            <w:tcW w:w="834" w:type="pct"/>
            <w:shd w:val="clear" w:color="auto" w:fill="365F91"/>
            <w:vAlign w:val="center"/>
          </w:tcPr>
          <w:p w:rsidR="0088341A" w:rsidRPr="00520C96" w:rsidRDefault="0088341A" w:rsidP="00501137">
            <w:pPr>
              <w:pStyle w:val="AERtabletextright"/>
              <w:keepNext/>
              <w:keepLines/>
              <w:rPr>
                <w:b/>
                <w:color w:val="FFFFFF"/>
              </w:rPr>
            </w:pPr>
            <w:r w:rsidRPr="00520C96">
              <w:rPr>
                <w:b/>
                <w:color w:val="FFFFFF"/>
              </w:rPr>
              <w:t>Total</w:t>
            </w:r>
          </w:p>
        </w:tc>
      </w:tr>
      <w:tr w:rsidR="0088341A" w:rsidRPr="00E8069B" w:rsidTr="00501137">
        <w:tc>
          <w:tcPr>
            <w:tcW w:w="1661" w:type="pct"/>
            <w:shd w:val="clear" w:color="auto" w:fill="auto"/>
            <w:vAlign w:val="center"/>
          </w:tcPr>
          <w:p w:rsidR="0088341A" w:rsidRPr="00C01371" w:rsidRDefault="0088341A" w:rsidP="00501137">
            <w:pPr>
              <w:pStyle w:val="AERtabletextleft"/>
              <w:keepNext/>
              <w:keepLines/>
            </w:pPr>
            <w:r w:rsidRPr="00C01371">
              <w:t>SP AusNet's proposal</w:t>
            </w:r>
            <w:r>
              <w:t>*</w:t>
            </w:r>
          </w:p>
        </w:tc>
        <w:tc>
          <w:tcPr>
            <w:tcW w:w="835" w:type="pct"/>
            <w:shd w:val="clear" w:color="auto" w:fill="auto"/>
          </w:tcPr>
          <w:p w:rsidR="0088341A" w:rsidRPr="00C01371" w:rsidRDefault="0088341A" w:rsidP="00501137">
            <w:pPr>
              <w:pStyle w:val="AERtabletextright"/>
              <w:keepNext/>
              <w:keepLines/>
            </w:pPr>
            <w:r w:rsidRPr="009262CA">
              <w:t>198.9</w:t>
            </w:r>
          </w:p>
        </w:tc>
        <w:tc>
          <w:tcPr>
            <w:tcW w:w="835" w:type="pct"/>
            <w:shd w:val="clear" w:color="auto" w:fill="auto"/>
          </w:tcPr>
          <w:p w:rsidR="0088341A" w:rsidRPr="00C01371" w:rsidRDefault="0088341A" w:rsidP="00501137">
            <w:pPr>
              <w:pStyle w:val="AERtabletextright"/>
              <w:keepNext/>
              <w:keepLines/>
            </w:pPr>
            <w:r w:rsidRPr="009262CA">
              <w:t>204.7</w:t>
            </w:r>
          </w:p>
        </w:tc>
        <w:tc>
          <w:tcPr>
            <w:tcW w:w="835" w:type="pct"/>
            <w:shd w:val="clear" w:color="auto" w:fill="auto"/>
          </w:tcPr>
          <w:p w:rsidR="0088341A" w:rsidRPr="00C01371" w:rsidRDefault="0088341A" w:rsidP="00501137">
            <w:pPr>
              <w:pStyle w:val="AERtabletextright"/>
              <w:keepNext/>
              <w:keepLines/>
            </w:pPr>
            <w:r w:rsidRPr="009262CA">
              <w:t>203.6</w:t>
            </w:r>
          </w:p>
        </w:tc>
        <w:tc>
          <w:tcPr>
            <w:tcW w:w="834" w:type="pct"/>
            <w:shd w:val="clear" w:color="auto" w:fill="auto"/>
          </w:tcPr>
          <w:p w:rsidR="0088341A" w:rsidRPr="00C01371" w:rsidRDefault="0088341A" w:rsidP="00501137">
            <w:pPr>
              <w:pStyle w:val="AERtabletextright"/>
              <w:keepNext/>
              <w:keepLines/>
            </w:pPr>
            <w:r w:rsidRPr="009262CA">
              <w:t>607.2</w:t>
            </w:r>
          </w:p>
        </w:tc>
      </w:tr>
      <w:tr w:rsidR="0088341A" w:rsidRPr="00E8069B" w:rsidTr="00501137">
        <w:tc>
          <w:tcPr>
            <w:tcW w:w="1661" w:type="pct"/>
            <w:shd w:val="clear" w:color="auto" w:fill="DBE5F1"/>
            <w:vAlign w:val="center"/>
          </w:tcPr>
          <w:p w:rsidR="0088341A" w:rsidRPr="00C01371" w:rsidRDefault="0088341A" w:rsidP="00501137">
            <w:pPr>
              <w:pStyle w:val="AERtabletextleft"/>
              <w:keepNext/>
              <w:keepLines/>
            </w:pPr>
            <w:r w:rsidRPr="00C01371">
              <w:t>AER's draft decision</w:t>
            </w:r>
          </w:p>
        </w:tc>
        <w:tc>
          <w:tcPr>
            <w:tcW w:w="835" w:type="pct"/>
            <w:shd w:val="clear" w:color="auto" w:fill="DBE5F1"/>
          </w:tcPr>
          <w:p w:rsidR="0088341A" w:rsidRPr="00C01371" w:rsidRDefault="0088341A" w:rsidP="00501137">
            <w:pPr>
              <w:pStyle w:val="AERtabletextright"/>
              <w:keepNext/>
              <w:keepLines/>
            </w:pPr>
            <w:r w:rsidRPr="009262CA">
              <w:t>179.2</w:t>
            </w:r>
          </w:p>
        </w:tc>
        <w:tc>
          <w:tcPr>
            <w:tcW w:w="835" w:type="pct"/>
            <w:shd w:val="clear" w:color="auto" w:fill="DBE5F1"/>
          </w:tcPr>
          <w:p w:rsidR="0088341A" w:rsidRPr="00C01371" w:rsidRDefault="0088341A" w:rsidP="00501137">
            <w:pPr>
              <w:pStyle w:val="AERtabletextright"/>
              <w:keepNext/>
              <w:keepLines/>
            </w:pPr>
            <w:r w:rsidRPr="009262CA">
              <w:t>183.2</w:t>
            </w:r>
          </w:p>
        </w:tc>
        <w:tc>
          <w:tcPr>
            <w:tcW w:w="835" w:type="pct"/>
            <w:shd w:val="clear" w:color="auto" w:fill="DBE5F1"/>
          </w:tcPr>
          <w:p w:rsidR="0088341A" w:rsidRPr="00C01371" w:rsidRDefault="0088341A" w:rsidP="00501137">
            <w:pPr>
              <w:pStyle w:val="AERtabletextright"/>
              <w:keepNext/>
              <w:keepLines/>
            </w:pPr>
            <w:r w:rsidRPr="009262CA">
              <w:t>180.8</w:t>
            </w:r>
          </w:p>
        </w:tc>
        <w:tc>
          <w:tcPr>
            <w:tcW w:w="834" w:type="pct"/>
            <w:shd w:val="clear" w:color="auto" w:fill="DBE5F1"/>
          </w:tcPr>
          <w:p w:rsidR="0088341A" w:rsidRPr="00C01371" w:rsidRDefault="0088341A" w:rsidP="00501137">
            <w:pPr>
              <w:pStyle w:val="AERtabletextright"/>
              <w:keepNext/>
              <w:keepLines/>
            </w:pPr>
            <w:r w:rsidRPr="009262CA">
              <w:t>543.2</w:t>
            </w:r>
          </w:p>
        </w:tc>
      </w:tr>
      <w:tr w:rsidR="0088341A" w:rsidRPr="00E8069B" w:rsidTr="00501137">
        <w:tc>
          <w:tcPr>
            <w:tcW w:w="1661" w:type="pct"/>
            <w:shd w:val="clear" w:color="auto" w:fill="auto"/>
            <w:vAlign w:val="center"/>
          </w:tcPr>
          <w:p w:rsidR="0088341A" w:rsidRPr="00C01371" w:rsidRDefault="0088341A" w:rsidP="00501137">
            <w:pPr>
              <w:pStyle w:val="AERtabletextleft"/>
              <w:keepNext/>
              <w:keepLines/>
            </w:pPr>
            <w:r w:rsidRPr="00C01371">
              <w:t>Difference</w:t>
            </w:r>
          </w:p>
        </w:tc>
        <w:tc>
          <w:tcPr>
            <w:tcW w:w="835" w:type="pct"/>
            <w:shd w:val="clear" w:color="auto" w:fill="auto"/>
          </w:tcPr>
          <w:p w:rsidR="0088341A" w:rsidRPr="00C01371" w:rsidRDefault="0088341A" w:rsidP="00501137">
            <w:pPr>
              <w:pStyle w:val="AERtabletextright"/>
              <w:keepNext/>
              <w:keepLines/>
            </w:pPr>
            <w:r w:rsidRPr="009262CA">
              <w:t>-20.9</w:t>
            </w:r>
          </w:p>
        </w:tc>
        <w:tc>
          <w:tcPr>
            <w:tcW w:w="835" w:type="pct"/>
            <w:shd w:val="clear" w:color="auto" w:fill="auto"/>
          </w:tcPr>
          <w:p w:rsidR="0088341A" w:rsidRPr="00C01371" w:rsidRDefault="0088341A" w:rsidP="00501137">
            <w:pPr>
              <w:pStyle w:val="AERtabletextright"/>
              <w:keepNext/>
              <w:keepLines/>
            </w:pPr>
            <w:r w:rsidRPr="009262CA">
              <w:t>-22.6</w:t>
            </w:r>
          </w:p>
        </w:tc>
        <w:tc>
          <w:tcPr>
            <w:tcW w:w="835" w:type="pct"/>
            <w:shd w:val="clear" w:color="auto" w:fill="auto"/>
          </w:tcPr>
          <w:p w:rsidR="0088341A" w:rsidRPr="00C01371" w:rsidRDefault="0088341A" w:rsidP="00501137">
            <w:pPr>
              <w:pStyle w:val="AERtabletextright"/>
              <w:keepNext/>
              <w:keepLines/>
            </w:pPr>
            <w:r w:rsidRPr="009262CA">
              <w:t>-22.8</w:t>
            </w:r>
          </w:p>
        </w:tc>
        <w:tc>
          <w:tcPr>
            <w:tcW w:w="834" w:type="pct"/>
            <w:shd w:val="clear" w:color="auto" w:fill="auto"/>
          </w:tcPr>
          <w:p w:rsidR="0088341A" w:rsidRPr="00C01371" w:rsidRDefault="0088341A" w:rsidP="00501137">
            <w:pPr>
              <w:pStyle w:val="AERtabletextright"/>
              <w:keepNext/>
              <w:keepLines/>
            </w:pPr>
            <w:r w:rsidRPr="009262CA">
              <w:t>-64.0</w:t>
            </w:r>
          </w:p>
        </w:tc>
      </w:tr>
    </w:tbl>
    <w:p w:rsidR="003354D5" w:rsidRDefault="003354D5" w:rsidP="00F55AE3">
      <w:pPr>
        <w:pStyle w:val="AERtablesource"/>
      </w:pPr>
      <w:r>
        <w:t>Source:</w:t>
      </w:r>
      <w:r>
        <w:tab/>
        <w:t xml:space="preserve">SP AusNet, </w:t>
      </w:r>
      <w:r w:rsidRPr="00633D05">
        <w:rPr>
          <w:rStyle w:val="AERtextitalic"/>
        </w:rPr>
        <w:t>Revenue proposal</w:t>
      </w:r>
      <w:r>
        <w:t>, Table 5.22 (excludes efficiency payments)</w:t>
      </w:r>
      <w:r w:rsidRPr="007E22B8">
        <w:t xml:space="preserve"> p.149</w:t>
      </w:r>
      <w:r>
        <w:t>; AER analysis.</w:t>
      </w:r>
    </w:p>
    <w:p w:rsidR="0088341A" w:rsidRDefault="003354D5" w:rsidP="00F55AE3">
      <w:pPr>
        <w:pStyle w:val="AERtablesource"/>
      </w:pPr>
      <w:r>
        <w:t>Note:</w:t>
      </w:r>
      <w:r>
        <w:tab/>
      </w:r>
      <w:r w:rsidR="0088341A">
        <w:t>*</w:t>
      </w:r>
      <w:r w:rsidR="005802F3">
        <w:t xml:space="preserve"> </w:t>
      </w:r>
      <w:r w:rsidR="0088341A">
        <w:t xml:space="preserve">Excludes equity raising costs (ERC), which were capitalised and therefore removed from opex consideration. </w:t>
      </w:r>
    </w:p>
    <w:p w:rsidR="0088341A" w:rsidRPr="006B47ED" w:rsidRDefault="0088341A" w:rsidP="0088341A">
      <w:pPr>
        <w:pStyle w:val="Caption"/>
        <w:keepLines/>
      </w:pPr>
      <w:r w:rsidRPr="006B47ED">
        <w:t xml:space="preserve">Table </w:t>
      </w:r>
      <w:fldSimple w:instr=" STYLEREF 1 \s ">
        <w:r w:rsidR="004F35AA">
          <w:rPr>
            <w:noProof/>
          </w:rPr>
          <w:t>3</w:t>
        </w:r>
      </w:fldSimple>
      <w:r w:rsidR="00C56A87">
        <w:t>.</w:t>
      </w:r>
      <w:fldSimple w:instr=" SEQ Table \* ARABIC \s 1 ">
        <w:r w:rsidR="004F35AA">
          <w:rPr>
            <w:noProof/>
          </w:rPr>
          <w:t>2</w:t>
        </w:r>
      </w:fldSimple>
      <w:r w:rsidRPr="006B47ED">
        <w:tab/>
        <w:t>AER's draft decision on total opex ($ million, 2013–14)</w:t>
      </w:r>
    </w:p>
    <w:tbl>
      <w:tblPr>
        <w:tblW w:w="9040" w:type="dxa"/>
        <w:tblBorders>
          <w:bottom w:val="single" w:sz="4" w:space="0" w:color="365F91"/>
        </w:tblBorders>
        <w:tblLayout w:type="fixed"/>
        <w:tblLook w:val="04A0" w:firstRow="1" w:lastRow="0" w:firstColumn="1" w:lastColumn="0" w:noHBand="0" w:noVBand="1"/>
      </w:tblPr>
      <w:tblGrid>
        <w:gridCol w:w="3369"/>
        <w:gridCol w:w="1417"/>
        <w:gridCol w:w="1418"/>
        <w:gridCol w:w="1418"/>
        <w:gridCol w:w="1418"/>
      </w:tblGrid>
      <w:tr w:rsidR="0088341A" w:rsidRPr="00520C96" w:rsidTr="00501137">
        <w:trPr>
          <w:trHeight w:val="255"/>
        </w:trPr>
        <w:tc>
          <w:tcPr>
            <w:tcW w:w="3369" w:type="dxa"/>
            <w:shd w:val="clear" w:color="auto" w:fill="365F91"/>
            <w:noWrap/>
            <w:vAlign w:val="center"/>
            <w:hideMark/>
          </w:tcPr>
          <w:p w:rsidR="0088341A" w:rsidRPr="00520C96" w:rsidRDefault="0088341A" w:rsidP="00501137">
            <w:pPr>
              <w:pStyle w:val="AERtabletextleft"/>
              <w:keepNext/>
              <w:keepLines/>
              <w:rPr>
                <w:b/>
                <w:color w:val="FFFFFF"/>
                <w:lang w:eastAsia="en-AU"/>
              </w:rPr>
            </w:pPr>
            <w:r w:rsidRPr="00520C96">
              <w:rPr>
                <w:b/>
                <w:color w:val="FFFFFF"/>
                <w:lang w:eastAsia="en-AU"/>
              </w:rPr>
              <w:t>Year ending 31 March</w:t>
            </w:r>
          </w:p>
        </w:tc>
        <w:tc>
          <w:tcPr>
            <w:tcW w:w="1417" w:type="dxa"/>
            <w:shd w:val="clear" w:color="auto" w:fill="365F91"/>
            <w:noWrap/>
            <w:vAlign w:val="center"/>
            <w:hideMark/>
          </w:tcPr>
          <w:p w:rsidR="0088341A" w:rsidRPr="00520C96" w:rsidRDefault="0088341A" w:rsidP="00501137">
            <w:pPr>
              <w:pStyle w:val="AERtabletextright"/>
              <w:keepNext/>
              <w:keepLines/>
              <w:rPr>
                <w:b/>
                <w:color w:val="FFFFFF"/>
                <w:lang w:eastAsia="en-AU"/>
              </w:rPr>
            </w:pPr>
            <w:r w:rsidRPr="00520C96">
              <w:rPr>
                <w:b/>
                <w:color w:val="FFFFFF"/>
                <w:lang w:eastAsia="en-AU"/>
              </w:rPr>
              <w:t>2014–15</w:t>
            </w:r>
          </w:p>
        </w:tc>
        <w:tc>
          <w:tcPr>
            <w:tcW w:w="1418" w:type="dxa"/>
            <w:shd w:val="clear" w:color="auto" w:fill="365F91"/>
            <w:noWrap/>
            <w:vAlign w:val="center"/>
            <w:hideMark/>
          </w:tcPr>
          <w:p w:rsidR="0088341A" w:rsidRPr="00520C96" w:rsidRDefault="0088341A" w:rsidP="00501137">
            <w:pPr>
              <w:pStyle w:val="AERtabletextright"/>
              <w:keepNext/>
              <w:keepLines/>
              <w:rPr>
                <w:b/>
                <w:color w:val="FFFFFF"/>
                <w:lang w:eastAsia="en-AU"/>
              </w:rPr>
            </w:pPr>
            <w:r w:rsidRPr="00520C96">
              <w:rPr>
                <w:b/>
                <w:color w:val="FFFFFF"/>
                <w:lang w:eastAsia="en-AU"/>
              </w:rPr>
              <w:t>2015–16</w:t>
            </w:r>
          </w:p>
        </w:tc>
        <w:tc>
          <w:tcPr>
            <w:tcW w:w="1418" w:type="dxa"/>
            <w:shd w:val="clear" w:color="auto" w:fill="365F91"/>
            <w:noWrap/>
            <w:vAlign w:val="center"/>
            <w:hideMark/>
          </w:tcPr>
          <w:p w:rsidR="0088341A" w:rsidRPr="00520C96" w:rsidRDefault="0088341A" w:rsidP="00501137">
            <w:pPr>
              <w:pStyle w:val="AERtabletextright"/>
              <w:keepNext/>
              <w:keepLines/>
              <w:rPr>
                <w:b/>
                <w:color w:val="FFFFFF"/>
                <w:lang w:eastAsia="en-AU"/>
              </w:rPr>
            </w:pPr>
            <w:r w:rsidRPr="00520C96">
              <w:rPr>
                <w:b/>
                <w:color w:val="FFFFFF"/>
                <w:lang w:eastAsia="en-AU"/>
              </w:rPr>
              <w:t>2016–17</w:t>
            </w:r>
          </w:p>
        </w:tc>
        <w:tc>
          <w:tcPr>
            <w:tcW w:w="1418" w:type="dxa"/>
            <w:shd w:val="clear" w:color="auto" w:fill="365F91"/>
            <w:noWrap/>
            <w:vAlign w:val="center"/>
            <w:hideMark/>
          </w:tcPr>
          <w:p w:rsidR="0088341A" w:rsidRPr="00520C96" w:rsidRDefault="0088341A" w:rsidP="00501137">
            <w:pPr>
              <w:pStyle w:val="AERtabletextright"/>
              <w:keepNext/>
              <w:keepLines/>
              <w:rPr>
                <w:b/>
                <w:color w:val="FFFFFF"/>
                <w:lang w:eastAsia="en-AU"/>
              </w:rPr>
            </w:pPr>
            <w:r w:rsidRPr="00520C96">
              <w:rPr>
                <w:b/>
                <w:color w:val="FFFFFF"/>
                <w:lang w:eastAsia="en-AU"/>
              </w:rPr>
              <w:t>Total</w:t>
            </w:r>
          </w:p>
        </w:tc>
      </w:tr>
      <w:tr w:rsidR="0088341A" w:rsidRPr="00520C96" w:rsidTr="00501137">
        <w:trPr>
          <w:trHeight w:val="255"/>
        </w:trPr>
        <w:tc>
          <w:tcPr>
            <w:tcW w:w="3369" w:type="dxa"/>
            <w:shd w:val="clear" w:color="auto" w:fill="auto"/>
            <w:noWrap/>
            <w:vAlign w:val="center"/>
            <w:hideMark/>
          </w:tcPr>
          <w:p w:rsidR="0088341A" w:rsidRPr="00C01371" w:rsidRDefault="0088341A" w:rsidP="00501137">
            <w:pPr>
              <w:pStyle w:val="AERtabletextleft"/>
              <w:keepNext/>
              <w:keepLines/>
              <w:rPr>
                <w:lang w:eastAsia="en-AU"/>
              </w:rPr>
            </w:pPr>
            <w:r w:rsidRPr="00C01371">
              <w:rPr>
                <w:lang w:eastAsia="en-AU"/>
              </w:rPr>
              <w:t>Base year opex</w:t>
            </w:r>
          </w:p>
        </w:tc>
        <w:tc>
          <w:tcPr>
            <w:tcW w:w="1417" w:type="dxa"/>
            <w:shd w:val="clear" w:color="auto" w:fill="auto"/>
            <w:noWrap/>
          </w:tcPr>
          <w:p w:rsidR="0088341A" w:rsidRPr="00C01371" w:rsidRDefault="0088341A" w:rsidP="00501137">
            <w:pPr>
              <w:pStyle w:val="AERtabletextright"/>
              <w:keepNext/>
              <w:keepLines/>
              <w:rPr>
                <w:lang w:eastAsia="en-AU"/>
              </w:rPr>
            </w:pPr>
            <w:r w:rsidRPr="00E2668A">
              <w:t>71.6</w:t>
            </w:r>
          </w:p>
        </w:tc>
        <w:tc>
          <w:tcPr>
            <w:tcW w:w="1418" w:type="dxa"/>
            <w:shd w:val="clear" w:color="auto" w:fill="auto"/>
            <w:noWrap/>
          </w:tcPr>
          <w:p w:rsidR="0088341A" w:rsidRPr="00C01371" w:rsidRDefault="0088341A" w:rsidP="00501137">
            <w:pPr>
              <w:pStyle w:val="AERtabletextright"/>
              <w:keepNext/>
              <w:keepLines/>
              <w:rPr>
                <w:lang w:eastAsia="en-AU"/>
              </w:rPr>
            </w:pPr>
            <w:r w:rsidRPr="00E2668A">
              <w:t>71.6</w:t>
            </w:r>
          </w:p>
        </w:tc>
        <w:tc>
          <w:tcPr>
            <w:tcW w:w="1418" w:type="dxa"/>
            <w:shd w:val="clear" w:color="auto" w:fill="auto"/>
            <w:noWrap/>
          </w:tcPr>
          <w:p w:rsidR="0088341A" w:rsidRPr="00C01371" w:rsidRDefault="0088341A" w:rsidP="00501137">
            <w:pPr>
              <w:pStyle w:val="AERtabletextright"/>
              <w:keepNext/>
              <w:keepLines/>
              <w:rPr>
                <w:lang w:eastAsia="en-AU"/>
              </w:rPr>
            </w:pPr>
            <w:r w:rsidRPr="00E2668A">
              <w:t>71.6</w:t>
            </w:r>
          </w:p>
        </w:tc>
        <w:tc>
          <w:tcPr>
            <w:tcW w:w="1418" w:type="dxa"/>
            <w:shd w:val="clear" w:color="auto" w:fill="auto"/>
            <w:noWrap/>
          </w:tcPr>
          <w:p w:rsidR="0088341A" w:rsidRPr="00C01371" w:rsidRDefault="0088341A" w:rsidP="00501137">
            <w:pPr>
              <w:pStyle w:val="AERtabletextright"/>
              <w:keepNext/>
              <w:keepLines/>
              <w:rPr>
                <w:lang w:eastAsia="en-AU"/>
              </w:rPr>
            </w:pPr>
            <w:r w:rsidRPr="00E2668A">
              <w:t>214.7</w:t>
            </w:r>
          </w:p>
        </w:tc>
      </w:tr>
      <w:tr w:rsidR="0088341A" w:rsidRPr="00520C96" w:rsidTr="00501137">
        <w:trPr>
          <w:trHeight w:val="255"/>
        </w:trPr>
        <w:tc>
          <w:tcPr>
            <w:tcW w:w="3369" w:type="dxa"/>
            <w:shd w:val="clear" w:color="auto" w:fill="DBE5F1"/>
            <w:noWrap/>
            <w:vAlign w:val="center"/>
            <w:hideMark/>
          </w:tcPr>
          <w:p w:rsidR="0088341A" w:rsidRPr="00C01371" w:rsidRDefault="0088341A" w:rsidP="00501137">
            <w:pPr>
              <w:pStyle w:val="AERtabletextleft"/>
              <w:keepNext/>
              <w:keepLines/>
              <w:rPr>
                <w:lang w:eastAsia="en-AU"/>
              </w:rPr>
            </w:pPr>
            <w:r w:rsidRPr="00C01371">
              <w:rPr>
                <w:lang w:eastAsia="en-AU"/>
              </w:rPr>
              <w:t>Network growth</w:t>
            </w:r>
          </w:p>
        </w:tc>
        <w:tc>
          <w:tcPr>
            <w:tcW w:w="1417" w:type="dxa"/>
            <w:shd w:val="clear" w:color="auto" w:fill="DBE5F1"/>
            <w:noWrap/>
          </w:tcPr>
          <w:p w:rsidR="0088341A" w:rsidRPr="00C01371" w:rsidRDefault="0088341A" w:rsidP="00501137">
            <w:pPr>
              <w:pStyle w:val="AERtabletextright"/>
              <w:keepNext/>
              <w:keepLines/>
              <w:rPr>
                <w:lang w:eastAsia="en-AU"/>
              </w:rPr>
            </w:pPr>
            <w:r w:rsidRPr="00E2668A">
              <w:t>1.1</w:t>
            </w:r>
          </w:p>
        </w:tc>
        <w:tc>
          <w:tcPr>
            <w:tcW w:w="1418" w:type="dxa"/>
            <w:shd w:val="clear" w:color="auto" w:fill="DBE5F1"/>
            <w:noWrap/>
          </w:tcPr>
          <w:p w:rsidR="0088341A" w:rsidRPr="00C01371" w:rsidRDefault="0088341A" w:rsidP="00501137">
            <w:pPr>
              <w:pStyle w:val="AERtabletextright"/>
              <w:keepNext/>
              <w:keepLines/>
              <w:rPr>
                <w:lang w:eastAsia="en-AU"/>
              </w:rPr>
            </w:pPr>
            <w:r w:rsidRPr="00E2668A">
              <w:t>1.1</w:t>
            </w:r>
          </w:p>
        </w:tc>
        <w:tc>
          <w:tcPr>
            <w:tcW w:w="1418" w:type="dxa"/>
            <w:shd w:val="clear" w:color="auto" w:fill="DBE5F1"/>
            <w:noWrap/>
          </w:tcPr>
          <w:p w:rsidR="0088341A" w:rsidRPr="00C01371" w:rsidRDefault="0088341A" w:rsidP="00501137">
            <w:pPr>
              <w:pStyle w:val="AERtabletextright"/>
              <w:keepNext/>
              <w:keepLines/>
              <w:rPr>
                <w:lang w:eastAsia="en-AU"/>
              </w:rPr>
            </w:pPr>
            <w:r w:rsidRPr="00E2668A">
              <w:t>1.1</w:t>
            </w:r>
          </w:p>
        </w:tc>
        <w:tc>
          <w:tcPr>
            <w:tcW w:w="1418" w:type="dxa"/>
            <w:shd w:val="clear" w:color="auto" w:fill="DBE5F1"/>
            <w:noWrap/>
          </w:tcPr>
          <w:p w:rsidR="0088341A" w:rsidRPr="00C01371" w:rsidRDefault="0088341A" w:rsidP="00501137">
            <w:pPr>
              <w:pStyle w:val="AERtabletextright"/>
              <w:keepNext/>
              <w:keepLines/>
              <w:rPr>
                <w:lang w:eastAsia="en-AU"/>
              </w:rPr>
            </w:pPr>
            <w:r w:rsidRPr="00E2668A">
              <w:t>3.4</w:t>
            </w:r>
          </w:p>
        </w:tc>
      </w:tr>
      <w:tr w:rsidR="0088341A" w:rsidRPr="00520C96" w:rsidTr="00501137">
        <w:trPr>
          <w:trHeight w:val="255"/>
        </w:trPr>
        <w:tc>
          <w:tcPr>
            <w:tcW w:w="3369" w:type="dxa"/>
            <w:shd w:val="clear" w:color="auto" w:fill="auto"/>
            <w:noWrap/>
            <w:vAlign w:val="center"/>
            <w:hideMark/>
          </w:tcPr>
          <w:p w:rsidR="0088341A" w:rsidRPr="00C01371" w:rsidRDefault="0088341A" w:rsidP="00501137">
            <w:pPr>
              <w:pStyle w:val="AERtabletextleft"/>
              <w:keepNext/>
              <w:keepLines/>
              <w:rPr>
                <w:lang w:eastAsia="en-AU"/>
              </w:rPr>
            </w:pPr>
            <w:r w:rsidRPr="00C01371">
              <w:rPr>
                <w:lang w:eastAsia="en-AU"/>
              </w:rPr>
              <w:t>Labour escalation</w:t>
            </w:r>
          </w:p>
        </w:tc>
        <w:tc>
          <w:tcPr>
            <w:tcW w:w="1417" w:type="dxa"/>
            <w:shd w:val="clear" w:color="auto" w:fill="auto"/>
            <w:noWrap/>
          </w:tcPr>
          <w:p w:rsidR="0088341A" w:rsidRPr="00C01371" w:rsidRDefault="0088341A" w:rsidP="00501137">
            <w:pPr>
              <w:pStyle w:val="AERtabletextright"/>
              <w:keepNext/>
              <w:keepLines/>
              <w:rPr>
                <w:lang w:eastAsia="en-AU"/>
              </w:rPr>
            </w:pPr>
            <w:r w:rsidRPr="00E2668A">
              <w:t>2.5</w:t>
            </w:r>
          </w:p>
        </w:tc>
        <w:tc>
          <w:tcPr>
            <w:tcW w:w="1418" w:type="dxa"/>
            <w:shd w:val="clear" w:color="auto" w:fill="auto"/>
            <w:noWrap/>
          </w:tcPr>
          <w:p w:rsidR="0088341A" w:rsidRPr="00C01371" w:rsidRDefault="0088341A" w:rsidP="00501137">
            <w:pPr>
              <w:pStyle w:val="AERtabletextright"/>
              <w:keepNext/>
              <w:keepLines/>
              <w:rPr>
                <w:lang w:eastAsia="en-AU"/>
              </w:rPr>
            </w:pPr>
            <w:r w:rsidRPr="00E2668A">
              <w:t>2.9</w:t>
            </w:r>
          </w:p>
        </w:tc>
        <w:tc>
          <w:tcPr>
            <w:tcW w:w="1418" w:type="dxa"/>
            <w:shd w:val="clear" w:color="auto" w:fill="auto"/>
            <w:noWrap/>
          </w:tcPr>
          <w:p w:rsidR="0088341A" w:rsidRPr="00C01371" w:rsidRDefault="0088341A" w:rsidP="00501137">
            <w:pPr>
              <w:pStyle w:val="AERtabletextright"/>
              <w:keepNext/>
              <w:keepLines/>
              <w:rPr>
                <w:lang w:eastAsia="en-AU"/>
              </w:rPr>
            </w:pPr>
            <w:r w:rsidRPr="00E2668A">
              <w:t>3.3</w:t>
            </w:r>
          </w:p>
        </w:tc>
        <w:tc>
          <w:tcPr>
            <w:tcW w:w="1418" w:type="dxa"/>
            <w:shd w:val="clear" w:color="auto" w:fill="auto"/>
            <w:noWrap/>
          </w:tcPr>
          <w:p w:rsidR="0088341A" w:rsidRPr="00C01371" w:rsidRDefault="00021A41" w:rsidP="00501137">
            <w:pPr>
              <w:pStyle w:val="AERtabletextright"/>
              <w:keepNext/>
              <w:keepLines/>
              <w:rPr>
                <w:lang w:eastAsia="en-AU"/>
              </w:rPr>
            </w:pPr>
            <w:r>
              <w:t>8.8</w:t>
            </w:r>
          </w:p>
        </w:tc>
      </w:tr>
      <w:tr w:rsidR="0088341A" w:rsidRPr="00520C96" w:rsidTr="00501137">
        <w:trPr>
          <w:trHeight w:val="255"/>
        </w:trPr>
        <w:tc>
          <w:tcPr>
            <w:tcW w:w="3369" w:type="dxa"/>
            <w:shd w:val="clear" w:color="auto" w:fill="DBE5F1"/>
            <w:noWrap/>
            <w:vAlign w:val="center"/>
            <w:hideMark/>
          </w:tcPr>
          <w:p w:rsidR="0088341A" w:rsidRPr="00C01371" w:rsidRDefault="0088341A" w:rsidP="00501137">
            <w:pPr>
              <w:pStyle w:val="AERtabletextleft"/>
              <w:keepNext/>
              <w:keepLines/>
              <w:rPr>
                <w:lang w:eastAsia="en-AU"/>
              </w:rPr>
            </w:pPr>
            <w:r w:rsidRPr="00C01371">
              <w:rPr>
                <w:lang w:eastAsia="en-AU"/>
              </w:rPr>
              <w:t>Step changes</w:t>
            </w:r>
          </w:p>
        </w:tc>
        <w:tc>
          <w:tcPr>
            <w:tcW w:w="1417" w:type="dxa"/>
            <w:shd w:val="clear" w:color="auto" w:fill="DBE5F1"/>
            <w:noWrap/>
          </w:tcPr>
          <w:p w:rsidR="0088341A" w:rsidRPr="00C01371" w:rsidRDefault="0088341A" w:rsidP="00501137">
            <w:pPr>
              <w:pStyle w:val="AERtabletextright"/>
              <w:keepNext/>
              <w:keepLines/>
              <w:rPr>
                <w:lang w:eastAsia="en-AU"/>
              </w:rPr>
            </w:pPr>
            <w:r w:rsidRPr="00E2668A">
              <w:t>-0.1</w:t>
            </w:r>
          </w:p>
        </w:tc>
        <w:tc>
          <w:tcPr>
            <w:tcW w:w="1418" w:type="dxa"/>
            <w:shd w:val="clear" w:color="auto" w:fill="DBE5F1"/>
            <w:noWrap/>
          </w:tcPr>
          <w:p w:rsidR="0088341A" w:rsidRPr="00C01371" w:rsidRDefault="0088341A" w:rsidP="00501137">
            <w:pPr>
              <w:pStyle w:val="AERtabletextright"/>
              <w:keepNext/>
              <w:keepLines/>
              <w:rPr>
                <w:lang w:eastAsia="en-AU"/>
              </w:rPr>
            </w:pPr>
            <w:r w:rsidRPr="00E2668A">
              <w:t>1.0</w:t>
            </w:r>
          </w:p>
        </w:tc>
        <w:tc>
          <w:tcPr>
            <w:tcW w:w="1418" w:type="dxa"/>
            <w:shd w:val="clear" w:color="auto" w:fill="DBE5F1"/>
            <w:noWrap/>
          </w:tcPr>
          <w:p w:rsidR="0088341A" w:rsidRPr="00C01371" w:rsidRDefault="0088341A" w:rsidP="00501137">
            <w:pPr>
              <w:pStyle w:val="AERtabletextright"/>
              <w:keepNext/>
              <w:keepLines/>
              <w:rPr>
                <w:lang w:eastAsia="en-AU"/>
              </w:rPr>
            </w:pPr>
            <w:r w:rsidRPr="00E2668A">
              <w:t>0.7</w:t>
            </w:r>
          </w:p>
        </w:tc>
        <w:tc>
          <w:tcPr>
            <w:tcW w:w="1418" w:type="dxa"/>
            <w:shd w:val="clear" w:color="auto" w:fill="DBE5F1"/>
            <w:noWrap/>
          </w:tcPr>
          <w:p w:rsidR="0088341A" w:rsidRPr="00C01371" w:rsidRDefault="00021A41" w:rsidP="00501137">
            <w:pPr>
              <w:pStyle w:val="AERtabletextright"/>
              <w:keepNext/>
              <w:keepLines/>
              <w:rPr>
                <w:lang w:eastAsia="en-AU"/>
              </w:rPr>
            </w:pPr>
            <w:r>
              <w:t>1.6</w:t>
            </w:r>
          </w:p>
        </w:tc>
      </w:tr>
      <w:tr w:rsidR="0088341A" w:rsidRPr="00B40A06" w:rsidTr="00501137">
        <w:trPr>
          <w:trHeight w:val="270"/>
        </w:trPr>
        <w:tc>
          <w:tcPr>
            <w:tcW w:w="3369" w:type="dxa"/>
            <w:shd w:val="clear" w:color="auto" w:fill="auto"/>
            <w:noWrap/>
            <w:vAlign w:val="center"/>
            <w:hideMark/>
          </w:tcPr>
          <w:p w:rsidR="0088341A" w:rsidRPr="00B40A06" w:rsidRDefault="0088341A" w:rsidP="00501137">
            <w:pPr>
              <w:pStyle w:val="AERtabletextleft"/>
              <w:keepNext/>
              <w:keepLines/>
              <w:rPr>
                <w:rStyle w:val="AERtextbold"/>
              </w:rPr>
            </w:pPr>
            <w:r w:rsidRPr="00B40A06">
              <w:rPr>
                <w:rStyle w:val="AERtextbold"/>
              </w:rPr>
              <w:t>Total controllable opex</w:t>
            </w:r>
          </w:p>
        </w:tc>
        <w:tc>
          <w:tcPr>
            <w:tcW w:w="1417" w:type="dxa"/>
            <w:shd w:val="clear" w:color="auto" w:fill="auto"/>
            <w:noWrap/>
          </w:tcPr>
          <w:p w:rsidR="0088341A" w:rsidRPr="00B40A06" w:rsidRDefault="0088341A" w:rsidP="00501137">
            <w:pPr>
              <w:pStyle w:val="AERtabletextright"/>
              <w:keepNext/>
              <w:keepLines/>
              <w:rPr>
                <w:rStyle w:val="AERtextbold"/>
              </w:rPr>
            </w:pPr>
            <w:r w:rsidRPr="00B40A06">
              <w:rPr>
                <w:rStyle w:val="AERtextbold"/>
              </w:rPr>
              <w:t>75.1</w:t>
            </w:r>
          </w:p>
        </w:tc>
        <w:tc>
          <w:tcPr>
            <w:tcW w:w="1418" w:type="dxa"/>
            <w:shd w:val="clear" w:color="auto" w:fill="auto"/>
            <w:noWrap/>
          </w:tcPr>
          <w:p w:rsidR="0088341A" w:rsidRPr="00B40A06" w:rsidRDefault="0088341A" w:rsidP="00501137">
            <w:pPr>
              <w:pStyle w:val="AERtabletextright"/>
              <w:keepNext/>
              <w:keepLines/>
              <w:rPr>
                <w:rStyle w:val="AERtextbold"/>
              </w:rPr>
            </w:pPr>
            <w:r w:rsidRPr="00B40A06">
              <w:rPr>
                <w:rStyle w:val="AERtextbold"/>
              </w:rPr>
              <w:t>76.6</w:t>
            </w:r>
          </w:p>
        </w:tc>
        <w:tc>
          <w:tcPr>
            <w:tcW w:w="1418" w:type="dxa"/>
            <w:shd w:val="clear" w:color="auto" w:fill="auto"/>
            <w:noWrap/>
          </w:tcPr>
          <w:p w:rsidR="0088341A" w:rsidRPr="00B40A06" w:rsidRDefault="0088341A" w:rsidP="00501137">
            <w:pPr>
              <w:pStyle w:val="AERtabletextright"/>
              <w:keepNext/>
              <w:keepLines/>
              <w:rPr>
                <w:rStyle w:val="AERtextbold"/>
              </w:rPr>
            </w:pPr>
            <w:r w:rsidRPr="00B40A06">
              <w:rPr>
                <w:rStyle w:val="AERtextbold"/>
              </w:rPr>
              <w:t>76.7</w:t>
            </w:r>
          </w:p>
        </w:tc>
        <w:tc>
          <w:tcPr>
            <w:tcW w:w="1418" w:type="dxa"/>
            <w:shd w:val="clear" w:color="auto" w:fill="auto"/>
            <w:noWrap/>
          </w:tcPr>
          <w:p w:rsidR="0088341A" w:rsidRPr="00B40A06" w:rsidRDefault="0088341A" w:rsidP="00501137">
            <w:pPr>
              <w:pStyle w:val="AERtabletextright"/>
              <w:keepNext/>
              <w:keepLines/>
              <w:rPr>
                <w:rStyle w:val="AERtextbold"/>
              </w:rPr>
            </w:pPr>
            <w:r w:rsidRPr="00B40A06">
              <w:rPr>
                <w:rStyle w:val="AERtextbold"/>
              </w:rPr>
              <w:t>228.5</w:t>
            </w:r>
          </w:p>
        </w:tc>
      </w:tr>
      <w:tr w:rsidR="0088341A" w:rsidRPr="00520C96" w:rsidTr="00501137">
        <w:trPr>
          <w:trHeight w:val="255"/>
        </w:trPr>
        <w:tc>
          <w:tcPr>
            <w:tcW w:w="3369" w:type="dxa"/>
            <w:shd w:val="clear" w:color="auto" w:fill="DBE5F1"/>
            <w:noWrap/>
            <w:vAlign w:val="center"/>
            <w:hideMark/>
          </w:tcPr>
          <w:p w:rsidR="0088341A" w:rsidRPr="00C01371" w:rsidRDefault="0088341A" w:rsidP="00501137">
            <w:pPr>
              <w:pStyle w:val="AERtabletextleft"/>
              <w:keepNext/>
              <w:keepLines/>
              <w:rPr>
                <w:lang w:eastAsia="en-AU"/>
              </w:rPr>
            </w:pPr>
            <w:r w:rsidRPr="00C01371">
              <w:rPr>
                <w:lang w:eastAsia="en-AU"/>
              </w:rPr>
              <w:t>Self-insurance</w:t>
            </w:r>
          </w:p>
        </w:tc>
        <w:tc>
          <w:tcPr>
            <w:tcW w:w="1417" w:type="dxa"/>
            <w:shd w:val="clear" w:color="auto" w:fill="DBE5F1"/>
            <w:noWrap/>
          </w:tcPr>
          <w:p w:rsidR="0088341A" w:rsidRPr="00C01371" w:rsidRDefault="0088341A" w:rsidP="00501137">
            <w:pPr>
              <w:pStyle w:val="AERtabletextright"/>
              <w:keepNext/>
              <w:keepLines/>
              <w:rPr>
                <w:lang w:eastAsia="en-AU"/>
              </w:rPr>
            </w:pPr>
            <w:r w:rsidRPr="00E2668A">
              <w:t>1.7</w:t>
            </w:r>
          </w:p>
        </w:tc>
        <w:tc>
          <w:tcPr>
            <w:tcW w:w="1418" w:type="dxa"/>
            <w:shd w:val="clear" w:color="auto" w:fill="DBE5F1"/>
            <w:noWrap/>
          </w:tcPr>
          <w:p w:rsidR="0088341A" w:rsidRPr="00C01371" w:rsidRDefault="0088341A" w:rsidP="00501137">
            <w:pPr>
              <w:pStyle w:val="AERtabletextright"/>
              <w:keepNext/>
              <w:keepLines/>
              <w:rPr>
                <w:lang w:eastAsia="en-AU"/>
              </w:rPr>
            </w:pPr>
            <w:r w:rsidRPr="00E2668A">
              <w:t>1.7</w:t>
            </w:r>
          </w:p>
        </w:tc>
        <w:tc>
          <w:tcPr>
            <w:tcW w:w="1418" w:type="dxa"/>
            <w:shd w:val="clear" w:color="auto" w:fill="DBE5F1"/>
            <w:noWrap/>
          </w:tcPr>
          <w:p w:rsidR="0088341A" w:rsidRPr="00C01371" w:rsidRDefault="0088341A" w:rsidP="00501137">
            <w:pPr>
              <w:pStyle w:val="AERtabletextright"/>
              <w:keepNext/>
              <w:keepLines/>
              <w:rPr>
                <w:lang w:eastAsia="en-AU"/>
              </w:rPr>
            </w:pPr>
            <w:r w:rsidRPr="00E2668A">
              <w:t>1.6</w:t>
            </w:r>
          </w:p>
        </w:tc>
        <w:tc>
          <w:tcPr>
            <w:tcW w:w="1418" w:type="dxa"/>
            <w:shd w:val="clear" w:color="auto" w:fill="DBE5F1"/>
            <w:noWrap/>
          </w:tcPr>
          <w:p w:rsidR="0088341A" w:rsidRPr="00C01371" w:rsidRDefault="0088341A" w:rsidP="00501137">
            <w:pPr>
              <w:pStyle w:val="AERtabletextright"/>
              <w:keepNext/>
              <w:keepLines/>
              <w:rPr>
                <w:lang w:eastAsia="en-AU"/>
              </w:rPr>
            </w:pPr>
            <w:r w:rsidRPr="00E2668A">
              <w:t>5.0</w:t>
            </w:r>
          </w:p>
        </w:tc>
      </w:tr>
      <w:tr w:rsidR="0088341A" w:rsidRPr="00520C96" w:rsidTr="00501137">
        <w:trPr>
          <w:trHeight w:val="255"/>
        </w:trPr>
        <w:tc>
          <w:tcPr>
            <w:tcW w:w="3369" w:type="dxa"/>
            <w:shd w:val="clear" w:color="auto" w:fill="auto"/>
            <w:noWrap/>
            <w:vAlign w:val="center"/>
            <w:hideMark/>
          </w:tcPr>
          <w:p w:rsidR="0088341A" w:rsidRPr="00C01371" w:rsidRDefault="0088341A" w:rsidP="00501137">
            <w:pPr>
              <w:pStyle w:val="AERtabletextleft"/>
              <w:keepNext/>
              <w:keepLines/>
              <w:rPr>
                <w:lang w:eastAsia="en-AU"/>
              </w:rPr>
            </w:pPr>
            <w:r w:rsidRPr="00C01371">
              <w:rPr>
                <w:lang w:eastAsia="en-AU"/>
              </w:rPr>
              <w:t>Debt raising costs</w:t>
            </w:r>
          </w:p>
        </w:tc>
        <w:tc>
          <w:tcPr>
            <w:tcW w:w="1417" w:type="dxa"/>
            <w:shd w:val="clear" w:color="auto" w:fill="auto"/>
            <w:noWrap/>
          </w:tcPr>
          <w:p w:rsidR="0088341A" w:rsidRPr="00C01371" w:rsidRDefault="0088341A" w:rsidP="00501137">
            <w:pPr>
              <w:pStyle w:val="AERtabletextright"/>
              <w:keepNext/>
              <w:keepLines/>
              <w:rPr>
                <w:lang w:eastAsia="en-AU"/>
              </w:rPr>
            </w:pPr>
            <w:r w:rsidRPr="00E2668A">
              <w:t>1.5</w:t>
            </w:r>
          </w:p>
        </w:tc>
        <w:tc>
          <w:tcPr>
            <w:tcW w:w="1418" w:type="dxa"/>
            <w:shd w:val="clear" w:color="auto" w:fill="auto"/>
            <w:noWrap/>
          </w:tcPr>
          <w:p w:rsidR="0088341A" w:rsidRPr="00C01371" w:rsidRDefault="0088341A" w:rsidP="00501137">
            <w:pPr>
              <w:pStyle w:val="AERtabletextright"/>
              <w:keepNext/>
              <w:keepLines/>
              <w:rPr>
                <w:lang w:eastAsia="en-AU"/>
              </w:rPr>
            </w:pPr>
            <w:r w:rsidRPr="00E2668A">
              <w:t>1.5</w:t>
            </w:r>
          </w:p>
        </w:tc>
        <w:tc>
          <w:tcPr>
            <w:tcW w:w="1418" w:type="dxa"/>
            <w:shd w:val="clear" w:color="auto" w:fill="auto"/>
            <w:noWrap/>
          </w:tcPr>
          <w:p w:rsidR="0088341A" w:rsidRPr="00C01371" w:rsidRDefault="0088341A" w:rsidP="00501137">
            <w:pPr>
              <w:pStyle w:val="AERtabletextright"/>
              <w:keepNext/>
              <w:keepLines/>
              <w:rPr>
                <w:lang w:eastAsia="en-AU"/>
              </w:rPr>
            </w:pPr>
            <w:r w:rsidRPr="00E2668A">
              <w:t>1.5</w:t>
            </w:r>
          </w:p>
        </w:tc>
        <w:tc>
          <w:tcPr>
            <w:tcW w:w="1418" w:type="dxa"/>
            <w:shd w:val="clear" w:color="auto" w:fill="auto"/>
            <w:noWrap/>
          </w:tcPr>
          <w:p w:rsidR="0088341A" w:rsidRPr="00C01371" w:rsidRDefault="0088341A" w:rsidP="00501137">
            <w:pPr>
              <w:pStyle w:val="AERtabletextright"/>
              <w:keepNext/>
              <w:keepLines/>
              <w:rPr>
                <w:lang w:eastAsia="en-AU"/>
              </w:rPr>
            </w:pPr>
            <w:r w:rsidRPr="00E2668A">
              <w:t>4.5</w:t>
            </w:r>
          </w:p>
        </w:tc>
      </w:tr>
      <w:tr w:rsidR="0088341A" w:rsidRPr="00520C96" w:rsidTr="00501137">
        <w:trPr>
          <w:trHeight w:val="255"/>
        </w:trPr>
        <w:tc>
          <w:tcPr>
            <w:tcW w:w="3369" w:type="dxa"/>
            <w:shd w:val="clear" w:color="auto" w:fill="DBE5F1"/>
            <w:noWrap/>
            <w:vAlign w:val="center"/>
            <w:hideMark/>
          </w:tcPr>
          <w:p w:rsidR="0088341A" w:rsidRPr="00C01371" w:rsidRDefault="0088341A" w:rsidP="00501137">
            <w:pPr>
              <w:pStyle w:val="AERtabletextleft"/>
              <w:keepNext/>
              <w:keepLines/>
              <w:rPr>
                <w:lang w:eastAsia="en-AU"/>
              </w:rPr>
            </w:pPr>
            <w:r w:rsidRPr="00C01371">
              <w:rPr>
                <w:lang w:eastAsia="en-AU"/>
              </w:rPr>
              <w:t>Equity raising costs</w:t>
            </w:r>
          </w:p>
        </w:tc>
        <w:tc>
          <w:tcPr>
            <w:tcW w:w="1417" w:type="dxa"/>
            <w:shd w:val="clear" w:color="auto" w:fill="DBE5F1"/>
            <w:noWrap/>
          </w:tcPr>
          <w:p w:rsidR="0088341A" w:rsidRPr="00C01371" w:rsidRDefault="00725575" w:rsidP="00501137">
            <w:pPr>
              <w:pStyle w:val="AERtabletextright"/>
              <w:keepNext/>
              <w:keepLines/>
              <w:rPr>
                <w:lang w:eastAsia="en-AU"/>
              </w:rPr>
            </w:pPr>
            <w:r>
              <w:rPr>
                <w:lang w:eastAsia="en-AU"/>
              </w:rPr>
              <w:t>0.0</w:t>
            </w:r>
          </w:p>
        </w:tc>
        <w:tc>
          <w:tcPr>
            <w:tcW w:w="1418" w:type="dxa"/>
            <w:shd w:val="clear" w:color="auto" w:fill="DBE5F1"/>
            <w:noWrap/>
          </w:tcPr>
          <w:p w:rsidR="0088341A" w:rsidRPr="00C01371" w:rsidRDefault="00725575" w:rsidP="00501137">
            <w:pPr>
              <w:pStyle w:val="AERtabletextright"/>
              <w:keepNext/>
              <w:keepLines/>
              <w:rPr>
                <w:lang w:eastAsia="en-AU"/>
              </w:rPr>
            </w:pPr>
            <w:r>
              <w:rPr>
                <w:lang w:eastAsia="en-AU"/>
              </w:rPr>
              <w:t>0.0</w:t>
            </w:r>
          </w:p>
        </w:tc>
        <w:tc>
          <w:tcPr>
            <w:tcW w:w="1418" w:type="dxa"/>
            <w:shd w:val="clear" w:color="auto" w:fill="DBE5F1"/>
            <w:noWrap/>
          </w:tcPr>
          <w:p w:rsidR="0088341A" w:rsidRPr="00C01371" w:rsidRDefault="0088341A" w:rsidP="00501137">
            <w:pPr>
              <w:pStyle w:val="AERtabletextright"/>
              <w:keepNext/>
              <w:keepLines/>
              <w:rPr>
                <w:lang w:eastAsia="en-AU"/>
              </w:rPr>
            </w:pPr>
            <w:r w:rsidRPr="00E2668A">
              <w:t>0.0</w:t>
            </w:r>
          </w:p>
        </w:tc>
        <w:tc>
          <w:tcPr>
            <w:tcW w:w="1418" w:type="dxa"/>
            <w:shd w:val="clear" w:color="auto" w:fill="DBE5F1"/>
            <w:noWrap/>
          </w:tcPr>
          <w:p w:rsidR="0088341A" w:rsidRPr="00C01371" w:rsidRDefault="0088341A" w:rsidP="00501137">
            <w:pPr>
              <w:pStyle w:val="AERtabletextright"/>
              <w:keepNext/>
              <w:keepLines/>
              <w:rPr>
                <w:lang w:eastAsia="en-AU"/>
              </w:rPr>
            </w:pPr>
            <w:r w:rsidRPr="00E2668A">
              <w:t>0.0</w:t>
            </w:r>
          </w:p>
        </w:tc>
      </w:tr>
      <w:tr w:rsidR="0088341A" w:rsidRPr="00520C96" w:rsidTr="00501137">
        <w:trPr>
          <w:trHeight w:val="255"/>
        </w:trPr>
        <w:tc>
          <w:tcPr>
            <w:tcW w:w="3369" w:type="dxa"/>
            <w:shd w:val="clear" w:color="auto" w:fill="auto"/>
            <w:noWrap/>
            <w:vAlign w:val="center"/>
            <w:hideMark/>
          </w:tcPr>
          <w:p w:rsidR="0088341A" w:rsidRPr="00C01371" w:rsidRDefault="0088341A" w:rsidP="00501137">
            <w:pPr>
              <w:pStyle w:val="AERtabletextleft"/>
              <w:keepNext/>
              <w:keepLines/>
              <w:rPr>
                <w:lang w:eastAsia="en-AU"/>
              </w:rPr>
            </w:pPr>
            <w:r w:rsidRPr="00C01371">
              <w:rPr>
                <w:lang w:eastAsia="en-AU"/>
              </w:rPr>
              <w:t xml:space="preserve">Availability Incentive Scheme rebates </w:t>
            </w:r>
          </w:p>
        </w:tc>
        <w:tc>
          <w:tcPr>
            <w:tcW w:w="1417" w:type="dxa"/>
            <w:shd w:val="clear" w:color="auto" w:fill="auto"/>
            <w:noWrap/>
          </w:tcPr>
          <w:p w:rsidR="0088341A" w:rsidRPr="00C01371" w:rsidRDefault="0088341A" w:rsidP="00501137">
            <w:pPr>
              <w:pStyle w:val="AERtabletextright"/>
              <w:keepNext/>
              <w:keepLines/>
              <w:rPr>
                <w:lang w:eastAsia="en-AU"/>
              </w:rPr>
            </w:pPr>
            <w:r w:rsidRPr="00E2668A">
              <w:t>0.0</w:t>
            </w:r>
          </w:p>
        </w:tc>
        <w:tc>
          <w:tcPr>
            <w:tcW w:w="1418" w:type="dxa"/>
            <w:shd w:val="clear" w:color="auto" w:fill="auto"/>
            <w:noWrap/>
          </w:tcPr>
          <w:p w:rsidR="0088341A" w:rsidRPr="00C01371" w:rsidRDefault="0088341A" w:rsidP="00501137">
            <w:pPr>
              <w:pStyle w:val="AERtabletextright"/>
              <w:keepNext/>
              <w:keepLines/>
              <w:rPr>
                <w:lang w:eastAsia="en-AU"/>
              </w:rPr>
            </w:pPr>
            <w:r w:rsidRPr="00E2668A">
              <w:t>0.0</w:t>
            </w:r>
          </w:p>
        </w:tc>
        <w:tc>
          <w:tcPr>
            <w:tcW w:w="1418" w:type="dxa"/>
            <w:shd w:val="clear" w:color="auto" w:fill="auto"/>
            <w:noWrap/>
          </w:tcPr>
          <w:p w:rsidR="0088341A" w:rsidRPr="00C01371" w:rsidRDefault="0088341A" w:rsidP="00501137">
            <w:pPr>
              <w:pStyle w:val="AERtabletextright"/>
              <w:keepNext/>
              <w:keepLines/>
              <w:rPr>
                <w:lang w:eastAsia="en-AU"/>
              </w:rPr>
            </w:pPr>
            <w:r w:rsidRPr="00E2668A">
              <w:t>0.0</w:t>
            </w:r>
          </w:p>
        </w:tc>
        <w:tc>
          <w:tcPr>
            <w:tcW w:w="1418" w:type="dxa"/>
            <w:shd w:val="clear" w:color="auto" w:fill="auto"/>
            <w:noWrap/>
          </w:tcPr>
          <w:p w:rsidR="0088341A" w:rsidRPr="00C01371" w:rsidRDefault="0088341A" w:rsidP="00501137">
            <w:pPr>
              <w:pStyle w:val="AERtabletextright"/>
              <w:keepNext/>
              <w:keepLines/>
              <w:rPr>
                <w:lang w:eastAsia="en-AU"/>
              </w:rPr>
            </w:pPr>
            <w:r w:rsidRPr="00E2668A">
              <w:t>0.0</w:t>
            </w:r>
          </w:p>
        </w:tc>
      </w:tr>
      <w:tr w:rsidR="0088341A" w:rsidRPr="00520C96" w:rsidTr="00501137">
        <w:trPr>
          <w:trHeight w:val="255"/>
        </w:trPr>
        <w:tc>
          <w:tcPr>
            <w:tcW w:w="3369" w:type="dxa"/>
            <w:shd w:val="clear" w:color="auto" w:fill="DBE5F1"/>
            <w:noWrap/>
            <w:vAlign w:val="center"/>
            <w:hideMark/>
          </w:tcPr>
          <w:p w:rsidR="0088341A" w:rsidRPr="00C01371" w:rsidRDefault="0088341A" w:rsidP="00501137">
            <w:pPr>
              <w:pStyle w:val="AERtabletextleft"/>
              <w:keepNext/>
              <w:keepLines/>
              <w:rPr>
                <w:lang w:eastAsia="en-AU"/>
              </w:rPr>
            </w:pPr>
            <w:r w:rsidRPr="00C01371">
              <w:rPr>
                <w:lang w:eastAsia="en-AU"/>
              </w:rPr>
              <w:t>Subtotal: non controllable excl land tax</w:t>
            </w:r>
          </w:p>
        </w:tc>
        <w:tc>
          <w:tcPr>
            <w:tcW w:w="1417" w:type="dxa"/>
            <w:shd w:val="clear" w:color="auto" w:fill="DBE5F1"/>
            <w:noWrap/>
          </w:tcPr>
          <w:p w:rsidR="0088341A" w:rsidRPr="00C01371" w:rsidRDefault="0088341A" w:rsidP="00501137">
            <w:pPr>
              <w:pStyle w:val="AERtabletextright"/>
              <w:keepNext/>
              <w:keepLines/>
              <w:rPr>
                <w:lang w:eastAsia="en-AU"/>
              </w:rPr>
            </w:pPr>
            <w:r w:rsidRPr="00E2668A">
              <w:t>3.2</w:t>
            </w:r>
          </w:p>
        </w:tc>
        <w:tc>
          <w:tcPr>
            <w:tcW w:w="1418" w:type="dxa"/>
            <w:shd w:val="clear" w:color="auto" w:fill="DBE5F1"/>
            <w:noWrap/>
          </w:tcPr>
          <w:p w:rsidR="0088341A" w:rsidRPr="00C01371" w:rsidRDefault="0088341A" w:rsidP="00501137">
            <w:pPr>
              <w:pStyle w:val="AERtabletextright"/>
              <w:keepNext/>
              <w:keepLines/>
              <w:rPr>
                <w:lang w:eastAsia="en-AU"/>
              </w:rPr>
            </w:pPr>
            <w:r w:rsidRPr="00E2668A">
              <w:t>3.2</w:t>
            </w:r>
          </w:p>
        </w:tc>
        <w:tc>
          <w:tcPr>
            <w:tcW w:w="1418" w:type="dxa"/>
            <w:shd w:val="clear" w:color="auto" w:fill="DBE5F1"/>
            <w:noWrap/>
          </w:tcPr>
          <w:p w:rsidR="0088341A" w:rsidRPr="00C01371" w:rsidRDefault="0088341A" w:rsidP="00501137">
            <w:pPr>
              <w:pStyle w:val="AERtabletextright"/>
              <w:keepNext/>
              <w:keepLines/>
              <w:rPr>
                <w:lang w:eastAsia="en-AU"/>
              </w:rPr>
            </w:pPr>
            <w:r w:rsidRPr="00E2668A">
              <w:t>3.1</w:t>
            </w:r>
          </w:p>
        </w:tc>
        <w:tc>
          <w:tcPr>
            <w:tcW w:w="1418" w:type="dxa"/>
            <w:shd w:val="clear" w:color="auto" w:fill="DBE5F1"/>
            <w:noWrap/>
          </w:tcPr>
          <w:p w:rsidR="0088341A" w:rsidRPr="00C01371" w:rsidRDefault="0088341A" w:rsidP="00501137">
            <w:pPr>
              <w:pStyle w:val="AERtabletextright"/>
              <w:keepNext/>
              <w:keepLines/>
              <w:rPr>
                <w:lang w:eastAsia="en-AU"/>
              </w:rPr>
            </w:pPr>
            <w:r w:rsidRPr="00E2668A">
              <w:t>9.5</w:t>
            </w:r>
          </w:p>
        </w:tc>
      </w:tr>
      <w:tr w:rsidR="0088341A" w:rsidRPr="00520C96" w:rsidTr="00501137">
        <w:trPr>
          <w:trHeight w:val="255"/>
        </w:trPr>
        <w:tc>
          <w:tcPr>
            <w:tcW w:w="3369" w:type="dxa"/>
            <w:shd w:val="clear" w:color="auto" w:fill="auto"/>
            <w:noWrap/>
            <w:vAlign w:val="center"/>
            <w:hideMark/>
          </w:tcPr>
          <w:p w:rsidR="0088341A" w:rsidRPr="00C01371" w:rsidRDefault="0088341A" w:rsidP="00501137">
            <w:pPr>
              <w:pStyle w:val="AERtabletextleft"/>
              <w:keepNext/>
              <w:keepLines/>
              <w:rPr>
                <w:lang w:eastAsia="en-AU"/>
              </w:rPr>
            </w:pPr>
            <w:r w:rsidRPr="00C01371">
              <w:rPr>
                <w:lang w:eastAsia="en-AU"/>
              </w:rPr>
              <w:t>Easement land tax</w:t>
            </w:r>
          </w:p>
        </w:tc>
        <w:tc>
          <w:tcPr>
            <w:tcW w:w="1417" w:type="dxa"/>
            <w:shd w:val="clear" w:color="auto" w:fill="auto"/>
            <w:noWrap/>
          </w:tcPr>
          <w:p w:rsidR="0088341A" w:rsidRPr="00C01371" w:rsidRDefault="0088341A" w:rsidP="00501137">
            <w:pPr>
              <w:pStyle w:val="AERtabletextright"/>
              <w:keepNext/>
              <w:keepLines/>
              <w:rPr>
                <w:lang w:eastAsia="en-AU"/>
              </w:rPr>
            </w:pPr>
            <w:r w:rsidRPr="00E2668A">
              <w:t>100.9</w:t>
            </w:r>
          </w:p>
        </w:tc>
        <w:tc>
          <w:tcPr>
            <w:tcW w:w="1418" w:type="dxa"/>
            <w:shd w:val="clear" w:color="auto" w:fill="auto"/>
            <w:noWrap/>
          </w:tcPr>
          <w:p w:rsidR="0088341A" w:rsidRPr="00C01371" w:rsidRDefault="0088341A" w:rsidP="00501137">
            <w:pPr>
              <w:pStyle w:val="AERtabletextright"/>
              <w:keepNext/>
              <w:keepLines/>
              <w:rPr>
                <w:lang w:eastAsia="en-AU"/>
              </w:rPr>
            </w:pPr>
            <w:r w:rsidRPr="00E2668A">
              <w:t>103.4</w:t>
            </w:r>
          </w:p>
        </w:tc>
        <w:tc>
          <w:tcPr>
            <w:tcW w:w="1418" w:type="dxa"/>
            <w:shd w:val="clear" w:color="auto" w:fill="auto"/>
            <w:noWrap/>
          </w:tcPr>
          <w:p w:rsidR="0088341A" w:rsidRPr="00C01371" w:rsidRDefault="0088341A" w:rsidP="00501137">
            <w:pPr>
              <w:pStyle w:val="AERtabletextright"/>
              <w:keepNext/>
              <w:keepLines/>
              <w:rPr>
                <w:lang w:eastAsia="en-AU"/>
              </w:rPr>
            </w:pPr>
            <w:r w:rsidRPr="00E2668A">
              <w:t>100.9</w:t>
            </w:r>
          </w:p>
        </w:tc>
        <w:tc>
          <w:tcPr>
            <w:tcW w:w="1418" w:type="dxa"/>
            <w:shd w:val="clear" w:color="auto" w:fill="auto"/>
            <w:noWrap/>
          </w:tcPr>
          <w:p w:rsidR="0088341A" w:rsidRPr="00C01371" w:rsidRDefault="0088341A" w:rsidP="00501137">
            <w:pPr>
              <w:pStyle w:val="AERtabletextright"/>
              <w:keepNext/>
              <w:keepLines/>
              <w:rPr>
                <w:lang w:eastAsia="en-AU"/>
              </w:rPr>
            </w:pPr>
            <w:r w:rsidRPr="00E2668A">
              <w:t>305.2</w:t>
            </w:r>
          </w:p>
        </w:tc>
      </w:tr>
      <w:tr w:rsidR="0088341A" w:rsidRPr="00B40A06" w:rsidTr="00501137">
        <w:trPr>
          <w:trHeight w:val="255"/>
        </w:trPr>
        <w:tc>
          <w:tcPr>
            <w:tcW w:w="3369" w:type="dxa"/>
            <w:shd w:val="clear" w:color="auto" w:fill="DBE5F1"/>
            <w:noWrap/>
            <w:vAlign w:val="center"/>
            <w:hideMark/>
          </w:tcPr>
          <w:p w:rsidR="0088341A" w:rsidRPr="00B40A06" w:rsidRDefault="0088341A" w:rsidP="00501137">
            <w:pPr>
              <w:pStyle w:val="AERtabletextleft"/>
              <w:keepNext/>
              <w:keepLines/>
              <w:rPr>
                <w:rStyle w:val="AERtextbold"/>
              </w:rPr>
            </w:pPr>
            <w:r w:rsidRPr="00B40A06">
              <w:rPr>
                <w:rStyle w:val="AERtextbold"/>
              </w:rPr>
              <w:t>Total non-controllable opex</w:t>
            </w:r>
          </w:p>
        </w:tc>
        <w:tc>
          <w:tcPr>
            <w:tcW w:w="1417" w:type="dxa"/>
            <w:shd w:val="clear" w:color="auto" w:fill="DBE5F1"/>
            <w:noWrap/>
          </w:tcPr>
          <w:p w:rsidR="0088341A" w:rsidRPr="00B40A06" w:rsidRDefault="0088341A" w:rsidP="00501137">
            <w:pPr>
              <w:pStyle w:val="AERtabletextright"/>
              <w:keepNext/>
              <w:keepLines/>
              <w:rPr>
                <w:rStyle w:val="AERtextbold"/>
              </w:rPr>
            </w:pPr>
            <w:r w:rsidRPr="00B40A06">
              <w:rPr>
                <w:rStyle w:val="AERtextbold"/>
              </w:rPr>
              <w:t>104.1</w:t>
            </w:r>
          </w:p>
        </w:tc>
        <w:tc>
          <w:tcPr>
            <w:tcW w:w="1418" w:type="dxa"/>
            <w:shd w:val="clear" w:color="auto" w:fill="DBE5F1"/>
            <w:noWrap/>
          </w:tcPr>
          <w:p w:rsidR="0088341A" w:rsidRPr="00B40A06" w:rsidRDefault="0088341A" w:rsidP="00501137">
            <w:pPr>
              <w:pStyle w:val="AERtabletextright"/>
              <w:keepNext/>
              <w:keepLines/>
              <w:rPr>
                <w:rStyle w:val="AERtextbold"/>
              </w:rPr>
            </w:pPr>
            <w:r w:rsidRPr="00B40A06">
              <w:rPr>
                <w:rStyle w:val="AERtextbold"/>
              </w:rPr>
              <w:t>106.6</w:t>
            </w:r>
          </w:p>
        </w:tc>
        <w:tc>
          <w:tcPr>
            <w:tcW w:w="1418" w:type="dxa"/>
            <w:shd w:val="clear" w:color="auto" w:fill="DBE5F1"/>
            <w:noWrap/>
          </w:tcPr>
          <w:p w:rsidR="0088341A" w:rsidRPr="00B40A06" w:rsidRDefault="0088341A" w:rsidP="00501137">
            <w:pPr>
              <w:pStyle w:val="AERtabletextright"/>
              <w:keepNext/>
              <w:keepLines/>
              <w:rPr>
                <w:rStyle w:val="AERtextbold"/>
              </w:rPr>
            </w:pPr>
            <w:r w:rsidRPr="00B40A06">
              <w:rPr>
                <w:rStyle w:val="AERtextbold"/>
              </w:rPr>
              <w:t>104.0</w:t>
            </w:r>
          </w:p>
        </w:tc>
        <w:tc>
          <w:tcPr>
            <w:tcW w:w="1418" w:type="dxa"/>
            <w:shd w:val="clear" w:color="auto" w:fill="DBE5F1"/>
            <w:noWrap/>
          </w:tcPr>
          <w:p w:rsidR="0088341A" w:rsidRPr="00B40A06" w:rsidRDefault="0088341A" w:rsidP="00501137">
            <w:pPr>
              <w:pStyle w:val="AERtabletextright"/>
              <w:keepNext/>
              <w:keepLines/>
              <w:rPr>
                <w:rStyle w:val="AERtextbold"/>
              </w:rPr>
            </w:pPr>
            <w:r w:rsidRPr="00B40A06">
              <w:rPr>
                <w:rStyle w:val="AERtextbold"/>
              </w:rPr>
              <w:t>314.7</w:t>
            </w:r>
          </w:p>
        </w:tc>
      </w:tr>
      <w:tr w:rsidR="0088341A" w:rsidRPr="00B40A06" w:rsidTr="00501137">
        <w:trPr>
          <w:trHeight w:val="270"/>
        </w:trPr>
        <w:tc>
          <w:tcPr>
            <w:tcW w:w="3369" w:type="dxa"/>
            <w:shd w:val="clear" w:color="auto" w:fill="auto"/>
            <w:noWrap/>
            <w:vAlign w:val="center"/>
            <w:hideMark/>
          </w:tcPr>
          <w:p w:rsidR="0088341A" w:rsidRPr="00B40A06" w:rsidRDefault="0088341A" w:rsidP="00501137">
            <w:pPr>
              <w:pStyle w:val="AERtabletextleft"/>
              <w:keepNext/>
              <w:keepLines/>
              <w:rPr>
                <w:rStyle w:val="AERtextbold"/>
              </w:rPr>
            </w:pPr>
            <w:r w:rsidRPr="00B40A06">
              <w:rPr>
                <w:rStyle w:val="AERtextbold"/>
              </w:rPr>
              <w:t>Total opex</w:t>
            </w:r>
          </w:p>
        </w:tc>
        <w:tc>
          <w:tcPr>
            <w:tcW w:w="1417" w:type="dxa"/>
            <w:shd w:val="clear" w:color="auto" w:fill="auto"/>
            <w:noWrap/>
          </w:tcPr>
          <w:p w:rsidR="0088341A" w:rsidRPr="00B40A06" w:rsidRDefault="0088341A" w:rsidP="00501137">
            <w:pPr>
              <w:pStyle w:val="AERtabletextright"/>
              <w:keepNext/>
              <w:keepLines/>
              <w:rPr>
                <w:rStyle w:val="AERtextbold"/>
              </w:rPr>
            </w:pPr>
            <w:r w:rsidRPr="00B40A06">
              <w:rPr>
                <w:rStyle w:val="AERtextbold"/>
              </w:rPr>
              <w:t>179.2</w:t>
            </w:r>
          </w:p>
        </w:tc>
        <w:tc>
          <w:tcPr>
            <w:tcW w:w="1418" w:type="dxa"/>
            <w:shd w:val="clear" w:color="auto" w:fill="auto"/>
            <w:noWrap/>
          </w:tcPr>
          <w:p w:rsidR="0088341A" w:rsidRPr="00B40A06" w:rsidRDefault="0088341A" w:rsidP="00501137">
            <w:pPr>
              <w:pStyle w:val="AERtabletextright"/>
              <w:keepNext/>
              <w:keepLines/>
              <w:rPr>
                <w:rStyle w:val="AERtextbold"/>
              </w:rPr>
            </w:pPr>
            <w:r w:rsidRPr="00B40A06">
              <w:rPr>
                <w:rStyle w:val="AERtextbold"/>
              </w:rPr>
              <w:t>183.2</w:t>
            </w:r>
          </w:p>
        </w:tc>
        <w:tc>
          <w:tcPr>
            <w:tcW w:w="1418" w:type="dxa"/>
            <w:shd w:val="clear" w:color="auto" w:fill="auto"/>
            <w:noWrap/>
          </w:tcPr>
          <w:p w:rsidR="0088341A" w:rsidRPr="00B40A06" w:rsidRDefault="0088341A" w:rsidP="00501137">
            <w:pPr>
              <w:pStyle w:val="AERtabletextright"/>
              <w:keepNext/>
              <w:keepLines/>
              <w:rPr>
                <w:rStyle w:val="AERtextbold"/>
              </w:rPr>
            </w:pPr>
            <w:r w:rsidRPr="00B40A06">
              <w:rPr>
                <w:rStyle w:val="AERtextbold"/>
              </w:rPr>
              <w:t>180.8</w:t>
            </w:r>
          </w:p>
        </w:tc>
        <w:tc>
          <w:tcPr>
            <w:tcW w:w="1418" w:type="dxa"/>
            <w:shd w:val="clear" w:color="auto" w:fill="auto"/>
            <w:noWrap/>
          </w:tcPr>
          <w:p w:rsidR="0088341A" w:rsidRPr="00B40A06" w:rsidRDefault="0088341A" w:rsidP="00501137">
            <w:pPr>
              <w:pStyle w:val="AERtabletextright"/>
              <w:keepNext/>
              <w:keepLines/>
              <w:rPr>
                <w:rStyle w:val="AERtextbold"/>
              </w:rPr>
            </w:pPr>
            <w:r w:rsidRPr="00B40A06">
              <w:rPr>
                <w:rStyle w:val="AERtextbold"/>
              </w:rPr>
              <w:t>543.2</w:t>
            </w:r>
          </w:p>
        </w:tc>
      </w:tr>
    </w:tbl>
    <w:p w:rsidR="003354D5" w:rsidRDefault="003354D5" w:rsidP="00F55AE3">
      <w:pPr>
        <w:pStyle w:val="AERtablesource"/>
      </w:pPr>
      <w:r w:rsidRPr="006B47ED">
        <w:t>Source:</w:t>
      </w:r>
      <w:r w:rsidRPr="006B47ED">
        <w:tab/>
        <w:t>AER analysis.</w:t>
      </w:r>
    </w:p>
    <w:p w:rsidR="0088341A" w:rsidRPr="006B47ED" w:rsidRDefault="003354D5" w:rsidP="00F55AE3">
      <w:pPr>
        <w:pStyle w:val="AERtablesource"/>
      </w:pPr>
      <w:r>
        <w:t>Note:</w:t>
      </w:r>
      <w:r>
        <w:tab/>
      </w:r>
      <w:r w:rsidR="00725575">
        <w:t>E</w:t>
      </w:r>
      <w:r w:rsidR="0088341A" w:rsidRPr="006B47ED">
        <w:t>quity</w:t>
      </w:r>
      <w:r w:rsidR="0088341A">
        <w:t xml:space="preserve"> raising costs were capitalised.</w:t>
      </w:r>
    </w:p>
    <w:p w:rsidR="0088341A" w:rsidRDefault="0088341A" w:rsidP="00F55AE3">
      <w:pPr>
        <w:pStyle w:val="AERtablesource"/>
        <w:ind w:left="0" w:firstLine="0"/>
      </w:pPr>
    </w:p>
    <w:p w:rsidR="0088341A" w:rsidRDefault="0088341A" w:rsidP="0088341A">
      <w:pPr>
        <w:pStyle w:val="Caption"/>
        <w:keepLines/>
      </w:pPr>
      <w:bookmarkStart w:id="179" w:name="_Ref362357920"/>
      <w:bookmarkStart w:id="180" w:name="_Ref362366117"/>
      <w:r>
        <w:lastRenderedPageBreak/>
        <w:t xml:space="preserve">Figure </w:t>
      </w:r>
      <w:fldSimple w:instr=" STYLEREF 1 \s ">
        <w:r w:rsidR="004F35AA">
          <w:rPr>
            <w:noProof/>
          </w:rPr>
          <w:t>3</w:t>
        </w:r>
      </w:fldSimple>
      <w:r w:rsidR="00C56A87">
        <w:t>.</w:t>
      </w:r>
      <w:fldSimple w:instr=" SEQ Figure \* ARABIC \s 1 ">
        <w:r w:rsidR="004F35AA">
          <w:rPr>
            <w:noProof/>
          </w:rPr>
          <w:t>1</w:t>
        </w:r>
      </w:fldSimple>
      <w:bookmarkEnd w:id="179"/>
      <w:r>
        <w:tab/>
        <w:t>AER</w:t>
      </w:r>
      <w:r w:rsidRPr="00E77181">
        <w:t>'s draft decision</w:t>
      </w:r>
      <w:r w:rsidR="005802F3">
        <w:t xml:space="preserve"> on SP AusNet’s</w:t>
      </w:r>
      <w:r w:rsidRPr="00E77181">
        <w:t xml:space="preserve"> </w:t>
      </w:r>
      <w:r>
        <w:t>total* opex ($ million, 2013–14)</w:t>
      </w:r>
      <w:bookmarkEnd w:id="180"/>
    </w:p>
    <w:p w:rsidR="0088341A" w:rsidRDefault="00F73273" w:rsidP="00F73273">
      <w:pPr>
        <w:pStyle w:val="AERbodytext"/>
      </w:pPr>
      <w:r w:rsidRPr="00F73273">
        <w:rPr>
          <w:noProof/>
          <w:lang w:eastAsia="en-AU"/>
        </w:rPr>
        <w:drawing>
          <wp:inline distT="0" distB="0" distL="0" distR="0" wp14:anchorId="7D939867" wp14:editId="224AB1AA">
            <wp:extent cx="5729000" cy="259080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9000" cy="2590800"/>
                    </a:xfrm>
                    <a:prstGeom prst="rect">
                      <a:avLst/>
                    </a:prstGeom>
                    <a:noFill/>
                    <a:ln>
                      <a:noFill/>
                    </a:ln>
                  </pic:spPr>
                </pic:pic>
              </a:graphicData>
            </a:graphic>
          </wp:inline>
        </w:drawing>
      </w:r>
    </w:p>
    <w:p w:rsidR="003354D5" w:rsidRDefault="003354D5" w:rsidP="00F55AE3">
      <w:pPr>
        <w:pStyle w:val="AERtablesource"/>
      </w:pPr>
      <w:r w:rsidRPr="00EC1A07">
        <w:t>Source:</w:t>
      </w:r>
      <w:r w:rsidRPr="00EC1A07">
        <w:tab/>
      </w:r>
      <w:r w:rsidRPr="000B3A38">
        <w:t xml:space="preserve">SP AusNet, </w:t>
      </w:r>
      <w:r w:rsidRPr="00EC76C1">
        <w:rPr>
          <w:rStyle w:val="AERtextitalic"/>
        </w:rPr>
        <w:t>Revenue proposal</w:t>
      </w:r>
      <w:r w:rsidRPr="000B3A38">
        <w:t xml:space="preserve">, Table 5.22 (excludes efficiency payments) p.149; Table 3.5 p.57 and Table 3.6 p.60; SP AusNet, </w:t>
      </w:r>
      <w:r w:rsidRPr="00EC76C1">
        <w:rPr>
          <w:rStyle w:val="AERtextitalic"/>
        </w:rPr>
        <w:t>Response to request AER</w:t>
      </w:r>
      <w:r w:rsidR="0047592F">
        <w:rPr>
          <w:rStyle w:val="AERtextitalic"/>
        </w:rPr>
        <w:t xml:space="preserve"> RP </w:t>
      </w:r>
      <w:r w:rsidRPr="00EC76C1">
        <w:rPr>
          <w:rStyle w:val="AERtextitalic"/>
        </w:rPr>
        <w:t>23</w:t>
      </w:r>
      <w:r w:rsidRPr="000B3A38">
        <w:t xml:space="preserve">, 17 May 2013 and </w:t>
      </w:r>
      <w:r w:rsidRPr="00EC76C1">
        <w:rPr>
          <w:rStyle w:val="AERtextitalic"/>
        </w:rPr>
        <w:t>Response to request AER</w:t>
      </w:r>
      <w:r w:rsidR="0047592F">
        <w:rPr>
          <w:rStyle w:val="AERtextitalic"/>
        </w:rPr>
        <w:t xml:space="preserve"> RP </w:t>
      </w:r>
      <w:r w:rsidRPr="00EC76C1">
        <w:rPr>
          <w:rStyle w:val="AERtextitalic"/>
        </w:rPr>
        <w:t>09</w:t>
      </w:r>
      <w:r>
        <w:rPr>
          <w:rStyle w:val="AERtextitalic"/>
        </w:rPr>
        <w:t xml:space="preserve"> - revised opex model</w:t>
      </w:r>
      <w:r w:rsidR="004B3E41">
        <w:rPr>
          <w:rStyle w:val="AERtextitalic"/>
        </w:rPr>
        <w:t xml:space="preserve"> [confidential]</w:t>
      </w:r>
      <w:r w:rsidRPr="000B3A38">
        <w:t>, 20</w:t>
      </w:r>
      <w:r>
        <w:t> </w:t>
      </w:r>
      <w:r w:rsidRPr="000B3A38">
        <w:t>May 2013; AER analysis</w:t>
      </w:r>
      <w:r>
        <w:t>.</w:t>
      </w:r>
    </w:p>
    <w:p w:rsidR="0088341A" w:rsidRDefault="0088341A" w:rsidP="00F55AE3">
      <w:pPr>
        <w:pStyle w:val="AERtablesource"/>
      </w:pPr>
      <w:r w:rsidRPr="00EC1A07">
        <w:t xml:space="preserve">Note: </w:t>
      </w:r>
      <w:r w:rsidRPr="00EC1A07">
        <w:tab/>
        <w:t>*</w:t>
      </w:r>
      <w:r w:rsidR="005802F3">
        <w:t xml:space="preserve"> </w:t>
      </w:r>
      <w:r w:rsidRPr="00EC1A07">
        <w:t>Land and easement tax is excluded from non-controllable opex in this chart because, positive or negative variation (&gt;1% MAR) between the actual tax paid and the forecast approved by us will be recovered/reimbursed via an annual recovery mechanism</w:t>
      </w:r>
      <w:r>
        <w:t>;</w:t>
      </w:r>
      <w:r w:rsidRPr="00EC1A07">
        <w:t xml:space="preserve"> </w:t>
      </w:r>
      <w:r w:rsidR="005802F3">
        <w:t>the</w:t>
      </w:r>
      <w:r w:rsidRPr="00EC1A07">
        <w:t xml:space="preserve"> 2013–14 data is a budget estimate</w:t>
      </w:r>
      <w:r>
        <w:t>;</w:t>
      </w:r>
      <w:r w:rsidRPr="00EC1A07">
        <w:t xml:space="preserve"> (BY) is the base year.</w:t>
      </w:r>
      <w:r>
        <w:t xml:space="preserve"> Non-controllable opex includes AIS rebate in 2008–14.</w:t>
      </w:r>
    </w:p>
    <w:p w:rsidR="0088341A" w:rsidRDefault="0088341A" w:rsidP="0088341A">
      <w:pPr>
        <w:pStyle w:val="Caption"/>
        <w:keepLines/>
      </w:pPr>
      <w:bookmarkStart w:id="181" w:name="_Ref363418399"/>
      <w:r>
        <w:t xml:space="preserve">Figure </w:t>
      </w:r>
      <w:fldSimple w:instr=" STYLEREF 1 \s ">
        <w:r w:rsidR="004F35AA">
          <w:rPr>
            <w:noProof/>
          </w:rPr>
          <w:t>3</w:t>
        </w:r>
      </w:fldSimple>
      <w:r w:rsidR="00C56A87">
        <w:t>.</w:t>
      </w:r>
      <w:fldSimple w:instr=" SEQ Figure \* ARABIC \s 1 ">
        <w:r w:rsidR="004F35AA">
          <w:rPr>
            <w:noProof/>
          </w:rPr>
          <w:t>2</w:t>
        </w:r>
      </w:fldSimple>
      <w:bookmarkEnd w:id="181"/>
      <w:r>
        <w:tab/>
        <w:t xml:space="preserve">AER's draft decision, controllable opex ($ million, 2013-14) </w:t>
      </w:r>
    </w:p>
    <w:p w:rsidR="0088341A" w:rsidRPr="004419E3" w:rsidRDefault="00F73273" w:rsidP="0088341A">
      <w:pPr>
        <w:pStyle w:val="AERtablesource"/>
        <w:keepNext/>
        <w:keepLines/>
      </w:pPr>
      <w:r w:rsidRPr="00F73273">
        <w:rPr>
          <w:noProof/>
          <w:lang w:eastAsia="en-AU"/>
        </w:rPr>
        <w:drawing>
          <wp:inline distT="0" distB="0" distL="0" distR="0" wp14:anchorId="268E7F2E" wp14:editId="43B1D8EF">
            <wp:extent cx="5721140"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2748172"/>
                    </a:xfrm>
                    <a:prstGeom prst="rect">
                      <a:avLst/>
                    </a:prstGeom>
                    <a:noFill/>
                    <a:ln>
                      <a:noFill/>
                    </a:ln>
                  </pic:spPr>
                </pic:pic>
              </a:graphicData>
            </a:graphic>
          </wp:inline>
        </w:drawing>
      </w:r>
      <w:r w:rsidR="003354D5" w:rsidRPr="003354D5">
        <w:t xml:space="preserve"> </w:t>
      </w:r>
    </w:p>
    <w:p w:rsidR="003354D5" w:rsidRPr="003354D5" w:rsidRDefault="003354D5" w:rsidP="003354D5">
      <w:pPr>
        <w:pStyle w:val="AERtablesource"/>
      </w:pPr>
      <w:r w:rsidRPr="003354D5">
        <w:t>Source:</w:t>
      </w:r>
      <w:r w:rsidRPr="003354D5">
        <w:tab/>
        <w:t xml:space="preserve">SP AusNet, </w:t>
      </w:r>
      <w:r w:rsidRPr="003354D5">
        <w:rPr>
          <w:rStyle w:val="AERtextitalic"/>
        </w:rPr>
        <w:t>Revenue proposal</w:t>
      </w:r>
      <w:r w:rsidRPr="003354D5">
        <w:t xml:space="preserve">, Table 5.22 (excludes efficiency payments) p.149; Table 3.5 p.57; SP AusNet, </w:t>
      </w:r>
      <w:r w:rsidRPr="003354D5">
        <w:rPr>
          <w:rStyle w:val="AERtextitalic"/>
        </w:rPr>
        <w:t>Response to request AER</w:t>
      </w:r>
      <w:r w:rsidR="0047592F">
        <w:rPr>
          <w:rStyle w:val="AERtextitalic"/>
        </w:rPr>
        <w:t xml:space="preserve"> RP </w:t>
      </w:r>
      <w:r w:rsidRPr="003354D5">
        <w:rPr>
          <w:rStyle w:val="AERtextitalic"/>
        </w:rPr>
        <w:t>23</w:t>
      </w:r>
      <w:r w:rsidRPr="003354D5">
        <w:t xml:space="preserve">, 17 May 2013 and; SP AusNet, </w:t>
      </w:r>
      <w:r w:rsidRPr="003354D5">
        <w:rPr>
          <w:rStyle w:val="AERtextitalic"/>
        </w:rPr>
        <w:t>Response to request AER</w:t>
      </w:r>
      <w:r w:rsidR="0047592F">
        <w:rPr>
          <w:rStyle w:val="AERtextitalic"/>
        </w:rPr>
        <w:t xml:space="preserve"> RP </w:t>
      </w:r>
      <w:r w:rsidRPr="003354D5">
        <w:rPr>
          <w:rStyle w:val="AERtextitalic"/>
        </w:rPr>
        <w:t>09 - revised opex model</w:t>
      </w:r>
      <w:r w:rsidR="004B3E41">
        <w:rPr>
          <w:rStyle w:val="AERtextitalic"/>
        </w:rPr>
        <w:t xml:space="preserve"> [confidential]</w:t>
      </w:r>
      <w:r w:rsidRPr="003354D5">
        <w:t>, 20 May 2013; AER analysis.</w:t>
      </w:r>
    </w:p>
    <w:p w:rsidR="0088341A" w:rsidRPr="00E77181" w:rsidRDefault="003354D5" w:rsidP="003354D5">
      <w:pPr>
        <w:pStyle w:val="AERtablesource"/>
      </w:pPr>
      <w:r w:rsidRPr="003354D5">
        <w:t xml:space="preserve">Note: </w:t>
      </w:r>
      <w:r w:rsidRPr="003354D5">
        <w:tab/>
        <w:t xml:space="preserve">(e) 2013–14 data is a budget estimate; (BY) is the base year. Step change in 2014-15 is </w:t>
      </w:r>
      <w:r w:rsidRPr="003354D5">
        <w:softHyphen/>
        <w:t>$0.1 million but is shown as a zero in the chart.</w:t>
      </w:r>
    </w:p>
    <w:p w:rsidR="0088341A" w:rsidRPr="005F2B52" w:rsidRDefault="0088341A" w:rsidP="0088341A">
      <w:pPr>
        <w:pStyle w:val="Heading2"/>
        <w:numPr>
          <w:ilvl w:val="2"/>
          <w:numId w:val="20"/>
        </w:numPr>
      </w:pPr>
      <w:bookmarkStart w:id="182" w:name="_Toc365283298"/>
      <w:r>
        <w:t>SP AusNet's proposal</w:t>
      </w:r>
      <w:bookmarkEnd w:id="182"/>
    </w:p>
    <w:p w:rsidR="0088341A" w:rsidRDefault="0088341A" w:rsidP="0088341A">
      <w:pPr>
        <w:pStyle w:val="AERbodytext"/>
        <w:widowControl w:val="0"/>
        <w:numPr>
          <w:ilvl w:val="0"/>
          <w:numId w:val="13"/>
        </w:numPr>
      </w:pPr>
      <w:r>
        <w:t xml:space="preserve">SP AusNet </w:t>
      </w:r>
      <w:r w:rsidRPr="005F2B52">
        <w:t xml:space="preserve">proposed a forecast opex of </w:t>
      </w:r>
      <w:r>
        <w:t>$607.2 million</w:t>
      </w:r>
      <w:r>
        <w:rPr>
          <w:rStyle w:val="FootnoteReference"/>
        </w:rPr>
        <w:footnoteReference w:id="250"/>
      </w:r>
      <w:r w:rsidRPr="005F2B52">
        <w:t xml:space="preserve"> for the </w:t>
      </w:r>
      <w:r>
        <w:t>2014–17 regulatory control period (</w:t>
      </w:r>
      <w:r>
        <w:fldChar w:fldCharType="begin"/>
      </w:r>
      <w:r>
        <w:instrText xml:space="preserve"> REF _Ref363418778 \h </w:instrText>
      </w:r>
      <w:r>
        <w:fldChar w:fldCharType="separate"/>
      </w:r>
      <w:r w:rsidR="004F35AA">
        <w:t xml:space="preserve">Figure </w:t>
      </w:r>
      <w:r w:rsidR="004F35AA">
        <w:rPr>
          <w:noProof/>
        </w:rPr>
        <w:t>3</w:t>
      </w:r>
      <w:r w:rsidR="004F35AA">
        <w:t>.</w:t>
      </w:r>
      <w:r w:rsidR="004F35AA">
        <w:rPr>
          <w:noProof/>
        </w:rPr>
        <w:t>3</w:t>
      </w:r>
      <w:r>
        <w:fldChar w:fldCharType="end"/>
      </w:r>
      <w:r>
        <w:t>) of which $281.0 million is controllable expenditure (</w:t>
      </w:r>
      <w:r>
        <w:fldChar w:fldCharType="begin"/>
      </w:r>
      <w:r>
        <w:instrText xml:space="preserve"> REF _Ref363418841 \h </w:instrText>
      </w:r>
      <w:r>
        <w:fldChar w:fldCharType="separate"/>
      </w:r>
      <w:r w:rsidR="004F35AA">
        <w:t xml:space="preserve">Figure </w:t>
      </w:r>
      <w:r w:rsidR="004F35AA">
        <w:rPr>
          <w:noProof/>
        </w:rPr>
        <w:t>3</w:t>
      </w:r>
      <w:r w:rsidR="004F35AA">
        <w:t>.</w:t>
      </w:r>
      <w:r w:rsidR="004F35AA">
        <w:rPr>
          <w:noProof/>
        </w:rPr>
        <w:t>4</w:t>
      </w:r>
      <w:r>
        <w:fldChar w:fldCharType="end"/>
      </w:r>
      <w:r>
        <w:t>) and $326.2 million</w:t>
      </w:r>
      <w:r>
        <w:rPr>
          <w:rStyle w:val="FootnoteReference"/>
        </w:rPr>
        <w:footnoteReference w:id="251"/>
      </w:r>
      <w:r>
        <w:t xml:space="preserve"> is </w:t>
      </w:r>
      <w:r>
        <w:lastRenderedPageBreak/>
        <w:t>non-controllable expenditure. About 93 per cent of the non-controllable amount ($305.2 million) comprises a Victorian Government easement land tax</w:t>
      </w:r>
      <w:r w:rsidRPr="00D330EC">
        <w:t xml:space="preserve"> </w:t>
      </w:r>
      <w:r>
        <w:t>liability.</w:t>
      </w:r>
      <w:r w:rsidR="00646F51">
        <w:t xml:space="preserve"> </w:t>
      </w:r>
    </w:p>
    <w:p w:rsidR="0088341A" w:rsidRDefault="0088341A" w:rsidP="0088341A">
      <w:pPr>
        <w:pStyle w:val="Caption"/>
        <w:keepLines/>
      </w:pPr>
      <w:bookmarkStart w:id="183" w:name="_Ref363418778"/>
      <w:r>
        <w:t xml:space="preserve">Figure </w:t>
      </w:r>
      <w:fldSimple w:instr=" STYLEREF 1 \s ">
        <w:r w:rsidR="004F35AA">
          <w:rPr>
            <w:noProof/>
          </w:rPr>
          <w:t>3</w:t>
        </w:r>
      </w:fldSimple>
      <w:r w:rsidR="00C56A87">
        <w:t>.</w:t>
      </w:r>
      <w:fldSimple w:instr=" SEQ Figure \* ARABIC \s 1 ">
        <w:r w:rsidR="004F35AA">
          <w:rPr>
            <w:noProof/>
          </w:rPr>
          <w:t>3</w:t>
        </w:r>
      </w:fldSimple>
      <w:bookmarkEnd w:id="183"/>
      <w:r>
        <w:tab/>
        <w:t>SP AusNet's propos</w:t>
      </w:r>
      <w:r w:rsidR="00A860D9">
        <w:t>ed</w:t>
      </w:r>
      <w:r>
        <w:t>, total* opex ($ million, 2013-14)</w:t>
      </w:r>
    </w:p>
    <w:p w:rsidR="0088341A" w:rsidRDefault="00F73273" w:rsidP="0088341A">
      <w:pPr>
        <w:pStyle w:val="AERbodytext"/>
        <w:keepNext/>
        <w:keepLines/>
        <w:numPr>
          <w:ilvl w:val="0"/>
          <w:numId w:val="0"/>
        </w:numPr>
      </w:pPr>
      <w:r w:rsidRPr="00F73273">
        <w:rPr>
          <w:noProof/>
          <w:lang w:eastAsia="en-AU"/>
        </w:rPr>
        <w:drawing>
          <wp:inline distT="0" distB="0" distL="0" distR="0" wp14:anchorId="18DC1EC5" wp14:editId="4F952C27">
            <wp:extent cx="5723207" cy="278295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2786993"/>
                    </a:xfrm>
                    <a:prstGeom prst="rect">
                      <a:avLst/>
                    </a:prstGeom>
                    <a:noFill/>
                    <a:ln>
                      <a:noFill/>
                    </a:ln>
                  </pic:spPr>
                </pic:pic>
              </a:graphicData>
            </a:graphic>
          </wp:inline>
        </w:drawing>
      </w:r>
    </w:p>
    <w:p w:rsidR="003354D5" w:rsidRDefault="003354D5" w:rsidP="0088341A">
      <w:pPr>
        <w:pStyle w:val="AERtablesource"/>
        <w:keepNext/>
        <w:keepLines/>
      </w:pPr>
      <w:r w:rsidRPr="00EC1A07">
        <w:t>Source:</w:t>
      </w:r>
      <w:r w:rsidRPr="00EC1A07">
        <w:tab/>
        <w:t>SP AusNet, Revenue proposal, Table 5.22 (excludes efficiency payments) p.149; Table 3.5 p.57 and Table 3.6 p.60;</w:t>
      </w:r>
      <w:r w:rsidRPr="000B3A38">
        <w:t xml:space="preserve"> SP AusNet, Response to request AER</w:t>
      </w:r>
      <w:r w:rsidR="0047592F">
        <w:t xml:space="preserve"> RP </w:t>
      </w:r>
      <w:r w:rsidRPr="000B3A38">
        <w:t>23, 17 May 2013</w:t>
      </w:r>
      <w:r>
        <w:t xml:space="preserve"> and</w:t>
      </w:r>
      <w:r w:rsidRPr="000B3A38">
        <w:t xml:space="preserve"> </w:t>
      </w:r>
      <w:r w:rsidRPr="00FA79D8">
        <w:rPr>
          <w:rStyle w:val="AERtextitalic"/>
        </w:rPr>
        <w:t>Response to request AER</w:t>
      </w:r>
      <w:r w:rsidR="0047592F">
        <w:rPr>
          <w:rStyle w:val="AERtextitalic"/>
        </w:rPr>
        <w:t xml:space="preserve"> RP </w:t>
      </w:r>
      <w:r w:rsidRPr="00FA79D8">
        <w:rPr>
          <w:rStyle w:val="AERtextitalic"/>
        </w:rPr>
        <w:t>09 - revised opex model</w:t>
      </w:r>
      <w:r w:rsidR="004B3E41">
        <w:rPr>
          <w:rStyle w:val="AERtextitalic"/>
        </w:rPr>
        <w:t xml:space="preserve"> [confidential]</w:t>
      </w:r>
      <w:r w:rsidRPr="000B3A38">
        <w:t>, 20</w:t>
      </w:r>
      <w:r>
        <w:t> </w:t>
      </w:r>
      <w:r w:rsidRPr="000B3A38">
        <w:t>May 2013; AER analys</w:t>
      </w:r>
      <w:r>
        <w:t>is.</w:t>
      </w:r>
    </w:p>
    <w:p w:rsidR="0088341A" w:rsidRPr="00B170AD" w:rsidRDefault="0088341A" w:rsidP="00BA4979">
      <w:pPr>
        <w:pStyle w:val="AERtablesource"/>
      </w:pPr>
      <w:r w:rsidRPr="00EC1A07">
        <w:t xml:space="preserve">Note: </w:t>
      </w:r>
      <w:r w:rsidRPr="00EC1A07">
        <w:tab/>
        <w:t>*Land and easement tax is excluded from non-controllable opex in this chart because, positive or negative variation (&gt;1% MAR) between the actual tax paid and the forecast approved by us will be recovered/reimbursed via an annual recovery mechanism</w:t>
      </w:r>
      <w:r>
        <w:t>;</w:t>
      </w:r>
      <w:r w:rsidRPr="00EC1A07">
        <w:t xml:space="preserve"> (e) 2013–14 data is a budget estimate</w:t>
      </w:r>
      <w:r>
        <w:t>;</w:t>
      </w:r>
      <w:r w:rsidRPr="00EC1A07">
        <w:t xml:space="preserve"> (BY) is the base year.</w:t>
      </w:r>
    </w:p>
    <w:p w:rsidR="0088341A" w:rsidRDefault="0088341A" w:rsidP="0088341A">
      <w:pPr>
        <w:pStyle w:val="Caption"/>
      </w:pPr>
      <w:bookmarkStart w:id="184" w:name="_Ref363418841"/>
      <w:r>
        <w:t xml:space="preserve">Figure </w:t>
      </w:r>
      <w:fldSimple w:instr=" STYLEREF 1 \s ">
        <w:r w:rsidR="004F35AA">
          <w:rPr>
            <w:noProof/>
          </w:rPr>
          <w:t>3</w:t>
        </w:r>
      </w:fldSimple>
      <w:r w:rsidR="00C56A87">
        <w:t>.</w:t>
      </w:r>
      <w:fldSimple w:instr=" SEQ Figure \* ARABIC \s 1 ">
        <w:r w:rsidR="004F35AA">
          <w:rPr>
            <w:noProof/>
          </w:rPr>
          <w:t>4</w:t>
        </w:r>
      </w:fldSimple>
      <w:bookmarkEnd w:id="184"/>
      <w:r>
        <w:tab/>
        <w:t>SP AusNet's proposal, controllable opex ($ million, 2013-14)</w:t>
      </w:r>
    </w:p>
    <w:p w:rsidR="0088341A" w:rsidRDefault="00F73273" w:rsidP="0088341A">
      <w:pPr>
        <w:pStyle w:val="AERbodytext"/>
        <w:keepNext/>
        <w:keepLines/>
        <w:numPr>
          <w:ilvl w:val="0"/>
          <w:numId w:val="0"/>
        </w:numPr>
      </w:pPr>
      <w:r w:rsidRPr="00F73273">
        <w:rPr>
          <w:noProof/>
          <w:lang w:eastAsia="en-AU"/>
        </w:rPr>
        <w:drawing>
          <wp:inline distT="0" distB="0" distL="0" distR="0" wp14:anchorId="28CBC40A" wp14:editId="2C2C6E61">
            <wp:extent cx="5732890" cy="2854518"/>
            <wp:effectExtent l="0" t="0" r="127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2853831"/>
                    </a:xfrm>
                    <a:prstGeom prst="rect">
                      <a:avLst/>
                    </a:prstGeom>
                    <a:noFill/>
                    <a:ln>
                      <a:noFill/>
                    </a:ln>
                  </pic:spPr>
                </pic:pic>
              </a:graphicData>
            </a:graphic>
          </wp:inline>
        </w:drawing>
      </w:r>
    </w:p>
    <w:p w:rsidR="003354D5" w:rsidRDefault="003354D5" w:rsidP="003354D5">
      <w:pPr>
        <w:pStyle w:val="AERtablesource"/>
        <w:keepNext/>
        <w:keepLines/>
      </w:pPr>
      <w:r>
        <w:t>Source:</w:t>
      </w:r>
      <w:r>
        <w:tab/>
      </w:r>
      <w:r w:rsidRPr="000B3A38">
        <w:t xml:space="preserve">SP AusNet, </w:t>
      </w:r>
      <w:r w:rsidRPr="003354D5">
        <w:rPr>
          <w:rStyle w:val="AERtextitalic"/>
        </w:rPr>
        <w:t>Revenue proposal</w:t>
      </w:r>
      <w:r w:rsidRPr="000B3A38">
        <w:t xml:space="preserve">, Table 5.22 (excludes efficiency payments) p.149; Table 3.5 p.57; SP AusNet, </w:t>
      </w:r>
      <w:r w:rsidRPr="003354D5">
        <w:rPr>
          <w:rStyle w:val="AERtextitalic"/>
        </w:rPr>
        <w:t>Response to request AER</w:t>
      </w:r>
      <w:r w:rsidR="0047592F">
        <w:rPr>
          <w:rStyle w:val="AERtextitalic"/>
        </w:rPr>
        <w:t xml:space="preserve"> RP </w:t>
      </w:r>
      <w:r w:rsidRPr="003354D5">
        <w:rPr>
          <w:rStyle w:val="AERtextitalic"/>
        </w:rPr>
        <w:t>23</w:t>
      </w:r>
      <w:r w:rsidRPr="000B3A38">
        <w:t xml:space="preserve">, 17 May 2013 and; SP AusNet, </w:t>
      </w:r>
      <w:r w:rsidRPr="003354D5">
        <w:rPr>
          <w:rStyle w:val="AERtextitalic"/>
        </w:rPr>
        <w:t>Response to request AER</w:t>
      </w:r>
      <w:r w:rsidR="0047592F">
        <w:rPr>
          <w:rStyle w:val="AERtextitalic"/>
        </w:rPr>
        <w:t xml:space="preserve"> RP </w:t>
      </w:r>
      <w:r w:rsidRPr="003354D5">
        <w:rPr>
          <w:rStyle w:val="AERtextitalic"/>
        </w:rPr>
        <w:t>09 - Revised opex model</w:t>
      </w:r>
      <w:r w:rsidR="004B3E41">
        <w:rPr>
          <w:rStyle w:val="AERtextitalic"/>
        </w:rPr>
        <w:t xml:space="preserve"> [confidential]</w:t>
      </w:r>
      <w:r w:rsidRPr="000B3A38">
        <w:t>, 20</w:t>
      </w:r>
      <w:r>
        <w:t> </w:t>
      </w:r>
      <w:r w:rsidRPr="000B3A38">
        <w:t>May 2013; AER analysis</w:t>
      </w:r>
      <w:r>
        <w:t>.</w:t>
      </w:r>
    </w:p>
    <w:p w:rsidR="0088341A" w:rsidRPr="000A4ED6" w:rsidRDefault="0088341A" w:rsidP="00BA4979">
      <w:pPr>
        <w:pStyle w:val="AERtablesource"/>
      </w:pPr>
      <w:r w:rsidRPr="00A16C7C">
        <w:t>Note:</w:t>
      </w:r>
      <w:r w:rsidRPr="000A4ED6">
        <w:t xml:space="preserve"> </w:t>
      </w:r>
      <w:r w:rsidRPr="000A4ED6">
        <w:tab/>
        <w:t>(e) 2013–14 data is a budget estimate; (BY) is the base year.</w:t>
      </w:r>
    </w:p>
    <w:p w:rsidR="0088341A" w:rsidRDefault="00A860D9" w:rsidP="0088341A">
      <w:pPr>
        <w:pStyle w:val="AERbodytext"/>
        <w:numPr>
          <w:ilvl w:val="0"/>
          <w:numId w:val="13"/>
        </w:numPr>
      </w:pPr>
      <w:r>
        <w:t>SP AusNet</w:t>
      </w:r>
      <w:r w:rsidR="0088341A" w:rsidRPr="00E02484">
        <w:t xml:space="preserve"> </w:t>
      </w:r>
      <w:r w:rsidR="0088341A">
        <w:t>proposed an average increase of 21.0 per cent on total opex (excluding easement tax), which is largely driven by its forecast increase in controllable opex (</w:t>
      </w:r>
      <w:r w:rsidR="0088341A" w:rsidRPr="00395A1F">
        <w:fldChar w:fldCharType="begin"/>
      </w:r>
      <w:r w:rsidR="0088341A" w:rsidRPr="00395A1F">
        <w:instrText xml:space="preserve"> REF _Ref360727127 \h </w:instrText>
      </w:r>
      <w:r w:rsidR="0088341A">
        <w:instrText xml:space="preserve"> \* MERGEFORMAT </w:instrText>
      </w:r>
      <w:r w:rsidR="0088341A" w:rsidRPr="00395A1F">
        <w:fldChar w:fldCharType="separate"/>
      </w:r>
      <w:r w:rsidR="004F35AA">
        <w:t xml:space="preserve">Table </w:t>
      </w:r>
      <w:r w:rsidR="004F35AA">
        <w:rPr>
          <w:noProof/>
        </w:rPr>
        <w:t>3.3</w:t>
      </w:r>
      <w:r w:rsidR="0088341A" w:rsidRPr="00395A1F">
        <w:fldChar w:fldCharType="end"/>
      </w:r>
      <w:r w:rsidR="0088341A">
        <w:t>)</w:t>
      </w:r>
      <w:r w:rsidR="0088341A" w:rsidRPr="00395A1F">
        <w:t xml:space="preserve">. We used annual </w:t>
      </w:r>
      <w:r w:rsidR="0088341A" w:rsidRPr="00395A1F">
        <w:lastRenderedPageBreak/>
        <w:t>averages because we compared regulatory control periods of different lengths.</w:t>
      </w:r>
      <w:r w:rsidR="0088341A">
        <w:t xml:space="preserve"> The controllable opex increase is </w:t>
      </w:r>
      <w:r w:rsidR="0088341A" w:rsidRPr="000A7570">
        <w:t xml:space="preserve">principally </w:t>
      </w:r>
      <w:r w:rsidR="0088341A">
        <w:t>driven by:</w:t>
      </w:r>
      <w:r w:rsidR="0088341A" w:rsidRPr="000A7570">
        <w:t xml:space="preserve"> </w:t>
      </w:r>
      <w:r w:rsidR="0088341A">
        <w:t xml:space="preserve">proposed </w:t>
      </w:r>
      <w:r w:rsidR="0088341A" w:rsidRPr="000A7570">
        <w:t>step changes</w:t>
      </w:r>
      <w:r w:rsidR="0088341A">
        <w:t>, asset works and insurance forecasts</w:t>
      </w:r>
      <w:r w:rsidR="0088341A" w:rsidRPr="000A7570">
        <w:t xml:space="preserve">, real labour escalations, and </w:t>
      </w:r>
      <w:r w:rsidR="0088341A">
        <w:t>network growth</w:t>
      </w:r>
      <w:r w:rsidR="0088341A" w:rsidRPr="000A7570">
        <w:t>.</w:t>
      </w:r>
      <w:r w:rsidR="0088341A" w:rsidRPr="00C10D40">
        <w:rPr>
          <w:rStyle w:val="AERsuperscript"/>
        </w:rPr>
        <w:footnoteReference w:id="252"/>
      </w:r>
      <w:r w:rsidR="0088341A">
        <w:t xml:space="preserve"> </w:t>
      </w:r>
    </w:p>
    <w:p w:rsidR="0088341A" w:rsidRDefault="0088341A" w:rsidP="0088341A">
      <w:pPr>
        <w:pStyle w:val="Caption"/>
        <w:keepLines/>
      </w:pPr>
      <w:bookmarkStart w:id="185" w:name="_Ref360727127"/>
      <w:r>
        <w:t xml:space="preserve">Table </w:t>
      </w:r>
      <w:fldSimple w:instr=" STYLEREF 1 \s ">
        <w:r w:rsidR="004F35AA">
          <w:rPr>
            <w:noProof/>
          </w:rPr>
          <w:t>3</w:t>
        </w:r>
      </w:fldSimple>
      <w:r w:rsidR="00C56A87">
        <w:t>.</w:t>
      </w:r>
      <w:fldSimple w:instr=" SEQ Table \* ARABIC \s 1 ">
        <w:r w:rsidR="004F35AA">
          <w:rPr>
            <w:noProof/>
          </w:rPr>
          <w:t>3</w:t>
        </w:r>
      </w:fldSimple>
      <w:bookmarkEnd w:id="185"/>
      <w:r>
        <w:tab/>
        <w:t xml:space="preserve">SP AusNet's </w:t>
      </w:r>
      <w:r w:rsidRPr="00D04434">
        <w:t xml:space="preserve">annual </w:t>
      </w:r>
      <w:r>
        <w:t xml:space="preserve">average </w:t>
      </w:r>
      <w:r w:rsidRPr="00D04434">
        <w:t>opex by cost category</w:t>
      </w:r>
      <w:r>
        <w:t>, 2008–14 and 2014–17</w:t>
      </w:r>
      <w:r w:rsidRPr="00D04434">
        <w:t xml:space="preserve"> (</w:t>
      </w:r>
      <w:r>
        <w:t>$ million</w:t>
      </w:r>
      <w:r w:rsidRPr="00D04434">
        <w:t xml:space="preserve">, </w:t>
      </w:r>
      <w:r>
        <w:t>2013–14</w:t>
      </w:r>
      <w:r w:rsidRPr="00D04434">
        <w:t>)</w:t>
      </w:r>
      <w:r>
        <w:t xml:space="preserve"> </w:t>
      </w:r>
    </w:p>
    <w:tbl>
      <w:tblPr>
        <w:tblStyle w:val="AERtable-text"/>
        <w:tblW w:w="9242" w:type="dxa"/>
        <w:tblLook w:val="04A0" w:firstRow="1" w:lastRow="0" w:firstColumn="1" w:lastColumn="0" w:noHBand="0" w:noVBand="1"/>
      </w:tblPr>
      <w:tblGrid>
        <w:gridCol w:w="3227"/>
        <w:gridCol w:w="1100"/>
        <w:gridCol w:w="1652"/>
        <w:gridCol w:w="1714"/>
        <w:gridCol w:w="1549"/>
      </w:tblGrid>
      <w:tr w:rsidR="0088341A" w:rsidRPr="00D77DC9" w:rsidTr="003354D5">
        <w:trPr>
          <w:cnfStyle w:val="100000000000" w:firstRow="1" w:lastRow="0" w:firstColumn="0" w:lastColumn="0" w:oddVBand="0" w:evenVBand="0" w:oddHBand="0" w:evenHBand="0" w:firstRowFirstColumn="0" w:firstRowLastColumn="0" w:lastRowFirstColumn="0" w:lastRowLastColumn="0"/>
        </w:trPr>
        <w:tc>
          <w:tcPr>
            <w:tcW w:w="3227" w:type="dxa"/>
          </w:tcPr>
          <w:p w:rsidR="0088341A" w:rsidRPr="003354D5" w:rsidRDefault="0088341A" w:rsidP="003354D5">
            <w:pPr>
              <w:pStyle w:val="AERtabletextleft"/>
            </w:pPr>
            <w:r w:rsidRPr="00D77DC9">
              <w:t> </w:t>
            </w:r>
          </w:p>
        </w:tc>
        <w:tc>
          <w:tcPr>
            <w:tcW w:w="1100" w:type="dxa"/>
          </w:tcPr>
          <w:p w:rsidR="0088341A" w:rsidRPr="003354D5" w:rsidRDefault="0088341A" w:rsidP="003354D5">
            <w:pPr>
              <w:pStyle w:val="AERtabletextright"/>
            </w:pPr>
            <w:r w:rsidRPr="00D77DC9">
              <w:t>2008-14</w:t>
            </w:r>
          </w:p>
        </w:tc>
        <w:tc>
          <w:tcPr>
            <w:tcW w:w="1652" w:type="dxa"/>
          </w:tcPr>
          <w:p w:rsidR="0088341A" w:rsidRPr="003354D5" w:rsidRDefault="0088341A" w:rsidP="003354D5">
            <w:pPr>
              <w:pStyle w:val="AERtabletextright"/>
            </w:pPr>
            <w:r w:rsidRPr="00D77DC9">
              <w:t>2014–17</w:t>
            </w:r>
          </w:p>
        </w:tc>
        <w:tc>
          <w:tcPr>
            <w:tcW w:w="1714" w:type="dxa"/>
          </w:tcPr>
          <w:p w:rsidR="0088341A" w:rsidRPr="003354D5" w:rsidRDefault="0088341A" w:rsidP="003354D5">
            <w:pPr>
              <w:pStyle w:val="AERtabletextright"/>
            </w:pPr>
            <w:r w:rsidRPr="00D77DC9">
              <w:t>Increase $</w:t>
            </w:r>
          </w:p>
        </w:tc>
        <w:tc>
          <w:tcPr>
            <w:tcW w:w="1549" w:type="dxa"/>
          </w:tcPr>
          <w:p w:rsidR="0088341A" w:rsidRPr="003354D5" w:rsidRDefault="0088341A" w:rsidP="003354D5">
            <w:pPr>
              <w:pStyle w:val="AERtabletextright"/>
            </w:pPr>
            <w:r w:rsidRPr="00D77DC9">
              <w:t>Increase %</w:t>
            </w:r>
          </w:p>
        </w:tc>
      </w:tr>
      <w:tr w:rsidR="0088341A" w:rsidRPr="00D77DC9" w:rsidTr="003354D5">
        <w:tc>
          <w:tcPr>
            <w:tcW w:w="3227" w:type="dxa"/>
          </w:tcPr>
          <w:p w:rsidR="0088341A" w:rsidRPr="003354D5" w:rsidRDefault="0088341A" w:rsidP="003354D5">
            <w:pPr>
              <w:pStyle w:val="AERtabletextleft"/>
            </w:pPr>
            <w:r w:rsidRPr="00D77DC9">
              <w:t>Controllable</w:t>
            </w:r>
          </w:p>
        </w:tc>
        <w:tc>
          <w:tcPr>
            <w:tcW w:w="1100" w:type="dxa"/>
          </w:tcPr>
          <w:p w:rsidR="0088341A" w:rsidRPr="003354D5" w:rsidRDefault="0088341A" w:rsidP="003354D5">
            <w:pPr>
              <w:pStyle w:val="AERtabletextright"/>
            </w:pPr>
            <w:r w:rsidRPr="00D77DC9">
              <w:t>78.3</w:t>
            </w:r>
          </w:p>
        </w:tc>
        <w:tc>
          <w:tcPr>
            <w:tcW w:w="1652" w:type="dxa"/>
          </w:tcPr>
          <w:p w:rsidR="0088341A" w:rsidRPr="003354D5" w:rsidRDefault="0088341A" w:rsidP="003354D5">
            <w:pPr>
              <w:pStyle w:val="AERtabletextright"/>
            </w:pPr>
            <w:r w:rsidRPr="00D77DC9">
              <w:t>93.7</w:t>
            </w:r>
          </w:p>
        </w:tc>
        <w:tc>
          <w:tcPr>
            <w:tcW w:w="1714" w:type="dxa"/>
          </w:tcPr>
          <w:p w:rsidR="0088341A" w:rsidRPr="003354D5" w:rsidRDefault="0088341A" w:rsidP="003354D5">
            <w:pPr>
              <w:pStyle w:val="AERtabletextright"/>
            </w:pPr>
            <w:r w:rsidRPr="00D77DC9">
              <w:t>15.4</w:t>
            </w:r>
          </w:p>
        </w:tc>
        <w:tc>
          <w:tcPr>
            <w:tcW w:w="1549" w:type="dxa"/>
          </w:tcPr>
          <w:p w:rsidR="0088341A" w:rsidRPr="003354D5" w:rsidRDefault="0088341A" w:rsidP="003354D5">
            <w:pPr>
              <w:pStyle w:val="AERtabletextright"/>
            </w:pPr>
            <w:r w:rsidRPr="00D77DC9">
              <w:t>19.7</w:t>
            </w:r>
          </w:p>
        </w:tc>
      </w:tr>
      <w:tr w:rsidR="0088341A" w:rsidRPr="00D77DC9" w:rsidTr="003354D5">
        <w:trPr>
          <w:cnfStyle w:val="000000010000" w:firstRow="0" w:lastRow="0" w:firstColumn="0" w:lastColumn="0" w:oddVBand="0" w:evenVBand="0" w:oddHBand="0" w:evenHBand="1" w:firstRowFirstColumn="0" w:firstRowLastColumn="0" w:lastRowFirstColumn="0" w:lastRowLastColumn="0"/>
        </w:trPr>
        <w:tc>
          <w:tcPr>
            <w:tcW w:w="3227" w:type="dxa"/>
          </w:tcPr>
          <w:p w:rsidR="0088341A" w:rsidRPr="003354D5" w:rsidRDefault="0088341A" w:rsidP="003354D5">
            <w:pPr>
              <w:pStyle w:val="AERtabletextleft"/>
            </w:pPr>
            <w:r w:rsidRPr="00D77DC9">
              <w:t>Non–controllable* (excl easement tax)</w:t>
            </w:r>
          </w:p>
        </w:tc>
        <w:tc>
          <w:tcPr>
            <w:tcW w:w="1100" w:type="dxa"/>
          </w:tcPr>
          <w:p w:rsidR="0088341A" w:rsidRPr="003354D5" w:rsidRDefault="0088341A" w:rsidP="003354D5">
            <w:pPr>
              <w:pStyle w:val="AERtabletextright"/>
            </w:pPr>
            <w:r w:rsidRPr="00D77DC9">
              <w:t>4.9</w:t>
            </w:r>
          </w:p>
        </w:tc>
        <w:tc>
          <w:tcPr>
            <w:tcW w:w="1652" w:type="dxa"/>
          </w:tcPr>
          <w:p w:rsidR="0088341A" w:rsidRPr="003354D5" w:rsidRDefault="0088341A" w:rsidP="003354D5">
            <w:pPr>
              <w:pStyle w:val="AERtabletextright"/>
            </w:pPr>
            <w:r w:rsidRPr="00D77DC9">
              <w:t>7.0</w:t>
            </w:r>
          </w:p>
        </w:tc>
        <w:tc>
          <w:tcPr>
            <w:tcW w:w="1714" w:type="dxa"/>
          </w:tcPr>
          <w:p w:rsidR="0088341A" w:rsidRPr="003354D5" w:rsidRDefault="0088341A" w:rsidP="003354D5">
            <w:pPr>
              <w:pStyle w:val="AERtabletextright"/>
            </w:pPr>
            <w:r w:rsidRPr="00D77DC9">
              <w:t>2.1</w:t>
            </w:r>
          </w:p>
        </w:tc>
        <w:tc>
          <w:tcPr>
            <w:tcW w:w="1549" w:type="dxa"/>
          </w:tcPr>
          <w:p w:rsidR="0088341A" w:rsidRPr="003354D5" w:rsidRDefault="0088341A" w:rsidP="003354D5">
            <w:pPr>
              <w:pStyle w:val="AERtabletextright"/>
            </w:pPr>
            <w:r w:rsidRPr="00D77DC9">
              <w:t>43.2</w:t>
            </w:r>
          </w:p>
        </w:tc>
      </w:tr>
      <w:tr w:rsidR="0088341A" w:rsidRPr="00D77DC9" w:rsidTr="003354D5">
        <w:tc>
          <w:tcPr>
            <w:tcW w:w="3227" w:type="dxa"/>
          </w:tcPr>
          <w:p w:rsidR="0088341A" w:rsidRPr="003354D5" w:rsidRDefault="0088341A" w:rsidP="003354D5">
            <w:pPr>
              <w:pStyle w:val="AERtabletextleft"/>
            </w:pPr>
            <w:r w:rsidRPr="00D77DC9">
              <w:t>Total opex excluding easement tax</w:t>
            </w:r>
          </w:p>
        </w:tc>
        <w:tc>
          <w:tcPr>
            <w:tcW w:w="1100" w:type="dxa"/>
          </w:tcPr>
          <w:p w:rsidR="0088341A" w:rsidRPr="003354D5" w:rsidRDefault="0088341A" w:rsidP="003354D5">
            <w:pPr>
              <w:pStyle w:val="AERtabletextright"/>
            </w:pPr>
            <w:r w:rsidRPr="00D77DC9">
              <w:t>83.2</w:t>
            </w:r>
          </w:p>
        </w:tc>
        <w:tc>
          <w:tcPr>
            <w:tcW w:w="1652" w:type="dxa"/>
          </w:tcPr>
          <w:p w:rsidR="0088341A" w:rsidRPr="003354D5" w:rsidRDefault="0088341A" w:rsidP="003354D5">
            <w:pPr>
              <w:pStyle w:val="AERtabletextright"/>
            </w:pPr>
            <w:r w:rsidRPr="00D77DC9">
              <w:t>100.7</w:t>
            </w:r>
          </w:p>
        </w:tc>
        <w:tc>
          <w:tcPr>
            <w:tcW w:w="1714" w:type="dxa"/>
          </w:tcPr>
          <w:p w:rsidR="0088341A" w:rsidRPr="003354D5" w:rsidRDefault="0088341A" w:rsidP="003354D5">
            <w:pPr>
              <w:pStyle w:val="AERtabletextright"/>
            </w:pPr>
            <w:r w:rsidRPr="00D77DC9">
              <w:t>17.5</w:t>
            </w:r>
          </w:p>
        </w:tc>
        <w:tc>
          <w:tcPr>
            <w:tcW w:w="1549" w:type="dxa"/>
          </w:tcPr>
          <w:p w:rsidR="0088341A" w:rsidRPr="003354D5" w:rsidRDefault="0088341A" w:rsidP="003354D5">
            <w:pPr>
              <w:pStyle w:val="AERtabletextright"/>
            </w:pPr>
            <w:r w:rsidRPr="00D77DC9">
              <w:t>21.0</w:t>
            </w:r>
          </w:p>
        </w:tc>
      </w:tr>
    </w:tbl>
    <w:p w:rsidR="003354D5" w:rsidRDefault="0088341A" w:rsidP="0088341A">
      <w:pPr>
        <w:pStyle w:val="AERtablesource"/>
        <w:keepNext/>
        <w:keepLines/>
      </w:pPr>
      <w:r>
        <w:t>Source:</w:t>
      </w:r>
      <w:r>
        <w:tab/>
        <w:t xml:space="preserve">SP AusNet, </w:t>
      </w:r>
      <w:r w:rsidRPr="00193079">
        <w:rPr>
          <w:rStyle w:val="AERtextitalic"/>
        </w:rPr>
        <w:t>Revenue proposal</w:t>
      </w:r>
      <w:r>
        <w:t xml:space="preserve">, Appendix A, Cost information templates. </w:t>
      </w:r>
    </w:p>
    <w:p w:rsidR="0088341A" w:rsidRDefault="003354D5" w:rsidP="00BA4979">
      <w:pPr>
        <w:pStyle w:val="AERtablesource"/>
      </w:pPr>
      <w:r>
        <w:t>Note:</w:t>
      </w:r>
      <w:r>
        <w:tab/>
      </w:r>
      <w:r w:rsidR="00A860D9">
        <w:t>Excludes equity raising costs</w:t>
      </w:r>
      <w:r w:rsidR="0088341A">
        <w:t>. Non-controllable opex includes AIS rebate in 2008–14.</w:t>
      </w:r>
    </w:p>
    <w:p w:rsidR="0088341A" w:rsidRPr="00A907E9" w:rsidRDefault="0088341A" w:rsidP="0088341A">
      <w:pPr>
        <w:pStyle w:val="Heading3"/>
        <w:numPr>
          <w:ilvl w:val="3"/>
          <w:numId w:val="20"/>
        </w:numPr>
      </w:pPr>
      <w:r w:rsidRPr="00A907E9">
        <w:t>SP AusNet's approach</w:t>
      </w:r>
    </w:p>
    <w:p w:rsidR="0088341A" w:rsidRDefault="0088341A" w:rsidP="0088341A">
      <w:pPr>
        <w:pStyle w:val="AERbodytext"/>
        <w:numPr>
          <w:ilvl w:val="0"/>
          <w:numId w:val="13"/>
        </w:numPr>
      </w:pPr>
      <w:r>
        <w:t xml:space="preserve">SP AusNet categorised its opex as either controllable or non-controllable. It divided controllable opex into three main categories: routine maintenance (including insurance), corporate support and asset works but also classified controllable opex as </w:t>
      </w:r>
      <w:r w:rsidRPr="00385FF1">
        <w:t>system and non-system costs, and recurrent and non-recurrent costs</w:t>
      </w:r>
      <w:r>
        <w:t xml:space="preserve"> (</w:t>
      </w:r>
      <w:r>
        <w:fldChar w:fldCharType="begin"/>
      </w:r>
      <w:r>
        <w:instrText xml:space="preserve"> REF _Ref360727166 \h </w:instrText>
      </w:r>
      <w:r>
        <w:fldChar w:fldCharType="separate"/>
      </w:r>
      <w:r w:rsidR="004F35AA">
        <w:t xml:space="preserve">Figure </w:t>
      </w:r>
      <w:r w:rsidR="004F35AA">
        <w:rPr>
          <w:noProof/>
        </w:rPr>
        <w:t>3</w:t>
      </w:r>
      <w:r w:rsidR="004F35AA">
        <w:t>.</w:t>
      </w:r>
      <w:r w:rsidR="004F35AA">
        <w:rPr>
          <w:noProof/>
        </w:rPr>
        <w:t>5</w:t>
      </w:r>
      <w:r>
        <w:fldChar w:fldCharType="end"/>
      </w:r>
      <w:r>
        <w:t>). SP AusNet's non-controllable opex includes self-insurance costs, easement land tax, debt raising costs (DRC), equity raising costs (ERC) and</w:t>
      </w:r>
      <w:r w:rsidRPr="00385FF1">
        <w:t xml:space="preserve"> availability incentive scheme (AIS) rebates.</w:t>
      </w:r>
      <w:r>
        <w:t xml:space="preserve"> SP AusNet also included its efficiency benefits sharing scheme (EBSS) carryover benefits as part of its total opex forecast (as a non-controllable opex item).</w:t>
      </w:r>
    </w:p>
    <w:p w:rsidR="0088341A" w:rsidRDefault="0088341A" w:rsidP="0088341A">
      <w:pPr>
        <w:pStyle w:val="Caption"/>
        <w:keepLines/>
      </w:pPr>
      <w:bookmarkStart w:id="186" w:name="_Ref360727166"/>
      <w:r>
        <w:t xml:space="preserve">Figure </w:t>
      </w:r>
      <w:fldSimple w:instr=" STYLEREF 1 \s ">
        <w:r w:rsidR="004F35AA">
          <w:rPr>
            <w:noProof/>
          </w:rPr>
          <w:t>3</w:t>
        </w:r>
      </w:fldSimple>
      <w:r w:rsidR="00C56A87">
        <w:t>.</w:t>
      </w:r>
      <w:fldSimple w:instr=" SEQ Figure \* ARABIC \s 1 ">
        <w:r w:rsidR="004F35AA">
          <w:rPr>
            <w:noProof/>
          </w:rPr>
          <w:t>5</w:t>
        </w:r>
      </w:fldSimple>
      <w:bookmarkEnd w:id="186"/>
      <w:r>
        <w:tab/>
        <w:t xml:space="preserve">SP AusNet's </w:t>
      </w:r>
      <w:r w:rsidRPr="009333F1">
        <w:t xml:space="preserve">opex </w:t>
      </w:r>
      <w:r>
        <w:t>classification</w:t>
      </w:r>
    </w:p>
    <w:p w:rsidR="0088341A" w:rsidRDefault="0088341A" w:rsidP="0088341A">
      <w:pPr>
        <w:pStyle w:val="AERtablesource"/>
        <w:keepNext/>
        <w:keepLines/>
      </w:pPr>
      <w:r>
        <w:rPr>
          <w:noProof/>
          <w:lang w:eastAsia="en-AU"/>
        </w:rPr>
        <w:drawing>
          <wp:inline distT="0" distB="0" distL="0" distR="0" wp14:anchorId="3F93424D" wp14:editId="0F634D41">
            <wp:extent cx="5727700" cy="212852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b="11290"/>
                    <a:stretch>
                      <a:fillRect/>
                    </a:stretch>
                  </pic:blipFill>
                  <pic:spPr bwMode="auto">
                    <a:xfrm>
                      <a:off x="0" y="0"/>
                      <a:ext cx="5727700" cy="2128520"/>
                    </a:xfrm>
                    <a:prstGeom prst="rect">
                      <a:avLst/>
                    </a:prstGeom>
                    <a:noFill/>
                    <a:ln>
                      <a:noFill/>
                    </a:ln>
                  </pic:spPr>
                </pic:pic>
              </a:graphicData>
            </a:graphic>
          </wp:inline>
        </w:drawing>
      </w:r>
    </w:p>
    <w:p w:rsidR="0088341A" w:rsidRDefault="0088341A" w:rsidP="0088341A">
      <w:pPr>
        <w:pStyle w:val="AERtablesource"/>
        <w:keepNext/>
        <w:keepLines/>
      </w:pPr>
      <w:r>
        <w:t>Source:</w:t>
      </w:r>
      <w:r>
        <w:tab/>
        <w:t xml:space="preserve">AER analysis based on SP AusNet, </w:t>
      </w:r>
      <w:r w:rsidRPr="00C83AB2">
        <w:rPr>
          <w:rStyle w:val="AERtextitalic"/>
        </w:rPr>
        <w:t>Revenue Proposal</w:t>
      </w:r>
      <w:r>
        <w:t>, 28 February 2013, pp. 114-115</w:t>
      </w:r>
      <w:r w:rsidR="003354D5">
        <w:t>.</w:t>
      </w:r>
    </w:p>
    <w:p w:rsidR="0088341A" w:rsidRPr="00EE1D69" w:rsidRDefault="0088341A" w:rsidP="0088341A">
      <w:pPr>
        <w:pStyle w:val="AERbodytext"/>
        <w:numPr>
          <w:ilvl w:val="0"/>
          <w:numId w:val="13"/>
        </w:numPr>
        <w:rPr>
          <w:rStyle w:val="AERtextbold"/>
        </w:rPr>
      </w:pPr>
      <w:r w:rsidRPr="007F769B">
        <w:t>SP AusNet used a combination of base year and bottom up methods to forecast opex.</w:t>
      </w:r>
      <w:r>
        <w:rPr>
          <w:rStyle w:val="FootnoteReference"/>
        </w:rPr>
        <w:footnoteReference w:id="253"/>
      </w:r>
      <w:r>
        <w:rPr>
          <w:rStyle w:val="AERtextbold"/>
          <w:b w:val="0"/>
        </w:rPr>
        <w:t xml:space="preserve"> </w:t>
      </w:r>
      <w:r w:rsidRPr="007F769B">
        <w:t>Its total controllable opex forecast was a hybrid approach because it combined both base year and bottom up methods at sub–category level. Non-controllable opex was forecast using bottom up techniques.</w:t>
      </w:r>
    </w:p>
    <w:p w:rsidR="0088341A" w:rsidRDefault="0088341A" w:rsidP="0088341A">
      <w:pPr>
        <w:pStyle w:val="Heading2"/>
        <w:numPr>
          <w:ilvl w:val="2"/>
          <w:numId w:val="20"/>
        </w:numPr>
      </w:pPr>
      <w:bookmarkStart w:id="187" w:name="_Ref362350132"/>
      <w:bookmarkStart w:id="188" w:name="_Ref363659129"/>
      <w:bookmarkStart w:id="189" w:name="_Ref363758971"/>
      <w:bookmarkStart w:id="190" w:name="_Toc365283299"/>
      <w:r>
        <w:t>AER's assessment approach</w:t>
      </w:r>
      <w:bookmarkEnd w:id="187"/>
      <w:bookmarkEnd w:id="188"/>
      <w:bookmarkEnd w:id="189"/>
      <w:bookmarkEnd w:id="190"/>
    </w:p>
    <w:p w:rsidR="0088341A" w:rsidRDefault="0088341A" w:rsidP="0088341A">
      <w:pPr>
        <w:pStyle w:val="AERbodytext"/>
        <w:numPr>
          <w:ilvl w:val="0"/>
          <w:numId w:val="13"/>
        </w:numPr>
      </w:pPr>
      <w:r>
        <w:t>We</w:t>
      </w:r>
      <w:r w:rsidRPr="00CF3742">
        <w:t xml:space="preserve"> must accept </w:t>
      </w:r>
      <w:r>
        <w:t xml:space="preserve">SP AusNet's </w:t>
      </w:r>
      <w:r w:rsidRPr="00CF3742">
        <w:t>proposed forecast opex for the 201</w:t>
      </w:r>
      <w:r>
        <w:t>4</w:t>
      </w:r>
      <w:r w:rsidRPr="00CF3742">
        <w:t>–1</w:t>
      </w:r>
      <w:r>
        <w:t>7</w:t>
      </w:r>
      <w:r w:rsidRPr="00CF3742">
        <w:t xml:space="preserve"> regulatory control period, if satisfied the forecast reasonably reflects the opex criteria set out in the NER.</w:t>
      </w:r>
      <w:r w:rsidRPr="00CF3742">
        <w:rPr>
          <w:rStyle w:val="FootnoteReference"/>
        </w:rPr>
        <w:footnoteReference w:id="254"/>
      </w:r>
      <w:r w:rsidRPr="00CF3742">
        <w:t xml:space="preserve"> If not satisfied, </w:t>
      </w:r>
      <w:r>
        <w:t>we</w:t>
      </w:r>
      <w:r w:rsidRPr="00CF3742">
        <w:t xml:space="preserve"> </w:t>
      </w:r>
      <w:r w:rsidRPr="00CF3742">
        <w:lastRenderedPageBreak/>
        <w:t>must give reasons for not accepting the proposal and estimate the total required opex that reasonably reflects the opex criteria.</w:t>
      </w:r>
      <w:r>
        <w:rPr>
          <w:rStyle w:val="FootnoteReference"/>
        </w:rPr>
        <w:footnoteReference w:id="255"/>
      </w:r>
      <w:r w:rsidRPr="00CF3742">
        <w:t xml:space="preserve"> In doing so, </w:t>
      </w:r>
      <w:r>
        <w:t>we</w:t>
      </w:r>
      <w:r w:rsidRPr="00CF3742">
        <w:t xml:space="preserve"> must have regard to the opex factors.</w:t>
      </w:r>
      <w:r w:rsidRPr="00CF3742">
        <w:rPr>
          <w:rStyle w:val="FootnoteReference"/>
        </w:rPr>
        <w:footnoteReference w:id="256"/>
      </w:r>
      <w:r w:rsidRPr="00CF3742">
        <w:t xml:space="preserve"> </w:t>
      </w:r>
    </w:p>
    <w:p w:rsidR="0088341A" w:rsidRPr="00C05A42" w:rsidRDefault="0088341A" w:rsidP="0088341A">
      <w:pPr>
        <w:pStyle w:val="AERbodytext"/>
        <w:numPr>
          <w:ilvl w:val="0"/>
          <w:numId w:val="13"/>
        </w:numPr>
      </w:pPr>
      <w:r>
        <w:t>W</w:t>
      </w:r>
      <w:r w:rsidRPr="00C05A42">
        <w:t>e examined key documents, processes and assumptions, and compared historic</w:t>
      </w:r>
      <w:r w:rsidR="00A860D9">
        <w:t>al</w:t>
      </w:r>
      <w:r w:rsidRPr="00C05A42">
        <w:t xml:space="preserve"> expenditure to th</w:t>
      </w:r>
      <w:r>
        <w:t>e</w:t>
      </w:r>
      <w:r w:rsidRPr="00C05A42">
        <w:t xml:space="preserve"> propos</w:t>
      </w:r>
      <w:r>
        <w:t>al</w:t>
      </w:r>
      <w:r w:rsidRPr="00C05A42">
        <w:t xml:space="preserve">, to understand the key drivers behind </w:t>
      </w:r>
      <w:r>
        <w:t xml:space="preserve">SP AusNet's </w:t>
      </w:r>
      <w:r w:rsidRPr="00C05A42">
        <w:t>proposed forecast opex</w:t>
      </w:r>
      <w:r>
        <w:t xml:space="preserve">. </w:t>
      </w:r>
    </w:p>
    <w:p w:rsidR="0088341A" w:rsidRDefault="0088341A" w:rsidP="0093706E">
      <w:pPr>
        <w:pStyle w:val="AERbodytext"/>
      </w:pPr>
      <w:r>
        <w:t>We engaged technical experts to review areas of the opex proposal. EMCa</w:t>
      </w:r>
      <w:r>
        <w:rPr>
          <w:rStyle w:val="FootnoteReference"/>
        </w:rPr>
        <w:footnoteReference w:id="257"/>
      </w:r>
      <w:r>
        <w:t xml:space="preserve"> reviewed the proposed co</w:t>
      </w:r>
      <w:r w:rsidR="00A860D9">
        <w:t>ntrollable opex forecast (ex</w:t>
      </w:r>
      <w:r>
        <w:t>cluding insurance).</w:t>
      </w:r>
      <w:r>
        <w:rPr>
          <w:rStyle w:val="FootnoteReference"/>
        </w:rPr>
        <w:footnoteReference w:id="258"/>
      </w:r>
      <w:r>
        <w:t xml:space="preserve"> AM Actuaries reviewed SP AusNet's insurance and self-insurance forecasts.</w:t>
      </w:r>
      <w:r>
        <w:rPr>
          <w:rStyle w:val="FootnoteReference"/>
        </w:rPr>
        <w:footnoteReference w:id="259"/>
      </w:r>
      <w:r>
        <w:t xml:space="preserve"> Deloitte Access Economics assessed labour cost escalation.</w:t>
      </w:r>
      <w:r>
        <w:rPr>
          <w:rStyle w:val="FootnoteReference"/>
        </w:rPr>
        <w:footnoteReference w:id="260"/>
      </w:r>
      <w:r w:rsidR="0093706E" w:rsidRPr="0093706E">
        <w:t xml:space="preserve"> We also engaged McGrathNicol to assist us in assessing whether some o</w:t>
      </w:r>
      <w:r w:rsidR="0093706E">
        <w:t xml:space="preserve">f SP AusNet’s cost allocations </w:t>
      </w:r>
      <w:r w:rsidR="0093706E" w:rsidRPr="0093706E">
        <w:t>were consistent with the approved cost allocation methodology.</w:t>
      </w:r>
      <w:r w:rsidR="0093706E">
        <w:rPr>
          <w:rStyle w:val="FootnoteReference"/>
        </w:rPr>
        <w:footnoteReference w:id="261"/>
      </w:r>
    </w:p>
    <w:p w:rsidR="003354D5" w:rsidRPr="003354D5" w:rsidRDefault="0088341A" w:rsidP="003354D5">
      <w:pPr>
        <w:pStyle w:val="AERbodytext"/>
        <w:rPr>
          <w:rStyle w:val="AERbody"/>
        </w:rPr>
      </w:pPr>
      <w:r w:rsidRPr="007F769B">
        <w:t>We sought input directly from stakeholders and details of our enga</w:t>
      </w:r>
      <w:r w:rsidR="00A860D9">
        <w:t>gement process can be found in a</w:t>
      </w:r>
      <w:r w:rsidRPr="007F769B">
        <w:t xml:space="preserve">ppendix </w:t>
      </w:r>
      <w:r w:rsidR="00193A95" w:rsidRPr="007F769B">
        <w:t>G</w:t>
      </w:r>
      <w:r w:rsidRPr="003354D5">
        <w:rPr>
          <w:rStyle w:val="AERbody"/>
        </w:rPr>
        <w:t>.</w:t>
      </w:r>
      <w:r w:rsidRPr="003354D5">
        <w:rPr>
          <w:rStyle w:val="FootnoteReference"/>
        </w:rPr>
        <w:footnoteReference w:id="262"/>
      </w:r>
      <w:r w:rsidRPr="003354D5">
        <w:rPr>
          <w:rStyle w:val="AERbody"/>
        </w:rPr>
        <w:t xml:space="preserve"> </w:t>
      </w:r>
    </w:p>
    <w:p w:rsidR="0088341A" w:rsidRDefault="0088341A" w:rsidP="0088341A">
      <w:pPr>
        <w:pStyle w:val="HeadingBoldBlue"/>
      </w:pPr>
      <w:r>
        <w:t>AER's assessment framework</w:t>
      </w:r>
    </w:p>
    <w:p w:rsidR="00066D27" w:rsidRPr="00066D27" w:rsidRDefault="00066D27" w:rsidP="00066D27">
      <w:pPr>
        <w:pStyle w:val="AERbodytext"/>
      </w:pPr>
      <w:r w:rsidRPr="00066D27">
        <w:t>We typically review processes including governance, strategic planning, risk management, asset management and prioritisation.</w:t>
      </w:r>
      <w:r w:rsidR="00A42D0D">
        <w:rPr>
          <w:rStyle w:val="FootnoteReference"/>
        </w:rPr>
        <w:footnoteReference w:id="263"/>
      </w:r>
      <w:r w:rsidRPr="00066D27">
        <w:t xml:space="preserve"> A favourable governance review will not of itself satisfy </w:t>
      </w:r>
      <w:r w:rsidR="002D7323">
        <w:t>us</w:t>
      </w:r>
      <w:r w:rsidRPr="00066D27">
        <w:t xml:space="preserve"> that a TNSP's proposed expenditure reasonably reflects the expenditure criteria. A governance review may, however, indicate a TNSP's likely overall efficiency and areas for further analysis. We </w:t>
      </w:r>
      <w:r>
        <w:t xml:space="preserve">engaged EMCa to </w:t>
      </w:r>
      <w:r w:rsidRPr="00066D27">
        <w:t>review</w:t>
      </w:r>
      <w:r>
        <w:t xml:space="preserve"> SP AusNet’s governance processes</w:t>
      </w:r>
      <w:r w:rsidRPr="00066D27">
        <w:t>.</w:t>
      </w:r>
    </w:p>
    <w:p w:rsidR="00066D27" w:rsidRDefault="00066D27" w:rsidP="00066D27">
      <w:pPr>
        <w:pStyle w:val="AERbodytext"/>
      </w:pPr>
      <w:r w:rsidRPr="00AE7D27">
        <w:t xml:space="preserve">We </w:t>
      </w:r>
      <w:r>
        <w:t>also</w:t>
      </w:r>
      <w:r w:rsidRPr="00AE7D27">
        <w:t xml:space="preserve"> assess the methodology the </w:t>
      </w:r>
      <w:r>
        <w:t>TNSP</w:t>
      </w:r>
      <w:r w:rsidRPr="00AE7D27">
        <w:t xml:space="preserve"> utilises to derive its </w:t>
      </w:r>
      <w:r>
        <w:t xml:space="preserve">total opex </w:t>
      </w:r>
      <w:r w:rsidRPr="00AE7D27">
        <w:t>expenditure forecasts</w:t>
      </w:r>
      <w:r>
        <w:t>, including</w:t>
      </w:r>
      <w:r w:rsidRPr="00AE7D27">
        <w:t xml:space="preserve"> assumptions, inputs and models. Similar to the governance framework review, we </w:t>
      </w:r>
      <w:r>
        <w:t>will assess</w:t>
      </w:r>
      <w:r w:rsidRPr="00AE7D27">
        <w:t xml:space="preserve"> whether the </w:t>
      </w:r>
      <w:r>
        <w:t xml:space="preserve">TNSP's </w:t>
      </w:r>
      <w:r w:rsidRPr="00AE7D27">
        <w:t xml:space="preserve">methodology is a reasonable basis for developing expenditure forecasts that </w:t>
      </w:r>
      <w:r>
        <w:t>reasonably reflect</w:t>
      </w:r>
      <w:r w:rsidRPr="00AE7D27">
        <w:t xml:space="preserve"> the NER criteria.</w:t>
      </w:r>
      <w:r w:rsidRPr="001C200C">
        <w:rPr>
          <w:rStyle w:val="AERsuperscript"/>
        </w:rPr>
        <w:footnoteReference w:id="264"/>
      </w:r>
      <w:r>
        <w:t xml:space="preserve"> We expect TNSPs to justify and explain how its forecasting method results in a prudent and efficient forecast, so i</w:t>
      </w:r>
      <w:r w:rsidRPr="00AE7D27">
        <w:t xml:space="preserve">f </w:t>
      </w:r>
      <w:r>
        <w:t xml:space="preserve">a method (or </w:t>
      </w:r>
      <w:r w:rsidRPr="00AE7D27">
        <w:t xml:space="preserve">aspects of </w:t>
      </w:r>
      <w:r>
        <w:t xml:space="preserve">it) </w:t>
      </w:r>
      <w:r w:rsidRPr="00AE7D27">
        <w:t xml:space="preserve">do not appear reasonable, we will </w:t>
      </w:r>
      <w:r>
        <w:t xml:space="preserve">require further justification from </w:t>
      </w:r>
      <w:r w:rsidRPr="00AE7D27">
        <w:t xml:space="preserve">the </w:t>
      </w:r>
      <w:r>
        <w:t>TNSP.</w:t>
      </w:r>
      <w:r w:rsidRPr="00AE7D27">
        <w:t xml:space="preserve"> If </w:t>
      </w:r>
      <w:r>
        <w:t>we are not satisfied with further justification</w:t>
      </w:r>
      <w:r w:rsidRPr="00AE7D27">
        <w:t xml:space="preserve">, we will adjust the method such that it is a reasonable basis for developing expenditure forecasts that </w:t>
      </w:r>
      <w:r>
        <w:t>reasonably reflect</w:t>
      </w:r>
      <w:r w:rsidRPr="00AE7D27">
        <w:t xml:space="preserve"> the NER criteria.</w:t>
      </w:r>
      <w:r w:rsidRPr="00AE7D27">
        <w:rPr>
          <w:rStyle w:val="FootnoteReference"/>
        </w:rPr>
        <w:footnoteReference w:id="265"/>
      </w:r>
    </w:p>
    <w:p w:rsidR="0088341A" w:rsidRDefault="00066D27" w:rsidP="008066BA">
      <w:pPr>
        <w:pStyle w:val="AERbodytext"/>
        <w:numPr>
          <w:ilvl w:val="0"/>
          <w:numId w:val="13"/>
        </w:numPr>
      </w:pPr>
      <w:r>
        <w:t>As well as the governance and methodology reviews, w</w:t>
      </w:r>
      <w:r w:rsidRPr="004C5694">
        <w:t xml:space="preserve">e apply both top down and bottom up assessments to the proposed </w:t>
      </w:r>
      <w:r>
        <w:t xml:space="preserve">total opex </w:t>
      </w:r>
      <w:r w:rsidRPr="004C5694">
        <w:t>forecast</w:t>
      </w:r>
      <w:r>
        <w:t xml:space="preserve"> (</w:t>
      </w:r>
      <w:r>
        <w:fldChar w:fldCharType="begin"/>
      </w:r>
      <w:r>
        <w:instrText xml:space="preserve"> REF _Ref362342414 \h </w:instrText>
      </w:r>
      <w:r>
        <w:fldChar w:fldCharType="separate"/>
      </w:r>
      <w:r w:rsidR="004F35AA">
        <w:t xml:space="preserve">Figure </w:t>
      </w:r>
      <w:r w:rsidR="004F35AA">
        <w:rPr>
          <w:noProof/>
        </w:rPr>
        <w:t>3</w:t>
      </w:r>
      <w:r w:rsidR="004F35AA">
        <w:t>.</w:t>
      </w:r>
      <w:r w:rsidR="004F35AA">
        <w:rPr>
          <w:noProof/>
        </w:rPr>
        <w:t>6</w:t>
      </w:r>
      <w:r>
        <w:fldChar w:fldCharType="end"/>
      </w:r>
      <w:r>
        <w:t>)</w:t>
      </w:r>
      <w:r w:rsidRPr="004C5694">
        <w:t xml:space="preserve">. </w:t>
      </w:r>
      <w:r w:rsidR="0088341A" w:rsidRPr="004C5694">
        <w:t>If we are not satisfied that the total forecast reasonably reflects the opex criteria we substitute our own assessment.</w:t>
      </w:r>
      <w:r w:rsidR="0088341A">
        <w:t xml:space="preserve"> </w:t>
      </w:r>
      <w:r w:rsidR="0088341A" w:rsidRPr="004C5694">
        <w:t>An important component of both our assessment of the forecast and, if necessary, our substitution of an alternative opex is our use of the revealed costs approach to assessing controllable opex.</w:t>
      </w:r>
    </w:p>
    <w:p w:rsidR="0088341A" w:rsidRDefault="0088341A" w:rsidP="0088341A">
      <w:pPr>
        <w:pStyle w:val="Caption"/>
        <w:keepLines/>
      </w:pPr>
      <w:bookmarkStart w:id="191" w:name="_Ref362342414"/>
      <w:r>
        <w:lastRenderedPageBreak/>
        <w:t xml:space="preserve">Figure </w:t>
      </w:r>
      <w:fldSimple w:instr=" STYLEREF 1 \s ">
        <w:r w:rsidR="004F35AA">
          <w:rPr>
            <w:noProof/>
          </w:rPr>
          <w:t>3</w:t>
        </w:r>
      </w:fldSimple>
      <w:r w:rsidR="00C56A87">
        <w:t>.</w:t>
      </w:r>
      <w:fldSimple w:instr=" SEQ Figure \* ARABIC \s 1 ">
        <w:r w:rsidR="004F35AA">
          <w:rPr>
            <w:noProof/>
          </w:rPr>
          <w:t>6</w:t>
        </w:r>
      </w:fldSimple>
      <w:bookmarkEnd w:id="191"/>
      <w:r>
        <w:tab/>
        <w:t>AER's assessment framework</w:t>
      </w:r>
    </w:p>
    <w:p w:rsidR="0088341A" w:rsidRDefault="0088341A" w:rsidP="0088341A">
      <w:pPr>
        <w:pStyle w:val="AERbodytext"/>
        <w:numPr>
          <w:ilvl w:val="0"/>
          <w:numId w:val="13"/>
        </w:numPr>
      </w:pPr>
      <w:r>
        <w:rPr>
          <w:noProof/>
          <w:lang w:eastAsia="en-AU"/>
        </w:rPr>
        <w:drawing>
          <wp:inline distT="0" distB="0" distL="0" distR="0" wp14:anchorId="6F9782D0" wp14:editId="22825B5A">
            <wp:extent cx="5727700" cy="185102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7700" cy="1851025"/>
                    </a:xfrm>
                    <a:prstGeom prst="rect">
                      <a:avLst/>
                    </a:prstGeom>
                    <a:noFill/>
                    <a:ln>
                      <a:noFill/>
                    </a:ln>
                  </pic:spPr>
                </pic:pic>
              </a:graphicData>
            </a:graphic>
          </wp:inline>
        </w:drawing>
      </w:r>
    </w:p>
    <w:p w:rsidR="0088341A" w:rsidRPr="00F66230" w:rsidRDefault="0088341A" w:rsidP="0088341A">
      <w:pPr>
        <w:pStyle w:val="AERtablesource"/>
        <w:keepNext/>
        <w:keepLines/>
      </w:pPr>
      <w:r>
        <w:t>Source:</w:t>
      </w:r>
      <w:r>
        <w:tab/>
        <w:t>AER analysis; SP AusNet</w:t>
      </w:r>
      <w:r w:rsidRPr="00F66230">
        <w:t xml:space="preserve">, </w:t>
      </w:r>
      <w:r w:rsidR="00A860D9">
        <w:rPr>
          <w:rStyle w:val="AERtextitalic"/>
        </w:rPr>
        <w:t>Revenue p</w:t>
      </w:r>
      <w:r w:rsidRPr="00F66230">
        <w:rPr>
          <w:rStyle w:val="AERtextitalic"/>
        </w:rPr>
        <w:t>roposal</w:t>
      </w:r>
      <w:r w:rsidRPr="00F66230">
        <w:t>, pp. 114-115</w:t>
      </w:r>
    </w:p>
    <w:p w:rsidR="0088341A" w:rsidRDefault="0088341A" w:rsidP="0088341A">
      <w:pPr>
        <w:pStyle w:val="AERbodytext"/>
        <w:numPr>
          <w:ilvl w:val="0"/>
          <w:numId w:val="13"/>
        </w:numPr>
      </w:pPr>
      <w:r>
        <w:t>Given the importance of the revealed costs approach in our assessment, we explain the following points in more detail in the following section:</w:t>
      </w:r>
    </w:p>
    <w:p w:rsidR="0088341A" w:rsidRDefault="0088341A" w:rsidP="0088341A">
      <w:pPr>
        <w:pStyle w:val="AERbulletlistfirststyle"/>
      </w:pPr>
      <w:r>
        <w:t xml:space="preserve">the revealed costs approach for assessing controllable opex </w:t>
      </w:r>
    </w:p>
    <w:p w:rsidR="0088341A" w:rsidRDefault="0088341A" w:rsidP="0088341A">
      <w:pPr>
        <w:pStyle w:val="AERbulletlistfirststyle"/>
      </w:pPr>
      <w:r>
        <w:t xml:space="preserve">why we </w:t>
      </w:r>
      <w:r w:rsidR="00A860D9">
        <w:t>consider the</w:t>
      </w:r>
      <w:r>
        <w:t xml:space="preserve"> revealed costs approach provides the most reliable tool for assessment of controllable opex </w:t>
      </w:r>
    </w:p>
    <w:p w:rsidR="0088341A" w:rsidRDefault="0088341A" w:rsidP="0088341A">
      <w:pPr>
        <w:pStyle w:val="AERbulletlistfirststyle"/>
      </w:pPr>
      <w:r>
        <w:t xml:space="preserve">how this </w:t>
      </w:r>
      <w:r w:rsidR="00A860D9">
        <w:t xml:space="preserve">approach </w:t>
      </w:r>
      <w:r>
        <w:t>fits with the broader incentive arrangements established by the regulatory scheme</w:t>
      </w:r>
    </w:p>
    <w:p w:rsidR="0088341A" w:rsidRDefault="0088341A" w:rsidP="0088341A">
      <w:pPr>
        <w:pStyle w:val="AERbulletlistfirststyle"/>
      </w:pPr>
      <w:r>
        <w:t>how expert engineering reviews also assist us when making our assessments.</w:t>
      </w:r>
    </w:p>
    <w:p w:rsidR="0088341A" w:rsidRDefault="0088341A" w:rsidP="0088341A">
      <w:pPr>
        <w:pStyle w:val="HeadingBoldBlue"/>
      </w:pPr>
      <w:bookmarkStart w:id="192" w:name="_Ref361340651"/>
      <w:bookmarkStart w:id="193" w:name="_Ref362279178"/>
      <w:r>
        <w:t>The revealed costs approach</w:t>
      </w:r>
      <w:bookmarkEnd w:id="192"/>
      <w:r>
        <w:t xml:space="preserve"> for assessing controllable opex</w:t>
      </w:r>
      <w:bookmarkEnd w:id="193"/>
    </w:p>
    <w:p w:rsidR="002C6A79" w:rsidRDefault="0088341A" w:rsidP="0088341A">
      <w:pPr>
        <w:pStyle w:val="AERbodytext"/>
        <w:numPr>
          <w:ilvl w:val="0"/>
          <w:numId w:val="13"/>
        </w:numPr>
      </w:pPr>
      <w:r w:rsidRPr="00330C22">
        <w:t>We use the</w:t>
      </w:r>
      <w:r>
        <w:t xml:space="preserve"> revealed </w:t>
      </w:r>
      <w:r w:rsidR="002C6A79">
        <w:t xml:space="preserve">costs </w:t>
      </w:r>
      <w:r>
        <w:t>approach</w:t>
      </w:r>
      <w:r w:rsidRPr="00330C22">
        <w:t xml:space="preserve"> to assess and determine forecast </w:t>
      </w:r>
      <w:r w:rsidR="002C6A79">
        <w:t xml:space="preserve">controllable </w:t>
      </w:r>
      <w:r w:rsidRPr="00330C22">
        <w:t>opex.</w:t>
      </w:r>
      <w:r>
        <w:t xml:space="preserve"> This is a top-down forecasting method</w:t>
      </w:r>
      <w:r w:rsidR="002C6A79">
        <w:t xml:space="preserve"> which we also refer to as a </w:t>
      </w:r>
      <w:r w:rsidR="002C6A79" w:rsidRPr="00330C22">
        <w:t>'base-step-trend' approach</w:t>
      </w:r>
      <w:r>
        <w:t>.</w:t>
      </w:r>
      <w:r w:rsidRPr="00330C22">
        <w:t xml:space="preserve"> </w:t>
      </w:r>
    </w:p>
    <w:p w:rsidR="0088341A" w:rsidRDefault="002C6A79" w:rsidP="0088341A">
      <w:pPr>
        <w:pStyle w:val="AERbodytext"/>
        <w:numPr>
          <w:ilvl w:val="0"/>
          <w:numId w:val="13"/>
        </w:numPr>
      </w:pPr>
      <w:r>
        <w:t xml:space="preserve">Under this approach, </w:t>
      </w:r>
      <w:r w:rsidR="0088341A" w:rsidRPr="00330C22">
        <w:t xml:space="preserve">we </w:t>
      </w:r>
      <w:r>
        <w:t xml:space="preserve">first </w:t>
      </w:r>
      <w:r w:rsidR="0088341A" w:rsidRPr="00330C22">
        <w:t>select a</w:t>
      </w:r>
      <w:r w:rsidR="0088341A">
        <w:t>n historical</w:t>
      </w:r>
      <w:r w:rsidR="0088341A" w:rsidRPr="00330C22">
        <w:t xml:space="preserve"> 'base year' of expenditure as the basis for the forecast. </w:t>
      </w:r>
      <w:r w:rsidR="0088341A">
        <w:t>We look at the revealed (actual) costs for that base year and w</w:t>
      </w:r>
      <w:r w:rsidR="0088341A" w:rsidRPr="00330C22">
        <w:t xml:space="preserve">e then </w:t>
      </w:r>
      <w:r w:rsidR="0088341A">
        <w:t xml:space="preserve">make </w:t>
      </w:r>
      <w:r w:rsidR="0088341A" w:rsidRPr="00330C22">
        <w:t>adjust</w:t>
      </w:r>
      <w:r w:rsidR="0088341A">
        <w:t>ments</w:t>
      </w:r>
      <w:r w:rsidR="0088341A" w:rsidRPr="00330C22">
        <w:t xml:space="preserve"> to account for changes in circumstances between the base year and the forecast period. </w:t>
      </w:r>
      <w:r w:rsidR="0088341A" w:rsidRPr="00FF25A4">
        <w:t>In some instances, the revealed cost approach is not appropriate because historical expenditure</w:t>
      </w:r>
      <w:r w:rsidR="0088341A">
        <w:t xml:space="preserve"> in the base year</w:t>
      </w:r>
      <w:r w:rsidR="0088341A" w:rsidRPr="00FF25A4">
        <w:t xml:space="preserve"> </w:t>
      </w:r>
      <w:r w:rsidR="0088341A">
        <w:t>is</w:t>
      </w:r>
      <w:r w:rsidR="0088341A" w:rsidRPr="00FF25A4">
        <w:t xml:space="preserve"> inefficient and thus revealed costs cannot be expected to form a basis for efficient forecasts. For this reason we will scrutinise the efficiency of proposed base year expenditures and may adjust that base year</w:t>
      </w:r>
      <w:r w:rsidR="000E5BDB">
        <w:t xml:space="preserve"> expenditure</w:t>
      </w:r>
      <w:r w:rsidR="0088341A" w:rsidRPr="00FF25A4">
        <w:t xml:space="preserve">. </w:t>
      </w:r>
    </w:p>
    <w:p w:rsidR="0088341A" w:rsidRDefault="0088341A" w:rsidP="0088341A">
      <w:pPr>
        <w:pStyle w:val="HeadingBoldItalic"/>
      </w:pPr>
      <w:r>
        <w:t>Base</w:t>
      </w:r>
      <w:r w:rsidR="00066D27">
        <w:t xml:space="preserve"> </w:t>
      </w:r>
    </w:p>
    <w:p w:rsidR="00066D27" w:rsidRPr="00330C22" w:rsidRDefault="0088341A" w:rsidP="00066D27">
      <w:pPr>
        <w:pStyle w:val="AERbodytext"/>
        <w:numPr>
          <w:ilvl w:val="0"/>
          <w:numId w:val="0"/>
        </w:numPr>
      </w:pPr>
      <w:r>
        <w:t xml:space="preserve">When choosing a base year, our key consideration is selecting a year which is most reflective of </w:t>
      </w:r>
      <w:r w:rsidR="00A860D9">
        <w:t>future costs.</w:t>
      </w:r>
      <w:r>
        <w:t xml:space="preserve"> </w:t>
      </w:r>
      <w:r w:rsidRPr="00330C22">
        <w:t>Typically, we use the revealed costs of the second or third last year in a regulatory control period as the base year. The second last year is the most recent available data at the time of the determination, so likely to best reflect the forecast period. Sometimes, we use the third last year, being the most recent year of available data when the TNSP submitted its regulatory proposal.</w:t>
      </w:r>
      <w:r w:rsidR="00C57376">
        <w:t xml:space="preserve"> </w:t>
      </w:r>
      <w:r w:rsidR="00066D27">
        <w:t xml:space="preserve">An important consideration in assessing whether the base year controllable opex is efficient is whether an efficiency sharing mechanism applied during the base year, as this acts as an incentive on the TNSP to actually incur only efficient costs. However, we still scrutinise the efficiency of the base year expenditure and will make adjustments for inefficiencies, or non-recurrent costs, where necessary. </w:t>
      </w:r>
    </w:p>
    <w:p w:rsidR="0088341A" w:rsidRDefault="00A860D9" w:rsidP="00C57376">
      <w:pPr>
        <w:pStyle w:val="AERbodytext"/>
        <w:numPr>
          <w:ilvl w:val="0"/>
          <w:numId w:val="13"/>
        </w:numPr>
      </w:pPr>
      <w:r>
        <w:lastRenderedPageBreak/>
        <w:t xml:space="preserve">Once </w:t>
      </w:r>
      <w:r w:rsidR="0088341A" w:rsidRPr="00BF533A">
        <w:t xml:space="preserve">we are confident the base year reflects efficient and recurrent ongoing costs, the focus of our assessment is on the magnitude and form of incremental adjustments to be made to the revealed costs forecast so that the forecast </w:t>
      </w:r>
      <w:r w:rsidR="004D5235">
        <w:t>reasonably reflects</w:t>
      </w:r>
      <w:r w:rsidR="004D5235" w:rsidRPr="00BF533A">
        <w:t xml:space="preserve"> </w:t>
      </w:r>
      <w:r w:rsidR="0088341A" w:rsidRPr="00BF533A">
        <w:t>the opex criteria. This is the step and trend part of the approach.</w:t>
      </w:r>
    </w:p>
    <w:p w:rsidR="0088341A" w:rsidRPr="00330C22" w:rsidRDefault="0088341A" w:rsidP="0088341A">
      <w:pPr>
        <w:pStyle w:val="HeadingBoldItalic"/>
        <w:keepNext/>
        <w:keepLines/>
      </w:pPr>
      <w:r>
        <w:t>Step</w:t>
      </w:r>
    </w:p>
    <w:p w:rsidR="0088341A" w:rsidRPr="000D3BA7" w:rsidRDefault="0088341A" w:rsidP="0088341A">
      <w:pPr>
        <w:pStyle w:val="AERbodytext"/>
        <w:keepNext/>
        <w:keepLines/>
        <w:numPr>
          <w:ilvl w:val="0"/>
          <w:numId w:val="0"/>
        </w:numPr>
      </w:pPr>
      <w:r w:rsidRPr="0090227D">
        <w:t xml:space="preserve">We may also add step changes for other efficient costs not reflected in base opex. </w:t>
      </w:r>
      <w:r w:rsidR="00B13A6E">
        <w:t>Our</w:t>
      </w:r>
      <w:r w:rsidR="00B13A6E" w:rsidRPr="0090227D">
        <w:t xml:space="preserve"> </w:t>
      </w:r>
      <w:r w:rsidRPr="0090227D">
        <w:t xml:space="preserve">main consideration for step changes is changes to regulatory obligations. </w:t>
      </w:r>
      <w:r>
        <w:t>S</w:t>
      </w:r>
      <w:r w:rsidRPr="0090227D">
        <w:t>tep change</w:t>
      </w:r>
      <w:r>
        <w:t>s should</w:t>
      </w:r>
      <w:r w:rsidRPr="0090227D">
        <w:t xml:space="preserve"> relate to a</w:t>
      </w:r>
      <w:r w:rsidR="000E5BDB">
        <w:t xml:space="preserve"> </w:t>
      </w:r>
      <w:r w:rsidRPr="0090227D">
        <w:t>n</w:t>
      </w:r>
      <w:r w:rsidR="000E5BDB">
        <w:t>ew</w:t>
      </w:r>
      <w:r w:rsidRPr="0090227D">
        <w:t xml:space="preserve"> obligation or some change in its operating environment beyond its control. A step change should not be provided if a</w:t>
      </w:r>
      <w:r>
        <w:t xml:space="preserve"> T</w:t>
      </w:r>
      <w:r w:rsidRPr="0090227D">
        <w:t>NSP simply wants to do thing</w:t>
      </w:r>
      <w:r w:rsidR="00A447AA">
        <w:t>s</w:t>
      </w:r>
      <w:r w:rsidRPr="0090227D">
        <w:t xml:space="preserve"> differently.</w:t>
      </w:r>
      <w:r>
        <w:t xml:space="preserve"> Our submission </w:t>
      </w:r>
      <w:r w:rsidRPr="000D3BA7">
        <w:t xml:space="preserve">guideline </w:t>
      </w:r>
      <w:r w:rsidR="00A447AA">
        <w:t>provides</w:t>
      </w:r>
      <w:r w:rsidRPr="000D3BA7">
        <w:t>:</w:t>
      </w:r>
      <w:r w:rsidR="00D30148">
        <w:rPr>
          <w:rStyle w:val="FootnoteReference"/>
        </w:rPr>
        <w:footnoteReference w:id="266"/>
      </w:r>
    </w:p>
    <w:p w:rsidR="0088341A" w:rsidRPr="000D3BA7" w:rsidRDefault="0088341A" w:rsidP="0088341A">
      <w:pPr>
        <w:pStyle w:val="AERquote"/>
      </w:pPr>
      <w:r w:rsidRPr="000D3BA7">
        <w:t xml:space="preserve">the operating expenditure forecast must include any necessary adjustments for changes in responsibilities that result from compliance with a new or amended law or licence, or other statutory or regulatory requirements, including a requirement that can be demonstrated to arise directly from a recognised policy, practice or policy generally applicable to similar firms participating in the National Electricity Market. </w:t>
      </w:r>
    </w:p>
    <w:p w:rsidR="0088341A" w:rsidRPr="00FF25A4" w:rsidRDefault="0088341A" w:rsidP="0088341A">
      <w:pPr>
        <w:pStyle w:val="HeadingBoldItalic"/>
      </w:pPr>
      <w:r>
        <w:t>Trend</w:t>
      </w:r>
    </w:p>
    <w:p w:rsidR="0088341A" w:rsidRDefault="0088341A" w:rsidP="0088341A">
      <w:pPr>
        <w:pStyle w:val="AERbodytext"/>
        <w:numPr>
          <w:ilvl w:val="0"/>
          <w:numId w:val="13"/>
        </w:numPr>
      </w:pPr>
      <w:r w:rsidRPr="00330C22">
        <w:t xml:space="preserve">We trend forward base opex by accounting for forecast changes to input costs, output growth and productivity improvements </w:t>
      </w:r>
      <w:r>
        <w:t xml:space="preserve">(such as economies of scale) </w:t>
      </w:r>
      <w:r w:rsidRPr="00330C22">
        <w:t xml:space="preserve">in the forecast period. </w:t>
      </w:r>
    </w:p>
    <w:p w:rsidR="0088341A" w:rsidRDefault="0088341A" w:rsidP="0088341A">
      <w:pPr>
        <w:pStyle w:val="HeadingBoldItalic"/>
      </w:pPr>
      <w:r>
        <w:t>Testing the proposal</w:t>
      </w:r>
    </w:p>
    <w:p w:rsidR="0088341A" w:rsidRDefault="00805FDD" w:rsidP="008066BA">
      <w:pPr>
        <w:pStyle w:val="AERbodytext"/>
        <w:numPr>
          <w:ilvl w:val="0"/>
          <w:numId w:val="13"/>
        </w:numPr>
      </w:pPr>
      <w:r w:rsidRPr="00805FDD">
        <w:t xml:space="preserve">If a TNSP's total opex forecast (or components of the forecasts) </w:t>
      </w:r>
      <w:r w:rsidR="00A447AA" w:rsidRPr="00805FDD">
        <w:t xml:space="preserve">is </w:t>
      </w:r>
      <w:r w:rsidRPr="00805FDD">
        <w:t xml:space="preserve">greater than estimates we develop using our assessment techniques and there is no satisfactory explanation for this difference, we </w:t>
      </w:r>
      <w:r w:rsidR="00A447AA">
        <w:t>may</w:t>
      </w:r>
      <w:r w:rsidR="00A447AA" w:rsidRPr="00805FDD">
        <w:t xml:space="preserve"> </w:t>
      </w:r>
      <w:r w:rsidRPr="00805FDD">
        <w:t>form the view that the TNSP's estimate does not reasonably reflect the expenditure criteria. In this case, we will amend the TNSP's forecast or substitute our own estimate that reasonably reflects the expenditure criteria.</w:t>
      </w:r>
      <w:r w:rsidR="0088341A" w:rsidRPr="00616B4C">
        <w:rPr>
          <w:rStyle w:val="FootnoteReference"/>
        </w:rPr>
        <w:footnoteReference w:id="267"/>
      </w:r>
    </w:p>
    <w:p w:rsidR="0088341A" w:rsidRDefault="0088341A" w:rsidP="0088341A">
      <w:pPr>
        <w:pStyle w:val="HeadingBoldBlue"/>
      </w:pPr>
      <w:r>
        <w:t>Why we use the revealed costs approach as an assessment tool</w:t>
      </w:r>
    </w:p>
    <w:p w:rsidR="00635B90" w:rsidRDefault="00635B90" w:rsidP="008066BA">
      <w:pPr>
        <w:pStyle w:val="AERbodytext"/>
        <w:numPr>
          <w:ilvl w:val="0"/>
          <w:numId w:val="13"/>
        </w:numPr>
      </w:pPr>
      <w:r>
        <w:t>W</w:t>
      </w:r>
      <w:r w:rsidR="00995B32">
        <w:t xml:space="preserve">e </w:t>
      </w:r>
      <w:r>
        <w:t>prefer the</w:t>
      </w:r>
      <w:r w:rsidR="0088341A" w:rsidRPr="0084454F">
        <w:t xml:space="preserve"> revealed costs approach to other forecasting methods for controllable opex</w:t>
      </w:r>
      <w:r w:rsidR="00646F51">
        <w:t xml:space="preserve"> for many reasons</w:t>
      </w:r>
      <w:r w:rsidR="00066D27">
        <w:t>;</w:t>
      </w:r>
      <w:r w:rsidR="00805FDD">
        <w:t xml:space="preserve"> we discuss </w:t>
      </w:r>
      <w:r w:rsidR="00066D27">
        <w:t xml:space="preserve">these </w:t>
      </w:r>
      <w:r w:rsidR="00805FDD">
        <w:t>in full in our</w:t>
      </w:r>
      <w:r w:rsidR="00805FDD" w:rsidRPr="00805FDD">
        <w:t xml:space="preserve"> </w:t>
      </w:r>
      <w:r w:rsidR="00805FDD">
        <w:t>‘</w:t>
      </w:r>
      <w:r w:rsidR="00805FDD" w:rsidRPr="005A216C">
        <w:rPr>
          <w:rStyle w:val="AERtextitalic"/>
        </w:rPr>
        <w:t>Better regulation</w:t>
      </w:r>
      <w:r w:rsidR="002C6A79" w:rsidRPr="005A216C">
        <w:rPr>
          <w:rStyle w:val="AERtextitalic"/>
        </w:rPr>
        <w:t xml:space="preserve">: </w:t>
      </w:r>
      <w:r w:rsidR="00805FDD" w:rsidRPr="005A216C">
        <w:rPr>
          <w:rStyle w:val="AERtextitalic"/>
        </w:rPr>
        <w:t>Draft expenditure forecast assessment guideline for electricity transmission</w:t>
      </w:r>
      <w:r w:rsidR="00805FDD">
        <w:t>’ (</w:t>
      </w:r>
      <w:r w:rsidR="00805FDD" w:rsidRPr="00805FDD">
        <w:t>August 2013</w:t>
      </w:r>
      <w:r w:rsidR="00805FDD">
        <w:t>).</w:t>
      </w:r>
      <w:r w:rsidR="0088341A">
        <w:rPr>
          <w:rStyle w:val="FootnoteReference"/>
        </w:rPr>
        <w:footnoteReference w:id="268"/>
      </w:r>
      <w:r w:rsidR="0088341A" w:rsidRPr="0084454F">
        <w:t xml:space="preserve"> </w:t>
      </w:r>
      <w:r w:rsidR="009D1803">
        <w:t xml:space="preserve">Throughout this draft decision we note specific instances where the revealed costs approach is likely to provide a better forecast than the alternative proposed by SP AusNet.  </w:t>
      </w:r>
      <w:r>
        <w:t>However, in summary:</w:t>
      </w:r>
    </w:p>
    <w:p w:rsidR="0088341A" w:rsidRDefault="0088341A" w:rsidP="005A216C">
      <w:pPr>
        <w:pStyle w:val="AERbulletlistfirststyle"/>
      </w:pPr>
      <w:r w:rsidRPr="0084454F">
        <w:t>Controllable opex has a recurrent nature</w:t>
      </w:r>
      <w:r w:rsidR="004D5235">
        <w:t xml:space="preserve"> and </w:t>
      </w:r>
      <w:r w:rsidR="009E166E">
        <w:t>historical</w:t>
      </w:r>
      <w:r w:rsidRPr="0084454F">
        <w:t xml:space="preserve"> costs therefore usually provide a good indicator of future costs. If the actual costs in a base year are efficient then those revealed costs will generally provide a good indicator of future efficient costs. </w:t>
      </w:r>
      <w:r>
        <w:t>Using revealed costs, w</w:t>
      </w:r>
      <w:r w:rsidRPr="00330C22">
        <w:t xml:space="preserve">e can thus perform a non-intrusive assessment of and determination on opex allowances. </w:t>
      </w:r>
    </w:p>
    <w:p w:rsidR="002C6A79" w:rsidRDefault="00A447AA" w:rsidP="005A216C">
      <w:pPr>
        <w:pStyle w:val="AERbulletlistfirststyle"/>
      </w:pPr>
      <w:r>
        <w:t>The</w:t>
      </w:r>
      <w:r w:rsidR="002A0246" w:rsidRPr="00330C22">
        <w:t xml:space="preserve"> revealed cost </w:t>
      </w:r>
      <w:r w:rsidR="002A0246">
        <w:t xml:space="preserve">approach </w:t>
      </w:r>
      <w:r w:rsidR="002A0246" w:rsidRPr="00330C22">
        <w:t>works in tandem with the</w:t>
      </w:r>
      <w:r w:rsidR="002A0246">
        <w:t xml:space="preserve"> incentive framework</w:t>
      </w:r>
      <w:r>
        <w:t xml:space="preserve"> to provide </w:t>
      </w:r>
      <w:r w:rsidR="009D1803">
        <w:t>a forecast</w:t>
      </w:r>
      <w:r>
        <w:t xml:space="preserve"> of efficient recurrent operating expenditure</w:t>
      </w:r>
      <w:r w:rsidR="002A0246" w:rsidRPr="00330C22">
        <w:t>.</w:t>
      </w:r>
      <w:r w:rsidR="002C6A79">
        <w:rPr>
          <w:rStyle w:val="FootnoteReference"/>
        </w:rPr>
        <w:footnoteReference w:id="269"/>
      </w:r>
      <w:r w:rsidR="002A0246" w:rsidRPr="00330C22">
        <w:t xml:space="preserve"> </w:t>
      </w:r>
      <w:r w:rsidR="002C6A79" w:rsidRPr="002C6A79">
        <w:t xml:space="preserve">Where a TNSP has operated under an effective incentive framework, actual past expenditure should be a good indicator of the efficient expenditure the TNSP requires in the future. The ex ante incentive regime provides an incentive to reduce expenditure because TNSPs can retain a portion of cost savings (i.e. by spending less than the AER's allowance) made during the regulatory control period. </w:t>
      </w:r>
    </w:p>
    <w:p w:rsidR="00635B90" w:rsidRDefault="0088341A" w:rsidP="00E8656D">
      <w:pPr>
        <w:pStyle w:val="AERbulletlistfirststyle"/>
      </w:pPr>
      <w:r>
        <w:lastRenderedPageBreak/>
        <w:t xml:space="preserve">Bottom up builds of costs, by contrast, are disconnected from the incentive framework. </w:t>
      </w:r>
      <w:r w:rsidR="00635B90">
        <w:t xml:space="preserve">Bottom-up builds </w:t>
      </w:r>
      <w:r>
        <w:t xml:space="preserve">are </w:t>
      </w:r>
      <w:r w:rsidR="00635B90">
        <w:t>d</w:t>
      </w:r>
      <w:r>
        <w:t xml:space="preserve">ifficult to assess as efficient because of </w:t>
      </w:r>
      <w:r w:rsidR="00635B90">
        <w:t xml:space="preserve">the </w:t>
      </w:r>
      <w:r>
        <w:t xml:space="preserve">disconnect from </w:t>
      </w:r>
      <w:r w:rsidR="00C36171">
        <w:t xml:space="preserve">actual past </w:t>
      </w:r>
      <w:r>
        <w:t>expenditure.</w:t>
      </w:r>
      <w:r w:rsidR="001153EB">
        <w:t xml:space="preserve"> We provide some examples of this interaction at the end of this chapter (section </w:t>
      </w:r>
      <w:r w:rsidR="001153EB">
        <w:fldChar w:fldCharType="begin"/>
      </w:r>
      <w:r w:rsidR="001153EB">
        <w:instrText xml:space="preserve"> REF _Ref363813915 \r \h </w:instrText>
      </w:r>
      <w:r w:rsidR="001153EB">
        <w:fldChar w:fldCharType="separate"/>
      </w:r>
      <w:r w:rsidR="004F35AA">
        <w:t>3.4.3</w:t>
      </w:r>
      <w:r w:rsidR="001153EB">
        <w:fldChar w:fldCharType="end"/>
      </w:r>
      <w:r w:rsidR="001153EB">
        <w:t>).</w:t>
      </w:r>
      <w:r w:rsidR="001153EB" w:rsidRPr="001153EB">
        <w:t xml:space="preserve"> </w:t>
      </w:r>
      <w:r w:rsidR="001153EB">
        <w:t xml:space="preserve">Further, </w:t>
      </w:r>
      <w:r w:rsidR="00C36171">
        <w:t xml:space="preserve">efficiencies that may be achieved at portfolio-level </w:t>
      </w:r>
      <w:r w:rsidR="001153EB">
        <w:t xml:space="preserve">may not be reflected in </w:t>
      </w:r>
      <w:r w:rsidR="00C36171">
        <w:t>the</w:t>
      </w:r>
      <w:r w:rsidR="001153EB">
        <w:t xml:space="preserve"> bottom up aggregation of constituent projects.</w:t>
      </w:r>
    </w:p>
    <w:p w:rsidR="0088341A" w:rsidRDefault="0088341A" w:rsidP="00E8656D">
      <w:pPr>
        <w:pStyle w:val="AERbulletlistfirststyle"/>
      </w:pPr>
      <w:r>
        <w:t>The r</w:t>
      </w:r>
      <w:r w:rsidRPr="001D261F">
        <w:t xml:space="preserve">evealed costs </w:t>
      </w:r>
      <w:r>
        <w:t xml:space="preserve">approach </w:t>
      </w:r>
      <w:r w:rsidRPr="001D261F">
        <w:t>mitigate</w:t>
      </w:r>
      <w:r>
        <w:t>s</w:t>
      </w:r>
      <w:r w:rsidRPr="001D261F">
        <w:t xml:space="preserve"> the problem of information asymmetry faced by regulators of natural monopolies</w:t>
      </w:r>
      <w:r>
        <w:t xml:space="preserve">. It can help balance the natural tendency for </w:t>
      </w:r>
      <w:r w:rsidR="004D5235">
        <w:t>T</w:t>
      </w:r>
      <w:r>
        <w:t xml:space="preserve">NSP’s to act strategically in relation to information in its control. </w:t>
      </w:r>
    </w:p>
    <w:p w:rsidR="0088341A" w:rsidRDefault="0088341A" w:rsidP="0088341A">
      <w:pPr>
        <w:pStyle w:val="HeadingBoldBlue"/>
      </w:pPr>
      <w:r>
        <w:t>How the revealed costs approach interacts with opex incentive schemes</w:t>
      </w:r>
    </w:p>
    <w:p w:rsidR="0088341A" w:rsidRDefault="0088341A" w:rsidP="0088341A">
      <w:pPr>
        <w:pStyle w:val="AERbodytext"/>
        <w:numPr>
          <w:ilvl w:val="0"/>
          <w:numId w:val="13"/>
        </w:numPr>
      </w:pPr>
      <w:r w:rsidRPr="00330C22">
        <w:t xml:space="preserve">Under the NER's chapter 6A incentive framework, TNSPs are subject to an </w:t>
      </w:r>
      <w:r w:rsidR="00640836">
        <w:t xml:space="preserve">EBSS </w:t>
      </w:r>
      <w:r w:rsidRPr="00330C22">
        <w:t xml:space="preserve">and a revenue cap control mechanism. The revenue cap control mechanism means revenue is fixed during the regulatory control period, so the TNSP retains any cost savings. </w:t>
      </w:r>
      <w:r>
        <w:t>T</w:t>
      </w:r>
      <w:r w:rsidRPr="00330C22">
        <w:t>he application of our EBSS provides a contin</w:t>
      </w:r>
      <w:r>
        <w:t>uous incentive for TNSP's to make savings because the T</w:t>
      </w:r>
      <w:r w:rsidRPr="00314F57">
        <w:t xml:space="preserve">NSP </w:t>
      </w:r>
      <w:r w:rsidR="007662FB">
        <w:t xml:space="preserve">is allowed </w:t>
      </w:r>
      <w:r w:rsidRPr="00314F57">
        <w:t xml:space="preserve">to retain the benefits of an efficiency gain for five years, irrespective of the year of the regulatory control period in which </w:t>
      </w:r>
      <w:r w:rsidR="007662FB">
        <w:t>it</w:t>
      </w:r>
      <w:r w:rsidRPr="00314F57">
        <w:t xml:space="preserve"> made the efficiency gain.</w:t>
      </w:r>
      <w:r>
        <w:rPr>
          <w:rStyle w:val="FootnoteReference"/>
        </w:rPr>
        <w:footnoteReference w:id="270"/>
      </w:r>
      <w:r w:rsidRPr="00314F57">
        <w:t xml:space="preserve"> The </w:t>
      </w:r>
      <w:r>
        <w:t>T</w:t>
      </w:r>
      <w:r w:rsidRPr="00314F57">
        <w:t xml:space="preserve">NSP thus faces a constant incentive to pursue efficiency gains over a regulatory control period. </w:t>
      </w:r>
      <w:r w:rsidRPr="00744C5C">
        <w:t xml:space="preserve">The EBSS allows efficiency benefits </w:t>
      </w:r>
      <w:r>
        <w:t xml:space="preserve">to be shared </w:t>
      </w:r>
      <w:r w:rsidRPr="00744C5C">
        <w:t>between customers and the TNSP</w:t>
      </w:r>
      <w:r>
        <w:t xml:space="preserve">; the TNSP is rewarded </w:t>
      </w:r>
      <w:r w:rsidRPr="00744C5C">
        <w:t xml:space="preserve">approximately 30 per cent of the net present value of </w:t>
      </w:r>
      <w:r>
        <w:t>the 'saving' and t</w:t>
      </w:r>
      <w:r w:rsidRPr="00744C5C">
        <w:t>he remaining 70 per cent of the benefits flow through to</w:t>
      </w:r>
      <w:r>
        <w:t xml:space="preserve"> consumers. The interaction of the EBSS and revealed costs system works, irrespective of whether the underspend was </w:t>
      </w:r>
      <w:r w:rsidR="004D5235">
        <w:t>recurrent or non-recurrent</w:t>
      </w:r>
      <w:r>
        <w:t xml:space="preserve"> efficiency gain.</w:t>
      </w:r>
      <w:r>
        <w:rPr>
          <w:rStyle w:val="FootnoteReference"/>
        </w:rPr>
        <w:footnoteReference w:id="271"/>
      </w:r>
      <w:r>
        <w:t xml:space="preserve"> </w:t>
      </w:r>
    </w:p>
    <w:p w:rsidR="0088341A" w:rsidRPr="004F7A09" w:rsidRDefault="0088341A" w:rsidP="0088341A">
      <w:pPr>
        <w:pStyle w:val="HeadingBoldBlue"/>
        <w:rPr>
          <w:rStyle w:val="AERtextbolditalics"/>
          <w:b/>
          <w:i w:val="0"/>
        </w:rPr>
      </w:pPr>
      <w:bookmarkStart w:id="194" w:name="_Ref362279189"/>
      <w:r w:rsidRPr="004F7A09">
        <w:t>How expert technical reviews assist our assessment</w:t>
      </w:r>
      <w:bookmarkEnd w:id="194"/>
      <w:r w:rsidRPr="004F7A09">
        <w:t xml:space="preserve"> </w:t>
      </w:r>
    </w:p>
    <w:p w:rsidR="0088341A" w:rsidRPr="007F769B" w:rsidRDefault="0088341A" w:rsidP="007F769B">
      <w:pPr>
        <w:pStyle w:val="AERbodytext"/>
      </w:pPr>
      <w:r w:rsidRPr="007F769B">
        <w:t>We engage</w:t>
      </w:r>
      <w:r w:rsidR="00193AC1" w:rsidRPr="007F769B">
        <w:t>d</w:t>
      </w:r>
      <w:r w:rsidRPr="007F769B">
        <w:t xml:space="preserve"> expert technical advisors to review the proposed opex from a bottom up technical perspective. The purpose of this part of our assessment is to help us determine whether the proposed expenditure is reasonable in terms of cost, scope and timing. If the consultant advises the forecast is overstated and requires adjustment then we may not be satisfied the proposed expenditure reasonably reflects the opex criteria. </w:t>
      </w:r>
    </w:p>
    <w:p w:rsidR="00A014CA" w:rsidRPr="00A014CA" w:rsidRDefault="0088341A" w:rsidP="00A73EF2">
      <w:pPr>
        <w:pStyle w:val="AERbodytext"/>
      </w:pPr>
      <w:r w:rsidRPr="00A014CA">
        <w:t xml:space="preserve">While we seek the consultants’ advice and expertise in helping understand the proposal from a technical perspective, we are not bound to use the consultants' forecast or adjustments as a replacement. Instead we take into account all the available relevant information and then use judgement and a broader array of interconnecting information to arrive at a balanced decision. In this we consider the </w:t>
      </w:r>
      <w:r w:rsidR="009E166E">
        <w:t>historical</w:t>
      </w:r>
      <w:r w:rsidRPr="00A014CA">
        <w:t xml:space="preserve"> expenditure, incentives, risk transfers and economic principles. Importantly, our assessment is on total opex and considers the wider economic context and the regulatory framework. </w:t>
      </w:r>
    </w:p>
    <w:p w:rsidR="0088341A" w:rsidRDefault="0088341A" w:rsidP="0088341A">
      <w:pPr>
        <w:pStyle w:val="Heading2"/>
        <w:numPr>
          <w:ilvl w:val="2"/>
          <w:numId w:val="20"/>
        </w:numPr>
      </w:pPr>
      <w:bookmarkStart w:id="195" w:name="_Toc365283300"/>
      <w:r>
        <w:t>Reasons for draft decision</w:t>
      </w:r>
      <w:bookmarkEnd w:id="195"/>
      <w:r>
        <w:t xml:space="preserve"> </w:t>
      </w:r>
    </w:p>
    <w:p w:rsidR="0088341A" w:rsidRDefault="00640836" w:rsidP="008066BA">
      <w:pPr>
        <w:pStyle w:val="AERbodytext"/>
        <w:numPr>
          <w:ilvl w:val="0"/>
          <w:numId w:val="13"/>
        </w:numPr>
      </w:pPr>
      <w:r>
        <w:t xml:space="preserve">In deciding whether </w:t>
      </w:r>
      <w:r w:rsidR="0088341A">
        <w:t>we are satisfied that the proposed opex forecast meets the opex criteria, we must have regard to the opex factors.</w:t>
      </w:r>
      <w:r w:rsidR="0088341A">
        <w:rPr>
          <w:rStyle w:val="FootnoteReference"/>
        </w:rPr>
        <w:footnoteReference w:id="272"/>
      </w:r>
      <w:r w:rsidR="0088341A">
        <w:t xml:space="preserve"> </w:t>
      </w:r>
      <w:r w:rsidR="00AD56B4">
        <w:t xml:space="preserve">We took these factors into account as noted throughout this attachment. </w:t>
      </w:r>
      <w:r w:rsidR="0088341A">
        <w:t xml:space="preserve">The most relevant factors </w:t>
      </w:r>
      <w:r w:rsidR="00AD56B4">
        <w:t xml:space="preserve">with regard </w:t>
      </w:r>
      <w:r w:rsidR="0088341A">
        <w:t>to our decision were:</w:t>
      </w:r>
    </w:p>
    <w:p w:rsidR="0088341A" w:rsidRDefault="00640836" w:rsidP="0088341A">
      <w:pPr>
        <w:pStyle w:val="AERbulletlistfirststyle"/>
      </w:pPr>
      <w:r>
        <w:t>t</w:t>
      </w:r>
      <w:r w:rsidR="0088341A">
        <w:t>he information included in or accompanying the revenue proposal</w:t>
      </w:r>
      <w:r w:rsidR="0088341A">
        <w:rPr>
          <w:rStyle w:val="FootnoteReference"/>
        </w:rPr>
        <w:footnoteReference w:id="273"/>
      </w:r>
    </w:p>
    <w:p w:rsidR="0088341A" w:rsidRDefault="00640836" w:rsidP="0088341A">
      <w:pPr>
        <w:pStyle w:val="AERbulletlistfirststyle"/>
      </w:pPr>
      <w:r>
        <w:lastRenderedPageBreak/>
        <w:t>s</w:t>
      </w:r>
      <w:r w:rsidR="0088341A">
        <w:t xml:space="preserve">ubmissions received </w:t>
      </w:r>
      <w:r>
        <w:t>when</w:t>
      </w:r>
      <w:r w:rsidR="0088341A">
        <w:t xml:space="preserve"> consulting on the revenue proposal</w:t>
      </w:r>
      <w:r w:rsidR="0088341A">
        <w:rPr>
          <w:rStyle w:val="FootnoteReference"/>
        </w:rPr>
        <w:footnoteReference w:id="274"/>
      </w:r>
    </w:p>
    <w:p w:rsidR="0088341A" w:rsidRDefault="00640836" w:rsidP="0088341A">
      <w:pPr>
        <w:pStyle w:val="AERbulletlistfirststyle"/>
      </w:pPr>
      <w:r>
        <w:t>t</w:t>
      </w:r>
      <w:r w:rsidR="0088341A">
        <w:t>he analysis undertaken by the AER and analysis undertaken for the AER which is published as part of this draft decision</w:t>
      </w:r>
      <w:r w:rsidR="0088341A">
        <w:rPr>
          <w:rStyle w:val="FootnoteReference"/>
        </w:rPr>
        <w:footnoteReference w:id="275"/>
      </w:r>
    </w:p>
    <w:p w:rsidR="0088341A" w:rsidRDefault="00640836" w:rsidP="0088341A">
      <w:pPr>
        <w:pStyle w:val="AERbulletlistfirststyle"/>
      </w:pPr>
      <w:r>
        <w:t>b</w:t>
      </w:r>
      <w:r w:rsidR="0088341A">
        <w:t xml:space="preserve">enchmark </w:t>
      </w:r>
      <w:r>
        <w:t>opex</w:t>
      </w:r>
      <w:r w:rsidR="0088341A">
        <w:t xml:space="preserve"> an efficient TNSP </w:t>
      </w:r>
      <w:r>
        <w:t xml:space="preserve">would incur </w:t>
      </w:r>
      <w:r w:rsidR="0088341A">
        <w:t>over the regulatory control period</w:t>
      </w:r>
      <w:r w:rsidR="0088341A">
        <w:rPr>
          <w:rStyle w:val="FootnoteReference"/>
        </w:rPr>
        <w:footnoteReference w:id="276"/>
      </w:r>
    </w:p>
    <w:p w:rsidR="0088341A" w:rsidRDefault="00640836" w:rsidP="0088341A">
      <w:pPr>
        <w:pStyle w:val="AERbulletlistfirststyle"/>
      </w:pPr>
      <w:r>
        <w:t>t</w:t>
      </w:r>
      <w:r w:rsidR="0088341A">
        <w:t xml:space="preserve">he actual and expected </w:t>
      </w:r>
      <w:r>
        <w:t>opex</w:t>
      </w:r>
      <w:r w:rsidR="0088341A">
        <w:t xml:space="preserve"> of the provider during any preceding regulatory control periods</w:t>
      </w:r>
      <w:r w:rsidR="0088341A">
        <w:rPr>
          <w:rStyle w:val="FootnoteReference"/>
        </w:rPr>
        <w:footnoteReference w:id="277"/>
      </w:r>
    </w:p>
    <w:p w:rsidR="0088341A" w:rsidRDefault="00640836" w:rsidP="0088341A">
      <w:pPr>
        <w:pStyle w:val="AERbulletlistfirststyle"/>
      </w:pPr>
      <w:r>
        <w:t>t</w:t>
      </w:r>
      <w:r w:rsidR="0088341A">
        <w:t>he relative prices of operating and capital inputs</w:t>
      </w:r>
      <w:r w:rsidR="0088341A">
        <w:rPr>
          <w:rStyle w:val="FootnoteReference"/>
        </w:rPr>
        <w:footnoteReference w:id="278"/>
      </w:r>
    </w:p>
    <w:p w:rsidR="0088341A" w:rsidRDefault="00640836" w:rsidP="0088341A">
      <w:pPr>
        <w:pStyle w:val="AERbulletlistfirststyle"/>
      </w:pPr>
      <w:r>
        <w:t>t</w:t>
      </w:r>
      <w:r w:rsidR="0088341A">
        <w:t xml:space="preserve">he substitution possibilities between </w:t>
      </w:r>
      <w:r>
        <w:t>opex and capex</w:t>
      </w:r>
      <w:r w:rsidR="0088341A">
        <w:rPr>
          <w:rStyle w:val="FootnoteReference"/>
        </w:rPr>
        <w:footnoteReference w:id="279"/>
      </w:r>
    </w:p>
    <w:p w:rsidR="0088341A" w:rsidRPr="00A907E9" w:rsidRDefault="0088341A" w:rsidP="0088341A">
      <w:pPr>
        <w:pStyle w:val="Heading3"/>
        <w:numPr>
          <w:ilvl w:val="3"/>
          <w:numId w:val="20"/>
        </w:numPr>
      </w:pPr>
      <w:bookmarkStart w:id="196" w:name="_Ref363342347"/>
      <w:r w:rsidRPr="00A907E9">
        <w:t>Reasons for not accepting the proposal</w:t>
      </w:r>
      <w:bookmarkEnd w:id="196"/>
    </w:p>
    <w:p w:rsidR="00CF11F1" w:rsidRDefault="004113DE" w:rsidP="00206240">
      <w:pPr>
        <w:pStyle w:val="AERbodytext"/>
        <w:numPr>
          <w:ilvl w:val="0"/>
          <w:numId w:val="13"/>
        </w:numPr>
      </w:pPr>
      <w:r>
        <w:t>W</w:t>
      </w:r>
      <w:r w:rsidR="00CF11F1">
        <w:t>e tested the proposed expenditure using t</w:t>
      </w:r>
      <w:r w:rsidR="00C57376">
        <w:t>wo primary approaches: a top down and a bottom up analysis. These reviews found that SP AusNet’s opex forecast was more than reasonably required to achieve the opex criteria</w:t>
      </w:r>
      <w:r>
        <w:t>.</w:t>
      </w:r>
      <w:r w:rsidR="00B13A6E">
        <w:t xml:space="preserve"> </w:t>
      </w:r>
      <w:r w:rsidR="00CF11F1">
        <w:t xml:space="preserve">Our </w:t>
      </w:r>
      <w:r>
        <w:t xml:space="preserve">detailed </w:t>
      </w:r>
      <w:r w:rsidR="00CF11F1">
        <w:t xml:space="preserve">reasons for </w:t>
      </w:r>
      <w:r w:rsidR="00B13A6E">
        <w:t xml:space="preserve">why we </w:t>
      </w:r>
      <w:r w:rsidR="00DA706F">
        <w:t>are not</w:t>
      </w:r>
      <w:r w:rsidR="00B13A6E">
        <w:t xml:space="preserve"> reasonably satisfied the proposed forecast reasonably reflects the opex criteria </w:t>
      </w:r>
      <w:r w:rsidR="00CF11F1">
        <w:t>are discussed under the following subheadings:</w:t>
      </w:r>
    </w:p>
    <w:p w:rsidR="00CF11F1" w:rsidRPr="00A73EF2" w:rsidRDefault="00725575" w:rsidP="00832F8A">
      <w:pPr>
        <w:pStyle w:val="AERbulletlistfirststyle"/>
        <w:rPr>
          <w:rStyle w:val="AERbody"/>
        </w:rPr>
      </w:pPr>
      <w:r>
        <w:t>Methodology and governance review</w:t>
      </w:r>
    </w:p>
    <w:p w:rsidR="00CF11F1" w:rsidRPr="00A73EF2" w:rsidRDefault="00CF11F1" w:rsidP="00832F8A">
      <w:pPr>
        <w:pStyle w:val="AERbulletlistfirststyle"/>
        <w:rPr>
          <w:rStyle w:val="AERbody"/>
        </w:rPr>
      </w:pPr>
      <w:r w:rsidRPr="00A73EF2">
        <w:rPr>
          <w:rStyle w:val="AERbody"/>
        </w:rPr>
        <w:t>SP AusNet</w:t>
      </w:r>
      <w:r w:rsidRPr="00A73EF2">
        <w:rPr>
          <w:rStyle w:val="AERbody"/>
          <w:rFonts w:hint="eastAsia"/>
        </w:rPr>
        <w:t>’</w:t>
      </w:r>
      <w:r w:rsidRPr="00A73EF2">
        <w:rPr>
          <w:rStyle w:val="AERbody"/>
        </w:rPr>
        <w:t>s bottom up forecast</w:t>
      </w:r>
      <w:r w:rsidR="004113DE" w:rsidRPr="00A73EF2">
        <w:rPr>
          <w:rStyle w:val="AERbody"/>
        </w:rPr>
        <w:t>s for controllable opex (asset works and insurance)</w:t>
      </w:r>
    </w:p>
    <w:p w:rsidR="00CF11F1" w:rsidRPr="00A73EF2" w:rsidRDefault="00725575" w:rsidP="00832F8A">
      <w:pPr>
        <w:pStyle w:val="AERbulletlistfirststyle"/>
        <w:rPr>
          <w:rStyle w:val="AERbody"/>
        </w:rPr>
      </w:pPr>
      <w:r>
        <w:rPr>
          <w:rStyle w:val="AERbody"/>
        </w:rPr>
        <w:t>SP AusNet’s b</w:t>
      </w:r>
      <w:r w:rsidR="00CF11F1" w:rsidRPr="00A73EF2">
        <w:rPr>
          <w:rStyle w:val="AERbody"/>
        </w:rPr>
        <w:t>ase</w:t>
      </w:r>
      <w:r>
        <w:rPr>
          <w:rStyle w:val="AERbody"/>
        </w:rPr>
        <w:t>-</w:t>
      </w:r>
      <w:r w:rsidR="00CF11F1" w:rsidRPr="00A73EF2">
        <w:rPr>
          <w:rStyle w:val="AERbody"/>
        </w:rPr>
        <w:t>step</w:t>
      </w:r>
      <w:r>
        <w:rPr>
          <w:rStyle w:val="AERbody"/>
        </w:rPr>
        <w:t>-</w:t>
      </w:r>
      <w:r w:rsidR="00CF11F1" w:rsidRPr="00A73EF2">
        <w:rPr>
          <w:rStyle w:val="AERbody"/>
        </w:rPr>
        <w:t xml:space="preserve">trend </w:t>
      </w:r>
      <w:r>
        <w:rPr>
          <w:rStyle w:val="AERbody"/>
        </w:rPr>
        <w:t>forecast for controllable opex</w:t>
      </w:r>
    </w:p>
    <w:p w:rsidR="00CF11F1" w:rsidRDefault="00CF11F1" w:rsidP="00832F8A">
      <w:pPr>
        <w:pStyle w:val="AERbulletlistfirststyle"/>
      </w:pPr>
      <w:r w:rsidRPr="00A73EF2">
        <w:rPr>
          <w:rStyle w:val="AERbody"/>
        </w:rPr>
        <w:t>Non-controllable</w:t>
      </w:r>
      <w:r>
        <w:t xml:space="preserve"> opex issues</w:t>
      </w:r>
    </w:p>
    <w:p w:rsidR="00CF11F1" w:rsidRDefault="00C57376" w:rsidP="00CC29DF">
      <w:pPr>
        <w:pStyle w:val="AERbulletlistfirststyle"/>
        <w:numPr>
          <w:ilvl w:val="0"/>
          <w:numId w:val="0"/>
        </w:numPr>
      </w:pPr>
      <w:r w:rsidRPr="007F769B">
        <w:rPr>
          <w:rStyle w:val="AERbodytextChar"/>
        </w:rPr>
        <w:t>Two fundamental points are relevant to how we perform our assessment. First, the NER requires us to form a view on forecast total opex, rather than subcomponents such as individual projects and programs</w:t>
      </w:r>
      <w:r>
        <w:t>.</w:t>
      </w:r>
      <w:r w:rsidR="00C972D6">
        <w:rPr>
          <w:rStyle w:val="FootnoteReference"/>
        </w:rPr>
        <w:footnoteReference w:id="280"/>
      </w:r>
      <w:r>
        <w:t xml:space="preserve"> </w:t>
      </w:r>
      <w:r w:rsidRPr="007F769B">
        <w:rPr>
          <w:rStyle w:val="AERbodytextChar"/>
        </w:rPr>
        <w:t xml:space="preserve">Second, we </w:t>
      </w:r>
      <w:r w:rsidR="00C972D6" w:rsidRPr="007F769B">
        <w:rPr>
          <w:rStyle w:val="AERbodytextChar"/>
        </w:rPr>
        <w:t>may have regard to a range of</w:t>
      </w:r>
      <w:r w:rsidRPr="007F769B">
        <w:rPr>
          <w:rStyle w:val="AERbodytextChar"/>
        </w:rPr>
        <w:t xml:space="preserve"> information to determine the reasonableness of a proposal and (if necessa</w:t>
      </w:r>
      <w:r w:rsidR="00CC29DF" w:rsidRPr="007F769B">
        <w:rPr>
          <w:rStyle w:val="AERbodytextChar"/>
        </w:rPr>
        <w:t>ry) the appropriate substitute</w:t>
      </w:r>
      <w:r w:rsidR="00CC29DF">
        <w:t>.</w:t>
      </w:r>
      <w:r w:rsidR="00C972D6">
        <w:rPr>
          <w:rStyle w:val="FootnoteReference"/>
        </w:rPr>
        <w:footnoteReference w:id="281"/>
      </w:r>
      <w:r w:rsidR="00CC29DF">
        <w:t xml:space="preserve"> </w:t>
      </w:r>
    </w:p>
    <w:p w:rsidR="00B329F2" w:rsidRDefault="00B329F2" w:rsidP="00A73EF2">
      <w:pPr>
        <w:pStyle w:val="HeadingBoldBlue"/>
      </w:pPr>
      <w:r>
        <w:t>Methodology and governance review</w:t>
      </w:r>
    </w:p>
    <w:p w:rsidR="004113DE" w:rsidRPr="007F769B" w:rsidRDefault="004113DE" w:rsidP="007F769B">
      <w:pPr>
        <w:pStyle w:val="AERbodytext"/>
      </w:pPr>
      <w:r w:rsidRPr="007F769B">
        <w:t xml:space="preserve">SP AusNet proposed using the revealed costs approach to forecast part of its controllable opex however it has proposed setting a proportion of its controllable opex, including that pertaining to asset works and insurance, using a separate bottom up build of costs. In this way, SP AusNet has adopted a hybrid approach in its proposal. </w:t>
      </w:r>
    </w:p>
    <w:p w:rsidR="00B94A92" w:rsidRDefault="00B94A92" w:rsidP="00B329F2">
      <w:pPr>
        <w:pStyle w:val="AERbulletlistfirststyle"/>
        <w:numPr>
          <w:ilvl w:val="0"/>
          <w:numId w:val="0"/>
        </w:numPr>
        <w:rPr>
          <w:rStyle w:val="AERbodytextChar"/>
        </w:rPr>
      </w:pPr>
      <w:r w:rsidRPr="00783639">
        <w:rPr>
          <w:rStyle w:val="AERbodytextChar"/>
        </w:rPr>
        <w:t xml:space="preserve">Such information may be useful in assisting us to decide on the potential efficiency of particular projects or programs but this information does not necessarily provide meaningful insights on the efficiency of the TNSP's overall expenditures, or its expenditure relative to other TNSPs and over time. </w:t>
      </w:r>
    </w:p>
    <w:p w:rsidR="00B329F2" w:rsidRDefault="00B30306" w:rsidP="00B329F2">
      <w:pPr>
        <w:pStyle w:val="AERbulletlistfirststyle"/>
        <w:numPr>
          <w:ilvl w:val="0"/>
          <w:numId w:val="0"/>
        </w:numPr>
        <w:rPr>
          <w:rStyle w:val="AERbodytextChar"/>
        </w:rPr>
      </w:pPr>
      <w:r>
        <w:rPr>
          <w:rStyle w:val="AERbodytextChar"/>
        </w:rPr>
        <w:lastRenderedPageBreak/>
        <w:t xml:space="preserve">There are potential </w:t>
      </w:r>
      <w:r w:rsidR="00B94A92" w:rsidRPr="00783639">
        <w:rPr>
          <w:rStyle w:val="AERbodytextChar"/>
        </w:rPr>
        <w:t xml:space="preserve">inadequacies in an assessment approach that relies in part on a bottom up </w:t>
      </w:r>
      <w:r w:rsidR="00A014CA">
        <w:rPr>
          <w:rStyle w:val="AERbodytextChar"/>
        </w:rPr>
        <w:t xml:space="preserve">proposal </w:t>
      </w:r>
      <w:r w:rsidR="00B94A92" w:rsidRPr="00783639">
        <w:rPr>
          <w:rStyle w:val="AERbodytextChar"/>
        </w:rPr>
        <w:t xml:space="preserve">of controllable costs nominated by a TNSP. </w:t>
      </w:r>
      <w:r w:rsidR="00B94A92">
        <w:rPr>
          <w:rStyle w:val="AERbodytextChar"/>
        </w:rPr>
        <w:t xml:space="preserve">In particular: </w:t>
      </w:r>
    </w:p>
    <w:p w:rsidR="00B329F2" w:rsidRDefault="00B329F2" w:rsidP="00B329F2">
      <w:pPr>
        <w:pStyle w:val="AERbulletlistfirststyle"/>
      </w:pPr>
      <w:r>
        <w:t>Over-forecasting</w:t>
      </w:r>
      <w:r w:rsidR="00E20274">
        <w:t>—</w:t>
      </w:r>
      <w:r>
        <w:t xml:space="preserve">the sum of constituent projects put forward as a program, or proposed step change, may not reflect portfolio level efficiencies that </w:t>
      </w:r>
      <w:r w:rsidR="00A978B0">
        <w:t>should</w:t>
      </w:r>
      <w:r>
        <w:t xml:space="preserve"> be </w:t>
      </w:r>
      <w:r w:rsidR="00A978B0">
        <w:t xml:space="preserve">able to be </w:t>
      </w:r>
      <w:r>
        <w:t>achieved</w:t>
      </w:r>
      <w:r w:rsidR="00A978B0">
        <w:t>.</w:t>
      </w:r>
      <w:r w:rsidR="00A73EF2">
        <w:rPr>
          <w:rStyle w:val="FootnoteReference"/>
        </w:rPr>
        <w:footnoteReference w:id="282"/>
      </w:r>
      <w:r>
        <w:t xml:space="preserve"> </w:t>
      </w:r>
    </w:p>
    <w:p w:rsidR="00B329F2" w:rsidRDefault="00B329F2" w:rsidP="00B329F2">
      <w:pPr>
        <w:pStyle w:val="AERbulletlistfirststyle"/>
      </w:pPr>
      <w:r>
        <w:rPr>
          <w:rStyle w:val="AERbodytextChar"/>
        </w:rPr>
        <w:t>Expenditure re-classification</w:t>
      </w:r>
      <w:r w:rsidR="00E20274">
        <w:rPr>
          <w:rStyle w:val="AERbodytextChar"/>
        </w:rPr>
        <w:t>—</w:t>
      </w:r>
      <w:r>
        <w:rPr>
          <w:rStyle w:val="AERbodytextChar"/>
        </w:rPr>
        <w:t>h</w:t>
      </w:r>
      <w:r>
        <w:t xml:space="preserve">ybrid models may undermine the incentive properties of the regulatory framework through disaggregation. </w:t>
      </w:r>
    </w:p>
    <w:p w:rsidR="00A014CA" w:rsidRDefault="00971D5A" w:rsidP="006774D4">
      <w:pPr>
        <w:pStyle w:val="AERbulletlistfirststyle"/>
      </w:pPr>
      <w:r>
        <w:t>Information asymmetry</w:t>
      </w:r>
      <w:r w:rsidR="00E20274">
        <w:t>—TNSPs have</w:t>
      </w:r>
      <w:r w:rsidR="006774D4">
        <w:t>, in general,</w:t>
      </w:r>
      <w:r w:rsidR="00E20274">
        <w:t xml:space="preserve"> an incentive to act strategically in relation to information in its control.</w:t>
      </w:r>
    </w:p>
    <w:p w:rsidR="00A014CA" w:rsidRDefault="00A014CA" w:rsidP="006774D4">
      <w:pPr>
        <w:pStyle w:val="AERbulletlistfirststyle"/>
      </w:pPr>
      <w:r>
        <w:t>Consumers may fund the same works twice</w:t>
      </w:r>
    </w:p>
    <w:p w:rsidR="00971D5A" w:rsidRDefault="00B329F2" w:rsidP="00971D5A">
      <w:pPr>
        <w:pStyle w:val="AERbodytext"/>
        <w:numPr>
          <w:ilvl w:val="0"/>
          <w:numId w:val="13"/>
        </w:numPr>
      </w:pPr>
      <w:r>
        <w:t>We found specific examples of these forecasting weaknesses in SP AusNet’s proposal. The</w:t>
      </w:r>
      <w:r w:rsidR="00E20274">
        <w:t xml:space="preserve"> first three points</w:t>
      </w:r>
      <w:r>
        <w:t xml:space="preserve"> are discussed under the respective sub-headings</w:t>
      </w:r>
      <w:r w:rsidR="00E20274">
        <w:t xml:space="preserve"> and the latter is discussed in our asset works review</w:t>
      </w:r>
      <w:r>
        <w:t>.</w:t>
      </w:r>
      <w:r w:rsidR="00971D5A">
        <w:t xml:space="preserve"> Consequently, we are not satisfied that the method used by SP AusNet results in forecast opex</w:t>
      </w:r>
      <w:r w:rsidR="00971D5A" w:rsidRPr="00EE00CA">
        <w:t xml:space="preserve"> </w:t>
      </w:r>
      <w:r w:rsidR="00971D5A">
        <w:t>that reasonably reflect the opex criteria.</w:t>
      </w:r>
      <w:r w:rsidR="005C7106">
        <w:rPr>
          <w:rStyle w:val="FootnoteReference"/>
        </w:rPr>
        <w:footnoteReference w:id="283"/>
      </w:r>
      <w:r w:rsidR="00971D5A">
        <w:t xml:space="preserve">  </w:t>
      </w:r>
    </w:p>
    <w:p w:rsidR="0088341A" w:rsidRDefault="0088341A" w:rsidP="0088341A">
      <w:pPr>
        <w:pStyle w:val="HeadingBoldItalic"/>
      </w:pPr>
      <w:r>
        <w:t>Over-forecasting</w:t>
      </w:r>
    </w:p>
    <w:p w:rsidR="00832F8A" w:rsidRDefault="00773594" w:rsidP="00832F8A">
      <w:pPr>
        <w:pStyle w:val="AERbodytext"/>
        <w:numPr>
          <w:ilvl w:val="0"/>
          <w:numId w:val="0"/>
        </w:numPr>
      </w:pPr>
      <w:r>
        <w:t>Previous statements</w:t>
      </w:r>
      <w:r w:rsidR="00832F8A">
        <w:t xml:space="preserve"> made in this attachment about comparisons between bottom up builds and the revealed costs approach are particularly relevant here. In addition, we note that in making decisions about forecast opex, clause 6A.6.6(e)(5) provides that the AER must have regard to the actual and expected opex of the TNSP during any preceding regulatory control periods. </w:t>
      </w:r>
    </w:p>
    <w:p w:rsidR="002D4794" w:rsidRDefault="0088341A" w:rsidP="00AE649A">
      <w:pPr>
        <w:pStyle w:val="AERbodytext"/>
        <w:numPr>
          <w:ilvl w:val="0"/>
          <w:numId w:val="0"/>
        </w:numPr>
      </w:pPr>
      <w:r>
        <w:t xml:space="preserve">SP AusNet has a history of over-forecasting </w:t>
      </w:r>
      <w:r w:rsidR="009E0475">
        <w:t>its opex</w:t>
      </w:r>
      <w:r w:rsidR="00E13B71">
        <w:t xml:space="preserve">, </w:t>
      </w:r>
      <w:r w:rsidR="004113DE">
        <w:t xml:space="preserve">and in </w:t>
      </w:r>
      <w:r w:rsidR="00E13B71">
        <w:t>particular its asset works requirements</w:t>
      </w:r>
      <w:r w:rsidR="009E0475">
        <w:t xml:space="preserve">. </w:t>
      </w:r>
      <w:r w:rsidR="00CC7B52">
        <w:fldChar w:fldCharType="begin"/>
      </w:r>
      <w:r w:rsidR="00CC7B52">
        <w:instrText xml:space="preserve"> REF _Ref363726097 \h </w:instrText>
      </w:r>
      <w:r w:rsidR="00CC7B52">
        <w:fldChar w:fldCharType="separate"/>
      </w:r>
      <w:r w:rsidR="004F35AA">
        <w:t xml:space="preserve">Figure </w:t>
      </w:r>
      <w:r w:rsidR="004F35AA">
        <w:rPr>
          <w:noProof/>
        </w:rPr>
        <w:t>3</w:t>
      </w:r>
      <w:r w:rsidR="004F35AA">
        <w:t>.</w:t>
      </w:r>
      <w:r w:rsidR="004F35AA">
        <w:rPr>
          <w:noProof/>
        </w:rPr>
        <w:t>7</w:t>
      </w:r>
      <w:r w:rsidR="00CC7B52">
        <w:fldChar w:fldCharType="end"/>
      </w:r>
      <w:r w:rsidR="00CC7B52">
        <w:t xml:space="preserve"> shows that, f</w:t>
      </w:r>
      <w:r w:rsidR="002D4794" w:rsidRPr="009951D6">
        <w:t xml:space="preserve">or every year since 2002–03, </w:t>
      </w:r>
      <w:r w:rsidR="002D4794">
        <w:t>SPAusNet</w:t>
      </w:r>
      <w:r w:rsidR="002D4794" w:rsidRPr="009951D6">
        <w:t xml:space="preserve"> ach</w:t>
      </w:r>
      <w:r w:rsidR="00CC7B52">
        <w:t>ieved well below its allowance (</w:t>
      </w:r>
      <w:r w:rsidR="00773594">
        <w:t xml:space="preserve">and </w:t>
      </w:r>
      <w:r w:rsidR="002D4794">
        <w:t xml:space="preserve">its allowance was </w:t>
      </w:r>
      <w:r w:rsidR="00CC7B52">
        <w:t xml:space="preserve">not more than its </w:t>
      </w:r>
      <w:r w:rsidR="00773594">
        <w:t xml:space="preserve">revenue proposal </w:t>
      </w:r>
      <w:r w:rsidR="00CC7B52">
        <w:t>forecast</w:t>
      </w:r>
      <w:r w:rsidR="00773594">
        <w:t>s</w:t>
      </w:r>
      <w:r w:rsidR="00CC7B52">
        <w:t xml:space="preserve">). </w:t>
      </w:r>
      <w:r>
        <w:t>It used the same bottom</w:t>
      </w:r>
      <w:r w:rsidR="008B0C46">
        <w:t xml:space="preserve"> </w:t>
      </w:r>
      <w:r>
        <w:t xml:space="preserve">up method to forecast its requirements for the two previous regulatory control periods </w:t>
      </w:r>
      <w:r w:rsidR="00AE199A">
        <w:t>(</w:t>
      </w:r>
      <w:r>
        <w:t>200</w:t>
      </w:r>
      <w:r w:rsidR="00AE199A">
        <w:t>2</w:t>
      </w:r>
      <w:r>
        <w:t>–14</w:t>
      </w:r>
      <w:r w:rsidR="002D4794">
        <w:t>)</w:t>
      </w:r>
      <w:r w:rsidR="00CC7B52">
        <w:t xml:space="preserve"> as for 2014-17. W</w:t>
      </w:r>
      <w:r>
        <w:t>e are concerned this method has led it to develop over-inflated forecasts for 2014–17.</w:t>
      </w:r>
      <w:r>
        <w:rPr>
          <w:rStyle w:val="FootnoteReference"/>
        </w:rPr>
        <w:footnoteReference w:id="284"/>
      </w:r>
      <w:r>
        <w:t xml:space="preserve"> </w:t>
      </w:r>
    </w:p>
    <w:p w:rsidR="0088341A" w:rsidRPr="00690B37" w:rsidRDefault="0088341A" w:rsidP="0088341A">
      <w:pPr>
        <w:pStyle w:val="Caption"/>
        <w:keepLines/>
      </w:pPr>
      <w:bookmarkStart w:id="197" w:name="_Ref363726097"/>
      <w:r>
        <w:lastRenderedPageBreak/>
        <w:t xml:space="preserve">Figure </w:t>
      </w:r>
      <w:fldSimple w:instr=" STYLEREF 1 \s ">
        <w:r w:rsidR="004F35AA">
          <w:rPr>
            <w:noProof/>
          </w:rPr>
          <w:t>3</w:t>
        </w:r>
      </w:fldSimple>
      <w:r w:rsidR="00C56A87">
        <w:t>.</w:t>
      </w:r>
      <w:fldSimple w:instr=" SEQ Figure \* ARABIC \s 1 ">
        <w:r w:rsidR="004F35AA">
          <w:rPr>
            <w:noProof/>
          </w:rPr>
          <w:t>7</w:t>
        </w:r>
      </w:fldSimple>
      <w:bookmarkEnd w:id="197"/>
      <w:r w:rsidRPr="00690B37">
        <w:tab/>
        <w:t>SP AusNet's asset works</w:t>
      </w:r>
      <w:r w:rsidR="00773594">
        <w:t xml:space="preserve"> opex,</w:t>
      </w:r>
      <w:r w:rsidRPr="00690B37">
        <w:t xml:space="preserve"> 2002–17 ($ million, 2013–14)</w:t>
      </w:r>
    </w:p>
    <w:p w:rsidR="0088341A" w:rsidRDefault="00E23130" w:rsidP="0088341A">
      <w:pPr>
        <w:pStyle w:val="AERtablesource"/>
        <w:keepNext/>
        <w:keepLines/>
        <w:rPr>
          <w:noProof/>
          <w:lang w:eastAsia="en-AU"/>
        </w:rPr>
      </w:pPr>
      <w:r w:rsidRPr="00E23130">
        <w:rPr>
          <w:noProof/>
          <w:lang w:eastAsia="en-AU"/>
        </w:rPr>
        <w:drawing>
          <wp:inline distT="0" distB="0" distL="0" distR="0" wp14:anchorId="7DF753D9" wp14:editId="1458A8F7">
            <wp:extent cx="5731510" cy="3195800"/>
            <wp:effectExtent l="0" t="0" r="254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3195800"/>
                    </a:xfrm>
                    <a:prstGeom prst="rect">
                      <a:avLst/>
                    </a:prstGeom>
                    <a:noFill/>
                    <a:ln>
                      <a:noFill/>
                    </a:ln>
                  </pic:spPr>
                </pic:pic>
              </a:graphicData>
            </a:graphic>
          </wp:inline>
        </w:drawing>
      </w:r>
    </w:p>
    <w:p w:rsidR="0022395B" w:rsidRDefault="0088341A" w:rsidP="00E23130">
      <w:pPr>
        <w:pStyle w:val="AERtablesource"/>
        <w:keepNext/>
        <w:keepLines/>
        <w:ind w:left="720" w:hanging="720"/>
      </w:pPr>
      <w:r w:rsidRPr="00680A60">
        <w:t xml:space="preserve">Source: </w:t>
      </w:r>
      <w:r w:rsidRPr="00690B37">
        <w:tab/>
        <w:t xml:space="preserve">SP AusNet, </w:t>
      </w:r>
      <w:r w:rsidRPr="00FC7C08">
        <w:rPr>
          <w:rStyle w:val="AERtextitalic"/>
        </w:rPr>
        <w:t>Response to request AER</w:t>
      </w:r>
      <w:r w:rsidR="0047592F">
        <w:rPr>
          <w:rStyle w:val="AERtextitalic"/>
        </w:rPr>
        <w:t xml:space="preserve"> RP </w:t>
      </w:r>
      <w:r w:rsidRPr="00FC7C08">
        <w:rPr>
          <w:rStyle w:val="AERtextitalic"/>
        </w:rPr>
        <w:t>09 - revised opex model</w:t>
      </w:r>
      <w:r w:rsidR="004B3E41">
        <w:rPr>
          <w:rStyle w:val="AERtextitalic"/>
        </w:rPr>
        <w:t xml:space="preserve"> [confidential]</w:t>
      </w:r>
      <w:r w:rsidRPr="00FC7C08">
        <w:t>, 20 May 2013</w:t>
      </w:r>
      <w:r>
        <w:t xml:space="preserve">; </w:t>
      </w:r>
      <w:r w:rsidR="00E23130">
        <w:t xml:space="preserve">SP AusNet, </w:t>
      </w:r>
      <w:r w:rsidRPr="00E23130">
        <w:rPr>
          <w:i/>
        </w:rPr>
        <w:t>Regulatory accounts 2012-13</w:t>
      </w:r>
      <w:r>
        <w:t xml:space="preserve">, 1 August 2013; </w:t>
      </w:r>
      <w:r w:rsidRPr="00690B37">
        <w:t>AER analysis.</w:t>
      </w:r>
    </w:p>
    <w:p w:rsidR="0088341A" w:rsidRPr="00690B37" w:rsidRDefault="00E23130" w:rsidP="00E23130">
      <w:pPr>
        <w:pStyle w:val="AERtablesource"/>
        <w:tabs>
          <w:tab w:val="clear" w:pos="794"/>
          <w:tab w:val="left" w:pos="709"/>
        </w:tabs>
      </w:pPr>
      <w:r>
        <w:t>Note:</w:t>
      </w:r>
      <w:r>
        <w:tab/>
      </w:r>
      <w:r w:rsidR="0022395B">
        <w:t>Grey indicates budget estimate data.</w:t>
      </w:r>
      <w:r w:rsidR="0088341A" w:rsidRPr="00690B37">
        <w:t xml:space="preserve"> </w:t>
      </w:r>
      <w:r w:rsidR="00A5482D">
        <w:t>Includes both asset works and asset works support costs.</w:t>
      </w:r>
    </w:p>
    <w:p w:rsidR="00AE199A" w:rsidRPr="008066BA" w:rsidRDefault="00AE199A" w:rsidP="008066BA">
      <w:pPr>
        <w:pStyle w:val="AERbodytext"/>
        <w:numPr>
          <w:ilvl w:val="0"/>
          <w:numId w:val="13"/>
        </w:numPr>
        <w:rPr>
          <w:i/>
        </w:rPr>
      </w:pPr>
      <w:r w:rsidRPr="002E3C67">
        <w:t>EMCa</w:t>
      </w:r>
      <w:r>
        <w:t xml:space="preserve">’s review of SP AusNet’s </w:t>
      </w:r>
      <w:r w:rsidRPr="002E3C67">
        <w:t xml:space="preserve">method for planning and costing its </w:t>
      </w:r>
      <w:r w:rsidR="00E9448F">
        <w:t>expenditure</w:t>
      </w:r>
      <w:r w:rsidRPr="002E3C67">
        <w:t xml:space="preserve"> program </w:t>
      </w:r>
      <w:r>
        <w:t xml:space="preserve">found the method to be </w:t>
      </w:r>
      <w:r w:rsidRPr="002E3C67">
        <w:t xml:space="preserve">reasonable as a bottom up process, </w:t>
      </w:r>
      <w:r>
        <w:t xml:space="preserve">but that it </w:t>
      </w:r>
      <w:r w:rsidRPr="002E3C67">
        <w:t xml:space="preserve">lacked a top down portfolio-level assessment of whether </w:t>
      </w:r>
      <w:r>
        <w:t xml:space="preserve">SP AusNet </w:t>
      </w:r>
      <w:r w:rsidRPr="002E3C67">
        <w:t>could reasonably deliver the whole program that had been built up.</w:t>
      </w:r>
      <w:r>
        <w:rPr>
          <w:rStyle w:val="FootnoteReference"/>
        </w:rPr>
        <w:footnoteReference w:id="285"/>
      </w:r>
    </w:p>
    <w:p w:rsidR="00AE199A" w:rsidRPr="00DB1B99" w:rsidRDefault="00AE199A" w:rsidP="00AE199A">
      <w:pPr>
        <w:pStyle w:val="AERquote"/>
        <w:rPr>
          <w:i/>
        </w:rPr>
      </w:pPr>
      <w:r>
        <w:t>W</w:t>
      </w:r>
      <w:r w:rsidRPr="00A1277E">
        <w:t>e have found that</w:t>
      </w:r>
      <w:r>
        <w:t xml:space="preserve">, while </w:t>
      </w:r>
      <w:r w:rsidRPr="00A1277E">
        <w:t xml:space="preserve">SP AusNet’s asset management framework </w:t>
      </w:r>
      <w:r>
        <w:t xml:space="preserve">can </w:t>
      </w:r>
      <w:r w:rsidRPr="00A1277E">
        <w:t xml:space="preserve">provide a sound basis for the management of the assets, </w:t>
      </w:r>
      <w:r>
        <w:t>the application of the framework when developing expenditure forecasts could be improved. We take this view because the forecast expenditures rely on a bottom up aggregation with insufficient attention to the aggregate portfolio forecast that results, and its realism.</w:t>
      </w:r>
    </w:p>
    <w:p w:rsidR="00E9448F" w:rsidRDefault="00E9448F" w:rsidP="00AE199A">
      <w:pPr>
        <w:pStyle w:val="AERbodytext"/>
        <w:numPr>
          <w:ilvl w:val="0"/>
          <w:numId w:val="13"/>
        </w:numPr>
      </w:pPr>
      <w:r>
        <w:t>We consider these aggregation issues apply to the asset works proposal because the cost estimates for asset works are developed using a similar project costing methodology as described for capex projects.</w:t>
      </w:r>
      <w:r>
        <w:rPr>
          <w:rStyle w:val="FootnoteReference"/>
        </w:rPr>
        <w:footnoteReference w:id="286"/>
      </w:r>
      <w:r>
        <w:t xml:space="preserve"> </w:t>
      </w:r>
      <w:r w:rsidR="00B13A6E">
        <w:t>I</w:t>
      </w:r>
      <w:r>
        <w:t xml:space="preserve">n its assessment of the opex asset works program, EMCa formed the view that the dominant issue is the scope and scale of programs achieved and it focused on this, although EMCa </w:t>
      </w:r>
      <w:r w:rsidR="00B13A6E">
        <w:t xml:space="preserve">also </w:t>
      </w:r>
      <w:r>
        <w:t>found indications from the current regulatory period (2008–14) that unit costs used for opex cost estimation may also be biased towards over-estimation.</w:t>
      </w:r>
      <w:r>
        <w:rPr>
          <w:rStyle w:val="FootnoteReference"/>
        </w:rPr>
        <w:footnoteReference w:id="287"/>
      </w:r>
      <w:r>
        <w:t xml:space="preserve"> </w:t>
      </w:r>
    </w:p>
    <w:p w:rsidR="00AE199A" w:rsidRDefault="00AE199A" w:rsidP="00AE199A">
      <w:pPr>
        <w:pStyle w:val="AERbodytext"/>
        <w:numPr>
          <w:ilvl w:val="0"/>
          <w:numId w:val="13"/>
        </w:numPr>
      </w:pPr>
      <w:r>
        <w:t>EMCa also noted:</w:t>
      </w:r>
    </w:p>
    <w:p w:rsidR="00AE199A" w:rsidRDefault="00AE199A" w:rsidP="00AE199A">
      <w:pPr>
        <w:pStyle w:val="AERquote"/>
      </w:pPr>
      <w:r w:rsidRPr="00A1277E">
        <w:t>Whilst we have seen evidence that SP AusNet apply top down assessments and adjustments to the bottom up derived expenditure estimates, we have remaining concerns that this has been insufficient. Our concerns are significantly influenced by</w:t>
      </w:r>
      <w:r>
        <w:t xml:space="preserve"> our</w:t>
      </w:r>
      <w:r w:rsidRPr="00A1277E">
        <w:t xml:space="preserve"> review of </w:t>
      </w:r>
      <w:r>
        <w:t xml:space="preserve">expenditure </w:t>
      </w:r>
      <w:r w:rsidRPr="00A1277E">
        <w:t xml:space="preserve">outcomes in the current </w:t>
      </w:r>
      <w:r w:rsidR="00E9448F">
        <w:t>regulatory control period</w:t>
      </w:r>
      <w:r w:rsidRPr="00A1277E">
        <w:t>, which in many areas fall well short of what SP AusNet projected in 2007/08.</w:t>
      </w:r>
      <w:r>
        <w:rPr>
          <w:rStyle w:val="FootnoteReference"/>
        </w:rPr>
        <w:footnoteReference w:id="288"/>
      </w:r>
      <w:r w:rsidRPr="00A1277E">
        <w:t xml:space="preserve">  </w:t>
      </w:r>
    </w:p>
    <w:p w:rsidR="00AE199A" w:rsidRDefault="00AE199A" w:rsidP="00AE199A">
      <w:pPr>
        <w:pStyle w:val="AERquote"/>
      </w:pPr>
      <w:r>
        <w:t xml:space="preserve">We suggest that SP AusNet could improve the validity of outcomes from its otherwise sound asset management framework, by addressing these issues, and thereby </w:t>
      </w:r>
      <w:r w:rsidRPr="00A1277E">
        <w:t>develop</w:t>
      </w:r>
      <w:r>
        <w:t>ing</w:t>
      </w:r>
      <w:r w:rsidRPr="00A1277E">
        <w:t xml:space="preserve"> expenditure forecasts that </w:t>
      </w:r>
      <w:r>
        <w:lastRenderedPageBreak/>
        <w:t xml:space="preserve">better </w:t>
      </w:r>
      <w:r w:rsidRPr="00A1277E">
        <w:t>reflect what is likely to be spent</w:t>
      </w:r>
      <w:r>
        <w:rPr>
          <w:rStyle w:val="CommentReference"/>
          <w:rFonts w:ascii="Times New Roman" w:eastAsia="SimSun" w:hAnsi="Times New Roman"/>
        </w:rPr>
        <w:t xml:space="preserve">. </w:t>
      </w:r>
      <w:r w:rsidRPr="00A1277E">
        <w:t>T</w:t>
      </w:r>
      <w:r>
        <w:t>his could be assisted by obtaining a more strategic-level review of expenditure proposals, to strengthen the governance process.</w:t>
      </w:r>
      <w:r>
        <w:rPr>
          <w:rStyle w:val="FootnoteReference"/>
        </w:rPr>
        <w:footnoteReference w:id="289"/>
      </w:r>
    </w:p>
    <w:p w:rsidR="005B729E" w:rsidRDefault="00AE199A" w:rsidP="00AE199A">
      <w:pPr>
        <w:pStyle w:val="AERbulletlistfirststyle"/>
        <w:numPr>
          <w:ilvl w:val="0"/>
          <w:numId w:val="0"/>
        </w:numPr>
      </w:pPr>
      <w:r w:rsidRPr="007F769B">
        <w:rPr>
          <w:rStyle w:val="AERbodytextChar"/>
        </w:rPr>
        <w:t xml:space="preserve">We accept EMCa’s findings that the lack of </w:t>
      </w:r>
      <w:r w:rsidR="005B729E" w:rsidRPr="007F769B">
        <w:rPr>
          <w:rStyle w:val="AERbodytextChar"/>
        </w:rPr>
        <w:t xml:space="preserve">aggregate </w:t>
      </w:r>
      <w:r w:rsidRPr="007F769B">
        <w:rPr>
          <w:rStyle w:val="AERbodytextChar"/>
        </w:rPr>
        <w:t>portfolio</w:t>
      </w:r>
      <w:r w:rsidR="005B729E" w:rsidRPr="007F769B">
        <w:rPr>
          <w:rStyle w:val="AERbodytextChar"/>
        </w:rPr>
        <w:t>-</w:t>
      </w:r>
      <w:r w:rsidRPr="007F769B">
        <w:rPr>
          <w:rStyle w:val="AERbodytextChar"/>
        </w:rPr>
        <w:t>level adjustment to</w:t>
      </w:r>
      <w:r w:rsidR="005B729E" w:rsidRPr="007F769B">
        <w:rPr>
          <w:rStyle w:val="AERbodytextChar"/>
        </w:rPr>
        <w:t xml:space="preserve"> its </w:t>
      </w:r>
      <w:r w:rsidR="00CB0841" w:rsidRPr="007F769B">
        <w:rPr>
          <w:rStyle w:val="AERbodytextChar"/>
        </w:rPr>
        <w:t xml:space="preserve">asset works </w:t>
      </w:r>
      <w:r w:rsidR="005B729E" w:rsidRPr="007F769B">
        <w:rPr>
          <w:rStyle w:val="AERbodytextChar"/>
        </w:rPr>
        <w:t xml:space="preserve">program </w:t>
      </w:r>
      <w:r w:rsidR="00CB0841" w:rsidRPr="007F769B">
        <w:rPr>
          <w:rStyle w:val="AERbodytextChar"/>
        </w:rPr>
        <w:t xml:space="preserve">of expenditure </w:t>
      </w:r>
      <w:r w:rsidR="005B729E" w:rsidRPr="007F769B">
        <w:rPr>
          <w:rStyle w:val="AERbodytextChar"/>
        </w:rPr>
        <w:t xml:space="preserve">has </w:t>
      </w:r>
      <w:r w:rsidR="00AB0CE0">
        <w:rPr>
          <w:rStyle w:val="AERbodytextChar"/>
        </w:rPr>
        <w:t>led</w:t>
      </w:r>
      <w:r w:rsidR="005B729E" w:rsidRPr="007F769B">
        <w:rPr>
          <w:rStyle w:val="AERbodytextChar"/>
        </w:rPr>
        <w:t xml:space="preserve"> SP AusNet to develop an opex forecast for 2014-17 that does not reflect what is likely to be spent. We are concerned that, </w:t>
      </w:r>
      <w:r w:rsidRPr="007F769B">
        <w:rPr>
          <w:rStyle w:val="AERbodytextChar"/>
        </w:rPr>
        <w:t xml:space="preserve">SP AusNet </w:t>
      </w:r>
      <w:r w:rsidR="005B729E" w:rsidRPr="007F769B">
        <w:rPr>
          <w:rStyle w:val="AERbodytextChar"/>
        </w:rPr>
        <w:t>repeated</w:t>
      </w:r>
      <w:r w:rsidRPr="007F769B">
        <w:rPr>
          <w:rStyle w:val="AERbodytextChar"/>
        </w:rPr>
        <w:t xml:space="preserve"> a process similar</w:t>
      </w:r>
      <w:r w:rsidR="005B729E" w:rsidRPr="007F769B">
        <w:rPr>
          <w:rStyle w:val="AERbodytextChar"/>
        </w:rPr>
        <w:t xml:space="preserve"> </w:t>
      </w:r>
      <w:r w:rsidRPr="007F769B">
        <w:rPr>
          <w:rStyle w:val="AERbodytextChar"/>
        </w:rPr>
        <w:t>to how it built up its asset works forecast for the 2008–14 regulatory control period</w:t>
      </w:r>
      <w:r w:rsidR="005B729E" w:rsidRPr="007F769B">
        <w:rPr>
          <w:rStyle w:val="AERbodytextChar"/>
        </w:rPr>
        <w:t>, and, g</w:t>
      </w:r>
      <w:r w:rsidRPr="007F769B">
        <w:rPr>
          <w:rStyle w:val="AERbodytextChar"/>
        </w:rPr>
        <w:t xml:space="preserve">iven its significant underspend in 2008–14, </w:t>
      </w:r>
      <w:r w:rsidR="005B729E" w:rsidRPr="007F769B">
        <w:rPr>
          <w:rStyle w:val="AERbodytextChar"/>
        </w:rPr>
        <w:t>we</w:t>
      </w:r>
      <w:r w:rsidRPr="007F769B">
        <w:rPr>
          <w:rStyle w:val="AERbodytextChar"/>
        </w:rPr>
        <w:t xml:space="preserve"> consider this approach to be a weakness in the proposal</w:t>
      </w:r>
      <w:r w:rsidR="005B729E" w:rsidRPr="007F769B">
        <w:rPr>
          <w:rStyle w:val="AERbodytextChar"/>
        </w:rPr>
        <w:t xml:space="preserve">. </w:t>
      </w:r>
      <w:r w:rsidRPr="007F769B">
        <w:rPr>
          <w:rStyle w:val="AERbodytextChar"/>
        </w:rPr>
        <w:t>By contrast to the TNSP's bottom up method, our revealed costs method has the advantage of linking past expenditure to forecast expenditure</w:t>
      </w:r>
      <w:r w:rsidR="005B729E" w:rsidRPr="007F769B">
        <w:rPr>
          <w:rStyle w:val="AERbodytextChar"/>
        </w:rPr>
        <w:t>.</w:t>
      </w:r>
      <w:r w:rsidR="00B13A6E" w:rsidRPr="007F769B">
        <w:rPr>
          <w:rStyle w:val="AERbodytextChar"/>
        </w:rPr>
        <w:t xml:space="preserve"> For these reasons we cannot be satisfied the proposed method of forecasting has </w:t>
      </w:r>
      <w:r w:rsidR="00AB0CE0">
        <w:rPr>
          <w:rStyle w:val="AERbodytextChar"/>
        </w:rPr>
        <w:t>led</w:t>
      </w:r>
      <w:r w:rsidR="00B13A6E" w:rsidRPr="007F769B">
        <w:rPr>
          <w:rStyle w:val="AERbodytextChar"/>
        </w:rPr>
        <w:t xml:space="preserve"> SP AusNet to develop a total opex forecast that reasonably reflects the efficient costs of achieving the operating expenditure objectives, the costs that a prudent operator in the circumstances of SP AusNet would require to achieve the opex objectives or a realistic expectation of cost inputs</w:t>
      </w:r>
      <w:r w:rsidR="00B13A6E">
        <w:t>.</w:t>
      </w:r>
      <w:r w:rsidR="00B13A6E">
        <w:rPr>
          <w:rStyle w:val="FootnoteReference"/>
        </w:rPr>
        <w:footnoteReference w:id="290"/>
      </w:r>
    </w:p>
    <w:p w:rsidR="00B812A9" w:rsidRDefault="00B812A9" w:rsidP="00E8656D">
      <w:pPr>
        <w:pStyle w:val="HeadingItalic"/>
      </w:pPr>
      <w:r>
        <w:t>SP AusNet’s reason for 2008-14 budget variance</w:t>
      </w:r>
    </w:p>
    <w:p w:rsidR="00B812A9" w:rsidRDefault="00B812A9" w:rsidP="00AE199A">
      <w:pPr>
        <w:pStyle w:val="AERbulletlistfirststyle"/>
        <w:numPr>
          <w:ilvl w:val="0"/>
          <w:numId w:val="0"/>
        </w:numPr>
      </w:pPr>
      <w:r w:rsidRPr="007F769B">
        <w:rPr>
          <w:rStyle w:val="AERbodytextChar"/>
        </w:rPr>
        <w:t>SP AusNet’s proposed operating expenditure forecast</w:t>
      </w:r>
      <w:r w:rsidR="00CB0841" w:rsidRPr="007F769B">
        <w:rPr>
          <w:rStyle w:val="AERbodytextChar"/>
        </w:rPr>
        <w:t xml:space="preserve"> for the regulatory period 2008–</w:t>
      </w:r>
      <w:r w:rsidRPr="007F769B">
        <w:rPr>
          <w:rStyle w:val="AERbodytextChar"/>
        </w:rPr>
        <w:t>14 included an amount for asset works expenditure that covered materially the same proposed works as that covered in the current proposal. However, much of that asset works expenditure that had been anticipated was not carried out in the period 2008</w:t>
      </w:r>
      <w:r w:rsidR="00CB0841" w:rsidRPr="007F769B">
        <w:rPr>
          <w:rStyle w:val="AERbodytextChar"/>
        </w:rPr>
        <w:t>–</w:t>
      </w:r>
      <w:r w:rsidRPr="007F769B">
        <w:rPr>
          <w:rStyle w:val="AERbodytextChar"/>
        </w:rPr>
        <w:t>14 for various reasons. For example, it was found on further investigation that some of the work that had been forecast for the 2008</w:t>
      </w:r>
      <w:r w:rsidR="00CB0841" w:rsidRPr="007F769B">
        <w:rPr>
          <w:rStyle w:val="AERbodytextChar"/>
        </w:rPr>
        <w:t>–</w:t>
      </w:r>
      <w:r w:rsidRPr="007F769B">
        <w:rPr>
          <w:rStyle w:val="AERbodytextChar"/>
        </w:rPr>
        <w:t>14 period was not actually necessary and was therefore deferred, this includes the fact that assets were in better condition than previously thought</w:t>
      </w:r>
      <w:r>
        <w:t>.</w:t>
      </w:r>
      <w:r w:rsidRPr="00DF4B8E">
        <w:rPr>
          <w:rStyle w:val="FootnoteReference"/>
        </w:rPr>
        <w:footnoteReference w:id="291"/>
      </w:r>
      <w:r w:rsidRPr="007F769B">
        <w:rPr>
          <w:rStyle w:val="AERbodytextChar"/>
        </w:rPr>
        <w:t xml:space="preserve"> Some of the work could not be </w:t>
      </w:r>
      <w:r w:rsidR="00AB728A">
        <w:rPr>
          <w:rStyle w:val="AERbodytextChar"/>
        </w:rPr>
        <w:t xml:space="preserve">undertaken as a result of changing priorities and unexpected capital works </w:t>
      </w:r>
      <w:r w:rsidRPr="007F769B">
        <w:rPr>
          <w:rStyle w:val="AERbodytextChar"/>
        </w:rPr>
        <w:t>and was therefore also deferred</w:t>
      </w:r>
      <w:r>
        <w:t>.</w:t>
      </w:r>
      <w:r w:rsidRPr="00DF4B8E">
        <w:rPr>
          <w:rStyle w:val="FootnoteReference"/>
        </w:rPr>
        <w:footnoteReference w:id="292"/>
      </w:r>
      <w:r>
        <w:t xml:space="preserve"> </w:t>
      </w:r>
      <w:r w:rsidRPr="007F769B">
        <w:rPr>
          <w:rStyle w:val="AERbodytextChar"/>
        </w:rPr>
        <w:t>In addition, some of the work was able to be carried out in the course of other capital projects and was therefore reclassified as capital expenditure</w:t>
      </w:r>
      <w:r>
        <w:t>.</w:t>
      </w:r>
      <w:r w:rsidRPr="00DF4B8E">
        <w:rPr>
          <w:rStyle w:val="FootnoteReference"/>
        </w:rPr>
        <w:footnoteReference w:id="293"/>
      </w:r>
      <w:r w:rsidRPr="00DF4B8E">
        <w:t xml:space="preserve"> </w:t>
      </w:r>
      <w:r w:rsidR="00E8656D" w:rsidRPr="007F769B">
        <w:rPr>
          <w:rStyle w:val="AERbodytextChar"/>
        </w:rPr>
        <w:t>There were instances where savings may have been made due to better management.  For example, savings were achieved through delivering some projects in-house rather than through outsourcing</w:t>
      </w:r>
      <w:r w:rsidR="00E8656D" w:rsidRPr="004D0FCA">
        <w:rPr>
          <w:rStyle w:val="AERbodytextChar"/>
        </w:rPr>
        <w:t>.</w:t>
      </w:r>
      <w:r w:rsidR="00E8656D" w:rsidRPr="00E8656D">
        <w:rPr>
          <w:rStyle w:val="AERbody"/>
        </w:rPr>
        <w:t xml:space="preserve"> </w:t>
      </w:r>
      <w:r w:rsidR="00E8656D" w:rsidRPr="00DF4B8E">
        <w:rPr>
          <w:rStyle w:val="FootnoteReference"/>
        </w:rPr>
        <w:footnoteReference w:id="294"/>
      </w:r>
      <w:r w:rsidR="00E8656D" w:rsidRPr="004D0FCA">
        <w:rPr>
          <w:rStyle w:val="AERbodytextChar"/>
        </w:rPr>
        <w:t xml:space="preserve"> However, in total, we found that approximately $44 million of work on which the opex allowance for 2008</w:t>
      </w:r>
      <w:r w:rsidR="00BC2954">
        <w:rPr>
          <w:rStyle w:val="AERbodytextChar"/>
        </w:rPr>
        <w:t>–</w:t>
      </w:r>
      <w:r w:rsidR="00E8656D" w:rsidRPr="004D0FCA">
        <w:rPr>
          <w:rStyle w:val="AERbodytextChar"/>
        </w:rPr>
        <w:t>14 was based was simply not carried out</w:t>
      </w:r>
      <w:r>
        <w:t>.</w:t>
      </w:r>
      <w:r>
        <w:rPr>
          <w:rStyle w:val="FootnoteReference"/>
        </w:rPr>
        <w:footnoteReference w:id="295"/>
      </w:r>
      <w:r>
        <w:t xml:space="preserve"> </w:t>
      </w:r>
      <w:r w:rsidRPr="004D0FCA">
        <w:rPr>
          <w:rStyle w:val="AERbodytextChar"/>
        </w:rPr>
        <w:t>A further allowance of the same amount is being forecast for that work in the upcoming regulatory control period.</w:t>
      </w:r>
    </w:p>
    <w:p w:rsidR="00AE199A" w:rsidRDefault="00B812A9" w:rsidP="008066BA">
      <w:pPr>
        <w:pStyle w:val="AERbodytext"/>
        <w:numPr>
          <w:ilvl w:val="0"/>
          <w:numId w:val="3"/>
        </w:numPr>
      </w:pPr>
      <w:r>
        <w:t xml:space="preserve">On this matter, </w:t>
      </w:r>
      <w:r w:rsidR="00AE199A">
        <w:t xml:space="preserve">EMCa </w:t>
      </w:r>
      <w:r w:rsidR="005B729E">
        <w:t>observed</w:t>
      </w:r>
      <w:r w:rsidR="00AE199A">
        <w:t>:</w:t>
      </w:r>
      <w:r w:rsidR="00AE199A">
        <w:rPr>
          <w:rStyle w:val="FootnoteReference"/>
        </w:rPr>
        <w:footnoteReference w:id="296"/>
      </w:r>
    </w:p>
    <w:p w:rsidR="00AE199A" w:rsidRDefault="00AE199A" w:rsidP="00AE199A">
      <w:pPr>
        <w:pStyle w:val="AERquote"/>
        <w:ind w:left="0"/>
      </w:pPr>
      <w:r w:rsidRPr="00667BE0">
        <w:t>It is difficult, given information on the current regulatory control period, to have a high degree of confidence in SP AusNet’s asset works program budget for the next regulatory control period.  Our view is that the significant variance to budget can be ascribed to one or a combination of factors and we have no evidence to suggest that these factors have materially changed. These include:</w:t>
      </w:r>
    </w:p>
    <w:p w:rsidR="00AE199A" w:rsidRPr="00667BE0" w:rsidRDefault="00AE199A" w:rsidP="00AE199A">
      <w:pPr>
        <w:pStyle w:val="AERquotebullet1"/>
        <w:numPr>
          <w:ilvl w:val="0"/>
          <w:numId w:val="0"/>
        </w:numPr>
        <w:ind w:left="720"/>
      </w:pPr>
      <w:r w:rsidRPr="00667BE0">
        <w:t>That the need was conservatively over-estimated</w:t>
      </w:r>
    </w:p>
    <w:p w:rsidR="00AE199A" w:rsidRPr="00667BE0" w:rsidRDefault="00AE199A" w:rsidP="00AE199A">
      <w:pPr>
        <w:pStyle w:val="AERquotebullet1"/>
        <w:numPr>
          <w:ilvl w:val="0"/>
          <w:numId w:val="0"/>
        </w:numPr>
        <w:ind w:left="720"/>
      </w:pPr>
      <w:r w:rsidRPr="00667BE0">
        <w:t>That the unit costs for the program were conservatively over-estimated</w:t>
      </w:r>
    </w:p>
    <w:p w:rsidR="00AE199A" w:rsidRPr="00667BE0" w:rsidRDefault="00AE199A" w:rsidP="00AE199A">
      <w:pPr>
        <w:pStyle w:val="AERquotebullet1"/>
        <w:numPr>
          <w:ilvl w:val="0"/>
          <w:numId w:val="0"/>
        </w:numPr>
        <w:ind w:left="720"/>
      </w:pPr>
      <w:r>
        <w:t>T</w:t>
      </w:r>
      <w:r w:rsidRPr="00667BE0">
        <w:t>hat needs that were reasonably estimated based on information available at the time of proposing for an RCP tend to be later found not to exist, or to be less than has been reasonably estimated</w:t>
      </w:r>
    </w:p>
    <w:p w:rsidR="00AE199A" w:rsidRPr="00667BE0" w:rsidRDefault="00AE199A" w:rsidP="00AE199A">
      <w:pPr>
        <w:pStyle w:val="AERquotebullet1"/>
        <w:numPr>
          <w:ilvl w:val="0"/>
          <w:numId w:val="0"/>
        </w:numPr>
        <w:ind w:left="720"/>
      </w:pPr>
      <w:r w:rsidRPr="00667BE0">
        <w:t xml:space="preserve">Noting that recurrent expenditure was considerably higher than was proposed, starting from the first year of the current </w:t>
      </w:r>
      <w:r>
        <w:t>regulatory control period</w:t>
      </w:r>
      <w:r w:rsidRPr="00667BE0">
        <w:t xml:space="preserve">, it is possible that work that was proposed as asset works has in fact </w:t>
      </w:r>
      <w:r w:rsidRPr="00667BE0">
        <w:lastRenderedPageBreak/>
        <w:t xml:space="preserve">been undertaken under recurrent maintenance, or has been capitalised.    In either case, this would be a concern as, unless adjusted for, it leads to “double dipping”.  Other than in the specific instances referred to above, we have not found further evidence for this, however it would require a regulatory accounting audit of current </w:t>
      </w:r>
      <w:r>
        <w:t>regulatory control period</w:t>
      </w:r>
      <w:r w:rsidRPr="00667BE0">
        <w:t xml:space="preserve"> expenditure to unequivocally rule out this possibility and it indicates a need to focus on expenditure categorisation in regulatory accounting;</w:t>
      </w:r>
    </w:p>
    <w:p w:rsidR="00AE199A" w:rsidRDefault="00AE199A" w:rsidP="00AE199A">
      <w:pPr>
        <w:pStyle w:val="AERquotebullet1"/>
        <w:numPr>
          <w:ilvl w:val="0"/>
          <w:numId w:val="0"/>
        </w:numPr>
        <w:ind w:left="720"/>
      </w:pPr>
      <w:r w:rsidRPr="00667BE0">
        <w:t>That SP AusNet has held over work that reasonably should have been done, in order to obtain the three-pronged benefits of (a) increased profit and increased cash</w:t>
      </w:r>
      <w:r>
        <w:t>-</w:t>
      </w:r>
      <w:r w:rsidRPr="00667BE0">
        <w:t xml:space="preserve">flow within the regulatory period (since revenue was not reduced for the work not done), (b) an EBSS efficiency benefit and (c) obtaining an allowance for the same work to be undertaken in its proposal for the next </w:t>
      </w:r>
      <w:r>
        <w:t>regulatory control period</w:t>
      </w:r>
      <w:r w:rsidRPr="00667BE0">
        <w:t xml:space="preserve">. </w:t>
      </w:r>
    </w:p>
    <w:p w:rsidR="00E8656D" w:rsidRDefault="00E8656D" w:rsidP="00206240">
      <w:pPr>
        <w:pStyle w:val="AERbodytext"/>
      </w:pPr>
      <w:r>
        <w:t>The revealed cost</w:t>
      </w:r>
      <w:r w:rsidR="00A91CAE">
        <w:t>s approach</w:t>
      </w:r>
      <w:r>
        <w:t xml:space="preserve"> adequately factor</w:t>
      </w:r>
      <w:r w:rsidR="00A91CAE">
        <w:t>s</w:t>
      </w:r>
      <w:r>
        <w:t xml:space="preserve"> in portfolio level efficiencies, likely unit costs and whether work is more likely to be undertaken as recurrent maintence or capital works</w:t>
      </w:r>
      <w:r w:rsidR="00A91CAE">
        <w:t>. This is</w:t>
      </w:r>
      <w:r>
        <w:t xml:space="preserve"> because it is based on actual historical controllable expenditure.</w:t>
      </w:r>
    </w:p>
    <w:p w:rsidR="0088341A" w:rsidRDefault="0088341A" w:rsidP="0088341A">
      <w:pPr>
        <w:pStyle w:val="AERbodytext"/>
        <w:numPr>
          <w:ilvl w:val="0"/>
          <w:numId w:val="0"/>
        </w:numPr>
        <w:rPr>
          <w:rStyle w:val="AERtextbolditalics"/>
        </w:rPr>
      </w:pPr>
      <w:r>
        <w:rPr>
          <w:rStyle w:val="AERtextbolditalics"/>
        </w:rPr>
        <w:t xml:space="preserve">Expenditure reclassification </w:t>
      </w:r>
    </w:p>
    <w:p w:rsidR="00A978B0" w:rsidRDefault="00A978B0" w:rsidP="00A978B0">
      <w:pPr>
        <w:pStyle w:val="AERbodytext"/>
        <w:numPr>
          <w:ilvl w:val="0"/>
          <w:numId w:val="13"/>
        </w:numPr>
      </w:pPr>
      <w:r>
        <w:t xml:space="preserve">A TNSP has </w:t>
      </w:r>
      <w:r w:rsidRPr="009C1C54">
        <w:t xml:space="preserve">discretion </w:t>
      </w:r>
      <w:r>
        <w:t xml:space="preserve">over how it spends its opex allowance and how it classifies its </w:t>
      </w:r>
      <w:r w:rsidRPr="009C1C54">
        <w:t xml:space="preserve">expenditure </w:t>
      </w:r>
      <w:r>
        <w:t xml:space="preserve">at a sub–category level. </w:t>
      </w:r>
    </w:p>
    <w:p w:rsidR="00A978B0" w:rsidRDefault="00A978B0" w:rsidP="00A978B0">
      <w:pPr>
        <w:pStyle w:val="AERbodytext"/>
        <w:numPr>
          <w:ilvl w:val="0"/>
          <w:numId w:val="13"/>
        </w:numPr>
      </w:pPr>
      <w:r>
        <w:t xml:space="preserve">Reclassification of expenditure from one opex sub-category to another, or relabelling projects from one regulatory period to the next can </w:t>
      </w:r>
      <w:r w:rsidR="00E83F8F">
        <w:t xml:space="preserve">potentially lead to double counting of costs.  It can </w:t>
      </w:r>
      <w:r w:rsidR="00396886">
        <w:t>distort comparisons and ma</w:t>
      </w:r>
      <w:r w:rsidR="00552661">
        <w:t>k</w:t>
      </w:r>
      <w:r w:rsidR="00396886">
        <w:t>e</w:t>
      </w:r>
      <w:r>
        <w:t xml:space="preserve"> trend analysis </w:t>
      </w:r>
      <w:r w:rsidR="00396886">
        <w:t xml:space="preserve">very difficult </w:t>
      </w:r>
      <w:r>
        <w:t>under a bottom up build.</w:t>
      </w:r>
      <w:r w:rsidRPr="00A978B0">
        <w:t xml:space="preserve"> </w:t>
      </w:r>
      <w:r>
        <w:t xml:space="preserve">This can make </w:t>
      </w:r>
      <w:r w:rsidRPr="00F97627">
        <w:t xml:space="preserve">it more difficult to assess </w:t>
      </w:r>
      <w:r>
        <w:t>whether expenditure is really necessary from one period to the next, whether the TNSP is acting efficiently and prudently over regulatory control periods and whether expenditure is truly recurrent or non-recurrent</w:t>
      </w:r>
      <w:r w:rsidRPr="00F97627">
        <w:t xml:space="preserve">. </w:t>
      </w:r>
    </w:p>
    <w:p w:rsidR="0088341A" w:rsidRPr="00121163" w:rsidRDefault="0088341A" w:rsidP="0088341A">
      <w:pPr>
        <w:pStyle w:val="AERbodytext"/>
        <w:numPr>
          <w:ilvl w:val="0"/>
          <w:numId w:val="13"/>
        </w:numPr>
        <w:rPr>
          <w:rStyle w:val="AERtextbolditalics"/>
          <w:b w:val="0"/>
          <w:i w:val="0"/>
        </w:rPr>
      </w:pPr>
      <w:r w:rsidRPr="00121163">
        <w:rPr>
          <w:rStyle w:val="AERtextbolditalics"/>
          <w:b w:val="0"/>
          <w:i w:val="0"/>
        </w:rPr>
        <w:t xml:space="preserve">SP AusNet's asset works forecast </w:t>
      </w:r>
      <w:r w:rsidRPr="000C02E7">
        <w:rPr>
          <w:rStyle w:val="AERtextbolditalics"/>
          <w:b w:val="0"/>
          <w:i w:val="0"/>
        </w:rPr>
        <w:t>is complicated because it</w:t>
      </w:r>
      <w:r w:rsidRPr="00121163">
        <w:t xml:space="preserve"> </w:t>
      </w:r>
      <w:r w:rsidR="00832F8A">
        <w:t xml:space="preserve">encompasses </w:t>
      </w:r>
      <w:r>
        <w:t xml:space="preserve">a number of </w:t>
      </w:r>
      <w:r w:rsidR="00832F8A">
        <w:t>opex sub–</w:t>
      </w:r>
      <w:r>
        <w:t xml:space="preserve">categories (controllable and non-controllable), and it reclassified </w:t>
      </w:r>
      <w:r w:rsidR="00832F8A">
        <w:t xml:space="preserve">and relabelled </w:t>
      </w:r>
      <w:r>
        <w:t xml:space="preserve">some expenditure from 2008–14 in 2014–17, </w:t>
      </w:r>
      <w:r>
        <w:rPr>
          <w:rStyle w:val="AERbody"/>
        </w:rPr>
        <w:t>for example:</w:t>
      </w:r>
      <w:r w:rsidRPr="000C02E7">
        <w:rPr>
          <w:rStyle w:val="AERbody"/>
        </w:rPr>
        <w:t xml:space="preserve"> </w:t>
      </w:r>
    </w:p>
    <w:p w:rsidR="0088341A" w:rsidRPr="00A61159" w:rsidRDefault="0088341A" w:rsidP="0088341A">
      <w:pPr>
        <w:pStyle w:val="AERbulletlistfirststyle"/>
        <w:rPr>
          <w:rStyle w:val="AERtextbolditalics"/>
          <w:b w:val="0"/>
          <w:i w:val="0"/>
        </w:rPr>
      </w:pPr>
      <w:r w:rsidRPr="00A61159">
        <w:rPr>
          <w:rStyle w:val="AERtextbolditalics"/>
          <w:b w:val="0"/>
          <w:i w:val="0"/>
        </w:rPr>
        <w:t>Overhead line condition assessment</w:t>
      </w:r>
      <w:r w:rsidRPr="00B40A06">
        <w:rPr>
          <w:rStyle w:val="AERtextbolditalics"/>
          <w:b w:val="0"/>
          <w:i w:val="0"/>
        </w:rPr>
        <w:t>—$</w:t>
      </w:r>
      <w:r w:rsidRPr="00257157">
        <w:rPr>
          <w:rStyle w:val="AERtextbolditalics"/>
          <w:b w:val="0"/>
          <w:i w:val="0"/>
        </w:rPr>
        <w:t>3</w:t>
      </w:r>
      <w:r w:rsidRPr="00A61159">
        <w:rPr>
          <w:rStyle w:val="AERtextbolditalics"/>
          <w:b w:val="0"/>
          <w:i w:val="0"/>
        </w:rPr>
        <w:t>.9 million. SP AusNet included this work in its 'Condition monitoring' asset works project in the 2008</w:t>
      </w:r>
      <w:r w:rsidR="00A17D31">
        <w:rPr>
          <w:rStyle w:val="AERtextbolditalics"/>
          <w:b w:val="0"/>
          <w:i w:val="0"/>
        </w:rPr>
        <w:t>–</w:t>
      </w:r>
      <w:r w:rsidRPr="00A61159">
        <w:rPr>
          <w:rStyle w:val="AERtextbolditalics"/>
          <w:b w:val="0"/>
          <w:i w:val="0"/>
        </w:rPr>
        <w:t xml:space="preserve">14 regulatory control period. </w:t>
      </w:r>
    </w:p>
    <w:p w:rsidR="0088341A" w:rsidRPr="00257157" w:rsidRDefault="0088341A" w:rsidP="0088341A">
      <w:pPr>
        <w:pStyle w:val="AERbulletlistfirststyle"/>
        <w:rPr>
          <w:rStyle w:val="AERtextbolditalics"/>
          <w:b w:val="0"/>
          <w:i w:val="0"/>
        </w:rPr>
      </w:pPr>
      <w:r w:rsidRPr="00A61159">
        <w:rPr>
          <w:rStyle w:val="AERtextbolditalics"/>
          <w:b w:val="0"/>
          <w:i w:val="0"/>
        </w:rPr>
        <w:t xml:space="preserve">Corrosion risk </w:t>
      </w:r>
      <w:r w:rsidRPr="00257157">
        <w:rPr>
          <w:rStyle w:val="AERtextbolditalics"/>
          <w:b w:val="0"/>
          <w:i w:val="0"/>
        </w:rPr>
        <w:t>mitigation</w:t>
      </w:r>
      <w:r w:rsidRPr="00B40A06">
        <w:rPr>
          <w:rStyle w:val="AERtextbolditalics"/>
          <w:b w:val="0"/>
          <w:i w:val="0"/>
        </w:rPr>
        <w:t>—</w:t>
      </w:r>
      <w:r w:rsidRPr="00257157">
        <w:rPr>
          <w:rStyle w:val="AERtextbolditalics"/>
          <w:b w:val="0"/>
          <w:i w:val="0"/>
        </w:rPr>
        <w:t>$9.5 million. SP AusNet called this work 'Tower corrosion</w:t>
      </w:r>
      <w:r w:rsidRPr="00B40A06">
        <w:rPr>
          <w:rStyle w:val="AERtextbolditalics"/>
          <w:b w:val="0"/>
          <w:i w:val="0"/>
        </w:rPr>
        <w:t>—</w:t>
      </w:r>
      <w:r w:rsidRPr="00257157">
        <w:rPr>
          <w:rStyle w:val="AERtextbolditalics"/>
          <w:b w:val="0"/>
          <w:i w:val="0"/>
        </w:rPr>
        <w:t>tower painting' in the 2008</w:t>
      </w:r>
      <w:r w:rsidR="00A17D31">
        <w:rPr>
          <w:rStyle w:val="AERtextbolditalics"/>
          <w:b w:val="0"/>
          <w:i w:val="0"/>
        </w:rPr>
        <w:t>–</w:t>
      </w:r>
      <w:r w:rsidRPr="00257157">
        <w:rPr>
          <w:rStyle w:val="AERtextbolditalics"/>
          <w:b w:val="0"/>
          <w:i w:val="0"/>
        </w:rPr>
        <w:t xml:space="preserve">14 regulatory control period. </w:t>
      </w:r>
    </w:p>
    <w:p w:rsidR="0088341A" w:rsidRPr="00A61159" w:rsidRDefault="0088341A" w:rsidP="0088341A">
      <w:pPr>
        <w:pStyle w:val="AERbulletlistfirststyle"/>
        <w:rPr>
          <w:rStyle w:val="AERtextbolditalics"/>
          <w:b w:val="0"/>
          <w:i w:val="0"/>
        </w:rPr>
      </w:pPr>
      <w:r w:rsidRPr="00257157">
        <w:rPr>
          <w:rStyle w:val="AERtextbolditalics"/>
          <w:b w:val="0"/>
          <w:i w:val="0"/>
        </w:rPr>
        <w:t>Communications infrastructure</w:t>
      </w:r>
      <w:r w:rsidRPr="00B40A06">
        <w:rPr>
          <w:rStyle w:val="AERtextbolditalics"/>
          <w:b w:val="0"/>
          <w:i w:val="0"/>
        </w:rPr>
        <w:t>—</w:t>
      </w:r>
      <w:r w:rsidRPr="00257157">
        <w:rPr>
          <w:rStyle w:val="AERtextbolditalics"/>
          <w:b w:val="0"/>
          <w:i w:val="0"/>
        </w:rPr>
        <w:t>$2.</w:t>
      </w:r>
      <w:r w:rsidRPr="00B40A06">
        <w:rPr>
          <w:rStyle w:val="AERtextbolditalics"/>
          <w:b w:val="0"/>
          <w:i w:val="0"/>
        </w:rPr>
        <w:t>6</w:t>
      </w:r>
      <w:r w:rsidRPr="00257157">
        <w:rPr>
          <w:rStyle w:val="AERtextbolditalics"/>
          <w:b w:val="0"/>
          <w:i w:val="0"/>
        </w:rPr>
        <w:t xml:space="preserve"> million</w:t>
      </w:r>
      <w:r w:rsidRPr="00A61159">
        <w:rPr>
          <w:rStyle w:val="AERtextbolditalics"/>
          <w:b w:val="0"/>
          <w:i w:val="0"/>
        </w:rPr>
        <w:t>. SP AusNet included this work in 'Miscellaneous asset works' in the 2008</w:t>
      </w:r>
      <w:r w:rsidR="00A17D31">
        <w:rPr>
          <w:rStyle w:val="AERtextbolditalics"/>
          <w:b w:val="0"/>
          <w:i w:val="0"/>
        </w:rPr>
        <w:t>–</w:t>
      </w:r>
      <w:r w:rsidRPr="00A61159">
        <w:rPr>
          <w:rStyle w:val="AERtextbolditalics"/>
          <w:b w:val="0"/>
          <w:i w:val="0"/>
        </w:rPr>
        <w:t xml:space="preserve">14 regulatory control period. </w:t>
      </w:r>
    </w:p>
    <w:p w:rsidR="00832F8A" w:rsidRDefault="0088341A" w:rsidP="0088341A">
      <w:pPr>
        <w:pStyle w:val="AERbodytext"/>
        <w:numPr>
          <w:ilvl w:val="0"/>
          <w:numId w:val="13"/>
        </w:numPr>
      </w:pPr>
      <w:r w:rsidRPr="00F97627">
        <w:rPr>
          <w:rStyle w:val="AERbody"/>
        </w:rPr>
        <w:t>SP AusNet's reclassification</w:t>
      </w:r>
      <w:r w:rsidRPr="000C02E7">
        <w:rPr>
          <w:rStyle w:val="AERtextbolditalics"/>
          <w:b w:val="0"/>
          <w:i w:val="0"/>
        </w:rPr>
        <w:t xml:space="preserve"> makes comparisons over time and over sub–categories difficult, however a total opex approach </w:t>
      </w:r>
      <w:r>
        <w:rPr>
          <w:rStyle w:val="AERtextbolditalics"/>
          <w:b w:val="0"/>
          <w:i w:val="0"/>
        </w:rPr>
        <w:t xml:space="preserve">that involves a top down assessment of controllable opex, such as the revealed costs approach, </w:t>
      </w:r>
      <w:r w:rsidRPr="000C02E7">
        <w:rPr>
          <w:rStyle w:val="AERtextbolditalics"/>
          <w:b w:val="0"/>
          <w:i w:val="0"/>
        </w:rPr>
        <w:t>overcomes these difficulties</w:t>
      </w:r>
      <w:r w:rsidRPr="00F97627">
        <w:t xml:space="preserve">.  </w:t>
      </w:r>
    </w:p>
    <w:p w:rsidR="0088341A" w:rsidRPr="007E2C13" w:rsidRDefault="00A978B0" w:rsidP="007F04EA">
      <w:pPr>
        <w:pStyle w:val="AERbodytext"/>
        <w:numPr>
          <w:ilvl w:val="0"/>
          <w:numId w:val="13"/>
        </w:numPr>
      </w:pPr>
      <w:r>
        <w:t xml:space="preserve">Another concern we have with </w:t>
      </w:r>
      <w:r w:rsidR="00B676ED">
        <w:t>a bottom up build of controllable opex</w:t>
      </w:r>
      <w:r w:rsidR="00971D5A">
        <w:t xml:space="preserve"> is (</w:t>
      </w:r>
      <w:r>
        <w:t>if</w:t>
      </w:r>
      <w:r w:rsidR="00971D5A">
        <w:t xml:space="preserve"> we accept the method)</w:t>
      </w:r>
      <w:r>
        <w:t xml:space="preserve"> </w:t>
      </w:r>
      <w:r w:rsidR="00F73273">
        <w:t>that</w:t>
      </w:r>
      <w:r>
        <w:t xml:space="preserve"> TNSP's may be able to achieve benefits through reclassification of expenditure, rather than by pursuing efficient practices and actually realising tangible efficient expenditure gains</w:t>
      </w:r>
      <w:r w:rsidR="008F5CAE">
        <w:t xml:space="preserve"> through actual realised management effort</w:t>
      </w:r>
      <w:r>
        <w:t>. We found examples of th</w:t>
      </w:r>
      <w:r w:rsidR="00971D5A">
        <w:t>is</w:t>
      </w:r>
      <w:r>
        <w:t xml:space="preserve"> issue in SP AusNet’s propos</w:t>
      </w:r>
      <w:r w:rsidR="00971D5A">
        <w:t>ed forecast</w:t>
      </w:r>
      <w:r>
        <w:t>.</w:t>
      </w:r>
      <w:r w:rsidR="00971D5A">
        <w:t xml:space="preserve"> </w:t>
      </w:r>
      <w:r w:rsidR="0088341A" w:rsidRPr="007E2C13">
        <w:t>SP AusNet reclassified some base year expenditure to asset works and vice versa and also use</w:t>
      </w:r>
      <w:r w:rsidR="0088341A">
        <w:t>d</w:t>
      </w:r>
      <w:r w:rsidR="0088341A" w:rsidRPr="007E2C13">
        <w:t xml:space="preserve"> self-insurance (non-controllable opex) to manage some asset works expenditure.</w:t>
      </w:r>
      <w:r w:rsidR="0088341A" w:rsidRPr="007E2C13">
        <w:rPr>
          <w:rStyle w:val="FootnoteReference"/>
        </w:rPr>
        <w:footnoteReference w:id="297"/>
      </w:r>
      <w:r w:rsidR="0088341A" w:rsidRPr="007E2C13">
        <w:t xml:space="preserve"> Our revealed costs method takes a top down focus on total controllable opex</w:t>
      </w:r>
      <w:r w:rsidR="00552661">
        <w:t>,</w:t>
      </w:r>
      <w:r w:rsidR="0088341A" w:rsidRPr="007E2C13">
        <w:t xml:space="preserve"> so our method mitigates this problem </w:t>
      </w:r>
      <w:r w:rsidR="00552661">
        <w:t xml:space="preserve">of </w:t>
      </w:r>
      <w:r w:rsidR="0088341A" w:rsidRPr="007E2C13">
        <w:t>disaggregated</w:t>
      </w:r>
      <w:r w:rsidR="004161E2">
        <w:t xml:space="preserve"> controllable opex</w:t>
      </w:r>
      <w:r w:rsidR="0088341A" w:rsidRPr="007E2C13">
        <w:t xml:space="preserve">. </w:t>
      </w:r>
    </w:p>
    <w:p w:rsidR="0088341A" w:rsidRPr="000C02E7" w:rsidRDefault="0088341A" w:rsidP="0088341A">
      <w:pPr>
        <w:pStyle w:val="AERbodytext"/>
        <w:numPr>
          <w:ilvl w:val="0"/>
          <w:numId w:val="13"/>
        </w:numPr>
        <w:rPr>
          <w:rStyle w:val="AERtextbolditalics"/>
        </w:rPr>
      </w:pPr>
      <w:r w:rsidRPr="000C02E7">
        <w:rPr>
          <w:rStyle w:val="AERtextbolditalics"/>
        </w:rPr>
        <w:lastRenderedPageBreak/>
        <w:t>Information asymmetry</w:t>
      </w:r>
    </w:p>
    <w:p w:rsidR="0088341A" w:rsidRPr="00667BE0" w:rsidRDefault="00552661" w:rsidP="00E8656D">
      <w:pPr>
        <w:pStyle w:val="AERbodytext"/>
        <w:numPr>
          <w:ilvl w:val="0"/>
          <w:numId w:val="3"/>
        </w:numPr>
      </w:pPr>
      <w:r>
        <w:t xml:space="preserve">A TNSP in its revenue proposal must also provide </w:t>
      </w:r>
      <w:r w:rsidR="007F4018">
        <w:t xml:space="preserve">submission templates. These submission templates include information about its proposed opex by category. </w:t>
      </w:r>
      <w:r w:rsidR="0088341A">
        <w:t xml:space="preserve">EMCa was unable to reconcile </w:t>
      </w:r>
      <w:r w:rsidR="007F4018">
        <w:t>SP </w:t>
      </w:r>
      <w:r w:rsidR="0088341A">
        <w:t xml:space="preserve">AusNet's submission </w:t>
      </w:r>
      <w:r w:rsidR="0088341A" w:rsidRPr="00A1277E">
        <w:t>template with the proposed step changes and found that the step change justifications do not align with the increases in expenditure that are proposed in the opex model template</w:t>
      </w:r>
      <w:r w:rsidR="0088341A">
        <w:t>.</w:t>
      </w:r>
      <w:r w:rsidR="001035DB">
        <w:rPr>
          <w:rStyle w:val="FootnoteReference"/>
        </w:rPr>
        <w:footnoteReference w:id="298"/>
      </w:r>
      <w:r w:rsidR="001035DB">
        <w:t xml:space="preserve"> </w:t>
      </w:r>
      <w:r w:rsidR="0088341A">
        <w:t xml:space="preserve">It </w:t>
      </w:r>
      <w:r w:rsidR="0088341A" w:rsidRPr="00667BE0">
        <w:t>sought information from SP AusNet on these apparent discrepancies, and to assist in deciding which forecasts should be considered as the definitive proposed expenditures.  In response SP AusNet explained the differences as follows:</w:t>
      </w:r>
      <w:r w:rsidR="0088341A">
        <w:rPr>
          <w:rStyle w:val="FootnoteReference"/>
        </w:rPr>
        <w:footnoteReference w:id="299"/>
      </w:r>
    </w:p>
    <w:p w:rsidR="0088341A" w:rsidRPr="00667BE0" w:rsidRDefault="0088341A" w:rsidP="0088341A">
      <w:pPr>
        <w:pStyle w:val="AERquote"/>
      </w:pPr>
      <w:r w:rsidRPr="00667BE0">
        <w:t>The AER’s submission templates provide recurrent maintenance splits on an indicative basis only and therefore caution must be exercised when using the information reported……</w:t>
      </w:r>
    </w:p>
    <w:p w:rsidR="0088341A" w:rsidRPr="00667BE0" w:rsidRDefault="0088341A" w:rsidP="0088341A">
      <w:pPr>
        <w:pStyle w:val="AERquote"/>
      </w:pPr>
      <w:r w:rsidRPr="00667BE0">
        <w:t xml:space="preserve">As such the forecast maintenance costs in the above categories have been derived by: </w:t>
      </w:r>
    </w:p>
    <w:p w:rsidR="0088341A" w:rsidRPr="00667BE0" w:rsidRDefault="0088341A" w:rsidP="0088341A">
      <w:pPr>
        <w:pStyle w:val="AERquote"/>
      </w:pPr>
      <w:r w:rsidRPr="00667BE0">
        <w:t xml:space="preserve">1. Taking the total maintenance cost found in SP AusNet’s opex model </w:t>
      </w:r>
      <w:r>
        <w:t>..</w:t>
      </w:r>
    </w:p>
    <w:p w:rsidR="0088341A" w:rsidRPr="00667BE0" w:rsidRDefault="0088341A" w:rsidP="0088341A">
      <w:pPr>
        <w:pStyle w:val="AERquote"/>
      </w:pPr>
      <w:r w:rsidRPr="00667BE0">
        <w:t xml:space="preserve">2. Allocating the total amount between asset types based on the average activity levels across the current </w:t>
      </w:r>
      <w:r>
        <w:t>regulatory control period</w:t>
      </w:r>
      <w:r w:rsidRPr="00667BE0">
        <w:t>……”</w:t>
      </w:r>
    </w:p>
    <w:p w:rsidR="0088341A" w:rsidRDefault="0088341A" w:rsidP="00206240">
      <w:pPr>
        <w:pStyle w:val="AERbodytext"/>
        <w:rPr>
          <w:rStyle w:val="AERbody"/>
        </w:rPr>
      </w:pPr>
      <w:r w:rsidRPr="00206240">
        <w:rPr>
          <w:rStyle w:val="AERbodytextChar"/>
        </w:rPr>
        <w:t xml:space="preserve">This means the asset breakdown for the proposed expenditure </w:t>
      </w:r>
      <w:r w:rsidR="00E872F7" w:rsidRPr="00206240">
        <w:rPr>
          <w:rStyle w:val="AERbodytextChar"/>
        </w:rPr>
        <w:t>was</w:t>
      </w:r>
      <w:r w:rsidRPr="00206240">
        <w:rPr>
          <w:rStyle w:val="AERbodytextChar"/>
        </w:rPr>
        <w:t xml:space="preserve"> pro-rated on the current regulatory control period breakdown and cannot be aligned with the proposed step changes</w:t>
      </w:r>
      <w:r w:rsidRPr="000C02E7">
        <w:rPr>
          <w:rStyle w:val="AERbody"/>
        </w:rPr>
        <w:t>.</w:t>
      </w:r>
      <w:r>
        <w:rPr>
          <w:rStyle w:val="FootnoteReference"/>
        </w:rPr>
        <w:footnoteReference w:id="300"/>
      </w:r>
      <w:r w:rsidR="001035DB">
        <w:rPr>
          <w:rStyle w:val="AERbody"/>
        </w:rPr>
        <w:t xml:space="preserve"> Such information, if reliable, would be useful in assessing changes in the application of opex by asset type, and thus, the alignment of the proposed expenditure with SP AusNet’s asset management strategies.</w:t>
      </w:r>
      <w:r w:rsidR="001035DB">
        <w:rPr>
          <w:rStyle w:val="FootnoteReference"/>
        </w:rPr>
        <w:footnoteReference w:id="301"/>
      </w:r>
    </w:p>
    <w:p w:rsidR="00CB0841" w:rsidRDefault="00CB0841" w:rsidP="00E8656D">
      <w:pPr>
        <w:pStyle w:val="AERbodytext"/>
      </w:pPr>
      <w:r>
        <w:t>EMCa also sought information on the current regulatory control period expenditures in each of the areas for which a step increase is proposed. Within the timeframe of its primary analysis, SP AusNet did not have the information available and stated that it would require a forensic accounting exercise of around 4 weeks’ effort.</w:t>
      </w:r>
      <w:r>
        <w:rPr>
          <w:rStyle w:val="FootnoteReference"/>
        </w:rPr>
        <w:footnoteReference w:id="302"/>
      </w:r>
      <w:r>
        <w:t xml:space="preserve"> EMCa commented:</w:t>
      </w:r>
      <w:r>
        <w:rPr>
          <w:rStyle w:val="FootnoteReference"/>
        </w:rPr>
        <w:footnoteReference w:id="303"/>
      </w:r>
      <w:r>
        <w:t xml:space="preserve"> </w:t>
      </w:r>
    </w:p>
    <w:p w:rsidR="00CB0841" w:rsidRDefault="00CB0841" w:rsidP="00E8656D">
      <w:pPr>
        <w:pStyle w:val="AERquote"/>
      </w:pPr>
      <w:r>
        <w:t xml:space="preserve">The fact that SP AusNet had proposed step increases without having information on baseline expenditures raised a degree of doubt that some of the proposed expenditure may already be inherent in baseline opex and that there may be an element of double counting, SP AusNet subsequently provided baseline information on current costs for some, but not all, of the proposed step change categories. </w:t>
      </w:r>
    </w:p>
    <w:p w:rsidR="001035DB" w:rsidRDefault="001035DB" w:rsidP="00E8656D">
      <w:pPr>
        <w:pStyle w:val="AERbodytext"/>
      </w:pPr>
      <w:r>
        <w:t>With respect to metrics for the asset works program, EMCa sought the metrics that were proposed in the 2008 determination process for the 2008–14 regulatory control period for the $53.9 million proposed of which only $23.3 million was spent. The metrics show that comparison between the cost variances indicated a tendency towards actual unit costs being lower than those used as the basis for the original estimation</w:t>
      </w:r>
      <w:r w:rsidR="004161E2">
        <w:t>. However, SP AusNet was not able to provide program metrics for $36 million of proposed expenditure ($26 million of actual expenditure), either because the programs as originally proposed did not have such metrics or they could not be readily accessed, or because the nature of the programs was such that it is practical or meaningful to quantify volumes of work.</w:t>
      </w:r>
      <w:r w:rsidR="004161E2">
        <w:rPr>
          <w:rStyle w:val="FootnoteReference"/>
        </w:rPr>
        <w:footnoteReference w:id="304"/>
      </w:r>
    </w:p>
    <w:p w:rsidR="00E20274" w:rsidRPr="00E8656D" w:rsidRDefault="00E20274" w:rsidP="00E8656D">
      <w:pPr>
        <w:pStyle w:val="HeadingBoldBlue"/>
        <w:rPr>
          <w:rStyle w:val="AERbody"/>
          <w:color w:val="365F91" w:themeColor="accent1" w:themeShade="BF"/>
        </w:rPr>
      </w:pPr>
      <w:r w:rsidRPr="00E8656D">
        <w:rPr>
          <w:rStyle w:val="AERbody"/>
          <w:color w:val="365F91" w:themeColor="accent1" w:themeShade="BF"/>
        </w:rPr>
        <w:t>SP AusNet</w:t>
      </w:r>
      <w:r w:rsidRPr="00E8656D">
        <w:rPr>
          <w:rStyle w:val="AERbody"/>
          <w:rFonts w:hint="eastAsia"/>
          <w:color w:val="365F91" w:themeColor="accent1" w:themeShade="BF"/>
        </w:rPr>
        <w:t>’</w:t>
      </w:r>
      <w:r w:rsidRPr="00E8656D">
        <w:rPr>
          <w:rStyle w:val="AERbody"/>
          <w:color w:val="365F91" w:themeColor="accent1" w:themeShade="BF"/>
        </w:rPr>
        <w:t>s bottom up forecasts for controllable opex (asset works and insurance)</w:t>
      </w:r>
    </w:p>
    <w:p w:rsidR="005D76D8" w:rsidRDefault="005D76D8" w:rsidP="00206240">
      <w:pPr>
        <w:pStyle w:val="AERbodytext"/>
        <w:numPr>
          <w:ilvl w:val="0"/>
          <w:numId w:val="0"/>
        </w:numPr>
        <w:rPr>
          <w:rStyle w:val="AERbody"/>
        </w:rPr>
      </w:pPr>
      <w:r w:rsidRPr="00206240">
        <w:rPr>
          <w:rStyle w:val="AERtextitalic"/>
          <w:rFonts w:eastAsia="Calibri"/>
          <w:i w:val="0"/>
          <w:szCs w:val="20"/>
        </w:rPr>
        <w:t>This section discusses the reasons we are not satisfied the bottom up elements of SP AusNet’s hybrid proposal (that is, asset works and insurance) reasonably reflect the opex criteria.</w:t>
      </w:r>
      <w:r>
        <w:rPr>
          <w:rStyle w:val="AERtextitalic"/>
          <w:rFonts w:eastAsia="Calibri"/>
          <w:i w:val="0"/>
          <w:szCs w:val="20"/>
        </w:rPr>
        <w:t xml:space="preserve"> </w:t>
      </w:r>
      <w:r>
        <w:t xml:space="preserve">We needed to engage with some areas of the proposal in </w:t>
      </w:r>
      <w:r w:rsidR="007F4018">
        <w:t>some</w:t>
      </w:r>
      <w:r>
        <w:t xml:space="preserve"> depth and our analysis on these aspects is set </w:t>
      </w:r>
      <w:r>
        <w:lastRenderedPageBreak/>
        <w:t>out in appendices: Appendix B – Insurance forecast, Appendix D – Step changes and Appendix E – Asset works.</w:t>
      </w:r>
      <w:r>
        <w:rPr>
          <w:rStyle w:val="FootnoteReference"/>
        </w:rPr>
        <w:footnoteReference w:id="305"/>
      </w:r>
      <w:r>
        <w:rPr>
          <w:rStyle w:val="AERbody"/>
        </w:rPr>
        <w:t xml:space="preserve"> </w:t>
      </w:r>
    </w:p>
    <w:p w:rsidR="005D76D8" w:rsidRDefault="005D76D8" w:rsidP="00206240">
      <w:pPr>
        <w:pStyle w:val="AERbodytext"/>
        <w:numPr>
          <w:ilvl w:val="0"/>
          <w:numId w:val="0"/>
        </w:numPr>
      </w:pPr>
      <w:r>
        <w:t>The fact that we may nominally compare the AER's draft decision along the same opex categories as proposed by SP AusNet should not be construed as the AER having specified an allowance for each opex category.</w:t>
      </w:r>
    </w:p>
    <w:p w:rsidR="0088341A" w:rsidRPr="00AA076E" w:rsidRDefault="0088341A" w:rsidP="0088341A">
      <w:pPr>
        <w:pStyle w:val="HeadingBoldItalic"/>
      </w:pPr>
      <w:r w:rsidRPr="00AA076E">
        <w:rPr>
          <w:rStyle w:val="AERtextitalic"/>
          <w:i/>
        </w:rPr>
        <w:t>Asset works</w:t>
      </w:r>
      <w:r w:rsidRPr="00AA076E">
        <w:t xml:space="preserve"> </w:t>
      </w:r>
    </w:p>
    <w:p w:rsidR="005D76D8" w:rsidRDefault="0088341A" w:rsidP="00E8656D">
      <w:pPr>
        <w:pStyle w:val="AERbodytext"/>
        <w:numPr>
          <w:ilvl w:val="0"/>
          <w:numId w:val="0"/>
        </w:numPr>
      </w:pPr>
      <w:r>
        <w:t>We do not accept SP AusNet's proposed asset works forecast of $28.4 million. We assessed asset works in conjunction with three proposed step changes which SP AusNet classified as asset works during 2008</w:t>
      </w:r>
      <w:r w:rsidR="00A17D31">
        <w:t>–</w:t>
      </w:r>
      <w:r>
        <w:t xml:space="preserve">14: line condition assessments ($3.9 million), corrosion risk mitigation ($9.5 million) and communications infrastructure ($2.6 million). </w:t>
      </w:r>
    </w:p>
    <w:p w:rsidR="0088341A" w:rsidRPr="00085659" w:rsidRDefault="0088341A" w:rsidP="00E8656D">
      <w:pPr>
        <w:pStyle w:val="AERbodytext"/>
        <w:numPr>
          <w:ilvl w:val="0"/>
          <w:numId w:val="0"/>
        </w:numPr>
      </w:pPr>
      <w:r w:rsidRPr="00085659">
        <w:t xml:space="preserve">We do not accept </w:t>
      </w:r>
      <w:r>
        <w:t>the total $44.4 million opex forecast</w:t>
      </w:r>
      <w:r w:rsidRPr="00085659">
        <w:t xml:space="preserve"> because: </w:t>
      </w:r>
    </w:p>
    <w:p w:rsidR="0088341A" w:rsidRPr="00085659" w:rsidRDefault="0088341A" w:rsidP="00206240">
      <w:pPr>
        <w:pStyle w:val="AERbulletlistfirststyle"/>
      </w:pPr>
      <w:r w:rsidRPr="00085659">
        <w:t xml:space="preserve">It </w:t>
      </w:r>
      <w:r>
        <w:t>does not reasonably reflect</w:t>
      </w:r>
      <w:r w:rsidRPr="00085659">
        <w:t xml:space="preserve"> the opex criteria, as it does not reasonably reflect the efficient cost of achieving the opex objectives and a realistic expectation of the cost inputs required to achieve those objectives. </w:t>
      </w:r>
      <w:r>
        <w:t>T</w:t>
      </w:r>
      <w:r w:rsidRPr="00AE6E12">
        <w:t xml:space="preserve">he proposed </w:t>
      </w:r>
      <w:r>
        <w:t xml:space="preserve">expenditure </w:t>
      </w:r>
      <w:r w:rsidRPr="00AE6E12">
        <w:t>is significantly more than the revealed costs</w:t>
      </w:r>
      <w:r>
        <w:t xml:space="preserve"> forecast ($16.1 million).</w:t>
      </w:r>
      <w:r>
        <w:rPr>
          <w:rStyle w:val="FootnoteReference"/>
        </w:rPr>
        <w:footnoteReference w:id="306"/>
      </w:r>
    </w:p>
    <w:p w:rsidR="0088341A" w:rsidRPr="00085659" w:rsidRDefault="0088341A" w:rsidP="0088341A">
      <w:pPr>
        <w:pStyle w:val="AERbulletlistfirststyle"/>
      </w:pPr>
      <w:r w:rsidRPr="00085659">
        <w:t xml:space="preserve">Under the incentive framework in which SP AusNet operates, if we accept the forecast opex as proposed, Victorian transmission users would not </w:t>
      </w:r>
      <w:r w:rsidR="00773594">
        <w:t>fairly share in the efficiency</w:t>
      </w:r>
      <w:r w:rsidRPr="00085659">
        <w:t xml:space="preserve"> gains which SP AusNet has achieved, which is contrary to the intent of the EBSS and NER 6A.6.5.</w:t>
      </w:r>
    </w:p>
    <w:p w:rsidR="0088341A" w:rsidRPr="00085659" w:rsidRDefault="0088341A" w:rsidP="0088341A">
      <w:pPr>
        <w:pStyle w:val="AERbulletlistfirststyle"/>
      </w:pPr>
      <w:r w:rsidRPr="00085659">
        <w:t xml:space="preserve">SP AusNet would retain about </w:t>
      </w:r>
      <w:r>
        <w:t>140</w:t>
      </w:r>
      <w:r w:rsidRPr="00085659">
        <w:t xml:space="preserve"> per cent of the efficiency benefit, when the intention of the EBSS is to share the benefits with customers at a ratio of 70 per cent to customers and 30 per cent to the business. </w:t>
      </w:r>
    </w:p>
    <w:p w:rsidR="0088341A" w:rsidRPr="00085659" w:rsidRDefault="0088341A" w:rsidP="0088341A">
      <w:pPr>
        <w:pStyle w:val="AERbulletlistfirststyle"/>
      </w:pPr>
      <w:r w:rsidRPr="00085659">
        <w:t>Victorian electricity transmission users would appear to pay twice for the same work</w:t>
      </w:r>
      <w:r>
        <w:t>,</w:t>
      </w:r>
      <w:r w:rsidRPr="00085659">
        <w:t xml:space="preserve"> which is contrary to the </w:t>
      </w:r>
      <w:r w:rsidR="00773594">
        <w:t>National Electricity Objective (</w:t>
      </w:r>
      <w:r w:rsidRPr="00085659">
        <w:t>NEO</w:t>
      </w:r>
      <w:r w:rsidR="00773594">
        <w:t>)</w:t>
      </w:r>
      <w:r w:rsidRPr="00085659">
        <w:t xml:space="preserve"> and not in the long term interests of users; and </w:t>
      </w:r>
    </w:p>
    <w:p w:rsidR="0088341A" w:rsidRDefault="0088341A" w:rsidP="0088341A">
      <w:pPr>
        <w:pStyle w:val="AERbulletlistfirststyle"/>
      </w:pPr>
      <w:r>
        <w:t>I</w:t>
      </w:r>
      <w:r w:rsidRPr="00085659">
        <w:t>t is contrary to the Revenue and Pricing Principles</w:t>
      </w:r>
      <w:r>
        <w:t xml:space="preserve"> because </w:t>
      </w:r>
      <w:r w:rsidRPr="00085659">
        <w:t>it undermines the incentive framework and does not provide an effective incentive to promote economic efficiency.</w:t>
      </w:r>
      <w:r w:rsidRPr="000C66DB">
        <w:rPr>
          <w:rStyle w:val="FootnoteReference"/>
        </w:rPr>
        <w:footnoteReference w:id="307"/>
      </w:r>
      <w:r w:rsidRPr="00085659">
        <w:t xml:space="preserve"> </w:t>
      </w:r>
    </w:p>
    <w:p w:rsidR="0088341A" w:rsidRPr="00C91DBD" w:rsidRDefault="0088341A" w:rsidP="0088341A">
      <w:pPr>
        <w:pStyle w:val="AERbodytext"/>
        <w:numPr>
          <w:ilvl w:val="0"/>
          <w:numId w:val="0"/>
        </w:numPr>
      </w:pPr>
      <w:r>
        <w:t xml:space="preserve">Our full consideration </w:t>
      </w:r>
      <w:r w:rsidR="00773594">
        <w:t>of SP AusNet’s asset works opex forecast is at a</w:t>
      </w:r>
      <w:r>
        <w:t>ppendix</w:t>
      </w:r>
      <w:r w:rsidRPr="00C91DBD">
        <w:t xml:space="preserve"> </w:t>
      </w:r>
      <w:r w:rsidR="00FA39F6">
        <w:t>E</w:t>
      </w:r>
      <w:r>
        <w:t>.</w:t>
      </w:r>
    </w:p>
    <w:p w:rsidR="0088341A" w:rsidRPr="00AA076E" w:rsidRDefault="0088341A" w:rsidP="0088341A">
      <w:pPr>
        <w:pStyle w:val="HeadingBoldItalic"/>
      </w:pPr>
      <w:r w:rsidRPr="00AA076E">
        <w:rPr>
          <w:rStyle w:val="AERtextitalic"/>
          <w:i/>
        </w:rPr>
        <w:t>Insurance</w:t>
      </w:r>
      <w:r w:rsidRPr="00AA076E">
        <w:t xml:space="preserve"> </w:t>
      </w:r>
    </w:p>
    <w:p w:rsidR="0088341A" w:rsidRPr="002C73C5" w:rsidRDefault="0088341A" w:rsidP="00E8656D">
      <w:pPr>
        <w:pStyle w:val="AERbodytext"/>
        <w:numPr>
          <w:ilvl w:val="0"/>
          <w:numId w:val="0"/>
        </w:numPr>
      </w:pPr>
      <w:r>
        <w:t>We do not accept SP AusNet's insurance forecast of $19.0 million because i</w:t>
      </w:r>
      <w:r w:rsidRPr="002C73C5">
        <w:t xml:space="preserve">t does not reasonably reflect the opex criteria, as it does not reasonably reflect the efficient cost of achieving the opex objectives and a realistic expectation of the cost inputs required to achieve those objectives. </w:t>
      </w:r>
      <w:r>
        <w:t>T</w:t>
      </w:r>
      <w:r w:rsidRPr="002C73C5">
        <w:t>he proposed expenditure is significantly more than the revealed costs forecast ($1</w:t>
      </w:r>
      <w:r>
        <w:t>1.0</w:t>
      </w:r>
      <w:r w:rsidRPr="002C73C5">
        <w:t xml:space="preserve"> million). </w:t>
      </w:r>
    </w:p>
    <w:p w:rsidR="00E872F7" w:rsidRDefault="005D76D8" w:rsidP="0088341A">
      <w:pPr>
        <w:pStyle w:val="AERbodytext"/>
        <w:numPr>
          <w:ilvl w:val="0"/>
          <w:numId w:val="13"/>
        </w:numPr>
      </w:pPr>
      <w:r>
        <w:t xml:space="preserve">We </w:t>
      </w:r>
      <w:r w:rsidR="0088341A">
        <w:t>considered and accepted AM Actuaries’ advice</w:t>
      </w:r>
      <w:r>
        <w:t>,</w:t>
      </w:r>
      <w:r w:rsidR="0088341A">
        <w:t xml:space="preserve"> that SP AusNet's </w:t>
      </w:r>
      <w:r w:rsidR="0088341A" w:rsidRPr="00C91DBD">
        <w:t>proposed premium escalation factors are higher than a reasonable expectation of future premium increases for each class of insurance</w:t>
      </w:r>
      <w:r>
        <w:t xml:space="preserve"> proposed (liability, property and ‘other’)</w:t>
      </w:r>
      <w:r w:rsidR="0088341A" w:rsidRPr="00C91DBD">
        <w:t xml:space="preserve">. </w:t>
      </w:r>
      <w:r w:rsidR="0088341A">
        <w:t xml:space="preserve">SP AusNet </w:t>
      </w:r>
      <w:r w:rsidR="0088341A" w:rsidRPr="00C91DBD">
        <w:t xml:space="preserve">increased the share of its insurance costs allocated to its transmission business for some of its insurances but did not provide sufficient </w:t>
      </w:r>
      <w:r w:rsidR="0088341A" w:rsidRPr="00C91DBD">
        <w:lastRenderedPageBreak/>
        <w:t>evidence to justify this reallocation.</w:t>
      </w:r>
      <w:r w:rsidR="007F04EA">
        <w:t xml:space="preserve"> </w:t>
      </w:r>
      <w:r w:rsidR="0088341A" w:rsidRPr="00C91DBD">
        <w:t xml:space="preserve">Further, it included some insurance costs associated with its un-regulated businesses as well as a fire services levy (FSL) which ceased on </w:t>
      </w:r>
      <w:r w:rsidR="0088341A">
        <w:t>1 </w:t>
      </w:r>
      <w:r w:rsidR="0088341A" w:rsidRPr="00C91DBD">
        <w:t>July</w:t>
      </w:r>
      <w:r w:rsidR="0088341A">
        <w:t> </w:t>
      </w:r>
      <w:r w:rsidR="0088341A" w:rsidRPr="00C91DBD">
        <w:t>2013</w:t>
      </w:r>
      <w:r w:rsidR="0088341A">
        <w:t xml:space="preserve">. </w:t>
      </w:r>
    </w:p>
    <w:p w:rsidR="0088341A" w:rsidRPr="00783639" w:rsidRDefault="0088341A" w:rsidP="0088341A">
      <w:pPr>
        <w:pStyle w:val="AERbodytext"/>
        <w:numPr>
          <w:ilvl w:val="0"/>
          <w:numId w:val="13"/>
        </w:numPr>
      </w:pPr>
      <w:r>
        <w:t>Our full con</w:t>
      </w:r>
      <w:r w:rsidR="00773594">
        <w:t>sideration of this issue is at a</w:t>
      </w:r>
      <w:r>
        <w:t>ppendix B.</w:t>
      </w:r>
    </w:p>
    <w:p w:rsidR="0088341A" w:rsidRDefault="00E872F7" w:rsidP="0088341A">
      <w:pPr>
        <w:pStyle w:val="HeadingBoldBlue"/>
        <w:rPr>
          <w:rStyle w:val="AERtextitalic"/>
          <w:i w:val="0"/>
        </w:rPr>
      </w:pPr>
      <w:r>
        <w:rPr>
          <w:rStyle w:val="AERtextitalic"/>
          <w:i w:val="0"/>
        </w:rPr>
        <w:t>SP AusNet’s b</w:t>
      </w:r>
      <w:r w:rsidR="0088341A">
        <w:rPr>
          <w:rStyle w:val="AERtextitalic"/>
          <w:i w:val="0"/>
        </w:rPr>
        <w:t>ase</w:t>
      </w:r>
      <w:r>
        <w:rPr>
          <w:rStyle w:val="AERtextitalic"/>
          <w:i w:val="0"/>
        </w:rPr>
        <w:t>-</w:t>
      </w:r>
      <w:r w:rsidR="0088341A">
        <w:rPr>
          <w:rStyle w:val="AERtextitalic"/>
          <w:i w:val="0"/>
        </w:rPr>
        <w:t>step</w:t>
      </w:r>
      <w:r>
        <w:rPr>
          <w:rStyle w:val="AERtextitalic"/>
          <w:i w:val="0"/>
        </w:rPr>
        <w:t>-</w:t>
      </w:r>
      <w:r w:rsidR="0088341A">
        <w:rPr>
          <w:rStyle w:val="AERtextitalic"/>
          <w:i w:val="0"/>
        </w:rPr>
        <w:t>trend forecast</w:t>
      </w:r>
      <w:r>
        <w:rPr>
          <w:rStyle w:val="AERtextitalic"/>
          <w:i w:val="0"/>
        </w:rPr>
        <w:t xml:space="preserve"> for controllable opex</w:t>
      </w:r>
    </w:p>
    <w:p w:rsidR="007D2F72" w:rsidRPr="005A216C" w:rsidRDefault="005D76D8" w:rsidP="00E8656D">
      <w:pPr>
        <w:pStyle w:val="AERbodytext"/>
      </w:pPr>
      <w:r w:rsidRPr="00D43B08">
        <w:rPr>
          <w:rStyle w:val="AERtextitalic"/>
          <w:rFonts w:eastAsia="Calibri"/>
          <w:i w:val="0"/>
          <w:szCs w:val="20"/>
        </w:rPr>
        <w:t xml:space="preserve">This section discusses the reasons we are not satisfied the </w:t>
      </w:r>
      <w:r>
        <w:rPr>
          <w:rStyle w:val="AERtextitalic"/>
          <w:rFonts w:eastAsia="Calibri"/>
          <w:i w:val="0"/>
          <w:szCs w:val="20"/>
        </w:rPr>
        <w:t>base-step-trend</w:t>
      </w:r>
      <w:r w:rsidRPr="00D43B08">
        <w:rPr>
          <w:rStyle w:val="AERtextitalic"/>
          <w:rFonts w:eastAsia="Calibri"/>
          <w:i w:val="0"/>
          <w:szCs w:val="20"/>
        </w:rPr>
        <w:t xml:space="preserve"> elements of SP AusNet’s hybrid proposal reasonably reflect the opex criteria.</w:t>
      </w:r>
      <w:r>
        <w:rPr>
          <w:rStyle w:val="AERtextitalic"/>
          <w:rFonts w:eastAsia="Calibri"/>
          <w:i w:val="0"/>
          <w:szCs w:val="20"/>
        </w:rPr>
        <w:t xml:space="preserve"> We discuss the method and basis of our substitute base-step-trend forecast in the next section (section 3.4.2).</w:t>
      </w:r>
    </w:p>
    <w:p w:rsidR="0088341A" w:rsidRPr="002C7F86" w:rsidRDefault="0088341A" w:rsidP="00BA4979">
      <w:pPr>
        <w:pStyle w:val="HeadingBoldItalic"/>
        <w:keepNext/>
        <w:keepLines/>
        <w:rPr>
          <w:rStyle w:val="AERtextitalic"/>
          <w:i/>
        </w:rPr>
      </w:pPr>
      <w:r>
        <w:rPr>
          <w:rStyle w:val="AERtextitalic"/>
          <w:i/>
        </w:rPr>
        <w:t>Efficient b</w:t>
      </w:r>
      <w:r w:rsidRPr="002C7F86">
        <w:rPr>
          <w:rStyle w:val="AERtextitalic"/>
          <w:i/>
        </w:rPr>
        <w:t>ase year</w:t>
      </w:r>
      <w:r>
        <w:rPr>
          <w:rStyle w:val="AERtextitalic"/>
          <w:i/>
        </w:rPr>
        <w:t xml:space="preserve"> costs</w:t>
      </w:r>
    </w:p>
    <w:p w:rsidR="0088341A" w:rsidRDefault="0088341A" w:rsidP="0088341A">
      <w:pPr>
        <w:pStyle w:val="AERbodytext"/>
        <w:numPr>
          <w:ilvl w:val="0"/>
          <w:numId w:val="13"/>
        </w:numPr>
      </w:pPr>
      <w:r w:rsidRPr="00907EEF">
        <w:t>SP AusNet proposed 2011</w:t>
      </w:r>
      <w:r>
        <w:t>–</w:t>
      </w:r>
      <w:r w:rsidRPr="00907EEF">
        <w:t xml:space="preserve">12 as a base year for its maintenance and support opex (but not insurance or asset works). We accept the year </w:t>
      </w:r>
      <w:r>
        <w:t xml:space="preserve">as a reference, </w:t>
      </w:r>
      <w:r w:rsidRPr="00907EEF">
        <w:t xml:space="preserve">but do not accept </w:t>
      </w:r>
      <w:r>
        <w:t>the</w:t>
      </w:r>
      <w:r w:rsidRPr="00907EEF">
        <w:t xml:space="preserve"> forecast because </w:t>
      </w:r>
      <w:r>
        <w:t>SP AusNet</w:t>
      </w:r>
      <w:r w:rsidRPr="00907EEF">
        <w:t xml:space="preserve"> </w:t>
      </w:r>
      <w:r>
        <w:t xml:space="preserve">included some costs in its base year for accrued </w:t>
      </w:r>
      <w:r w:rsidRPr="00907EEF">
        <w:t xml:space="preserve">provisional </w:t>
      </w:r>
      <w:r>
        <w:t>liabilities ($0.62 million) that do not represent actual costs incurred in the year. The base-year component of its forecast is therefore overestimated.</w:t>
      </w:r>
    </w:p>
    <w:p w:rsidR="0088341A" w:rsidRPr="00907EEF" w:rsidRDefault="0088341A" w:rsidP="0088341A">
      <w:pPr>
        <w:pStyle w:val="AERbodytext"/>
        <w:numPr>
          <w:ilvl w:val="0"/>
          <w:numId w:val="13"/>
        </w:numPr>
      </w:pPr>
      <w:r w:rsidRPr="00AA076E">
        <w:t>Consistent with standard accounting practice, employee entitlements are appropriately recorded in a provisions account as they are accrued.</w:t>
      </w:r>
      <w:r>
        <w:t xml:space="preserve"> However, </w:t>
      </w:r>
      <w:r w:rsidRPr="00AA076E">
        <w:t xml:space="preserve">we consider a provision should be distinguished from other liabilities because the timing of the future expenditure required in settlement </w:t>
      </w:r>
      <w:r>
        <w:t>is</w:t>
      </w:r>
      <w:r w:rsidRPr="00AA076E">
        <w:t xml:space="preserve"> uncertain. Whether particular expense provisions will materialise in the future may also be uncertain. Given these uncertainties, it is more appropriate to consider such costs as they are incurred, not as liabilities accrued for opex forecasting purposes. For these reasons, provisions accrued in a given year do not represent actual costs incurred in that year and should be removed from base year expenditure. We recognise cash paid out for the expenses to which the provisions relate, by reversing the movements in provisions in the base year.</w:t>
      </w:r>
      <w:r w:rsidRPr="00DB37B7">
        <w:t xml:space="preserve"> </w:t>
      </w:r>
      <w:r>
        <w:rPr>
          <w:rStyle w:val="FootnoteReference"/>
        </w:rPr>
        <w:footnoteReference w:id="308"/>
      </w:r>
    </w:p>
    <w:p w:rsidR="0088341A" w:rsidRPr="00AA076E" w:rsidRDefault="0088341A" w:rsidP="0088341A">
      <w:pPr>
        <w:pStyle w:val="HeadingBoldItalic"/>
      </w:pPr>
      <w:r w:rsidRPr="00AA076E">
        <w:rPr>
          <w:rStyle w:val="AERtextitalic"/>
          <w:i/>
        </w:rPr>
        <w:t>Proposed step changes</w:t>
      </w:r>
      <w:r w:rsidRPr="00AA076E">
        <w:t xml:space="preserve"> </w:t>
      </w:r>
    </w:p>
    <w:p w:rsidR="005D76D8" w:rsidRDefault="0088341A" w:rsidP="0088341A">
      <w:pPr>
        <w:pStyle w:val="AERbodytext"/>
        <w:numPr>
          <w:ilvl w:val="0"/>
          <w:numId w:val="13"/>
        </w:numPr>
      </w:pPr>
      <w:r>
        <w:t>SP AusNet proposed 12 step changes totalling $32.5 million.</w:t>
      </w:r>
      <w:r>
        <w:rPr>
          <w:rStyle w:val="FootnoteReference"/>
        </w:rPr>
        <w:footnoteReference w:id="309"/>
      </w:r>
      <w:r>
        <w:t xml:space="preserve"> </w:t>
      </w:r>
      <w:r w:rsidRPr="00813DDD">
        <w:t>We accepted one step change as proposed</w:t>
      </w:r>
      <w:r>
        <w:t>: '</w:t>
      </w:r>
      <w:r w:rsidRPr="00813DDD">
        <w:t>SCADA enhancements—controller simulation training</w:t>
      </w:r>
      <w:r>
        <w:t>' (</w:t>
      </w:r>
      <w:r w:rsidRPr="00813DDD">
        <w:t>$0.9 million)</w:t>
      </w:r>
      <w:r>
        <w:t>. We also accepted that cost</w:t>
      </w:r>
      <w:r w:rsidR="00773594">
        <w:t xml:space="preserve"> increases will occur for the 't</w:t>
      </w:r>
      <w:r w:rsidRPr="00813DDD">
        <w:t>ransitional arrangements for the AEMC rule change</w:t>
      </w:r>
      <w:r>
        <w:t>', but that the proposed costs ($2.8 million)</w:t>
      </w:r>
      <w:r>
        <w:rPr>
          <w:rStyle w:val="FootnoteReference"/>
        </w:rPr>
        <w:footnoteReference w:id="310"/>
      </w:r>
      <w:r>
        <w:t xml:space="preserve"> were more than reasonably reflect the efficient costs of achieving the opex objectives.</w:t>
      </w:r>
      <w:r w:rsidR="005D76D8">
        <w:t xml:space="preserve"> </w:t>
      </w:r>
      <w:r>
        <w:t>We accepted that increased costs are required for the '</w:t>
      </w:r>
      <w:r w:rsidR="005D76D8">
        <w:t>S</w:t>
      </w:r>
      <w:r>
        <w:t xml:space="preserve">ecurity </w:t>
      </w:r>
      <w:r w:rsidR="00155765">
        <w:t xml:space="preserve">of critical </w:t>
      </w:r>
      <w:r>
        <w:t>infrastructure'</w:t>
      </w:r>
      <w:r w:rsidR="00155765">
        <w:t xml:space="preserve"> step change</w:t>
      </w:r>
      <w:r>
        <w:t>, albeit lower than pro</w:t>
      </w:r>
      <w:r w:rsidR="00773594">
        <w:t>posed. These costs are commercial in confidence (CIC)</w:t>
      </w:r>
      <w:r>
        <w:t xml:space="preserve"> and not reported in the step change totals in this document.</w:t>
      </w:r>
      <w:r w:rsidR="005D76D8">
        <w:t xml:space="preserve"> </w:t>
      </w:r>
      <w:r>
        <w:t>We do not accept that the remaining proposed</w:t>
      </w:r>
      <w:r w:rsidRPr="00C91DBD">
        <w:t xml:space="preserve"> step changes </w:t>
      </w:r>
      <w:r>
        <w:t>($28.5 million) are reasonably required adjustments to the base year forecast.</w:t>
      </w:r>
      <w:r>
        <w:rPr>
          <w:rStyle w:val="FootnoteReference"/>
        </w:rPr>
        <w:footnoteReference w:id="311"/>
      </w:r>
      <w:r>
        <w:t xml:space="preserve"> </w:t>
      </w:r>
    </w:p>
    <w:p w:rsidR="00E166CF" w:rsidRPr="00E166CF" w:rsidRDefault="005B19ED" w:rsidP="00572C9B">
      <w:pPr>
        <w:pStyle w:val="AERbodytext"/>
      </w:pPr>
      <w:r>
        <w:t xml:space="preserve">EUCV </w:t>
      </w:r>
      <w:r w:rsidR="00572C9B">
        <w:t>submitted</w:t>
      </w:r>
      <w:r>
        <w:t xml:space="preserve"> that many of the aspects of the SP AusNet application in relation to opex which SP AusNet uses to justify an increase in the opex are not new and therefore are not step changes as such.</w:t>
      </w:r>
      <w:r w:rsidR="007A0772">
        <w:rPr>
          <w:rStyle w:val="FootnoteReference"/>
        </w:rPr>
        <w:footnoteReference w:id="312"/>
      </w:r>
      <w:r>
        <w:t xml:space="preserve"> </w:t>
      </w:r>
    </w:p>
    <w:p w:rsidR="0088341A" w:rsidRDefault="0088341A" w:rsidP="007A0772">
      <w:pPr>
        <w:pStyle w:val="AERbodytext"/>
      </w:pPr>
      <w:r>
        <w:t xml:space="preserve">Our reasons are summarised in </w:t>
      </w:r>
      <w:r>
        <w:fldChar w:fldCharType="begin"/>
      </w:r>
      <w:r>
        <w:instrText xml:space="preserve"> REF _Ref363327972 \h </w:instrText>
      </w:r>
      <w:r>
        <w:fldChar w:fldCharType="separate"/>
      </w:r>
      <w:r w:rsidR="004F35AA" w:rsidRPr="00751B8B">
        <w:t xml:space="preserve">Table </w:t>
      </w:r>
      <w:r w:rsidR="004F35AA">
        <w:rPr>
          <w:noProof/>
        </w:rPr>
        <w:t>3</w:t>
      </w:r>
      <w:r w:rsidR="004F35AA">
        <w:t>.</w:t>
      </w:r>
      <w:r w:rsidR="004F35AA">
        <w:rPr>
          <w:noProof/>
        </w:rPr>
        <w:t>4</w:t>
      </w:r>
      <w:r>
        <w:fldChar w:fldCharType="end"/>
      </w:r>
      <w:r>
        <w:t xml:space="preserve"> and </w:t>
      </w:r>
      <w:r w:rsidR="005D76D8">
        <w:t xml:space="preserve">our </w:t>
      </w:r>
      <w:r>
        <w:t xml:space="preserve">full </w:t>
      </w:r>
      <w:r w:rsidR="005D76D8">
        <w:t xml:space="preserve">reasoning is </w:t>
      </w:r>
      <w:r>
        <w:t xml:space="preserve">in Appendix </w:t>
      </w:r>
      <w:r w:rsidR="00FA39F6">
        <w:t>D</w:t>
      </w:r>
      <w:r>
        <w:t xml:space="preserve">. </w:t>
      </w:r>
    </w:p>
    <w:p w:rsidR="0088341A" w:rsidRPr="00751B8B" w:rsidRDefault="0088341A" w:rsidP="0088341A">
      <w:pPr>
        <w:pStyle w:val="Caption"/>
        <w:keepLines/>
      </w:pPr>
      <w:bookmarkStart w:id="198" w:name="_Ref363327972"/>
      <w:r w:rsidRPr="00751B8B">
        <w:lastRenderedPageBreak/>
        <w:t xml:space="preserve">Table </w:t>
      </w:r>
      <w:fldSimple w:instr=" STYLEREF 1 \s ">
        <w:r w:rsidR="004F35AA">
          <w:rPr>
            <w:noProof/>
          </w:rPr>
          <w:t>3</w:t>
        </w:r>
      </w:fldSimple>
      <w:r w:rsidR="00C56A87">
        <w:t>.</w:t>
      </w:r>
      <w:fldSimple w:instr=" SEQ Table \* ARABIC \s 1 ">
        <w:r w:rsidR="004F35AA">
          <w:rPr>
            <w:noProof/>
          </w:rPr>
          <w:t>4</w:t>
        </w:r>
      </w:fldSimple>
      <w:bookmarkEnd w:id="198"/>
      <w:r w:rsidRPr="00751B8B">
        <w:tab/>
        <w:t>AER's draft decision</w:t>
      </w:r>
      <w:r>
        <w:t xml:space="preserve"> on proposed step changes</w:t>
      </w:r>
      <w:r w:rsidRPr="00751B8B">
        <w:t xml:space="preserve"> ($ million, 2013–14)</w:t>
      </w:r>
    </w:p>
    <w:tbl>
      <w:tblPr>
        <w:tblW w:w="5000" w:type="pct"/>
        <w:tblBorders>
          <w:bottom w:val="single" w:sz="4" w:space="0" w:color="365F91"/>
        </w:tblBorders>
        <w:tblLayout w:type="fixed"/>
        <w:tblLook w:val="04A0" w:firstRow="1" w:lastRow="0" w:firstColumn="1" w:lastColumn="0" w:noHBand="0" w:noVBand="1"/>
      </w:tblPr>
      <w:tblGrid>
        <w:gridCol w:w="1810"/>
        <w:gridCol w:w="710"/>
        <w:gridCol w:w="708"/>
        <w:gridCol w:w="850"/>
        <w:gridCol w:w="5164"/>
      </w:tblGrid>
      <w:tr w:rsidR="0088341A" w:rsidRPr="00B40A06" w:rsidTr="00501137">
        <w:tc>
          <w:tcPr>
            <w:tcW w:w="979" w:type="pct"/>
            <w:shd w:val="clear" w:color="auto" w:fill="365F91"/>
          </w:tcPr>
          <w:p w:rsidR="0088341A" w:rsidRPr="00BA4979" w:rsidRDefault="0088341A" w:rsidP="00501137">
            <w:pPr>
              <w:pStyle w:val="AERtabletextleft"/>
              <w:keepNext/>
              <w:keepLines/>
              <w:rPr>
                <w:b/>
                <w:color w:val="FFFFFF"/>
                <w:sz w:val="13"/>
                <w:szCs w:val="13"/>
              </w:rPr>
            </w:pPr>
            <w:r w:rsidRPr="00BA4979">
              <w:rPr>
                <w:b/>
                <w:color w:val="FFFFFF"/>
                <w:sz w:val="13"/>
                <w:szCs w:val="13"/>
              </w:rPr>
              <w:t>Proposed step change</w:t>
            </w:r>
          </w:p>
        </w:tc>
        <w:tc>
          <w:tcPr>
            <w:tcW w:w="384" w:type="pct"/>
            <w:shd w:val="clear" w:color="auto" w:fill="365F91"/>
          </w:tcPr>
          <w:p w:rsidR="0088341A" w:rsidRPr="00BA4979" w:rsidRDefault="0088341A" w:rsidP="00501137">
            <w:pPr>
              <w:pStyle w:val="AERtabletextleft"/>
              <w:keepNext/>
              <w:keepLines/>
              <w:rPr>
                <w:b/>
                <w:color w:val="FFFFFF"/>
                <w:sz w:val="13"/>
                <w:szCs w:val="13"/>
              </w:rPr>
            </w:pPr>
            <w:r w:rsidRPr="00BA4979">
              <w:rPr>
                <w:b/>
                <w:color w:val="FFFFFF"/>
                <w:sz w:val="13"/>
                <w:szCs w:val="13"/>
              </w:rPr>
              <w:t>SPA</w:t>
            </w:r>
          </w:p>
        </w:tc>
        <w:tc>
          <w:tcPr>
            <w:tcW w:w="383" w:type="pct"/>
            <w:shd w:val="clear" w:color="auto" w:fill="365F91"/>
          </w:tcPr>
          <w:p w:rsidR="0088341A" w:rsidRPr="00BA4979" w:rsidRDefault="0088341A" w:rsidP="00501137">
            <w:pPr>
              <w:pStyle w:val="AERtabletextleft"/>
              <w:keepNext/>
              <w:keepLines/>
              <w:rPr>
                <w:b/>
                <w:color w:val="FFFFFF"/>
                <w:sz w:val="13"/>
                <w:szCs w:val="13"/>
              </w:rPr>
            </w:pPr>
            <w:r w:rsidRPr="00BA4979">
              <w:rPr>
                <w:b/>
                <w:color w:val="FFFFFF"/>
                <w:sz w:val="13"/>
                <w:szCs w:val="13"/>
              </w:rPr>
              <w:t>AER</w:t>
            </w:r>
          </w:p>
        </w:tc>
        <w:tc>
          <w:tcPr>
            <w:tcW w:w="460" w:type="pct"/>
            <w:shd w:val="clear" w:color="auto" w:fill="365F91"/>
          </w:tcPr>
          <w:p w:rsidR="0088341A" w:rsidRPr="00BA4979" w:rsidRDefault="0088341A" w:rsidP="00501137">
            <w:pPr>
              <w:pStyle w:val="AERtabletextleft"/>
              <w:keepNext/>
              <w:keepLines/>
              <w:rPr>
                <w:b/>
                <w:color w:val="FFFFFF"/>
                <w:sz w:val="13"/>
                <w:szCs w:val="13"/>
              </w:rPr>
            </w:pPr>
          </w:p>
        </w:tc>
        <w:tc>
          <w:tcPr>
            <w:tcW w:w="2794" w:type="pct"/>
            <w:shd w:val="clear" w:color="auto" w:fill="365F91"/>
          </w:tcPr>
          <w:p w:rsidR="0088341A" w:rsidRPr="00BA4979" w:rsidRDefault="0088341A" w:rsidP="00501137">
            <w:pPr>
              <w:pStyle w:val="AERtabletextleft"/>
              <w:keepNext/>
              <w:keepLines/>
              <w:rPr>
                <w:b/>
                <w:color w:val="FFFFFF"/>
                <w:sz w:val="13"/>
                <w:szCs w:val="13"/>
              </w:rPr>
            </w:pPr>
            <w:r w:rsidRPr="00BA4979">
              <w:rPr>
                <w:b/>
                <w:color w:val="FFFFFF"/>
                <w:sz w:val="13"/>
                <w:szCs w:val="13"/>
              </w:rPr>
              <w:t>AER's reasons</w:t>
            </w:r>
          </w:p>
        </w:tc>
      </w:tr>
      <w:tr w:rsidR="0088341A" w:rsidRPr="00B40A06" w:rsidTr="00501137">
        <w:tc>
          <w:tcPr>
            <w:tcW w:w="979" w:type="pct"/>
            <w:shd w:val="clear" w:color="auto" w:fill="auto"/>
          </w:tcPr>
          <w:p w:rsidR="0088341A" w:rsidRPr="00BA4979" w:rsidRDefault="0088341A" w:rsidP="00501137">
            <w:pPr>
              <w:pStyle w:val="AERtabletextleft"/>
              <w:keepNext/>
              <w:keepLines/>
              <w:rPr>
                <w:sz w:val="13"/>
                <w:szCs w:val="13"/>
              </w:rPr>
            </w:pPr>
            <w:r w:rsidRPr="00BA4979">
              <w:rPr>
                <w:sz w:val="13"/>
                <w:szCs w:val="13"/>
              </w:rPr>
              <w:t>Overhead line condition assessment</w:t>
            </w:r>
          </w:p>
        </w:tc>
        <w:tc>
          <w:tcPr>
            <w:tcW w:w="384" w:type="pct"/>
            <w:shd w:val="clear" w:color="auto" w:fill="auto"/>
          </w:tcPr>
          <w:p w:rsidR="0088341A" w:rsidRPr="00BA4979" w:rsidRDefault="0088341A" w:rsidP="00501137">
            <w:pPr>
              <w:pStyle w:val="AERtabletextleft"/>
              <w:keepNext/>
              <w:keepLines/>
              <w:rPr>
                <w:sz w:val="13"/>
                <w:szCs w:val="13"/>
              </w:rPr>
            </w:pPr>
            <w:r w:rsidRPr="00BA4979">
              <w:rPr>
                <w:sz w:val="13"/>
                <w:szCs w:val="13"/>
              </w:rPr>
              <w:t>3.9</w:t>
            </w:r>
          </w:p>
        </w:tc>
        <w:tc>
          <w:tcPr>
            <w:tcW w:w="383" w:type="pct"/>
            <w:shd w:val="clear" w:color="auto" w:fill="auto"/>
          </w:tcPr>
          <w:p w:rsidR="0088341A" w:rsidRPr="00BA4979" w:rsidRDefault="0088341A" w:rsidP="00501137">
            <w:pPr>
              <w:pStyle w:val="AERtabletextleft"/>
              <w:keepNext/>
              <w:keepLines/>
              <w:rPr>
                <w:sz w:val="13"/>
                <w:szCs w:val="13"/>
              </w:rPr>
            </w:pPr>
            <w:r w:rsidRPr="00BA4979">
              <w:rPr>
                <w:sz w:val="13"/>
                <w:szCs w:val="13"/>
              </w:rPr>
              <w:t>0.0</w:t>
            </w:r>
          </w:p>
        </w:tc>
        <w:tc>
          <w:tcPr>
            <w:tcW w:w="460" w:type="pct"/>
            <w:shd w:val="clear" w:color="auto" w:fill="auto"/>
          </w:tcPr>
          <w:p w:rsidR="0088341A" w:rsidRPr="00BA4979" w:rsidRDefault="0088341A" w:rsidP="00501137">
            <w:pPr>
              <w:pStyle w:val="AERtabletextleft"/>
              <w:keepNext/>
              <w:keepLines/>
              <w:rPr>
                <w:sz w:val="13"/>
                <w:szCs w:val="13"/>
              </w:rPr>
            </w:pPr>
            <w:r w:rsidRPr="00BA4979">
              <w:rPr>
                <w:sz w:val="13"/>
                <w:szCs w:val="13"/>
              </w:rPr>
              <w:t>Not accept</w:t>
            </w:r>
          </w:p>
        </w:tc>
        <w:tc>
          <w:tcPr>
            <w:tcW w:w="2794" w:type="pct"/>
            <w:shd w:val="clear" w:color="auto" w:fill="auto"/>
          </w:tcPr>
          <w:p w:rsidR="0088341A" w:rsidRPr="00BA4979" w:rsidRDefault="0088341A" w:rsidP="00501137">
            <w:pPr>
              <w:pStyle w:val="AERtabletextleft"/>
              <w:keepNext/>
              <w:keepLines/>
              <w:rPr>
                <w:sz w:val="13"/>
                <w:szCs w:val="13"/>
              </w:rPr>
            </w:pPr>
            <w:r w:rsidRPr="00BA4979">
              <w:rPr>
                <w:sz w:val="13"/>
                <w:szCs w:val="13"/>
              </w:rPr>
              <w:t xml:space="preserve">See assessment of asset works opex </w:t>
            </w:r>
          </w:p>
        </w:tc>
      </w:tr>
      <w:tr w:rsidR="0088341A" w:rsidRPr="00B40A06" w:rsidTr="00501137">
        <w:tc>
          <w:tcPr>
            <w:tcW w:w="979" w:type="pct"/>
            <w:shd w:val="clear" w:color="auto" w:fill="DBE5F1"/>
          </w:tcPr>
          <w:p w:rsidR="0088341A" w:rsidRPr="00BA4979" w:rsidRDefault="0088341A" w:rsidP="00501137">
            <w:pPr>
              <w:pStyle w:val="AERtabletextleft"/>
              <w:keepNext/>
              <w:keepLines/>
              <w:rPr>
                <w:sz w:val="13"/>
                <w:szCs w:val="13"/>
              </w:rPr>
            </w:pPr>
            <w:r w:rsidRPr="00BA4979">
              <w:rPr>
                <w:sz w:val="13"/>
                <w:szCs w:val="13"/>
              </w:rPr>
              <w:t>Corrosion risk mitigation</w:t>
            </w:r>
          </w:p>
        </w:tc>
        <w:tc>
          <w:tcPr>
            <w:tcW w:w="384" w:type="pct"/>
            <w:shd w:val="clear" w:color="auto" w:fill="DBE5F1"/>
          </w:tcPr>
          <w:p w:rsidR="0088341A" w:rsidRPr="00BA4979" w:rsidRDefault="0088341A" w:rsidP="00501137">
            <w:pPr>
              <w:pStyle w:val="AERtabletextleft"/>
              <w:keepNext/>
              <w:keepLines/>
              <w:rPr>
                <w:sz w:val="13"/>
                <w:szCs w:val="13"/>
              </w:rPr>
            </w:pPr>
            <w:r w:rsidRPr="00BA4979">
              <w:rPr>
                <w:sz w:val="13"/>
                <w:szCs w:val="13"/>
              </w:rPr>
              <w:t>9.5</w:t>
            </w:r>
          </w:p>
        </w:tc>
        <w:tc>
          <w:tcPr>
            <w:tcW w:w="383" w:type="pct"/>
            <w:shd w:val="clear" w:color="auto" w:fill="DBE5F1"/>
          </w:tcPr>
          <w:p w:rsidR="0088341A" w:rsidRPr="00BA4979" w:rsidRDefault="0088341A" w:rsidP="00501137">
            <w:pPr>
              <w:pStyle w:val="AERtabletextleft"/>
              <w:keepNext/>
              <w:keepLines/>
              <w:rPr>
                <w:sz w:val="13"/>
                <w:szCs w:val="13"/>
              </w:rPr>
            </w:pPr>
            <w:r w:rsidRPr="00BA4979">
              <w:rPr>
                <w:sz w:val="13"/>
                <w:szCs w:val="13"/>
              </w:rPr>
              <w:t>0.0</w:t>
            </w:r>
          </w:p>
        </w:tc>
        <w:tc>
          <w:tcPr>
            <w:tcW w:w="460" w:type="pct"/>
            <w:shd w:val="clear" w:color="auto" w:fill="DBE5F1"/>
          </w:tcPr>
          <w:p w:rsidR="0088341A" w:rsidRPr="00BA4979" w:rsidRDefault="0088341A" w:rsidP="00501137">
            <w:pPr>
              <w:pStyle w:val="AERtabletextleft"/>
              <w:keepNext/>
              <w:keepLines/>
              <w:rPr>
                <w:sz w:val="13"/>
                <w:szCs w:val="13"/>
              </w:rPr>
            </w:pPr>
            <w:r w:rsidRPr="00BA4979">
              <w:rPr>
                <w:sz w:val="13"/>
                <w:szCs w:val="13"/>
              </w:rPr>
              <w:t>Not accept</w:t>
            </w:r>
          </w:p>
        </w:tc>
        <w:tc>
          <w:tcPr>
            <w:tcW w:w="2794" w:type="pct"/>
            <w:shd w:val="clear" w:color="auto" w:fill="DBE5F1"/>
          </w:tcPr>
          <w:p w:rsidR="0088341A" w:rsidRPr="00BA4979" w:rsidRDefault="0088341A" w:rsidP="00501137">
            <w:pPr>
              <w:pStyle w:val="AERtabletextleft"/>
              <w:keepNext/>
              <w:keepLines/>
              <w:rPr>
                <w:sz w:val="13"/>
                <w:szCs w:val="13"/>
              </w:rPr>
            </w:pPr>
            <w:r w:rsidRPr="00BA4979">
              <w:rPr>
                <w:sz w:val="13"/>
                <w:szCs w:val="13"/>
              </w:rPr>
              <w:t xml:space="preserve">See assessment of asset works opex. </w:t>
            </w:r>
          </w:p>
        </w:tc>
      </w:tr>
      <w:tr w:rsidR="0088341A" w:rsidRPr="00B40A06" w:rsidTr="00501137">
        <w:tc>
          <w:tcPr>
            <w:tcW w:w="979" w:type="pct"/>
            <w:shd w:val="clear" w:color="auto" w:fill="auto"/>
          </w:tcPr>
          <w:p w:rsidR="0088341A" w:rsidRPr="00BA4979" w:rsidRDefault="0088341A" w:rsidP="00501137">
            <w:pPr>
              <w:pStyle w:val="AERtabletextleft"/>
              <w:keepNext/>
              <w:keepLines/>
              <w:rPr>
                <w:sz w:val="13"/>
                <w:szCs w:val="13"/>
              </w:rPr>
            </w:pPr>
            <w:r w:rsidRPr="00BA4979">
              <w:rPr>
                <w:sz w:val="13"/>
                <w:szCs w:val="13"/>
              </w:rPr>
              <w:t>AEMO outage planning requirements</w:t>
            </w:r>
          </w:p>
        </w:tc>
        <w:tc>
          <w:tcPr>
            <w:tcW w:w="384" w:type="pct"/>
            <w:shd w:val="clear" w:color="auto" w:fill="auto"/>
          </w:tcPr>
          <w:p w:rsidR="0088341A" w:rsidRPr="00BA4979" w:rsidRDefault="0088341A" w:rsidP="00501137">
            <w:pPr>
              <w:pStyle w:val="AERtabletextleft"/>
              <w:keepNext/>
              <w:keepLines/>
              <w:rPr>
                <w:sz w:val="13"/>
                <w:szCs w:val="13"/>
              </w:rPr>
            </w:pPr>
            <w:r w:rsidRPr="00BA4979">
              <w:rPr>
                <w:sz w:val="13"/>
                <w:szCs w:val="13"/>
              </w:rPr>
              <w:t>0.6</w:t>
            </w:r>
          </w:p>
        </w:tc>
        <w:tc>
          <w:tcPr>
            <w:tcW w:w="383" w:type="pct"/>
            <w:shd w:val="clear" w:color="auto" w:fill="auto"/>
          </w:tcPr>
          <w:p w:rsidR="0088341A" w:rsidRPr="00BA4979" w:rsidRDefault="0088341A" w:rsidP="00501137">
            <w:pPr>
              <w:pStyle w:val="AERtabletextleft"/>
              <w:keepNext/>
              <w:keepLines/>
              <w:rPr>
                <w:sz w:val="13"/>
                <w:szCs w:val="13"/>
              </w:rPr>
            </w:pPr>
            <w:r w:rsidRPr="00BA4979">
              <w:rPr>
                <w:sz w:val="13"/>
                <w:szCs w:val="13"/>
              </w:rPr>
              <w:t>0.0</w:t>
            </w:r>
          </w:p>
        </w:tc>
        <w:tc>
          <w:tcPr>
            <w:tcW w:w="460" w:type="pct"/>
            <w:shd w:val="clear" w:color="auto" w:fill="auto"/>
          </w:tcPr>
          <w:p w:rsidR="0088341A" w:rsidRPr="00BA4979" w:rsidRDefault="0088341A" w:rsidP="00501137">
            <w:pPr>
              <w:pStyle w:val="AERtabletextleft"/>
              <w:keepNext/>
              <w:keepLines/>
              <w:rPr>
                <w:sz w:val="13"/>
                <w:szCs w:val="13"/>
              </w:rPr>
            </w:pPr>
            <w:r w:rsidRPr="00BA4979">
              <w:rPr>
                <w:sz w:val="13"/>
                <w:szCs w:val="13"/>
              </w:rPr>
              <w:t>Not accept</w:t>
            </w:r>
          </w:p>
        </w:tc>
        <w:tc>
          <w:tcPr>
            <w:tcW w:w="2794" w:type="pct"/>
            <w:shd w:val="clear" w:color="auto" w:fill="auto"/>
          </w:tcPr>
          <w:p w:rsidR="0088341A" w:rsidRPr="00BA4979" w:rsidRDefault="0088341A" w:rsidP="00501137">
            <w:pPr>
              <w:pStyle w:val="AERtabletextleft"/>
              <w:keepNext/>
              <w:keepLines/>
              <w:rPr>
                <w:sz w:val="13"/>
                <w:szCs w:val="13"/>
              </w:rPr>
            </w:pPr>
            <w:r w:rsidRPr="00BA4979">
              <w:rPr>
                <w:sz w:val="13"/>
                <w:szCs w:val="13"/>
              </w:rPr>
              <w:t>This is a new obligation, but will not require additional staff because the data collection and collation is currently being done, only the interface has changed. Therefore no additional work is required, and in fact, efficiency benefits may result.</w:t>
            </w:r>
            <w:r w:rsidRPr="00BA4979">
              <w:rPr>
                <w:rStyle w:val="Heading2Char"/>
                <w:sz w:val="13"/>
              </w:rPr>
              <w:t xml:space="preserve"> </w:t>
            </w:r>
            <w:r w:rsidRPr="00BA4979">
              <w:rPr>
                <w:rStyle w:val="FootnoteReference"/>
                <w:sz w:val="13"/>
                <w:szCs w:val="13"/>
              </w:rPr>
              <w:footnoteReference w:id="313"/>
            </w:r>
          </w:p>
        </w:tc>
      </w:tr>
      <w:tr w:rsidR="0088341A" w:rsidRPr="00B40A06" w:rsidTr="00501137">
        <w:tc>
          <w:tcPr>
            <w:tcW w:w="979" w:type="pct"/>
            <w:shd w:val="clear" w:color="auto" w:fill="DBE5F1"/>
          </w:tcPr>
          <w:p w:rsidR="0088341A" w:rsidRPr="00BA4979" w:rsidRDefault="0088341A" w:rsidP="00501137">
            <w:pPr>
              <w:pStyle w:val="AERtabletextleft"/>
              <w:keepNext/>
              <w:keepLines/>
              <w:rPr>
                <w:sz w:val="13"/>
                <w:szCs w:val="13"/>
              </w:rPr>
            </w:pPr>
            <w:r w:rsidRPr="00BA4979">
              <w:rPr>
                <w:sz w:val="13"/>
                <w:szCs w:val="13"/>
              </w:rPr>
              <w:t>Security of critical infrastructure (terminal stations)</w:t>
            </w:r>
          </w:p>
        </w:tc>
        <w:tc>
          <w:tcPr>
            <w:tcW w:w="384" w:type="pct"/>
            <w:shd w:val="clear" w:color="auto" w:fill="DBE5F1"/>
          </w:tcPr>
          <w:p w:rsidR="0088341A" w:rsidRPr="00BA4979" w:rsidRDefault="0088341A" w:rsidP="00501137">
            <w:pPr>
              <w:pStyle w:val="AERtabletextleft"/>
              <w:keepNext/>
              <w:keepLines/>
              <w:rPr>
                <w:sz w:val="13"/>
                <w:szCs w:val="13"/>
              </w:rPr>
            </w:pPr>
            <w:r w:rsidRPr="00BA4979">
              <w:rPr>
                <w:sz w:val="13"/>
                <w:szCs w:val="13"/>
              </w:rPr>
              <w:t>4.8</w:t>
            </w:r>
          </w:p>
        </w:tc>
        <w:tc>
          <w:tcPr>
            <w:tcW w:w="383" w:type="pct"/>
            <w:shd w:val="clear" w:color="auto" w:fill="DBE5F1"/>
          </w:tcPr>
          <w:p w:rsidR="0088341A" w:rsidRPr="00BA4979" w:rsidRDefault="004D1525" w:rsidP="00501137">
            <w:pPr>
              <w:pStyle w:val="AERtabletextleft"/>
              <w:keepNext/>
              <w:keepLines/>
              <w:rPr>
                <w:sz w:val="13"/>
                <w:szCs w:val="13"/>
              </w:rPr>
            </w:pPr>
            <w:r>
              <w:rPr>
                <w:sz w:val="13"/>
                <w:szCs w:val="13"/>
              </w:rPr>
              <w:t>CIC</w:t>
            </w:r>
          </w:p>
        </w:tc>
        <w:tc>
          <w:tcPr>
            <w:tcW w:w="460" w:type="pct"/>
            <w:shd w:val="clear" w:color="auto" w:fill="DBE5F1"/>
          </w:tcPr>
          <w:p w:rsidR="0088341A" w:rsidRPr="00BA4979" w:rsidRDefault="0088341A" w:rsidP="00501137">
            <w:pPr>
              <w:pStyle w:val="AERtabletextleft"/>
              <w:keepNext/>
              <w:keepLines/>
              <w:rPr>
                <w:sz w:val="13"/>
                <w:szCs w:val="13"/>
              </w:rPr>
            </w:pPr>
            <w:r w:rsidRPr="00BA4979">
              <w:rPr>
                <w:sz w:val="13"/>
                <w:szCs w:val="13"/>
              </w:rPr>
              <w:t>Accept driver but not cost</w:t>
            </w:r>
          </w:p>
        </w:tc>
        <w:tc>
          <w:tcPr>
            <w:tcW w:w="2794" w:type="pct"/>
            <w:shd w:val="clear" w:color="auto" w:fill="DBE5F1"/>
          </w:tcPr>
          <w:p w:rsidR="0088341A" w:rsidRPr="00BA4979" w:rsidRDefault="0088341A" w:rsidP="00501137">
            <w:pPr>
              <w:pStyle w:val="AERtabletextleft"/>
              <w:keepNext/>
              <w:keepLines/>
              <w:rPr>
                <w:rFonts w:eastAsia="Calibri"/>
                <w:sz w:val="13"/>
                <w:szCs w:val="13"/>
              </w:rPr>
            </w:pPr>
            <w:r w:rsidRPr="00BA4979">
              <w:rPr>
                <w:rFonts w:eastAsia="Calibri"/>
                <w:sz w:val="13"/>
                <w:szCs w:val="13"/>
              </w:rPr>
              <w:t>This is not a new business requirement and a prudent business should already be undertaking these kinds of operations. It is not clear how the 2003 legislation drives the additional opex. We were unable to be satisfied of the opex already in the base year, but it is likely that security costs are in the base year. No opex savings have been demonstrated for the outsourcing of works.  We applied an adjustment for some demonstrated increased costs</w:t>
            </w:r>
            <w:r w:rsidRPr="00BA4979">
              <w:rPr>
                <w:rFonts w:eastAsia="Calibri"/>
                <w:sz w:val="13"/>
              </w:rPr>
              <w:t xml:space="preserve"> driven by legislation change</w:t>
            </w:r>
            <w:r w:rsidRPr="00BA4979">
              <w:rPr>
                <w:rFonts w:eastAsia="Calibri"/>
                <w:sz w:val="13"/>
                <w:szCs w:val="13"/>
              </w:rPr>
              <w:t xml:space="preserve"> (CIC)</w:t>
            </w:r>
            <w:r w:rsidRPr="00BA4979">
              <w:rPr>
                <w:rStyle w:val="FootnoteReference"/>
                <w:sz w:val="13"/>
                <w:szCs w:val="13"/>
              </w:rPr>
              <w:footnoteReference w:id="314"/>
            </w:r>
          </w:p>
        </w:tc>
      </w:tr>
      <w:tr w:rsidR="0088341A" w:rsidRPr="00B40A06" w:rsidTr="00501137">
        <w:tc>
          <w:tcPr>
            <w:tcW w:w="979" w:type="pct"/>
            <w:shd w:val="clear" w:color="auto" w:fill="auto"/>
          </w:tcPr>
          <w:p w:rsidR="0088341A" w:rsidRPr="00BA4979" w:rsidRDefault="0088341A" w:rsidP="00501137">
            <w:pPr>
              <w:pStyle w:val="AERtabletextleft"/>
              <w:keepNext/>
              <w:keepLines/>
              <w:rPr>
                <w:sz w:val="13"/>
                <w:szCs w:val="13"/>
              </w:rPr>
            </w:pPr>
            <w:r w:rsidRPr="00BA4979">
              <w:rPr>
                <w:sz w:val="13"/>
                <w:szCs w:val="13"/>
              </w:rPr>
              <w:t>Impact of the ‘Clean Energy Future’ plan on SF6 top ups</w:t>
            </w:r>
          </w:p>
        </w:tc>
        <w:tc>
          <w:tcPr>
            <w:tcW w:w="384" w:type="pct"/>
            <w:shd w:val="clear" w:color="auto" w:fill="auto"/>
          </w:tcPr>
          <w:p w:rsidR="0088341A" w:rsidRPr="00BA4979" w:rsidRDefault="0088341A" w:rsidP="00501137">
            <w:pPr>
              <w:pStyle w:val="AERtabletextleft"/>
              <w:keepNext/>
              <w:keepLines/>
              <w:rPr>
                <w:sz w:val="13"/>
                <w:szCs w:val="13"/>
              </w:rPr>
            </w:pPr>
            <w:r w:rsidRPr="00BA4979">
              <w:rPr>
                <w:sz w:val="13"/>
                <w:szCs w:val="13"/>
              </w:rPr>
              <w:t>2.5</w:t>
            </w:r>
          </w:p>
        </w:tc>
        <w:tc>
          <w:tcPr>
            <w:tcW w:w="383" w:type="pct"/>
            <w:shd w:val="clear" w:color="auto" w:fill="auto"/>
          </w:tcPr>
          <w:p w:rsidR="0088341A" w:rsidRPr="00BA4979" w:rsidRDefault="0088341A" w:rsidP="00501137">
            <w:pPr>
              <w:pStyle w:val="AERtabletextleft"/>
              <w:keepNext/>
              <w:keepLines/>
              <w:rPr>
                <w:sz w:val="13"/>
                <w:szCs w:val="13"/>
              </w:rPr>
            </w:pPr>
            <w:r w:rsidRPr="00BA4979">
              <w:rPr>
                <w:sz w:val="13"/>
                <w:szCs w:val="13"/>
              </w:rPr>
              <w:t>0.0</w:t>
            </w:r>
          </w:p>
        </w:tc>
        <w:tc>
          <w:tcPr>
            <w:tcW w:w="460" w:type="pct"/>
            <w:shd w:val="clear" w:color="auto" w:fill="auto"/>
          </w:tcPr>
          <w:p w:rsidR="0088341A" w:rsidRPr="00BA4979" w:rsidRDefault="0088341A" w:rsidP="00501137">
            <w:pPr>
              <w:pStyle w:val="AERtabletextleft"/>
              <w:keepNext/>
              <w:keepLines/>
              <w:rPr>
                <w:sz w:val="13"/>
                <w:szCs w:val="13"/>
              </w:rPr>
            </w:pPr>
            <w:r w:rsidRPr="00BA4979">
              <w:rPr>
                <w:sz w:val="13"/>
                <w:szCs w:val="13"/>
              </w:rPr>
              <w:t>Not accept</w:t>
            </w:r>
          </w:p>
        </w:tc>
        <w:tc>
          <w:tcPr>
            <w:tcW w:w="2794" w:type="pct"/>
            <w:shd w:val="clear" w:color="auto" w:fill="auto"/>
          </w:tcPr>
          <w:p w:rsidR="0088341A" w:rsidRPr="00BA4979" w:rsidRDefault="0088341A" w:rsidP="00501137">
            <w:pPr>
              <w:pStyle w:val="AERtabletextleft"/>
              <w:keepNext/>
              <w:keepLines/>
              <w:rPr>
                <w:sz w:val="13"/>
                <w:szCs w:val="13"/>
              </w:rPr>
            </w:pPr>
            <w:r w:rsidRPr="00BA4979">
              <w:rPr>
                <w:sz w:val="13"/>
                <w:szCs w:val="13"/>
              </w:rPr>
              <w:t xml:space="preserve">The capex program will reduce SF6 leaks. Use of 2009–10 leaks is not reflective of future state of the network. Cost of $29/t is too high, given recent political announcements and treasury estimates. </w:t>
            </w:r>
            <w:r w:rsidRPr="00BA4979">
              <w:rPr>
                <w:rStyle w:val="FootnoteReference"/>
                <w:sz w:val="13"/>
                <w:szCs w:val="13"/>
              </w:rPr>
              <w:footnoteReference w:id="315"/>
            </w:r>
          </w:p>
        </w:tc>
      </w:tr>
      <w:tr w:rsidR="0088341A" w:rsidRPr="00B40A06" w:rsidTr="00501137">
        <w:tc>
          <w:tcPr>
            <w:tcW w:w="979" w:type="pct"/>
            <w:shd w:val="clear" w:color="auto" w:fill="DBE5F1"/>
          </w:tcPr>
          <w:p w:rsidR="0088341A" w:rsidRPr="00BA4979" w:rsidRDefault="0088341A" w:rsidP="00501137">
            <w:pPr>
              <w:pStyle w:val="AERtabletextleft"/>
              <w:keepNext/>
              <w:keepLines/>
              <w:rPr>
                <w:sz w:val="13"/>
                <w:szCs w:val="13"/>
              </w:rPr>
            </w:pPr>
            <w:r w:rsidRPr="00BA4979">
              <w:rPr>
                <w:sz w:val="13"/>
                <w:szCs w:val="13"/>
              </w:rPr>
              <w:t>Transitional arrangements for the Economic Regulation of NSPs rule change</w:t>
            </w:r>
          </w:p>
        </w:tc>
        <w:tc>
          <w:tcPr>
            <w:tcW w:w="384" w:type="pct"/>
            <w:shd w:val="clear" w:color="auto" w:fill="DBE5F1"/>
          </w:tcPr>
          <w:p w:rsidR="0088341A" w:rsidRPr="00BA4979" w:rsidRDefault="0088341A" w:rsidP="00501137">
            <w:pPr>
              <w:pStyle w:val="AERtabletextleft"/>
              <w:keepNext/>
              <w:keepLines/>
              <w:rPr>
                <w:sz w:val="13"/>
                <w:szCs w:val="13"/>
              </w:rPr>
            </w:pPr>
            <w:r w:rsidRPr="00BA4979">
              <w:rPr>
                <w:sz w:val="13"/>
                <w:szCs w:val="13"/>
              </w:rPr>
              <w:t>2.8</w:t>
            </w:r>
          </w:p>
        </w:tc>
        <w:tc>
          <w:tcPr>
            <w:tcW w:w="383" w:type="pct"/>
            <w:shd w:val="clear" w:color="auto" w:fill="DBE5F1"/>
          </w:tcPr>
          <w:p w:rsidR="0088341A" w:rsidRPr="00BA4979" w:rsidRDefault="00155765" w:rsidP="00501137">
            <w:pPr>
              <w:pStyle w:val="AERtabletextleft"/>
              <w:keepNext/>
              <w:keepLines/>
              <w:rPr>
                <w:sz w:val="13"/>
                <w:szCs w:val="13"/>
              </w:rPr>
            </w:pPr>
            <w:r>
              <w:rPr>
                <w:sz w:val="13"/>
                <w:szCs w:val="13"/>
              </w:rPr>
              <w:t>1.8</w:t>
            </w:r>
          </w:p>
        </w:tc>
        <w:tc>
          <w:tcPr>
            <w:tcW w:w="460" w:type="pct"/>
            <w:shd w:val="clear" w:color="auto" w:fill="DBE5F1"/>
          </w:tcPr>
          <w:p w:rsidR="0088341A" w:rsidRPr="00BA4979" w:rsidRDefault="0088341A" w:rsidP="00501137">
            <w:pPr>
              <w:pStyle w:val="AERtabletextleft"/>
              <w:keepNext/>
              <w:keepLines/>
              <w:rPr>
                <w:sz w:val="13"/>
                <w:szCs w:val="13"/>
              </w:rPr>
            </w:pPr>
            <w:r w:rsidRPr="00BA4979">
              <w:rPr>
                <w:sz w:val="13"/>
                <w:szCs w:val="13"/>
              </w:rPr>
              <w:t>Accept driver but not cost</w:t>
            </w:r>
          </w:p>
        </w:tc>
        <w:tc>
          <w:tcPr>
            <w:tcW w:w="2794" w:type="pct"/>
            <w:shd w:val="clear" w:color="auto" w:fill="DBE5F1"/>
          </w:tcPr>
          <w:p w:rsidR="0088341A" w:rsidRPr="00BA4979" w:rsidRDefault="0088341A" w:rsidP="00501137">
            <w:pPr>
              <w:pStyle w:val="AERtabletextleft"/>
              <w:keepNext/>
              <w:keepLines/>
              <w:rPr>
                <w:sz w:val="13"/>
                <w:szCs w:val="13"/>
              </w:rPr>
            </w:pPr>
            <w:r w:rsidRPr="00BA4979">
              <w:rPr>
                <w:sz w:val="13"/>
                <w:szCs w:val="13"/>
              </w:rPr>
              <w:t xml:space="preserve">We accept the requirement for additional opex (incremental to base year) to prepare a transmission regulatory proposal. However, proposed cost exceeds reasonable requirements. We used actual costs in 2012–13 and 2013–14 to estimate future requirements. </w:t>
            </w:r>
            <w:r w:rsidRPr="00BA4979">
              <w:rPr>
                <w:rStyle w:val="FootnoteReference"/>
                <w:sz w:val="13"/>
                <w:szCs w:val="13"/>
              </w:rPr>
              <w:footnoteReference w:id="316"/>
            </w:r>
          </w:p>
        </w:tc>
      </w:tr>
      <w:tr w:rsidR="0088341A" w:rsidRPr="00B40A06" w:rsidTr="00501137">
        <w:tc>
          <w:tcPr>
            <w:tcW w:w="979" w:type="pct"/>
            <w:shd w:val="clear" w:color="auto" w:fill="auto"/>
          </w:tcPr>
          <w:p w:rsidR="0088341A" w:rsidRPr="00BA4979" w:rsidRDefault="0088341A" w:rsidP="00501137">
            <w:pPr>
              <w:pStyle w:val="AERtabletextleft"/>
              <w:keepNext/>
              <w:keepLines/>
              <w:rPr>
                <w:sz w:val="13"/>
                <w:szCs w:val="13"/>
              </w:rPr>
            </w:pPr>
            <w:r w:rsidRPr="00BA4979">
              <w:rPr>
                <w:sz w:val="13"/>
                <w:szCs w:val="13"/>
              </w:rPr>
              <w:t>Potential transfer of planning responsibilities</w:t>
            </w:r>
          </w:p>
        </w:tc>
        <w:tc>
          <w:tcPr>
            <w:tcW w:w="384" w:type="pct"/>
            <w:shd w:val="clear" w:color="auto" w:fill="auto"/>
          </w:tcPr>
          <w:p w:rsidR="0088341A" w:rsidRPr="00BA4979" w:rsidRDefault="0088341A" w:rsidP="00501137">
            <w:pPr>
              <w:pStyle w:val="AERtabletextleft"/>
              <w:keepNext/>
              <w:keepLines/>
              <w:rPr>
                <w:sz w:val="13"/>
                <w:szCs w:val="13"/>
              </w:rPr>
            </w:pPr>
            <w:r w:rsidRPr="00BA4979">
              <w:rPr>
                <w:sz w:val="13"/>
                <w:szCs w:val="13"/>
              </w:rPr>
              <w:t>n/a</w:t>
            </w:r>
          </w:p>
        </w:tc>
        <w:tc>
          <w:tcPr>
            <w:tcW w:w="383" w:type="pct"/>
            <w:shd w:val="clear" w:color="auto" w:fill="auto"/>
          </w:tcPr>
          <w:p w:rsidR="0088341A" w:rsidRPr="00BA4979" w:rsidRDefault="0088341A" w:rsidP="00501137">
            <w:pPr>
              <w:pStyle w:val="AERtabletextleft"/>
              <w:keepNext/>
              <w:keepLines/>
              <w:rPr>
                <w:sz w:val="13"/>
                <w:szCs w:val="13"/>
              </w:rPr>
            </w:pPr>
            <w:r w:rsidRPr="00BA4979">
              <w:rPr>
                <w:sz w:val="13"/>
                <w:szCs w:val="13"/>
              </w:rPr>
              <w:t>n/a</w:t>
            </w:r>
          </w:p>
        </w:tc>
        <w:tc>
          <w:tcPr>
            <w:tcW w:w="460" w:type="pct"/>
            <w:shd w:val="clear" w:color="auto" w:fill="auto"/>
          </w:tcPr>
          <w:p w:rsidR="0088341A" w:rsidRPr="00BA4979" w:rsidRDefault="0088341A" w:rsidP="00501137">
            <w:pPr>
              <w:pStyle w:val="AERtabletextleft"/>
              <w:keepNext/>
              <w:keepLines/>
              <w:rPr>
                <w:sz w:val="13"/>
                <w:szCs w:val="13"/>
              </w:rPr>
            </w:pPr>
            <w:r w:rsidRPr="00BA4979">
              <w:rPr>
                <w:sz w:val="13"/>
                <w:szCs w:val="13"/>
              </w:rPr>
              <w:t>Not assessed</w:t>
            </w:r>
          </w:p>
        </w:tc>
        <w:tc>
          <w:tcPr>
            <w:tcW w:w="2794" w:type="pct"/>
            <w:shd w:val="clear" w:color="auto" w:fill="auto"/>
          </w:tcPr>
          <w:p w:rsidR="0088341A" w:rsidRPr="00BA4979" w:rsidRDefault="0088341A" w:rsidP="00501137">
            <w:pPr>
              <w:pStyle w:val="AERtabletextleft"/>
              <w:keepNext/>
              <w:keepLines/>
              <w:rPr>
                <w:sz w:val="13"/>
                <w:szCs w:val="13"/>
              </w:rPr>
            </w:pPr>
            <w:r w:rsidRPr="00BA4979">
              <w:rPr>
                <w:sz w:val="13"/>
                <w:szCs w:val="13"/>
              </w:rPr>
              <w:t xml:space="preserve">No opex proposed. </w:t>
            </w:r>
          </w:p>
        </w:tc>
      </w:tr>
      <w:tr w:rsidR="0088341A" w:rsidRPr="00B40A06" w:rsidTr="00501137">
        <w:tc>
          <w:tcPr>
            <w:tcW w:w="979" w:type="pct"/>
            <w:shd w:val="clear" w:color="auto" w:fill="DBE5F1"/>
          </w:tcPr>
          <w:p w:rsidR="0088341A" w:rsidRPr="00BA4979" w:rsidRDefault="0088341A" w:rsidP="00501137">
            <w:pPr>
              <w:pStyle w:val="AERtabletextleft"/>
              <w:keepNext/>
              <w:keepLines/>
              <w:rPr>
                <w:sz w:val="13"/>
                <w:szCs w:val="13"/>
              </w:rPr>
            </w:pPr>
            <w:r w:rsidRPr="00BA4979">
              <w:rPr>
                <w:sz w:val="13"/>
                <w:szCs w:val="13"/>
              </w:rPr>
              <w:t>SCADA enhancements – controller simulator training</w:t>
            </w:r>
          </w:p>
        </w:tc>
        <w:tc>
          <w:tcPr>
            <w:tcW w:w="384" w:type="pct"/>
            <w:shd w:val="clear" w:color="auto" w:fill="DBE5F1"/>
          </w:tcPr>
          <w:p w:rsidR="0088341A" w:rsidRPr="00BA4979" w:rsidRDefault="0088341A" w:rsidP="00501137">
            <w:pPr>
              <w:pStyle w:val="AERtabletextleft"/>
              <w:keepNext/>
              <w:keepLines/>
              <w:rPr>
                <w:sz w:val="13"/>
                <w:szCs w:val="13"/>
              </w:rPr>
            </w:pPr>
            <w:r w:rsidRPr="00BA4979">
              <w:rPr>
                <w:sz w:val="13"/>
                <w:szCs w:val="13"/>
              </w:rPr>
              <w:t>0.9</w:t>
            </w:r>
          </w:p>
        </w:tc>
        <w:tc>
          <w:tcPr>
            <w:tcW w:w="383" w:type="pct"/>
            <w:shd w:val="clear" w:color="auto" w:fill="DBE5F1"/>
          </w:tcPr>
          <w:p w:rsidR="0088341A" w:rsidRPr="00BA4979" w:rsidRDefault="0088341A" w:rsidP="00501137">
            <w:pPr>
              <w:pStyle w:val="AERtabletextleft"/>
              <w:keepNext/>
              <w:keepLines/>
              <w:rPr>
                <w:sz w:val="13"/>
                <w:szCs w:val="13"/>
              </w:rPr>
            </w:pPr>
            <w:r w:rsidRPr="00BA4979">
              <w:rPr>
                <w:sz w:val="13"/>
                <w:szCs w:val="13"/>
              </w:rPr>
              <w:t>0.9</w:t>
            </w:r>
          </w:p>
        </w:tc>
        <w:tc>
          <w:tcPr>
            <w:tcW w:w="460" w:type="pct"/>
            <w:shd w:val="clear" w:color="auto" w:fill="DBE5F1"/>
          </w:tcPr>
          <w:p w:rsidR="0088341A" w:rsidRPr="00BA4979" w:rsidRDefault="0088341A" w:rsidP="00501137">
            <w:pPr>
              <w:pStyle w:val="AERtabletextleft"/>
              <w:keepNext/>
              <w:keepLines/>
              <w:rPr>
                <w:sz w:val="13"/>
                <w:szCs w:val="13"/>
              </w:rPr>
            </w:pPr>
            <w:r w:rsidRPr="00BA4979">
              <w:rPr>
                <w:sz w:val="13"/>
                <w:szCs w:val="13"/>
              </w:rPr>
              <w:t>Accept</w:t>
            </w:r>
          </w:p>
        </w:tc>
        <w:tc>
          <w:tcPr>
            <w:tcW w:w="2794" w:type="pct"/>
            <w:shd w:val="clear" w:color="auto" w:fill="DBE5F1"/>
          </w:tcPr>
          <w:p w:rsidR="0088341A" w:rsidRPr="00BA4979" w:rsidRDefault="0088341A" w:rsidP="00501137">
            <w:pPr>
              <w:pStyle w:val="AERtabletextleft"/>
              <w:keepNext/>
              <w:keepLines/>
              <w:rPr>
                <w:sz w:val="13"/>
                <w:szCs w:val="13"/>
              </w:rPr>
            </w:pPr>
            <w:r w:rsidRPr="00BA4979">
              <w:rPr>
                <w:sz w:val="13"/>
                <w:szCs w:val="13"/>
              </w:rPr>
              <w:t xml:space="preserve">Good industry practice with benefits of reducing network and operational risk. </w:t>
            </w:r>
          </w:p>
        </w:tc>
      </w:tr>
      <w:tr w:rsidR="0088341A" w:rsidRPr="00B40A06" w:rsidTr="00501137">
        <w:tc>
          <w:tcPr>
            <w:tcW w:w="979" w:type="pct"/>
            <w:shd w:val="clear" w:color="auto" w:fill="auto"/>
          </w:tcPr>
          <w:p w:rsidR="0088341A" w:rsidRPr="00BA4979" w:rsidRDefault="0088341A" w:rsidP="00501137">
            <w:pPr>
              <w:pStyle w:val="AERtabletextleft"/>
              <w:keepNext/>
              <w:keepLines/>
              <w:rPr>
                <w:sz w:val="13"/>
                <w:szCs w:val="13"/>
              </w:rPr>
            </w:pPr>
            <w:r w:rsidRPr="00BA4979">
              <w:rPr>
                <w:sz w:val="13"/>
                <w:szCs w:val="13"/>
              </w:rPr>
              <w:t>SCADA security – Software QA/QC environment</w:t>
            </w:r>
          </w:p>
        </w:tc>
        <w:tc>
          <w:tcPr>
            <w:tcW w:w="384" w:type="pct"/>
            <w:shd w:val="clear" w:color="auto" w:fill="auto"/>
          </w:tcPr>
          <w:p w:rsidR="0088341A" w:rsidRPr="00BA4979" w:rsidRDefault="0088341A" w:rsidP="00501137">
            <w:pPr>
              <w:pStyle w:val="AERtabletextleft"/>
              <w:keepNext/>
              <w:keepLines/>
              <w:rPr>
                <w:sz w:val="13"/>
                <w:szCs w:val="13"/>
              </w:rPr>
            </w:pPr>
            <w:r w:rsidRPr="00BA4979">
              <w:rPr>
                <w:sz w:val="13"/>
                <w:szCs w:val="13"/>
              </w:rPr>
              <w:t>0.6</w:t>
            </w:r>
          </w:p>
        </w:tc>
        <w:tc>
          <w:tcPr>
            <w:tcW w:w="383" w:type="pct"/>
            <w:shd w:val="clear" w:color="auto" w:fill="auto"/>
          </w:tcPr>
          <w:p w:rsidR="0088341A" w:rsidRPr="00BA4979" w:rsidRDefault="0088341A" w:rsidP="00501137">
            <w:pPr>
              <w:pStyle w:val="AERtabletextleft"/>
              <w:keepNext/>
              <w:keepLines/>
              <w:rPr>
                <w:sz w:val="13"/>
                <w:szCs w:val="13"/>
              </w:rPr>
            </w:pPr>
            <w:r w:rsidRPr="00BA4979">
              <w:rPr>
                <w:sz w:val="13"/>
                <w:szCs w:val="13"/>
              </w:rPr>
              <w:t>0.0</w:t>
            </w:r>
          </w:p>
        </w:tc>
        <w:tc>
          <w:tcPr>
            <w:tcW w:w="460" w:type="pct"/>
            <w:shd w:val="clear" w:color="auto" w:fill="auto"/>
          </w:tcPr>
          <w:p w:rsidR="0088341A" w:rsidRPr="00BA4979" w:rsidRDefault="0088341A" w:rsidP="00501137">
            <w:pPr>
              <w:pStyle w:val="AERtabletextleft"/>
              <w:keepNext/>
              <w:keepLines/>
              <w:rPr>
                <w:sz w:val="13"/>
                <w:szCs w:val="13"/>
              </w:rPr>
            </w:pPr>
            <w:r w:rsidRPr="00BA4979">
              <w:rPr>
                <w:sz w:val="13"/>
                <w:szCs w:val="13"/>
              </w:rPr>
              <w:t>Not accept</w:t>
            </w:r>
          </w:p>
        </w:tc>
        <w:tc>
          <w:tcPr>
            <w:tcW w:w="2794" w:type="pct"/>
            <w:shd w:val="clear" w:color="auto" w:fill="auto"/>
          </w:tcPr>
          <w:p w:rsidR="0088341A" w:rsidRPr="00BA4979" w:rsidRDefault="0088341A" w:rsidP="00501137">
            <w:pPr>
              <w:pStyle w:val="AERtabletextleft"/>
              <w:keepNext/>
              <w:keepLines/>
              <w:rPr>
                <w:sz w:val="13"/>
                <w:szCs w:val="13"/>
              </w:rPr>
            </w:pPr>
            <w:r w:rsidRPr="00BA4979">
              <w:rPr>
                <w:sz w:val="13"/>
                <w:szCs w:val="13"/>
              </w:rPr>
              <w:t xml:space="preserve">This is not a new obligation. A prudent TNSP would already have embedded security processes/systems. Security included in capex program. </w:t>
            </w:r>
          </w:p>
        </w:tc>
      </w:tr>
      <w:tr w:rsidR="0088341A" w:rsidRPr="00B40A06" w:rsidTr="00501137">
        <w:tc>
          <w:tcPr>
            <w:tcW w:w="979" w:type="pct"/>
            <w:shd w:val="clear" w:color="auto" w:fill="DBE5F1"/>
          </w:tcPr>
          <w:p w:rsidR="0088341A" w:rsidRPr="00BA4979" w:rsidRDefault="0088341A" w:rsidP="00501137">
            <w:pPr>
              <w:pStyle w:val="AERtabletextleft"/>
              <w:keepNext/>
              <w:keepLines/>
              <w:rPr>
                <w:sz w:val="13"/>
                <w:szCs w:val="13"/>
              </w:rPr>
            </w:pPr>
            <w:r w:rsidRPr="00BA4979">
              <w:rPr>
                <w:sz w:val="13"/>
                <w:szCs w:val="13"/>
              </w:rPr>
              <w:t>IT network security</w:t>
            </w:r>
          </w:p>
        </w:tc>
        <w:tc>
          <w:tcPr>
            <w:tcW w:w="384" w:type="pct"/>
            <w:shd w:val="clear" w:color="auto" w:fill="DBE5F1"/>
          </w:tcPr>
          <w:p w:rsidR="0088341A" w:rsidRPr="00BA4979" w:rsidRDefault="0088341A" w:rsidP="00501137">
            <w:pPr>
              <w:pStyle w:val="AERtabletextleft"/>
              <w:keepNext/>
              <w:keepLines/>
              <w:rPr>
                <w:sz w:val="13"/>
                <w:szCs w:val="13"/>
              </w:rPr>
            </w:pPr>
            <w:r w:rsidRPr="00BA4979">
              <w:rPr>
                <w:sz w:val="13"/>
                <w:szCs w:val="13"/>
              </w:rPr>
              <w:t>0.8</w:t>
            </w:r>
          </w:p>
        </w:tc>
        <w:tc>
          <w:tcPr>
            <w:tcW w:w="383" w:type="pct"/>
            <w:shd w:val="clear" w:color="auto" w:fill="DBE5F1"/>
          </w:tcPr>
          <w:p w:rsidR="0088341A" w:rsidRPr="00BA4979" w:rsidRDefault="0088341A" w:rsidP="00501137">
            <w:pPr>
              <w:pStyle w:val="AERtabletextleft"/>
              <w:keepNext/>
              <w:keepLines/>
              <w:rPr>
                <w:sz w:val="13"/>
                <w:szCs w:val="13"/>
              </w:rPr>
            </w:pPr>
            <w:r w:rsidRPr="00BA4979">
              <w:rPr>
                <w:sz w:val="13"/>
                <w:szCs w:val="13"/>
              </w:rPr>
              <w:t>0.0</w:t>
            </w:r>
          </w:p>
        </w:tc>
        <w:tc>
          <w:tcPr>
            <w:tcW w:w="460" w:type="pct"/>
            <w:shd w:val="clear" w:color="auto" w:fill="DBE5F1"/>
          </w:tcPr>
          <w:p w:rsidR="0088341A" w:rsidRPr="00BA4979" w:rsidRDefault="0088341A" w:rsidP="00501137">
            <w:pPr>
              <w:pStyle w:val="AERtabletextleft"/>
              <w:keepNext/>
              <w:keepLines/>
              <w:rPr>
                <w:sz w:val="13"/>
                <w:szCs w:val="13"/>
              </w:rPr>
            </w:pPr>
            <w:r w:rsidRPr="00BA4979">
              <w:rPr>
                <w:sz w:val="13"/>
                <w:szCs w:val="13"/>
              </w:rPr>
              <w:t>Not accept</w:t>
            </w:r>
          </w:p>
        </w:tc>
        <w:tc>
          <w:tcPr>
            <w:tcW w:w="2794" w:type="pct"/>
            <w:shd w:val="clear" w:color="auto" w:fill="DBE5F1"/>
          </w:tcPr>
          <w:p w:rsidR="0088341A" w:rsidRPr="00BA4979" w:rsidRDefault="0088341A" w:rsidP="00501137">
            <w:pPr>
              <w:pStyle w:val="AERtabletextleft"/>
              <w:keepNext/>
              <w:keepLines/>
              <w:rPr>
                <w:sz w:val="13"/>
                <w:szCs w:val="13"/>
              </w:rPr>
            </w:pPr>
            <w:r w:rsidRPr="00BA4979">
              <w:rPr>
                <w:sz w:val="13"/>
                <w:szCs w:val="13"/>
              </w:rPr>
              <w:t>This is not a new obligation. Prudent TNSP would already have embedded security processes/systems.</w:t>
            </w:r>
          </w:p>
        </w:tc>
      </w:tr>
      <w:tr w:rsidR="0088341A" w:rsidRPr="00B40A06" w:rsidTr="00501137">
        <w:tc>
          <w:tcPr>
            <w:tcW w:w="979" w:type="pct"/>
            <w:shd w:val="clear" w:color="auto" w:fill="auto"/>
          </w:tcPr>
          <w:p w:rsidR="0088341A" w:rsidRPr="00BA4979" w:rsidRDefault="0088341A" w:rsidP="00501137">
            <w:pPr>
              <w:pStyle w:val="AERtabletextleft"/>
              <w:keepNext/>
              <w:keepLines/>
              <w:rPr>
                <w:sz w:val="13"/>
                <w:szCs w:val="13"/>
              </w:rPr>
            </w:pPr>
            <w:r w:rsidRPr="00BA4979">
              <w:rPr>
                <w:sz w:val="13"/>
                <w:szCs w:val="13"/>
              </w:rPr>
              <w:t xml:space="preserve">Service standard reporting tools – enable market reporting </w:t>
            </w:r>
          </w:p>
        </w:tc>
        <w:tc>
          <w:tcPr>
            <w:tcW w:w="384" w:type="pct"/>
            <w:shd w:val="clear" w:color="auto" w:fill="auto"/>
          </w:tcPr>
          <w:p w:rsidR="0088341A" w:rsidRPr="00BA4979" w:rsidRDefault="0088341A" w:rsidP="00501137">
            <w:pPr>
              <w:pStyle w:val="AERtabletextleft"/>
              <w:keepNext/>
              <w:keepLines/>
              <w:rPr>
                <w:sz w:val="13"/>
                <w:szCs w:val="13"/>
              </w:rPr>
            </w:pPr>
            <w:r w:rsidRPr="00BA4979">
              <w:rPr>
                <w:sz w:val="13"/>
                <w:szCs w:val="13"/>
              </w:rPr>
              <w:t>0.5</w:t>
            </w:r>
          </w:p>
        </w:tc>
        <w:tc>
          <w:tcPr>
            <w:tcW w:w="383" w:type="pct"/>
            <w:shd w:val="clear" w:color="auto" w:fill="auto"/>
          </w:tcPr>
          <w:p w:rsidR="0088341A" w:rsidRPr="00BA4979" w:rsidRDefault="0088341A" w:rsidP="00501137">
            <w:pPr>
              <w:pStyle w:val="AERtabletextleft"/>
              <w:keepNext/>
              <w:keepLines/>
              <w:rPr>
                <w:sz w:val="13"/>
                <w:szCs w:val="13"/>
              </w:rPr>
            </w:pPr>
            <w:r w:rsidRPr="00BA4979">
              <w:rPr>
                <w:sz w:val="13"/>
                <w:szCs w:val="13"/>
              </w:rPr>
              <w:t>0.0</w:t>
            </w:r>
          </w:p>
        </w:tc>
        <w:tc>
          <w:tcPr>
            <w:tcW w:w="460" w:type="pct"/>
            <w:shd w:val="clear" w:color="auto" w:fill="auto"/>
          </w:tcPr>
          <w:p w:rsidR="0088341A" w:rsidRPr="00BA4979" w:rsidRDefault="0088341A" w:rsidP="00501137">
            <w:pPr>
              <w:pStyle w:val="AERtabletextleft"/>
              <w:keepNext/>
              <w:keepLines/>
              <w:rPr>
                <w:sz w:val="13"/>
                <w:szCs w:val="13"/>
              </w:rPr>
            </w:pPr>
            <w:r w:rsidRPr="00BA4979">
              <w:rPr>
                <w:sz w:val="13"/>
                <w:szCs w:val="13"/>
              </w:rPr>
              <w:t>Not accept</w:t>
            </w:r>
          </w:p>
        </w:tc>
        <w:tc>
          <w:tcPr>
            <w:tcW w:w="2794" w:type="pct"/>
            <w:shd w:val="clear" w:color="auto" w:fill="auto"/>
          </w:tcPr>
          <w:p w:rsidR="0088341A" w:rsidRPr="00BA4979" w:rsidRDefault="0088341A" w:rsidP="00501137">
            <w:pPr>
              <w:pStyle w:val="AERtabletextleft"/>
              <w:keepNext/>
              <w:keepLines/>
              <w:rPr>
                <w:sz w:val="13"/>
                <w:szCs w:val="13"/>
              </w:rPr>
            </w:pPr>
            <w:r w:rsidRPr="00BA4979">
              <w:rPr>
                <w:sz w:val="13"/>
                <w:szCs w:val="13"/>
              </w:rPr>
              <w:t xml:space="preserve">This is a new obligation, but no requirement for additional opex. Further, any additional opex offset by cost savings. </w:t>
            </w:r>
            <w:r w:rsidRPr="00BA4979">
              <w:rPr>
                <w:rStyle w:val="FootnoteReference"/>
                <w:sz w:val="13"/>
                <w:szCs w:val="13"/>
              </w:rPr>
              <w:footnoteReference w:id="317"/>
            </w:r>
          </w:p>
        </w:tc>
      </w:tr>
      <w:tr w:rsidR="0088341A" w:rsidRPr="00B40A06" w:rsidTr="00501137">
        <w:tc>
          <w:tcPr>
            <w:tcW w:w="979" w:type="pct"/>
            <w:shd w:val="clear" w:color="auto" w:fill="DBE5F1"/>
          </w:tcPr>
          <w:p w:rsidR="0088341A" w:rsidRPr="00BA4979" w:rsidRDefault="0088341A" w:rsidP="00501137">
            <w:pPr>
              <w:pStyle w:val="AERtabletextleft"/>
              <w:keepNext/>
              <w:keepLines/>
              <w:rPr>
                <w:sz w:val="13"/>
                <w:szCs w:val="13"/>
              </w:rPr>
            </w:pPr>
            <w:r w:rsidRPr="00BA4979">
              <w:rPr>
                <w:sz w:val="13"/>
                <w:szCs w:val="13"/>
              </w:rPr>
              <w:t>Technology innovation program</w:t>
            </w:r>
          </w:p>
        </w:tc>
        <w:tc>
          <w:tcPr>
            <w:tcW w:w="384" w:type="pct"/>
            <w:shd w:val="clear" w:color="auto" w:fill="DBE5F1"/>
          </w:tcPr>
          <w:p w:rsidR="0088341A" w:rsidRPr="00BA4979" w:rsidRDefault="0088341A" w:rsidP="00501137">
            <w:pPr>
              <w:pStyle w:val="AERtabletextleft"/>
              <w:keepNext/>
              <w:keepLines/>
              <w:rPr>
                <w:sz w:val="13"/>
                <w:szCs w:val="13"/>
              </w:rPr>
            </w:pPr>
            <w:r w:rsidRPr="00BA4979">
              <w:rPr>
                <w:sz w:val="13"/>
                <w:szCs w:val="13"/>
              </w:rPr>
              <w:t>1.7</w:t>
            </w:r>
          </w:p>
        </w:tc>
        <w:tc>
          <w:tcPr>
            <w:tcW w:w="383" w:type="pct"/>
            <w:shd w:val="clear" w:color="auto" w:fill="DBE5F1"/>
          </w:tcPr>
          <w:p w:rsidR="0088341A" w:rsidRPr="00BA4979" w:rsidRDefault="0088341A" w:rsidP="00501137">
            <w:pPr>
              <w:pStyle w:val="AERtabletextleft"/>
              <w:keepNext/>
              <w:keepLines/>
              <w:rPr>
                <w:sz w:val="13"/>
                <w:szCs w:val="13"/>
              </w:rPr>
            </w:pPr>
            <w:r w:rsidRPr="00BA4979">
              <w:rPr>
                <w:sz w:val="13"/>
                <w:szCs w:val="13"/>
              </w:rPr>
              <w:t>0.0</w:t>
            </w:r>
          </w:p>
        </w:tc>
        <w:tc>
          <w:tcPr>
            <w:tcW w:w="460" w:type="pct"/>
            <w:shd w:val="clear" w:color="auto" w:fill="DBE5F1"/>
          </w:tcPr>
          <w:p w:rsidR="0088341A" w:rsidRPr="00BA4979" w:rsidRDefault="0088341A" w:rsidP="00501137">
            <w:pPr>
              <w:pStyle w:val="AERtabletextleft"/>
              <w:keepNext/>
              <w:keepLines/>
              <w:rPr>
                <w:sz w:val="13"/>
                <w:szCs w:val="13"/>
              </w:rPr>
            </w:pPr>
            <w:r w:rsidRPr="00BA4979">
              <w:rPr>
                <w:sz w:val="13"/>
                <w:szCs w:val="13"/>
              </w:rPr>
              <w:t>Not accept</w:t>
            </w:r>
          </w:p>
        </w:tc>
        <w:tc>
          <w:tcPr>
            <w:tcW w:w="2794" w:type="pct"/>
            <w:shd w:val="clear" w:color="auto" w:fill="DBE5F1"/>
          </w:tcPr>
          <w:p w:rsidR="0088341A" w:rsidRPr="00BA4979" w:rsidRDefault="0088341A" w:rsidP="00501137">
            <w:pPr>
              <w:pStyle w:val="AERtabletextleft"/>
              <w:keepNext/>
              <w:keepLines/>
              <w:rPr>
                <w:sz w:val="13"/>
                <w:szCs w:val="13"/>
              </w:rPr>
            </w:pPr>
            <w:r w:rsidRPr="00BA4979">
              <w:rPr>
                <w:sz w:val="13"/>
                <w:szCs w:val="13"/>
              </w:rPr>
              <w:t xml:space="preserve">This is a self-funding innovation program. </w:t>
            </w:r>
          </w:p>
        </w:tc>
      </w:tr>
      <w:tr w:rsidR="0088341A" w:rsidRPr="00B40A06" w:rsidTr="00501137">
        <w:tc>
          <w:tcPr>
            <w:tcW w:w="979" w:type="pct"/>
            <w:shd w:val="clear" w:color="auto" w:fill="auto"/>
          </w:tcPr>
          <w:p w:rsidR="0088341A" w:rsidRPr="00BA4979" w:rsidRDefault="0088341A" w:rsidP="00501137">
            <w:pPr>
              <w:pStyle w:val="AERtabletextleft"/>
              <w:keepNext/>
              <w:keepLines/>
              <w:rPr>
                <w:sz w:val="13"/>
                <w:szCs w:val="13"/>
              </w:rPr>
            </w:pPr>
            <w:r w:rsidRPr="00BA4979">
              <w:rPr>
                <w:sz w:val="13"/>
                <w:szCs w:val="13"/>
              </w:rPr>
              <w:t>Communications infrastructure</w:t>
            </w:r>
          </w:p>
        </w:tc>
        <w:tc>
          <w:tcPr>
            <w:tcW w:w="384" w:type="pct"/>
            <w:shd w:val="clear" w:color="auto" w:fill="auto"/>
          </w:tcPr>
          <w:p w:rsidR="0088341A" w:rsidRPr="00BA4979" w:rsidRDefault="0088341A" w:rsidP="00501137">
            <w:pPr>
              <w:pStyle w:val="AERtabletextleft"/>
              <w:keepNext/>
              <w:keepLines/>
              <w:rPr>
                <w:sz w:val="13"/>
                <w:szCs w:val="13"/>
              </w:rPr>
            </w:pPr>
            <w:r w:rsidRPr="00BA4979">
              <w:rPr>
                <w:sz w:val="13"/>
                <w:szCs w:val="13"/>
              </w:rPr>
              <w:t>2.6</w:t>
            </w:r>
          </w:p>
        </w:tc>
        <w:tc>
          <w:tcPr>
            <w:tcW w:w="383" w:type="pct"/>
            <w:shd w:val="clear" w:color="auto" w:fill="auto"/>
          </w:tcPr>
          <w:p w:rsidR="0088341A" w:rsidRPr="00BA4979" w:rsidRDefault="0088341A" w:rsidP="00501137">
            <w:pPr>
              <w:pStyle w:val="AERtabletextleft"/>
              <w:keepNext/>
              <w:keepLines/>
              <w:rPr>
                <w:sz w:val="13"/>
                <w:szCs w:val="13"/>
              </w:rPr>
            </w:pPr>
            <w:r w:rsidRPr="00BA4979">
              <w:rPr>
                <w:sz w:val="13"/>
                <w:szCs w:val="13"/>
              </w:rPr>
              <w:t>0.0</w:t>
            </w:r>
          </w:p>
        </w:tc>
        <w:tc>
          <w:tcPr>
            <w:tcW w:w="460" w:type="pct"/>
            <w:shd w:val="clear" w:color="auto" w:fill="auto"/>
          </w:tcPr>
          <w:p w:rsidR="0088341A" w:rsidRPr="00BA4979" w:rsidRDefault="0088341A" w:rsidP="00501137">
            <w:pPr>
              <w:pStyle w:val="AERtabletextleft"/>
              <w:keepNext/>
              <w:keepLines/>
              <w:rPr>
                <w:sz w:val="13"/>
                <w:szCs w:val="13"/>
              </w:rPr>
            </w:pPr>
            <w:r w:rsidRPr="00BA4979">
              <w:rPr>
                <w:sz w:val="13"/>
                <w:szCs w:val="13"/>
              </w:rPr>
              <w:t>Not accept</w:t>
            </w:r>
          </w:p>
        </w:tc>
        <w:tc>
          <w:tcPr>
            <w:tcW w:w="2794" w:type="pct"/>
            <w:shd w:val="clear" w:color="auto" w:fill="auto"/>
          </w:tcPr>
          <w:p w:rsidR="0088341A" w:rsidRPr="00BA4979" w:rsidRDefault="0088341A" w:rsidP="00501137">
            <w:pPr>
              <w:pStyle w:val="AERtabletextleft"/>
              <w:keepNext/>
              <w:keepLines/>
              <w:rPr>
                <w:sz w:val="13"/>
                <w:szCs w:val="13"/>
              </w:rPr>
            </w:pPr>
            <w:r w:rsidRPr="00BA4979">
              <w:rPr>
                <w:sz w:val="13"/>
                <w:szCs w:val="13"/>
              </w:rPr>
              <w:t>This step change double counts communications opex which is in the base year.  See also asset works.</w:t>
            </w:r>
            <w:r w:rsidRPr="00BA4979">
              <w:rPr>
                <w:rStyle w:val="Heading2Char"/>
                <w:sz w:val="13"/>
              </w:rPr>
              <w:t xml:space="preserve"> </w:t>
            </w:r>
            <w:r w:rsidRPr="00BA4979">
              <w:rPr>
                <w:rStyle w:val="FootnoteReference"/>
                <w:sz w:val="13"/>
                <w:szCs w:val="13"/>
              </w:rPr>
              <w:footnoteReference w:id="318"/>
            </w:r>
          </w:p>
        </w:tc>
      </w:tr>
      <w:tr w:rsidR="0088341A" w:rsidRPr="00B40A06" w:rsidTr="00501137">
        <w:tc>
          <w:tcPr>
            <w:tcW w:w="979" w:type="pct"/>
            <w:shd w:val="clear" w:color="auto" w:fill="DBE5F1"/>
          </w:tcPr>
          <w:p w:rsidR="0088341A" w:rsidRPr="00BA4979" w:rsidRDefault="0088341A" w:rsidP="00501137">
            <w:pPr>
              <w:pStyle w:val="AERtabletextleft"/>
              <w:keepNext/>
              <w:keepLines/>
              <w:rPr>
                <w:sz w:val="13"/>
                <w:szCs w:val="13"/>
              </w:rPr>
            </w:pPr>
            <w:r w:rsidRPr="00BA4979">
              <w:rPr>
                <w:sz w:val="13"/>
                <w:szCs w:val="13"/>
              </w:rPr>
              <w:t>Other: capex-opex trade-off</w:t>
            </w:r>
          </w:p>
        </w:tc>
        <w:tc>
          <w:tcPr>
            <w:tcW w:w="384" w:type="pct"/>
            <w:shd w:val="clear" w:color="auto" w:fill="DBE5F1"/>
          </w:tcPr>
          <w:p w:rsidR="0088341A" w:rsidRPr="00BA4979" w:rsidRDefault="0088341A" w:rsidP="00501137">
            <w:pPr>
              <w:pStyle w:val="AERtabletextleft"/>
              <w:keepNext/>
              <w:keepLines/>
              <w:rPr>
                <w:rStyle w:val="AERtextbold"/>
                <w:sz w:val="13"/>
                <w:szCs w:val="13"/>
              </w:rPr>
            </w:pPr>
            <w:r w:rsidRPr="00BA4979">
              <w:rPr>
                <w:rStyle w:val="AERtextbold"/>
                <w:sz w:val="13"/>
                <w:szCs w:val="13"/>
              </w:rPr>
              <w:t>–0.8</w:t>
            </w:r>
          </w:p>
        </w:tc>
        <w:tc>
          <w:tcPr>
            <w:tcW w:w="383" w:type="pct"/>
            <w:shd w:val="clear" w:color="auto" w:fill="DBE5F1"/>
          </w:tcPr>
          <w:p w:rsidR="0088341A" w:rsidRPr="00BA4979" w:rsidRDefault="0088341A" w:rsidP="00501137">
            <w:pPr>
              <w:pStyle w:val="AERtabletextleft"/>
              <w:keepNext/>
              <w:keepLines/>
              <w:rPr>
                <w:rStyle w:val="AERtextbold"/>
                <w:sz w:val="13"/>
                <w:szCs w:val="13"/>
              </w:rPr>
            </w:pPr>
            <w:r w:rsidRPr="00BA4979">
              <w:rPr>
                <w:rStyle w:val="AERtextbold"/>
                <w:sz w:val="13"/>
                <w:szCs w:val="13"/>
              </w:rPr>
              <w:t>0.0</w:t>
            </w:r>
          </w:p>
        </w:tc>
        <w:tc>
          <w:tcPr>
            <w:tcW w:w="460" w:type="pct"/>
            <w:shd w:val="clear" w:color="auto" w:fill="DBE5F1"/>
          </w:tcPr>
          <w:p w:rsidR="0088341A" w:rsidRPr="00BA4979" w:rsidRDefault="0088341A" w:rsidP="00501137">
            <w:pPr>
              <w:pStyle w:val="AERtabletextleft"/>
              <w:keepNext/>
              <w:keepLines/>
              <w:rPr>
                <w:sz w:val="13"/>
                <w:szCs w:val="13"/>
              </w:rPr>
            </w:pPr>
            <w:r w:rsidRPr="00BA4979">
              <w:rPr>
                <w:sz w:val="13"/>
                <w:szCs w:val="13"/>
              </w:rPr>
              <w:t>Not accept</w:t>
            </w:r>
          </w:p>
        </w:tc>
        <w:tc>
          <w:tcPr>
            <w:tcW w:w="2794" w:type="pct"/>
            <w:shd w:val="clear" w:color="auto" w:fill="DBE5F1"/>
          </w:tcPr>
          <w:p w:rsidR="0088341A" w:rsidRPr="00BA4979" w:rsidRDefault="0088341A" w:rsidP="00501137">
            <w:pPr>
              <w:pStyle w:val="AERtabletextleft"/>
              <w:keepNext/>
              <w:keepLines/>
              <w:rPr>
                <w:sz w:val="13"/>
                <w:szCs w:val="13"/>
              </w:rPr>
            </w:pPr>
            <w:r w:rsidRPr="00BA4979">
              <w:rPr>
                <w:sz w:val="13"/>
                <w:szCs w:val="13"/>
              </w:rPr>
              <w:t>SP AusNet proposed a reduction to its opex allowance for efficiency benefits it expects to achieve by spending $16.8 million on strategic IT cape</w:t>
            </w:r>
            <w:r w:rsidR="00BF1DF5">
              <w:rPr>
                <w:sz w:val="13"/>
                <w:szCs w:val="13"/>
              </w:rPr>
              <w:t>x in the same period, 2014–17 (a</w:t>
            </w:r>
            <w:r w:rsidRPr="00BA4979">
              <w:rPr>
                <w:sz w:val="13"/>
                <w:szCs w:val="13"/>
              </w:rPr>
              <w:t>ttachment 2). We did not accept the proposed IT capex (total of $47.9 million) because we did not accept the strategic IT costs met the capex criteria. Consistent with our decision on capex, we do not accept SP AusNet's proposed IT efficiency adjustment of $0.8 million because this was for benefits it expected to achieve from the $16.8 million strategic capital expenditure in the same period.</w:t>
            </w:r>
            <w:r w:rsidRPr="00BA4979">
              <w:rPr>
                <w:rStyle w:val="Heading2Char"/>
                <w:sz w:val="13"/>
              </w:rPr>
              <w:t xml:space="preserve"> </w:t>
            </w:r>
            <w:r w:rsidRPr="00BA4979">
              <w:rPr>
                <w:rStyle w:val="FootnoteReference"/>
                <w:sz w:val="13"/>
                <w:szCs w:val="13"/>
              </w:rPr>
              <w:footnoteReference w:id="319"/>
            </w:r>
            <w:r w:rsidRPr="00BA4979">
              <w:rPr>
                <w:sz w:val="13"/>
                <w:szCs w:val="13"/>
              </w:rPr>
              <w:t xml:space="preserve"> </w:t>
            </w:r>
            <w:r w:rsidRPr="00BA4979">
              <w:rPr>
                <w:rStyle w:val="FootnoteReference"/>
                <w:sz w:val="13"/>
                <w:szCs w:val="13"/>
              </w:rPr>
              <w:footnoteReference w:id="320"/>
            </w:r>
          </w:p>
        </w:tc>
      </w:tr>
      <w:tr w:rsidR="0088341A" w:rsidRPr="00B40A06" w:rsidTr="00501137">
        <w:tc>
          <w:tcPr>
            <w:tcW w:w="979" w:type="pct"/>
            <w:shd w:val="clear" w:color="auto" w:fill="auto"/>
          </w:tcPr>
          <w:p w:rsidR="0088341A" w:rsidRPr="00BA4979" w:rsidRDefault="0088341A" w:rsidP="00501137">
            <w:pPr>
              <w:pStyle w:val="AERtabletextleft"/>
              <w:keepNext/>
              <w:keepLines/>
              <w:rPr>
                <w:sz w:val="13"/>
                <w:szCs w:val="13"/>
              </w:rPr>
            </w:pPr>
            <w:r w:rsidRPr="00BA4979">
              <w:rPr>
                <w:sz w:val="13"/>
                <w:szCs w:val="13"/>
              </w:rPr>
              <w:t>Total step change opex</w:t>
            </w:r>
          </w:p>
        </w:tc>
        <w:tc>
          <w:tcPr>
            <w:tcW w:w="384" w:type="pct"/>
            <w:shd w:val="clear" w:color="auto" w:fill="auto"/>
          </w:tcPr>
          <w:p w:rsidR="0088341A" w:rsidRPr="00BA4979" w:rsidRDefault="0088341A" w:rsidP="00501137">
            <w:pPr>
              <w:pStyle w:val="AERtabletextleft"/>
              <w:keepNext/>
              <w:keepLines/>
              <w:rPr>
                <w:rStyle w:val="AERtextbold"/>
                <w:sz w:val="13"/>
                <w:szCs w:val="13"/>
              </w:rPr>
            </w:pPr>
            <w:r w:rsidRPr="00BA4979">
              <w:rPr>
                <w:rStyle w:val="AERtextbold"/>
                <w:sz w:val="13"/>
                <w:szCs w:val="13"/>
              </w:rPr>
              <w:t>31.7</w:t>
            </w:r>
          </w:p>
        </w:tc>
        <w:tc>
          <w:tcPr>
            <w:tcW w:w="383" w:type="pct"/>
            <w:shd w:val="clear" w:color="auto" w:fill="auto"/>
          </w:tcPr>
          <w:p w:rsidR="0088341A" w:rsidRPr="00BA4979" w:rsidRDefault="0088341A" w:rsidP="00501137">
            <w:pPr>
              <w:pStyle w:val="AERtabletextleft"/>
              <w:keepNext/>
              <w:keepLines/>
              <w:rPr>
                <w:rStyle w:val="AERtextbold"/>
                <w:sz w:val="13"/>
                <w:szCs w:val="13"/>
              </w:rPr>
            </w:pPr>
            <w:r w:rsidRPr="00BA4979">
              <w:rPr>
                <w:rStyle w:val="AERtextbold"/>
                <w:sz w:val="13"/>
                <w:szCs w:val="13"/>
              </w:rPr>
              <w:t>2.8</w:t>
            </w:r>
          </w:p>
        </w:tc>
        <w:tc>
          <w:tcPr>
            <w:tcW w:w="460" w:type="pct"/>
            <w:shd w:val="clear" w:color="auto" w:fill="auto"/>
          </w:tcPr>
          <w:p w:rsidR="0088341A" w:rsidRPr="00BA4979" w:rsidRDefault="0088341A" w:rsidP="00501137">
            <w:pPr>
              <w:pStyle w:val="AERtabletextleft"/>
              <w:keepNext/>
              <w:keepLines/>
              <w:rPr>
                <w:sz w:val="13"/>
                <w:szCs w:val="13"/>
              </w:rPr>
            </w:pPr>
          </w:p>
        </w:tc>
        <w:tc>
          <w:tcPr>
            <w:tcW w:w="2794" w:type="pct"/>
            <w:shd w:val="clear" w:color="auto" w:fill="auto"/>
          </w:tcPr>
          <w:p w:rsidR="0088341A" w:rsidRPr="00BA4979" w:rsidRDefault="0088341A" w:rsidP="00501137">
            <w:pPr>
              <w:pStyle w:val="AERtabletextleft"/>
              <w:keepNext/>
              <w:keepLines/>
              <w:rPr>
                <w:sz w:val="13"/>
                <w:szCs w:val="13"/>
              </w:rPr>
            </w:pPr>
            <w:r w:rsidRPr="00BA4979">
              <w:rPr>
                <w:sz w:val="13"/>
                <w:szCs w:val="13"/>
              </w:rPr>
              <w:t>[This does not include the insurance step change</w:t>
            </w:r>
            <w:r w:rsidR="00BC2954">
              <w:rPr>
                <w:sz w:val="13"/>
                <w:szCs w:val="13"/>
              </w:rPr>
              <w:t xml:space="preserve"> or the security of critical infrastructure step change</w:t>
            </w:r>
            <w:r w:rsidRPr="00BA4979">
              <w:rPr>
                <w:sz w:val="13"/>
                <w:szCs w:val="13"/>
              </w:rPr>
              <w:t>]</w:t>
            </w:r>
          </w:p>
        </w:tc>
      </w:tr>
    </w:tbl>
    <w:p w:rsidR="00D2157D" w:rsidRPr="00751B8B" w:rsidRDefault="00D2157D" w:rsidP="00D2157D">
      <w:pPr>
        <w:pStyle w:val="AERtablesource"/>
        <w:keepNext/>
        <w:keepLines/>
      </w:pPr>
      <w:r w:rsidRPr="00751B8B">
        <w:t>Sources:</w:t>
      </w:r>
      <w:r w:rsidRPr="00751B8B">
        <w:tab/>
        <w:t xml:space="preserve">SP AusNet , </w:t>
      </w:r>
      <w:r w:rsidRPr="00751B8B">
        <w:rPr>
          <w:rStyle w:val="AERtextitalic"/>
        </w:rPr>
        <w:t>Revenue proposal</w:t>
      </w:r>
      <w:r w:rsidRPr="00751B8B">
        <w:t xml:space="preserve">, pp. 128–36; EMCa, </w:t>
      </w:r>
      <w:r w:rsidRPr="00751B8B">
        <w:rPr>
          <w:rStyle w:val="AERtextitalic"/>
        </w:rPr>
        <w:t>SP AusNet technical review</w:t>
      </w:r>
      <w:r w:rsidRPr="00751B8B">
        <w:t xml:space="preserve">, </w:t>
      </w:r>
      <w:r w:rsidR="007C588C">
        <w:t>August</w:t>
      </w:r>
      <w:r w:rsidRPr="00751B8B">
        <w:t xml:space="preserve"> 2013, p. 20; AER analysis.</w:t>
      </w:r>
    </w:p>
    <w:p w:rsidR="0088341A" w:rsidRPr="00751B8B" w:rsidRDefault="0088341A" w:rsidP="00BA4979">
      <w:pPr>
        <w:pStyle w:val="AERtablesource"/>
      </w:pPr>
      <w:r w:rsidRPr="00751B8B">
        <w:t>Note:</w:t>
      </w:r>
      <w:r w:rsidRPr="00751B8B">
        <w:tab/>
        <w:t xml:space="preserve">n/a </w:t>
      </w:r>
      <w:r>
        <w:t>- these step changes do not include escalation</w:t>
      </w:r>
      <w:r w:rsidR="00D2157D">
        <w:t>.</w:t>
      </w:r>
      <w:r w:rsidR="00A534C9">
        <w:t xml:space="preserve"> The ‘security of critical infrastructure’ step change is not included in the total. </w:t>
      </w:r>
    </w:p>
    <w:p w:rsidR="0088341A" w:rsidRDefault="0088341A" w:rsidP="00BA4979">
      <w:pPr>
        <w:pStyle w:val="HeadingBoldItalic"/>
        <w:keepNext/>
        <w:keepLines/>
      </w:pPr>
      <w:r>
        <w:lastRenderedPageBreak/>
        <w:t>Real cost escalation</w:t>
      </w:r>
      <w:r w:rsidRPr="00C91DBD">
        <w:t xml:space="preserve"> </w:t>
      </w:r>
    </w:p>
    <w:p w:rsidR="0088341A" w:rsidRPr="00C91DBD" w:rsidRDefault="00BF1DF5" w:rsidP="0088341A">
      <w:pPr>
        <w:pStyle w:val="AERbulletlistfirststyle"/>
        <w:numPr>
          <w:ilvl w:val="0"/>
          <w:numId w:val="0"/>
        </w:numPr>
      </w:pPr>
      <w:r>
        <w:t xml:space="preserve">We do not accept </w:t>
      </w:r>
      <w:r w:rsidR="0088341A" w:rsidRPr="00B17206">
        <w:t>SP AusNet's proposed real cost escalators reasonably reflect a realistic expectation of the cost inputs required to achieve the opex and capex objectives over the 2014</w:t>
      </w:r>
      <w:r w:rsidR="0088341A">
        <w:t>–17 regulatory control period. W</w:t>
      </w:r>
      <w:r w:rsidR="0088341A" w:rsidRPr="006C0A35">
        <w:t xml:space="preserve">e do not accept </w:t>
      </w:r>
      <w:r w:rsidR="0088341A">
        <w:t xml:space="preserve">SP AusNet's </w:t>
      </w:r>
      <w:r w:rsidR="0088341A" w:rsidRPr="006C0A35">
        <w:t>proposed real cost escalators</w:t>
      </w:r>
      <w:r w:rsidR="0088341A">
        <w:t xml:space="preserve"> for the reasons set out in Attachment 1.</w:t>
      </w:r>
      <w:r w:rsidR="0088341A" w:rsidRPr="00CF6C11">
        <w:rPr>
          <w:rStyle w:val="FootnoteReference"/>
        </w:rPr>
        <w:footnoteReference w:id="321"/>
      </w:r>
      <w:r w:rsidR="0088341A">
        <w:t xml:space="preserve"> </w:t>
      </w:r>
    </w:p>
    <w:p w:rsidR="0088341A" w:rsidRPr="002C7F86" w:rsidRDefault="0088341A" w:rsidP="0088341A">
      <w:pPr>
        <w:pStyle w:val="HeadingBoldItalic"/>
      </w:pPr>
      <w:r w:rsidRPr="002C7F86">
        <w:rPr>
          <w:rStyle w:val="AERtextitalic"/>
          <w:i/>
        </w:rPr>
        <w:t>Network growth</w:t>
      </w:r>
      <w:r w:rsidRPr="002C7F86">
        <w:t xml:space="preserve"> </w:t>
      </w:r>
    </w:p>
    <w:p w:rsidR="0088341A" w:rsidRPr="007C1B55" w:rsidRDefault="0022395B" w:rsidP="0088341A">
      <w:pPr>
        <w:pStyle w:val="AERbodytext"/>
        <w:numPr>
          <w:ilvl w:val="0"/>
          <w:numId w:val="13"/>
        </w:numPr>
      </w:pPr>
      <w:r w:rsidRPr="00944042">
        <w:t xml:space="preserve">We accept </w:t>
      </w:r>
      <w:r>
        <w:t xml:space="preserve">SP AusNet's </w:t>
      </w:r>
      <w:r w:rsidRPr="0084474A">
        <w:t xml:space="preserve">proposed approach </w:t>
      </w:r>
      <w:r>
        <w:t>to</w:t>
      </w:r>
      <w:r w:rsidRPr="0084474A">
        <w:t xml:space="preserve"> estimating the network growth escalator over the 2008–14 regulato</w:t>
      </w:r>
      <w:r>
        <w:t>ry control period. It used its Group 3 asset roll in</w:t>
      </w:r>
      <w:r w:rsidRPr="0084474A">
        <w:t xml:space="preserve"> (network augmentation) to estimate a network growth escalator of 3</w:t>
      </w:r>
      <w:r>
        <w:t>.0</w:t>
      </w:r>
      <w:r w:rsidRPr="0084474A">
        <w:t xml:space="preserve"> per cent which</w:t>
      </w:r>
      <w:r>
        <w:t>,</w:t>
      </w:r>
      <w:r w:rsidRPr="0084474A">
        <w:t xml:space="preserve"> reflects the net change in ratio between the </w:t>
      </w:r>
      <w:r w:rsidR="00BF1DF5">
        <w:t>regulatory asset base (</w:t>
      </w:r>
      <w:r>
        <w:t>RAB</w:t>
      </w:r>
      <w:r w:rsidR="00BF1DF5">
        <w:t>)</w:t>
      </w:r>
      <w:r w:rsidRPr="0084474A">
        <w:t xml:space="preserve"> and non-regulated asset base.</w:t>
      </w:r>
      <w:r w:rsidRPr="0084474A">
        <w:rPr>
          <w:rStyle w:val="FootnoteReference"/>
        </w:rPr>
        <w:footnoteReference w:id="322"/>
      </w:r>
      <w:r w:rsidRPr="0084474A">
        <w:t xml:space="preserve"> We applied this same approach in our 2008 final decision</w:t>
      </w:r>
      <w:r>
        <w:t>,</w:t>
      </w:r>
      <w:r w:rsidRPr="0084474A">
        <w:t xml:space="preserve"> and we consider </w:t>
      </w:r>
      <w:r>
        <w:t>the</w:t>
      </w:r>
      <w:r w:rsidRPr="0084474A">
        <w:t xml:space="preserve"> approach remains reasonable. </w:t>
      </w:r>
      <w:r>
        <w:t>But, i</w:t>
      </w:r>
      <w:r w:rsidRPr="0084474A">
        <w:t xml:space="preserve">n accepting </w:t>
      </w:r>
      <w:r>
        <w:t xml:space="preserve">SP AusNet's </w:t>
      </w:r>
      <w:r w:rsidRPr="0084474A">
        <w:t xml:space="preserve">approach, we updated </w:t>
      </w:r>
      <w:r>
        <w:t xml:space="preserve">SP AusNet's </w:t>
      </w:r>
      <w:r w:rsidRPr="0084474A">
        <w:t xml:space="preserve">opening RAB value at 1 April 2014 (an input) to reflect our draft decision. </w:t>
      </w:r>
      <w:r>
        <w:t xml:space="preserve">So, we revised the network growth </w:t>
      </w:r>
      <w:r w:rsidR="00BC66B2">
        <w:t>escalator</w:t>
      </w:r>
      <w:r>
        <w:t xml:space="preserve"> from 3.06 per cent to 2.91 per cent.</w:t>
      </w:r>
    </w:p>
    <w:p w:rsidR="0088341A" w:rsidRPr="00FE2FBE" w:rsidRDefault="0088341A" w:rsidP="0088341A">
      <w:pPr>
        <w:pStyle w:val="HeadingBoldItalic"/>
      </w:pPr>
      <w:r w:rsidRPr="00FE2FBE">
        <w:rPr>
          <w:rStyle w:val="AERtextitalic"/>
          <w:i/>
        </w:rPr>
        <w:t>Economies of scales</w:t>
      </w:r>
      <w:r w:rsidRPr="00FE2FBE">
        <w:t xml:space="preserve"> </w:t>
      </w:r>
    </w:p>
    <w:p w:rsidR="00BC66B2" w:rsidRDefault="0088341A" w:rsidP="0088341A">
      <w:pPr>
        <w:pStyle w:val="AERbodytext"/>
        <w:numPr>
          <w:ilvl w:val="0"/>
          <w:numId w:val="13"/>
        </w:numPr>
      </w:pPr>
      <w:r>
        <w:t xml:space="preserve">SP AusNet applied a scale factor of 70 per cent to routine maintenance and maintenance support </w:t>
      </w:r>
      <w:r w:rsidR="00D57B4B">
        <w:t>and 100 per cent</w:t>
      </w:r>
      <w:r w:rsidRPr="00C91DBD">
        <w:t xml:space="preserve"> to corporate support costs. </w:t>
      </w:r>
      <w:r w:rsidR="00BC66B2">
        <w:t>We do not consider the routine maintenance and maintenance support scale factors are comparable to the scale factors used by other TNSPs. Further, w</w:t>
      </w:r>
      <w:r w:rsidRPr="00C91DBD">
        <w:t>e</w:t>
      </w:r>
      <w:r>
        <w:t xml:space="preserve"> </w:t>
      </w:r>
      <w:r w:rsidRPr="00C91DBD">
        <w:t xml:space="preserve">do not </w:t>
      </w:r>
      <w:r w:rsidR="00BC66B2">
        <w:t>consider</w:t>
      </w:r>
      <w:r w:rsidRPr="00C91DBD">
        <w:t xml:space="preserve"> </w:t>
      </w:r>
      <w:r>
        <w:t xml:space="preserve">it reasonable to expect corporate </w:t>
      </w:r>
      <w:r w:rsidRPr="00C91DBD">
        <w:t xml:space="preserve">support costs </w:t>
      </w:r>
      <w:r>
        <w:t xml:space="preserve">to </w:t>
      </w:r>
      <w:r w:rsidRPr="00C91DBD">
        <w:t xml:space="preserve">increase </w:t>
      </w:r>
      <w:r>
        <w:t>one–for–one</w:t>
      </w:r>
      <w:r w:rsidRPr="00C91DBD">
        <w:t xml:space="preserve"> </w:t>
      </w:r>
      <w:r w:rsidR="00BC66B2">
        <w:t>with</w:t>
      </w:r>
      <w:r w:rsidR="00BC66B2" w:rsidRPr="00C91DBD">
        <w:t xml:space="preserve"> </w:t>
      </w:r>
      <w:r w:rsidRPr="00C91DBD">
        <w:t>network growth</w:t>
      </w:r>
      <w:r w:rsidR="00BC66B2">
        <w:t xml:space="preserve"> as they are largely fixed costs and</w:t>
      </w:r>
      <w:r>
        <w:softHyphen/>
        <w:t xml:space="preserve"> </w:t>
      </w:r>
      <w:r w:rsidR="00BC66B2">
        <w:t>t</w:t>
      </w:r>
      <w:r>
        <w:t xml:space="preserve">ypically </w:t>
      </w:r>
      <w:r w:rsidR="00F81719">
        <w:t>significant</w:t>
      </w:r>
      <w:r>
        <w:t xml:space="preserve"> economies of scale</w:t>
      </w:r>
      <w:r w:rsidR="00F81719">
        <w:t xml:space="preserve"> can be achieved</w:t>
      </w:r>
      <w:r>
        <w:t xml:space="preserve">. </w:t>
      </w:r>
      <w:r w:rsidRPr="00FE2FBE">
        <w:t xml:space="preserve">We benchmarked the </w:t>
      </w:r>
      <w:r w:rsidR="00F57C16">
        <w:t>routine maintenance</w:t>
      </w:r>
      <w:r w:rsidR="00F81719">
        <w:t>, maintenance</w:t>
      </w:r>
      <w:r w:rsidR="00F57C16">
        <w:t xml:space="preserve"> </w:t>
      </w:r>
      <w:r w:rsidRPr="00FE2FBE">
        <w:t xml:space="preserve">support </w:t>
      </w:r>
      <w:r w:rsidR="00F81719">
        <w:t>and corporate support</w:t>
      </w:r>
      <w:r w:rsidR="00F81719" w:rsidRPr="00FE2FBE">
        <w:t xml:space="preserve"> </w:t>
      </w:r>
      <w:r w:rsidRPr="00FE2FBE">
        <w:t>scale factors against those of other TNSPs</w:t>
      </w:r>
      <w:r w:rsidR="00F81719">
        <w:t>. We</w:t>
      </w:r>
      <w:r w:rsidRPr="00FE2FBE">
        <w:t xml:space="preserve"> found that a factor of </w:t>
      </w:r>
      <w:r w:rsidR="00BC66B2">
        <w:t xml:space="preserve">95 per cent for routine maintenance, </w:t>
      </w:r>
      <w:r w:rsidRPr="00FE2FBE">
        <w:t>25 per cent for</w:t>
      </w:r>
      <w:r>
        <w:t xml:space="preserve"> maintenance support and 10 per cent for corporate support reasonably reflect the costs that a prudent operator in the circumstances of the relevant TNSP would require to achieve the opex objectives.</w:t>
      </w:r>
      <w:r>
        <w:rPr>
          <w:rStyle w:val="FootnoteReference"/>
        </w:rPr>
        <w:footnoteReference w:id="323"/>
      </w:r>
      <w:r w:rsidR="00F81719">
        <w:t xml:space="preserve"> W</w:t>
      </w:r>
      <w:r w:rsidR="00F57C16">
        <w:t>e</w:t>
      </w:r>
      <w:r w:rsidR="00F81719">
        <w:t xml:space="preserve"> </w:t>
      </w:r>
      <w:r w:rsidR="00F57C16">
        <w:t xml:space="preserve">provided our benchmark scale factors to SP AusNet who </w:t>
      </w:r>
      <w:r w:rsidR="00F81719">
        <w:t xml:space="preserve">subsequently </w:t>
      </w:r>
      <w:r w:rsidR="00F57C16">
        <w:t>agreed they were appropriate factors for these categories.</w:t>
      </w:r>
      <w:r w:rsidR="00F57C16">
        <w:rPr>
          <w:rStyle w:val="FootnoteReference"/>
        </w:rPr>
        <w:footnoteReference w:id="324"/>
      </w:r>
    </w:p>
    <w:p w:rsidR="0088341A" w:rsidRPr="00C91DBD" w:rsidRDefault="00210C4E" w:rsidP="0088341A">
      <w:pPr>
        <w:pStyle w:val="AERbodytext"/>
        <w:numPr>
          <w:ilvl w:val="0"/>
          <w:numId w:val="13"/>
        </w:numPr>
      </w:pPr>
      <w:r>
        <w:t xml:space="preserve">Therefore, </w:t>
      </w:r>
      <w:r w:rsidRPr="005A216C">
        <w:t>w</w:t>
      </w:r>
      <w:r w:rsidR="0088341A">
        <w:t xml:space="preserve">e </w:t>
      </w:r>
      <w:r>
        <w:t>consider the</w:t>
      </w:r>
      <w:r w:rsidR="0088341A">
        <w:t xml:space="preserve"> </w:t>
      </w:r>
      <w:r w:rsidR="0088341A" w:rsidRPr="00DC6612">
        <w:t>proposed forecast for network growth is more than a realistic expectation of the cost inputs required to achieve the opex objectives.</w:t>
      </w:r>
      <w:r w:rsidR="0088341A" w:rsidRPr="00DC6612">
        <w:rPr>
          <w:rStyle w:val="FootnoteReference"/>
        </w:rPr>
        <w:footnoteReference w:id="325"/>
      </w:r>
      <w:r w:rsidR="0088341A" w:rsidRPr="00DC6612">
        <w:t xml:space="preserve"> </w:t>
      </w:r>
      <w:r w:rsidR="0088341A">
        <w:t xml:space="preserve">The combined effect of </w:t>
      </w:r>
      <w:r>
        <w:t xml:space="preserve">changing </w:t>
      </w:r>
      <w:r w:rsidR="0088341A">
        <w:t xml:space="preserve">the network growth </w:t>
      </w:r>
      <w:r>
        <w:t xml:space="preserve">escalator </w:t>
      </w:r>
      <w:r w:rsidR="0088341A">
        <w:t>and economies of scale factor</w:t>
      </w:r>
      <w:r>
        <w:t>s</w:t>
      </w:r>
      <w:r w:rsidR="0088341A">
        <w:t xml:space="preserve"> </w:t>
      </w:r>
      <w:r w:rsidR="00B36B41">
        <w:t xml:space="preserve">reduced </w:t>
      </w:r>
      <w:r w:rsidR="000E3590" w:rsidRPr="00DC6612">
        <w:t>forecast for network growth</w:t>
      </w:r>
      <w:r w:rsidR="00B36B41">
        <w:t xml:space="preserve"> to </w:t>
      </w:r>
      <w:r w:rsidR="0088341A">
        <w:t>$3.4</w:t>
      </w:r>
      <w:r w:rsidR="00361935">
        <w:t> </w:t>
      </w:r>
      <w:r w:rsidR="0088341A">
        <w:t>million</w:t>
      </w:r>
      <w:r w:rsidR="00361935">
        <w:t>,</w:t>
      </w:r>
      <w:r w:rsidR="0088341A">
        <w:t xml:space="preserve"> </w:t>
      </w:r>
      <w:r w:rsidR="00B36B41">
        <w:t xml:space="preserve">from the </w:t>
      </w:r>
      <w:r w:rsidR="0088341A">
        <w:t>$5.2 million</w:t>
      </w:r>
      <w:r w:rsidR="00B36B41">
        <w:t xml:space="preserve"> SP AusNet</w:t>
      </w:r>
      <w:r w:rsidR="0088341A">
        <w:t xml:space="preserve"> proposed.</w:t>
      </w:r>
    </w:p>
    <w:p w:rsidR="0088341A" w:rsidRDefault="00E872F7" w:rsidP="0088341A">
      <w:pPr>
        <w:pStyle w:val="HeadingBoldBlue"/>
        <w:rPr>
          <w:rStyle w:val="AERtextitalic"/>
          <w:i w:val="0"/>
        </w:rPr>
      </w:pPr>
      <w:r>
        <w:rPr>
          <w:rStyle w:val="AERtextitalic"/>
          <w:i w:val="0"/>
        </w:rPr>
        <w:t>SP AusNet’s n</w:t>
      </w:r>
      <w:r w:rsidR="0088341A" w:rsidRPr="00A33F8D">
        <w:rPr>
          <w:rStyle w:val="AERtextitalic"/>
          <w:i w:val="0"/>
        </w:rPr>
        <w:t xml:space="preserve">on-controllable opex </w:t>
      </w:r>
      <w:r>
        <w:rPr>
          <w:rStyle w:val="AERtextitalic"/>
          <w:i w:val="0"/>
        </w:rPr>
        <w:t>forecast</w:t>
      </w:r>
    </w:p>
    <w:p w:rsidR="007D2F72" w:rsidRPr="005A216C" w:rsidRDefault="007D2F72" w:rsidP="005A216C">
      <w:pPr>
        <w:pStyle w:val="AERbodytext"/>
      </w:pPr>
      <w:r>
        <w:t>We did not accept components of SP AusNet’s non-controllable opex</w:t>
      </w:r>
      <w:r w:rsidR="00E872F7">
        <w:t xml:space="preserve"> forecast</w:t>
      </w:r>
      <w:r>
        <w:t>.</w:t>
      </w:r>
    </w:p>
    <w:p w:rsidR="0088341A" w:rsidRPr="002B2BB1" w:rsidRDefault="0088341A" w:rsidP="0088341A">
      <w:pPr>
        <w:pStyle w:val="HeadingBoldItalic"/>
      </w:pPr>
      <w:r w:rsidRPr="002B2BB1">
        <w:rPr>
          <w:rStyle w:val="AERtextitalic"/>
          <w:i/>
        </w:rPr>
        <w:t>Self-insurance</w:t>
      </w:r>
      <w:r w:rsidRPr="002B2BB1">
        <w:t xml:space="preserve"> </w:t>
      </w:r>
    </w:p>
    <w:p w:rsidR="0088341A" w:rsidRPr="002A3B0D" w:rsidRDefault="0088341A" w:rsidP="0088341A">
      <w:pPr>
        <w:pStyle w:val="AERbodytext"/>
        <w:numPr>
          <w:ilvl w:val="0"/>
          <w:numId w:val="13"/>
        </w:numPr>
        <w:rPr>
          <w:rStyle w:val="AERtextitalic"/>
          <w:i w:val="0"/>
        </w:rPr>
      </w:pPr>
      <w:r w:rsidRPr="00C91DBD">
        <w:t xml:space="preserve">We do not accept </w:t>
      </w:r>
      <w:r>
        <w:t xml:space="preserve">SP AusNet's </w:t>
      </w:r>
      <w:r w:rsidRPr="00C91DBD">
        <w:t xml:space="preserve">proposed self-insurance allowance of $6.4 million because it included elements that do not </w:t>
      </w:r>
      <w:r>
        <w:t>reflect</w:t>
      </w:r>
      <w:r w:rsidRPr="00C91DBD">
        <w:t xml:space="preserve"> the opex </w:t>
      </w:r>
      <w:r>
        <w:t>criteria</w:t>
      </w:r>
      <w:r w:rsidRPr="00C91DBD">
        <w:t xml:space="preserve">. In particular, it included a risk margin </w:t>
      </w:r>
      <w:r>
        <w:t xml:space="preserve">for risk volatility </w:t>
      </w:r>
      <w:r>
        <w:lastRenderedPageBreak/>
        <w:t xml:space="preserve">and uncertainty which it based on the Australian Prudential Regulation Authority's reserving requirements. We do not accept the inclusion of this margin reasonably reflects the opex criteria, because we consider reserving requirements are not relevant—the reference standards specifically relate to balance sheet provisioning rather than pricing risk. Further, 75 per cent of the proposed self-insurance allowance is for costs below deductibles (excess) of commercial insurance policies. Average loss forecast is based on </w:t>
      </w:r>
      <w:r w:rsidR="009E166E">
        <w:t>historical</w:t>
      </w:r>
      <w:r>
        <w:t xml:space="preserve"> loss data going back 34 years so it is reasonable to assume </w:t>
      </w:r>
      <w:r w:rsidR="00697B8A">
        <w:t>it</w:t>
      </w:r>
      <w:r>
        <w:t xml:space="preserve"> accounts for all potential risk exposure and therefore no additional compensation is warranted.  In addition, tower failures (which are fully self-insured) account for the majority of uninsured risk and represent less than a fifth of SP AusNet's total self-insurance risks. Tower failures caused by a major natural disaster incurring costs greater than 1 per cent of the maximum allowed revenue (MAR) (around $5 million) may be eligible to be passed through to consumers which limits SP AusNet's risk exposure. Our full analysis is at Appendix </w:t>
      </w:r>
      <w:r w:rsidR="00FA39F6">
        <w:t>C</w:t>
      </w:r>
      <w:r>
        <w:t>.</w:t>
      </w:r>
    </w:p>
    <w:p w:rsidR="0088341A" w:rsidRPr="00B70483" w:rsidRDefault="0088341A" w:rsidP="0088341A">
      <w:pPr>
        <w:pStyle w:val="HeadingBoldItalic"/>
      </w:pPr>
      <w:r w:rsidRPr="00B70483">
        <w:rPr>
          <w:rStyle w:val="AERtextitalic"/>
          <w:i/>
        </w:rPr>
        <w:t>Equity raising costs</w:t>
      </w:r>
      <w:r w:rsidRPr="00B70483">
        <w:t xml:space="preserve"> </w:t>
      </w:r>
    </w:p>
    <w:p w:rsidR="0088341A" w:rsidRDefault="0088341A" w:rsidP="00681608">
      <w:pPr>
        <w:pStyle w:val="AERbodytext"/>
        <w:numPr>
          <w:ilvl w:val="0"/>
          <w:numId w:val="13"/>
        </w:numPr>
      </w:pPr>
      <w:r w:rsidRPr="00B70483">
        <w:t>In its 2002 revenue cap decision, the ACCC provided a perpetuity allowance for equity raising costs in SP AusNet's opex building block. Consistent with the ACCC's decision, SP AusNet proposed $3.4</w:t>
      </w:r>
      <w:r>
        <w:t> </w:t>
      </w:r>
      <w:r w:rsidRPr="00B70483">
        <w:t xml:space="preserve">million of equity raising costs in its proposed total opex for the 2014–17 regulatory control period.  </w:t>
      </w:r>
      <w:r>
        <w:t>W</w:t>
      </w:r>
      <w:r w:rsidRPr="00B70483">
        <w:t>e converted the allowance from perpetuity to an amount for capitalisation in the RAB</w:t>
      </w:r>
      <w:r w:rsidR="006916FC">
        <w:t xml:space="preserve"> attachment</w:t>
      </w:r>
      <w:r w:rsidR="00531405">
        <w:t xml:space="preserve"> as discussed in </w:t>
      </w:r>
      <w:r w:rsidR="003D6E23">
        <w:t>attachment 5</w:t>
      </w:r>
      <w:r w:rsidRPr="00B70483">
        <w:t>.</w:t>
      </w:r>
      <w:r w:rsidR="00D77DC9">
        <w:rPr>
          <w:rStyle w:val="FootnoteReference"/>
        </w:rPr>
        <w:footnoteReference w:id="326"/>
      </w:r>
      <w:r w:rsidRPr="00B70483">
        <w:t xml:space="preserve"> As a result, the equity raising costs associated with SP AusNet's 2003 opening RAB and capex incurred over the 2003–08 regulatory control period will be provided through the regulatory depreciation and return on capital building blocks. Therefore, we will not provide these equity raising costs in the opex building block.</w:t>
      </w:r>
      <w:r>
        <w:rPr>
          <w:rStyle w:val="FootnoteReference"/>
        </w:rPr>
        <w:footnoteReference w:id="327"/>
      </w:r>
      <w:r>
        <w:t xml:space="preserve"> </w:t>
      </w:r>
    </w:p>
    <w:p w:rsidR="0088341A" w:rsidRPr="00B70483" w:rsidRDefault="0088341A" w:rsidP="0088341A">
      <w:pPr>
        <w:pStyle w:val="HeadingBoldItalic"/>
        <w:rPr>
          <w:rStyle w:val="AERtextitalic"/>
          <w:i/>
        </w:rPr>
      </w:pPr>
      <w:r w:rsidRPr="00B70483">
        <w:rPr>
          <w:rStyle w:val="AERtextitalic"/>
          <w:i/>
        </w:rPr>
        <w:t>Debt raising costs</w:t>
      </w:r>
    </w:p>
    <w:p w:rsidR="0088341A" w:rsidRPr="00C91DBD" w:rsidRDefault="0088341A" w:rsidP="0088341A">
      <w:pPr>
        <w:pStyle w:val="AERbodytext"/>
        <w:numPr>
          <w:ilvl w:val="0"/>
          <w:numId w:val="13"/>
        </w:numPr>
      </w:pPr>
      <w:r>
        <w:rPr>
          <w:rStyle w:val="AERbody"/>
        </w:rPr>
        <w:t>W</w:t>
      </w:r>
      <w:r w:rsidRPr="00BD78BF">
        <w:rPr>
          <w:rStyle w:val="AERbody"/>
        </w:rPr>
        <w:t xml:space="preserve">e </w:t>
      </w:r>
      <w:r>
        <w:rPr>
          <w:rStyle w:val="AERbody"/>
        </w:rPr>
        <w:t xml:space="preserve">accept SP AusNet's method but </w:t>
      </w:r>
      <w:r w:rsidRPr="00BD78BF">
        <w:rPr>
          <w:rStyle w:val="AERbody"/>
        </w:rPr>
        <w:t xml:space="preserve">updated </w:t>
      </w:r>
      <w:r>
        <w:rPr>
          <w:rStyle w:val="AERbody"/>
        </w:rPr>
        <w:t>its</w:t>
      </w:r>
      <w:r w:rsidRPr="00BD78BF">
        <w:rPr>
          <w:rStyle w:val="AERbody"/>
        </w:rPr>
        <w:t xml:space="preserve"> proposed benchmark unit rate for debt raising costs to reflect the indicative </w:t>
      </w:r>
      <w:r w:rsidR="00F44BD4">
        <w:rPr>
          <w:rStyle w:val="AERbody"/>
        </w:rPr>
        <w:t>weighted average cost of capital (</w:t>
      </w:r>
      <w:r w:rsidRPr="00BD78BF">
        <w:rPr>
          <w:rStyle w:val="AERbody"/>
        </w:rPr>
        <w:t>WACC</w:t>
      </w:r>
      <w:r w:rsidR="00F44BD4">
        <w:rPr>
          <w:rStyle w:val="AERbody"/>
        </w:rPr>
        <w:t>)</w:t>
      </w:r>
      <w:r w:rsidRPr="00BD78BF">
        <w:rPr>
          <w:rStyle w:val="AERbody"/>
        </w:rPr>
        <w:t xml:space="preserve">. We also updated the benchmark unit rate to reflect the number of 'standard' bond issuances required over the 2014–17 regulatory control period to finance the debt portion of </w:t>
      </w:r>
      <w:r>
        <w:rPr>
          <w:rStyle w:val="AERbody"/>
        </w:rPr>
        <w:t xml:space="preserve">SP AusNet's </w:t>
      </w:r>
      <w:r w:rsidRPr="00BD78BF">
        <w:rPr>
          <w:rStyle w:val="AERbody"/>
        </w:rPr>
        <w:t xml:space="preserve">RAB. This update resulted in a benchmark unit rate for debt raising costs of </w:t>
      </w:r>
      <w:r>
        <w:rPr>
          <w:rStyle w:val="AERbody"/>
        </w:rPr>
        <w:t>9.0</w:t>
      </w:r>
      <w:r w:rsidRPr="00BD78BF">
        <w:rPr>
          <w:rStyle w:val="AERbody"/>
        </w:rPr>
        <w:t> basis points per year. Accordingly, we determined a benchmark debt raising cost allowance of $</w:t>
      </w:r>
      <w:r>
        <w:rPr>
          <w:rStyle w:val="AERbody"/>
        </w:rPr>
        <w:t>4.5</w:t>
      </w:r>
      <w:r w:rsidRPr="00BD78BF">
        <w:rPr>
          <w:rStyle w:val="AERbody"/>
        </w:rPr>
        <w:t> </w:t>
      </w:r>
      <w:r>
        <w:rPr>
          <w:rStyle w:val="AERbody"/>
        </w:rPr>
        <w:t>million</w:t>
      </w:r>
      <w:r w:rsidR="00FA39F6">
        <w:rPr>
          <w:rStyle w:val="AERbody"/>
        </w:rPr>
        <w:t xml:space="preserve"> ($2013–14) in total for the 2014–17 regulatory control period</w:t>
      </w:r>
      <w:r>
        <w:rPr>
          <w:rStyle w:val="AERbody"/>
        </w:rPr>
        <w:t>.</w:t>
      </w:r>
    </w:p>
    <w:p w:rsidR="0088341A" w:rsidRPr="00B70483" w:rsidRDefault="0088341A" w:rsidP="0088341A">
      <w:pPr>
        <w:pStyle w:val="HeadingBoldItalic"/>
        <w:rPr>
          <w:rStyle w:val="AERtextitalic"/>
          <w:i/>
        </w:rPr>
      </w:pPr>
      <w:r w:rsidRPr="00B70483">
        <w:rPr>
          <w:rStyle w:val="AERtextitalic"/>
          <w:i/>
        </w:rPr>
        <w:t xml:space="preserve">Availability Incentive Scheme rebate </w:t>
      </w:r>
    </w:p>
    <w:p w:rsidR="0088341A" w:rsidRDefault="0088341A" w:rsidP="0088341A">
      <w:pPr>
        <w:pStyle w:val="AERbodytext"/>
        <w:numPr>
          <w:ilvl w:val="0"/>
          <w:numId w:val="13"/>
        </w:numPr>
        <w:rPr>
          <w:rStyle w:val="AERbody"/>
        </w:rPr>
      </w:pPr>
      <w:r>
        <w:t xml:space="preserve">We do not accept SPAusNet's AIS forecast of $9.9 million. SP AusNet </w:t>
      </w:r>
      <w:r w:rsidRPr="00134C63">
        <w:t>receive</w:t>
      </w:r>
      <w:r w:rsidR="00F44BD4">
        <w:t>d</w:t>
      </w:r>
      <w:r w:rsidRPr="00134C63">
        <w:t xml:space="preserve"> an opex allowance </w:t>
      </w:r>
      <w:r>
        <w:t xml:space="preserve">in </w:t>
      </w:r>
      <w:r w:rsidR="00F44BD4">
        <w:t>our</w:t>
      </w:r>
      <w:r>
        <w:t xml:space="preserve"> </w:t>
      </w:r>
      <w:r w:rsidR="00F44BD4">
        <w:t xml:space="preserve">2008–14 </w:t>
      </w:r>
      <w:r>
        <w:t xml:space="preserve">determination to fund this payment to AEMO. Depending on its actual performance (and therefore the payment to AEMO), SP AusNet receives a benefit/penalty by either keeping/paying out the difference. SP AusNet </w:t>
      </w:r>
      <w:r w:rsidRPr="00134C63">
        <w:t>provided a ‘placeholder’ rebate forecast</w:t>
      </w:r>
      <w:r>
        <w:t xml:space="preserve"> of $9.9 million because this scheme was under review by AEMO at the time it submitted its proposal. On 16 July, </w:t>
      </w:r>
      <w:r w:rsidRPr="00134C63">
        <w:t xml:space="preserve">AEMO </w:t>
      </w:r>
      <w:r>
        <w:t>confirmed</w:t>
      </w:r>
      <w:r w:rsidRPr="00134C63">
        <w:t xml:space="preserve"> it</w:t>
      </w:r>
      <w:r>
        <w:t>s</w:t>
      </w:r>
      <w:r w:rsidRPr="00134C63">
        <w:t xml:space="preserve"> inten</w:t>
      </w:r>
      <w:r>
        <w:t>t</w:t>
      </w:r>
      <w:r w:rsidRPr="00134C63">
        <w:t xml:space="preserve"> to maintain the AIS for 2014–17</w:t>
      </w:r>
      <w:r>
        <w:t>. During our ongoing engagement with SP AusNet, it informed us that if AEMO does not amend or terminate the scheme, then it would provide an updated forecast to the AER for review. We expect to receive the amended forecast as part of the revised revenue proposal and will review it for the final decision</w:t>
      </w:r>
      <w:r>
        <w:rPr>
          <w:rStyle w:val="AERbody"/>
        </w:rPr>
        <w:t>. Therefore, our allowance for this scheme has been set at $0.0 million for this draft decision.</w:t>
      </w:r>
    </w:p>
    <w:p w:rsidR="0088341A" w:rsidRPr="00A907E9" w:rsidRDefault="0088341A" w:rsidP="0088341A">
      <w:pPr>
        <w:pStyle w:val="Heading3"/>
        <w:numPr>
          <w:ilvl w:val="3"/>
          <w:numId w:val="20"/>
        </w:numPr>
      </w:pPr>
      <w:r w:rsidRPr="00A907E9">
        <w:lastRenderedPageBreak/>
        <w:t>AER’s substitute forecast</w:t>
      </w:r>
    </w:p>
    <w:p w:rsidR="0088341A" w:rsidRDefault="0088341A" w:rsidP="005B580A">
      <w:pPr>
        <w:pStyle w:val="AERbulletlistfirststyle"/>
        <w:numPr>
          <w:ilvl w:val="0"/>
          <w:numId w:val="0"/>
        </w:numPr>
      </w:pPr>
      <w:r>
        <w:t>Our substitute forecast has been developed using our preferred approaches. That is, a revealed costs approach to forecasting controllable opex and a bottom up build of non-controllable opex. We adopted SP AusNet’s proposed base year for controllable opex, applied step changes and trended for network growth and real increases for labour costs.</w:t>
      </w:r>
      <w:r w:rsidR="006A36B3">
        <w:t xml:space="preserve"> </w:t>
      </w:r>
      <w:r>
        <w:t>Our reasons for using this method</w:t>
      </w:r>
      <w:r w:rsidR="006A36B3">
        <w:t xml:space="preserve"> for controllable opex</w:t>
      </w:r>
      <w:r>
        <w:t xml:space="preserve"> were discussed in our assessment approach (section </w:t>
      </w:r>
      <w:r>
        <w:fldChar w:fldCharType="begin"/>
      </w:r>
      <w:r>
        <w:instrText xml:space="preserve"> REF _Ref363758971 \r \h </w:instrText>
      </w:r>
      <w:r>
        <w:fldChar w:fldCharType="separate"/>
      </w:r>
      <w:r w:rsidR="004F35AA">
        <w:t>3.3</w:t>
      </w:r>
      <w:r>
        <w:fldChar w:fldCharType="end"/>
      </w:r>
      <w:r>
        <w:t>)</w:t>
      </w:r>
      <w:r w:rsidR="006A36B3">
        <w:t>. Our adjustments to the non-controllable opex forecast are set out later in this section.</w:t>
      </w:r>
      <w:r>
        <w:t xml:space="preserve"> </w:t>
      </w:r>
      <w:r>
        <w:fldChar w:fldCharType="begin"/>
      </w:r>
      <w:r>
        <w:instrText xml:space="preserve"> REF _Ref363759049 \h </w:instrText>
      </w:r>
      <w:r>
        <w:fldChar w:fldCharType="separate"/>
      </w:r>
      <w:r w:rsidR="004F35AA" w:rsidRPr="000C301C">
        <w:t xml:space="preserve">Table </w:t>
      </w:r>
      <w:r w:rsidR="004F35AA">
        <w:rPr>
          <w:noProof/>
        </w:rPr>
        <w:t>3</w:t>
      </w:r>
      <w:r w:rsidR="004F35AA">
        <w:t>.</w:t>
      </w:r>
      <w:r w:rsidR="004F35AA">
        <w:rPr>
          <w:noProof/>
        </w:rPr>
        <w:t>5</w:t>
      </w:r>
      <w:r>
        <w:fldChar w:fldCharType="end"/>
      </w:r>
      <w:r>
        <w:t xml:space="preserve"> compares our draft decision with SP AusNet's proposal.</w:t>
      </w:r>
    </w:p>
    <w:p w:rsidR="0088341A" w:rsidRDefault="0088341A" w:rsidP="0088341A">
      <w:pPr>
        <w:pStyle w:val="Caption"/>
        <w:keepLines/>
      </w:pPr>
      <w:bookmarkStart w:id="199" w:name="_Ref363759049"/>
      <w:r w:rsidRPr="000C301C">
        <w:t xml:space="preserve">Table </w:t>
      </w:r>
      <w:fldSimple w:instr=" STYLEREF 1 \s ">
        <w:r w:rsidR="004F35AA">
          <w:rPr>
            <w:noProof/>
          </w:rPr>
          <w:t>3</w:t>
        </w:r>
      </w:fldSimple>
      <w:r w:rsidR="00C56A87">
        <w:t>.</w:t>
      </w:r>
      <w:fldSimple w:instr=" SEQ Table \* ARABIC \s 1 ">
        <w:r w:rsidR="004F35AA">
          <w:rPr>
            <w:noProof/>
          </w:rPr>
          <w:t>5</w:t>
        </w:r>
      </w:fldSimple>
      <w:bookmarkEnd w:id="199"/>
      <w:r w:rsidRPr="00DF4B8E">
        <w:tab/>
        <w:t>AER's draft decision and SP AusNet's proposal, total opex ($ million, 2013–14)</w:t>
      </w:r>
    </w:p>
    <w:tbl>
      <w:tblPr>
        <w:tblW w:w="9040" w:type="dxa"/>
        <w:tblBorders>
          <w:bottom w:val="single" w:sz="4" w:space="0" w:color="365F91"/>
        </w:tblBorders>
        <w:tblLook w:val="04A0" w:firstRow="1" w:lastRow="0" w:firstColumn="1" w:lastColumn="0" w:noHBand="0" w:noVBand="1"/>
      </w:tblPr>
      <w:tblGrid>
        <w:gridCol w:w="3976"/>
        <w:gridCol w:w="2016"/>
        <w:gridCol w:w="1016"/>
        <w:gridCol w:w="1016"/>
        <w:gridCol w:w="1016"/>
      </w:tblGrid>
      <w:tr w:rsidR="0088341A" w:rsidRPr="00520C96" w:rsidTr="00501137">
        <w:trPr>
          <w:trHeight w:val="255"/>
        </w:trPr>
        <w:tc>
          <w:tcPr>
            <w:tcW w:w="3976" w:type="dxa"/>
            <w:shd w:val="clear" w:color="auto" w:fill="365F91"/>
            <w:noWrap/>
            <w:vAlign w:val="center"/>
            <w:hideMark/>
          </w:tcPr>
          <w:p w:rsidR="0088341A" w:rsidRPr="00520C96" w:rsidRDefault="0088341A" w:rsidP="00501137">
            <w:pPr>
              <w:pStyle w:val="AERtabletextleft"/>
              <w:keepNext/>
              <w:keepLines/>
              <w:rPr>
                <w:b/>
                <w:color w:val="FFFFFF"/>
                <w:lang w:eastAsia="en-AU"/>
              </w:rPr>
            </w:pPr>
            <w:r w:rsidRPr="00520C96">
              <w:rPr>
                <w:b/>
                <w:color w:val="FFFFFF"/>
                <w:lang w:eastAsia="en-AU"/>
              </w:rPr>
              <w:t> </w:t>
            </w:r>
          </w:p>
        </w:tc>
        <w:tc>
          <w:tcPr>
            <w:tcW w:w="2016" w:type="dxa"/>
            <w:shd w:val="clear" w:color="auto" w:fill="365F91"/>
            <w:noWrap/>
            <w:vAlign w:val="center"/>
            <w:hideMark/>
          </w:tcPr>
          <w:p w:rsidR="0088341A" w:rsidRPr="00520C96" w:rsidRDefault="0088341A" w:rsidP="00501137">
            <w:pPr>
              <w:pStyle w:val="AERtabletextright"/>
              <w:keepNext/>
              <w:keepLines/>
              <w:rPr>
                <w:b/>
                <w:color w:val="FFFFFF"/>
                <w:lang w:eastAsia="en-AU"/>
              </w:rPr>
            </w:pPr>
            <w:r w:rsidRPr="00520C96">
              <w:rPr>
                <w:b/>
                <w:color w:val="FFFFFF"/>
                <w:lang w:eastAsia="en-AU"/>
              </w:rPr>
              <w:t xml:space="preserve">SP AusNet </w:t>
            </w:r>
          </w:p>
        </w:tc>
        <w:tc>
          <w:tcPr>
            <w:tcW w:w="1016" w:type="dxa"/>
            <w:shd w:val="clear" w:color="auto" w:fill="365F91"/>
            <w:noWrap/>
            <w:vAlign w:val="center"/>
            <w:hideMark/>
          </w:tcPr>
          <w:p w:rsidR="0088341A" w:rsidRPr="00520C96" w:rsidRDefault="0088341A" w:rsidP="00501137">
            <w:pPr>
              <w:pStyle w:val="AERtabletextright"/>
              <w:keepNext/>
              <w:keepLines/>
              <w:rPr>
                <w:b/>
                <w:color w:val="FFFFFF"/>
                <w:lang w:eastAsia="en-AU"/>
              </w:rPr>
            </w:pPr>
            <w:r w:rsidRPr="00520C96">
              <w:rPr>
                <w:b/>
                <w:color w:val="FFFFFF"/>
                <w:lang w:eastAsia="en-AU"/>
              </w:rPr>
              <w:t xml:space="preserve">AER </w:t>
            </w:r>
          </w:p>
        </w:tc>
        <w:tc>
          <w:tcPr>
            <w:tcW w:w="1016" w:type="dxa"/>
            <w:shd w:val="clear" w:color="auto" w:fill="365F91"/>
            <w:noWrap/>
            <w:vAlign w:val="center"/>
            <w:hideMark/>
          </w:tcPr>
          <w:p w:rsidR="0088341A" w:rsidRPr="00520C96" w:rsidRDefault="0088341A" w:rsidP="00501137">
            <w:pPr>
              <w:pStyle w:val="AERtabletextright"/>
              <w:keepNext/>
              <w:keepLines/>
              <w:rPr>
                <w:b/>
                <w:color w:val="FFFFFF"/>
                <w:lang w:eastAsia="en-AU"/>
              </w:rPr>
            </w:pPr>
            <w:r w:rsidRPr="00520C96">
              <w:rPr>
                <w:b/>
                <w:color w:val="FFFFFF"/>
                <w:lang w:eastAsia="en-AU"/>
              </w:rPr>
              <w:t>Difference</w:t>
            </w:r>
          </w:p>
        </w:tc>
        <w:tc>
          <w:tcPr>
            <w:tcW w:w="1016" w:type="dxa"/>
            <w:shd w:val="clear" w:color="auto" w:fill="365F91"/>
            <w:noWrap/>
            <w:vAlign w:val="center"/>
            <w:hideMark/>
          </w:tcPr>
          <w:p w:rsidR="0088341A" w:rsidRPr="00520C96" w:rsidRDefault="0088341A" w:rsidP="00501137">
            <w:pPr>
              <w:pStyle w:val="AERtabletextright"/>
              <w:keepNext/>
              <w:keepLines/>
              <w:rPr>
                <w:b/>
                <w:color w:val="FFFFFF"/>
                <w:lang w:eastAsia="en-AU"/>
              </w:rPr>
            </w:pPr>
            <w:r w:rsidRPr="00520C96">
              <w:rPr>
                <w:b/>
                <w:color w:val="FFFFFF"/>
                <w:lang w:eastAsia="en-AU"/>
              </w:rPr>
              <w:t>Per cent</w:t>
            </w:r>
          </w:p>
        </w:tc>
      </w:tr>
      <w:tr w:rsidR="0088341A" w:rsidRPr="00B43D75" w:rsidTr="00501137">
        <w:trPr>
          <w:trHeight w:val="255"/>
        </w:trPr>
        <w:tc>
          <w:tcPr>
            <w:tcW w:w="3976" w:type="dxa"/>
            <w:shd w:val="clear" w:color="auto" w:fill="auto"/>
            <w:noWrap/>
            <w:vAlign w:val="center"/>
            <w:hideMark/>
          </w:tcPr>
          <w:p w:rsidR="0088341A" w:rsidRPr="00B43D75" w:rsidRDefault="0088341A" w:rsidP="00501137">
            <w:pPr>
              <w:pStyle w:val="AERtabletextleft"/>
              <w:keepNext/>
              <w:keepLines/>
              <w:rPr>
                <w:rStyle w:val="AERtextbolditalics"/>
              </w:rPr>
            </w:pPr>
            <w:r w:rsidRPr="00B43D75">
              <w:rPr>
                <w:rStyle w:val="AERtextbolditalics"/>
              </w:rPr>
              <w:t>Controllable</w:t>
            </w:r>
          </w:p>
        </w:tc>
        <w:tc>
          <w:tcPr>
            <w:tcW w:w="2016" w:type="dxa"/>
            <w:shd w:val="clear" w:color="auto" w:fill="auto"/>
            <w:noWrap/>
          </w:tcPr>
          <w:p w:rsidR="0088341A" w:rsidRPr="00B43D75" w:rsidRDefault="0088341A" w:rsidP="00501137">
            <w:pPr>
              <w:pStyle w:val="AERtabletextright"/>
              <w:keepNext/>
              <w:keepLines/>
              <w:rPr>
                <w:rStyle w:val="AERtextbolditalics"/>
              </w:rPr>
            </w:pPr>
          </w:p>
        </w:tc>
        <w:tc>
          <w:tcPr>
            <w:tcW w:w="1016" w:type="dxa"/>
            <w:shd w:val="clear" w:color="auto" w:fill="auto"/>
            <w:noWrap/>
          </w:tcPr>
          <w:p w:rsidR="0088341A" w:rsidRPr="00B43D75" w:rsidRDefault="0088341A" w:rsidP="00501137">
            <w:pPr>
              <w:pStyle w:val="AERtabletextright"/>
              <w:keepNext/>
              <w:keepLines/>
              <w:rPr>
                <w:rStyle w:val="AERtextbolditalics"/>
              </w:rPr>
            </w:pPr>
          </w:p>
        </w:tc>
        <w:tc>
          <w:tcPr>
            <w:tcW w:w="1016" w:type="dxa"/>
            <w:shd w:val="clear" w:color="auto" w:fill="auto"/>
            <w:noWrap/>
          </w:tcPr>
          <w:p w:rsidR="0088341A" w:rsidRPr="00B43D75" w:rsidRDefault="0088341A" w:rsidP="00501137">
            <w:pPr>
              <w:pStyle w:val="AERtabletextright"/>
              <w:keepNext/>
              <w:keepLines/>
              <w:rPr>
                <w:rStyle w:val="AERtextbolditalics"/>
              </w:rPr>
            </w:pPr>
          </w:p>
        </w:tc>
        <w:tc>
          <w:tcPr>
            <w:tcW w:w="1016" w:type="dxa"/>
            <w:shd w:val="clear" w:color="auto" w:fill="auto"/>
            <w:noWrap/>
          </w:tcPr>
          <w:p w:rsidR="0088341A" w:rsidRPr="00B43D75" w:rsidRDefault="0088341A" w:rsidP="00501137">
            <w:pPr>
              <w:pStyle w:val="AERtabletextright"/>
              <w:keepNext/>
              <w:keepLines/>
              <w:rPr>
                <w:rStyle w:val="AERtextbolditalics"/>
              </w:rPr>
            </w:pPr>
          </w:p>
        </w:tc>
      </w:tr>
      <w:tr w:rsidR="0088341A" w:rsidRPr="00520C96" w:rsidTr="00501137">
        <w:trPr>
          <w:trHeight w:val="255"/>
        </w:trPr>
        <w:tc>
          <w:tcPr>
            <w:tcW w:w="3976" w:type="dxa"/>
            <w:shd w:val="clear" w:color="auto" w:fill="DBE5F1"/>
            <w:noWrap/>
            <w:vAlign w:val="center"/>
            <w:hideMark/>
          </w:tcPr>
          <w:p w:rsidR="0088341A" w:rsidRPr="00C01371" w:rsidRDefault="0088341A" w:rsidP="00501137">
            <w:pPr>
              <w:pStyle w:val="AERtabletextleft"/>
              <w:keepNext/>
              <w:keepLines/>
              <w:rPr>
                <w:lang w:eastAsia="en-AU"/>
              </w:rPr>
            </w:pPr>
            <w:r w:rsidRPr="00C01371">
              <w:rPr>
                <w:lang w:eastAsia="en-AU"/>
              </w:rPr>
              <w:t xml:space="preserve">Base year </w:t>
            </w:r>
          </w:p>
        </w:tc>
        <w:tc>
          <w:tcPr>
            <w:tcW w:w="2016" w:type="dxa"/>
            <w:shd w:val="clear" w:color="auto" w:fill="DBE5F1"/>
            <w:noWrap/>
          </w:tcPr>
          <w:p w:rsidR="0088341A" w:rsidRPr="00C01371" w:rsidRDefault="0088341A" w:rsidP="00501137">
            <w:pPr>
              <w:pStyle w:val="AERtabletextright"/>
              <w:keepNext/>
              <w:keepLines/>
              <w:rPr>
                <w:lang w:eastAsia="en-AU"/>
              </w:rPr>
            </w:pPr>
            <w:r w:rsidRPr="00F8299D">
              <w:t>189.2</w:t>
            </w:r>
          </w:p>
        </w:tc>
        <w:tc>
          <w:tcPr>
            <w:tcW w:w="1016" w:type="dxa"/>
            <w:shd w:val="clear" w:color="auto" w:fill="DBE5F1"/>
            <w:noWrap/>
          </w:tcPr>
          <w:p w:rsidR="0088341A" w:rsidRPr="00C01371" w:rsidRDefault="0088341A" w:rsidP="00501137">
            <w:pPr>
              <w:pStyle w:val="AERtabletextright"/>
              <w:keepNext/>
              <w:keepLines/>
              <w:rPr>
                <w:lang w:eastAsia="en-AU"/>
              </w:rPr>
            </w:pPr>
            <w:r w:rsidRPr="00F8299D">
              <w:t>187.6</w:t>
            </w:r>
          </w:p>
        </w:tc>
        <w:tc>
          <w:tcPr>
            <w:tcW w:w="1016" w:type="dxa"/>
            <w:shd w:val="clear" w:color="auto" w:fill="DBE5F1"/>
            <w:noWrap/>
          </w:tcPr>
          <w:p w:rsidR="0088341A" w:rsidRPr="00C01371" w:rsidRDefault="0088341A" w:rsidP="00501137">
            <w:pPr>
              <w:pStyle w:val="AERtabletextright"/>
              <w:keepNext/>
              <w:keepLines/>
              <w:rPr>
                <w:lang w:eastAsia="en-AU"/>
              </w:rPr>
            </w:pPr>
            <w:r w:rsidRPr="00F8299D">
              <w:t>-1.6</w:t>
            </w:r>
          </w:p>
        </w:tc>
        <w:tc>
          <w:tcPr>
            <w:tcW w:w="1016" w:type="dxa"/>
            <w:shd w:val="clear" w:color="auto" w:fill="DBE5F1"/>
            <w:noWrap/>
          </w:tcPr>
          <w:p w:rsidR="0088341A" w:rsidRPr="00C01371" w:rsidRDefault="0088341A" w:rsidP="00501137">
            <w:pPr>
              <w:pStyle w:val="AERtabletextright"/>
              <w:keepNext/>
              <w:keepLines/>
              <w:rPr>
                <w:lang w:eastAsia="en-AU"/>
              </w:rPr>
            </w:pPr>
            <w:r w:rsidRPr="00F8299D">
              <w:t>-1</w:t>
            </w:r>
          </w:p>
        </w:tc>
      </w:tr>
      <w:tr w:rsidR="0088341A" w:rsidRPr="00520C96" w:rsidTr="00501137">
        <w:trPr>
          <w:trHeight w:val="255"/>
        </w:trPr>
        <w:tc>
          <w:tcPr>
            <w:tcW w:w="3976" w:type="dxa"/>
            <w:shd w:val="clear" w:color="auto" w:fill="auto"/>
            <w:noWrap/>
            <w:vAlign w:val="center"/>
            <w:hideMark/>
          </w:tcPr>
          <w:p w:rsidR="0088341A" w:rsidRPr="00C01371" w:rsidRDefault="0088341A" w:rsidP="00501137">
            <w:pPr>
              <w:pStyle w:val="AERtabletextleft"/>
              <w:keepNext/>
              <w:keepLines/>
              <w:rPr>
                <w:lang w:eastAsia="en-AU"/>
              </w:rPr>
            </w:pPr>
            <w:r w:rsidRPr="00C01371">
              <w:rPr>
                <w:lang w:eastAsia="en-AU"/>
              </w:rPr>
              <w:t>Efficiency adjustment</w:t>
            </w:r>
          </w:p>
        </w:tc>
        <w:tc>
          <w:tcPr>
            <w:tcW w:w="2016" w:type="dxa"/>
            <w:shd w:val="clear" w:color="auto" w:fill="auto"/>
            <w:noWrap/>
          </w:tcPr>
          <w:p w:rsidR="0088341A" w:rsidRPr="00C01371" w:rsidRDefault="0088341A" w:rsidP="00501137">
            <w:pPr>
              <w:pStyle w:val="AERtabletextright"/>
              <w:keepNext/>
              <w:keepLines/>
              <w:rPr>
                <w:lang w:eastAsia="en-AU"/>
              </w:rPr>
            </w:pPr>
            <w:r w:rsidRPr="00F8299D">
              <w:t>-0.8</w:t>
            </w:r>
          </w:p>
        </w:tc>
        <w:tc>
          <w:tcPr>
            <w:tcW w:w="1016" w:type="dxa"/>
            <w:shd w:val="clear" w:color="auto" w:fill="auto"/>
            <w:noWrap/>
          </w:tcPr>
          <w:p w:rsidR="0088341A" w:rsidRPr="00C01371" w:rsidRDefault="0088341A" w:rsidP="00501137">
            <w:pPr>
              <w:pStyle w:val="AERtabletextright"/>
              <w:keepNext/>
              <w:keepLines/>
              <w:rPr>
                <w:lang w:eastAsia="en-AU"/>
              </w:rPr>
            </w:pPr>
            <w:r w:rsidRPr="00F8299D">
              <w:t>0.0</w:t>
            </w:r>
          </w:p>
        </w:tc>
        <w:tc>
          <w:tcPr>
            <w:tcW w:w="1016" w:type="dxa"/>
            <w:shd w:val="clear" w:color="auto" w:fill="auto"/>
            <w:noWrap/>
          </w:tcPr>
          <w:p w:rsidR="0088341A" w:rsidRPr="00C01371" w:rsidRDefault="0088341A" w:rsidP="00501137">
            <w:pPr>
              <w:pStyle w:val="AERtabletextright"/>
              <w:keepNext/>
              <w:keepLines/>
              <w:rPr>
                <w:lang w:eastAsia="en-AU"/>
              </w:rPr>
            </w:pPr>
            <w:r w:rsidRPr="00F8299D">
              <w:t>0.8</w:t>
            </w:r>
          </w:p>
        </w:tc>
        <w:tc>
          <w:tcPr>
            <w:tcW w:w="1016" w:type="dxa"/>
            <w:shd w:val="clear" w:color="auto" w:fill="auto"/>
            <w:noWrap/>
          </w:tcPr>
          <w:p w:rsidR="0088341A" w:rsidRPr="00C01371" w:rsidRDefault="0088341A" w:rsidP="00501137">
            <w:pPr>
              <w:pStyle w:val="AERtabletextright"/>
              <w:keepNext/>
              <w:keepLines/>
              <w:rPr>
                <w:lang w:eastAsia="en-AU"/>
              </w:rPr>
            </w:pPr>
            <w:r w:rsidRPr="00F8299D">
              <w:t>-100</w:t>
            </w:r>
          </w:p>
        </w:tc>
      </w:tr>
      <w:tr w:rsidR="0088341A" w:rsidRPr="00520C96" w:rsidTr="00501137">
        <w:trPr>
          <w:trHeight w:val="255"/>
        </w:trPr>
        <w:tc>
          <w:tcPr>
            <w:tcW w:w="3976" w:type="dxa"/>
            <w:shd w:val="clear" w:color="auto" w:fill="DBE5F1"/>
            <w:noWrap/>
            <w:vAlign w:val="center"/>
            <w:hideMark/>
          </w:tcPr>
          <w:p w:rsidR="0088341A" w:rsidRPr="00C01371" w:rsidRDefault="0088341A" w:rsidP="00501137">
            <w:pPr>
              <w:pStyle w:val="AERtabletextleft"/>
              <w:keepNext/>
              <w:keepLines/>
              <w:rPr>
                <w:lang w:eastAsia="en-AU"/>
              </w:rPr>
            </w:pPr>
            <w:r w:rsidRPr="00C01371">
              <w:rPr>
                <w:lang w:eastAsia="en-AU"/>
              </w:rPr>
              <w:t xml:space="preserve">Asset works </w:t>
            </w:r>
          </w:p>
        </w:tc>
        <w:tc>
          <w:tcPr>
            <w:tcW w:w="2016" w:type="dxa"/>
            <w:shd w:val="clear" w:color="auto" w:fill="DBE5F1"/>
            <w:noWrap/>
          </w:tcPr>
          <w:p w:rsidR="0088341A" w:rsidRPr="00C01371" w:rsidRDefault="0088341A" w:rsidP="00501137">
            <w:pPr>
              <w:pStyle w:val="AERtabletextright"/>
              <w:keepNext/>
              <w:keepLines/>
              <w:rPr>
                <w:lang w:eastAsia="en-AU"/>
              </w:rPr>
            </w:pPr>
            <w:r w:rsidRPr="00F8299D">
              <w:t>28.4</w:t>
            </w:r>
          </w:p>
        </w:tc>
        <w:tc>
          <w:tcPr>
            <w:tcW w:w="1016" w:type="dxa"/>
            <w:shd w:val="clear" w:color="auto" w:fill="DBE5F1"/>
            <w:noWrap/>
          </w:tcPr>
          <w:p w:rsidR="0088341A" w:rsidRPr="00C01371" w:rsidRDefault="0088341A" w:rsidP="00501137">
            <w:pPr>
              <w:pStyle w:val="AERtabletextright"/>
              <w:keepNext/>
              <w:keepLines/>
              <w:rPr>
                <w:lang w:eastAsia="en-AU"/>
              </w:rPr>
            </w:pPr>
            <w:r w:rsidRPr="00F8299D">
              <w:t>16.1</w:t>
            </w:r>
          </w:p>
        </w:tc>
        <w:tc>
          <w:tcPr>
            <w:tcW w:w="1016" w:type="dxa"/>
            <w:shd w:val="clear" w:color="auto" w:fill="DBE5F1"/>
            <w:noWrap/>
          </w:tcPr>
          <w:p w:rsidR="0088341A" w:rsidRPr="00C01371" w:rsidRDefault="0088341A" w:rsidP="00501137">
            <w:pPr>
              <w:pStyle w:val="AERtabletextright"/>
              <w:keepNext/>
              <w:keepLines/>
              <w:rPr>
                <w:lang w:eastAsia="en-AU"/>
              </w:rPr>
            </w:pPr>
            <w:r w:rsidRPr="00F8299D">
              <w:t>-12.3</w:t>
            </w:r>
          </w:p>
        </w:tc>
        <w:tc>
          <w:tcPr>
            <w:tcW w:w="1016" w:type="dxa"/>
            <w:shd w:val="clear" w:color="auto" w:fill="DBE5F1"/>
            <w:noWrap/>
          </w:tcPr>
          <w:p w:rsidR="0088341A" w:rsidRPr="00C01371" w:rsidRDefault="0088341A" w:rsidP="00501137">
            <w:pPr>
              <w:pStyle w:val="AERtabletextright"/>
              <w:keepNext/>
              <w:keepLines/>
              <w:rPr>
                <w:lang w:eastAsia="en-AU"/>
              </w:rPr>
            </w:pPr>
            <w:r w:rsidRPr="00F8299D">
              <w:t>-43</w:t>
            </w:r>
          </w:p>
        </w:tc>
      </w:tr>
      <w:tr w:rsidR="0088341A" w:rsidRPr="00520C96" w:rsidTr="00501137">
        <w:trPr>
          <w:trHeight w:val="255"/>
        </w:trPr>
        <w:tc>
          <w:tcPr>
            <w:tcW w:w="3976" w:type="dxa"/>
            <w:shd w:val="clear" w:color="auto" w:fill="auto"/>
            <w:noWrap/>
            <w:vAlign w:val="center"/>
            <w:hideMark/>
          </w:tcPr>
          <w:p w:rsidR="0088341A" w:rsidRPr="00C01371" w:rsidRDefault="0088341A" w:rsidP="00501137">
            <w:pPr>
              <w:pStyle w:val="AERtabletextleft"/>
              <w:keepNext/>
              <w:keepLines/>
              <w:rPr>
                <w:lang w:eastAsia="en-AU"/>
              </w:rPr>
            </w:pPr>
            <w:r w:rsidRPr="00C01371">
              <w:rPr>
                <w:lang w:eastAsia="en-AU"/>
              </w:rPr>
              <w:t xml:space="preserve">Insurance </w:t>
            </w:r>
          </w:p>
        </w:tc>
        <w:tc>
          <w:tcPr>
            <w:tcW w:w="2016" w:type="dxa"/>
            <w:shd w:val="clear" w:color="auto" w:fill="auto"/>
            <w:noWrap/>
          </w:tcPr>
          <w:p w:rsidR="0088341A" w:rsidRPr="00C01371" w:rsidRDefault="0088341A" w:rsidP="00501137">
            <w:pPr>
              <w:pStyle w:val="AERtabletextright"/>
              <w:keepNext/>
              <w:keepLines/>
              <w:rPr>
                <w:lang w:eastAsia="en-AU"/>
              </w:rPr>
            </w:pPr>
            <w:r w:rsidRPr="00F8299D">
              <w:t>19.1</w:t>
            </w:r>
          </w:p>
        </w:tc>
        <w:tc>
          <w:tcPr>
            <w:tcW w:w="1016" w:type="dxa"/>
            <w:shd w:val="clear" w:color="auto" w:fill="auto"/>
            <w:noWrap/>
          </w:tcPr>
          <w:p w:rsidR="0088341A" w:rsidRPr="00C01371" w:rsidRDefault="0088341A" w:rsidP="00501137">
            <w:pPr>
              <w:pStyle w:val="AERtabletextright"/>
              <w:keepNext/>
              <w:keepLines/>
              <w:rPr>
                <w:lang w:eastAsia="en-AU"/>
              </w:rPr>
            </w:pPr>
            <w:r w:rsidRPr="00F8299D">
              <w:t>11.0</w:t>
            </w:r>
          </w:p>
        </w:tc>
        <w:tc>
          <w:tcPr>
            <w:tcW w:w="1016" w:type="dxa"/>
            <w:shd w:val="clear" w:color="auto" w:fill="auto"/>
            <w:noWrap/>
          </w:tcPr>
          <w:p w:rsidR="0088341A" w:rsidRPr="00C01371" w:rsidRDefault="0088341A" w:rsidP="00501137">
            <w:pPr>
              <w:pStyle w:val="AERtabletextright"/>
              <w:keepNext/>
              <w:keepLines/>
              <w:rPr>
                <w:lang w:eastAsia="en-AU"/>
              </w:rPr>
            </w:pPr>
            <w:r w:rsidRPr="00F8299D">
              <w:t>-8.0</w:t>
            </w:r>
          </w:p>
        </w:tc>
        <w:tc>
          <w:tcPr>
            <w:tcW w:w="1016" w:type="dxa"/>
            <w:shd w:val="clear" w:color="auto" w:fill="auto"/>
            <w:noWrap/>
          </w:tcPr>
          <w:p w:rsidR="0088341A" w:rsidRPr="00C01371" w:rsidRDefault="0088341A" w:rsidP="00501137">
            <w:pPr>
              <w:pStyle w:val="AERtabletextright"/>
              <w:keepNext/>
              <w:keepLines/>
              <w:rPr>
                <w:lang w:eastAsia="en-AU"/>
              </w:rPr>
            </w:pPr>
            <w:r w:rsidRPr="00F8299D">
              <w:t>-42</w:t>
            </w:r>
          </w:p>
        </w:tc>
      </w:tr>
      <w:tr w:rsidR="0088341A" w:rsidRPr="00257157" w:rsidTr="00501137">
        <w:trPr>
          <w:trHeight w:val="255"/>
        </w:trPr>
        <w:tc>
          <w:tcPr>
            <w:tcW w:w="3976" w:type="dxa"/>
            <w:shd w:val="clear" w:color="auto" w:fill="DBE5F1"/>
            <w:noWrap/>
            <w:vAlign w:val="center"/>
            <w:hideMark/>
          </w:tcPr>
          <w:p w:rsidR="0088341A" w:rsidRPr="00257157" w:rsidRDefault="0088341A" w:rsidP="00501137">
            <w:pPr>
              <w:pStyle w:val="AERtabletextleft"/>
              <w:keepNext/>
              <w:keepLines/>
              <w:rPr>
                <w:rStyle w:val="AERtextbold"/>
              </w:rPr>
            </w:pPr>
            <w:r w:rsidRPr="00257157">
              <w:rPr>
                <w:rStyle w:val="AERtextbold"/>
              </w:rPr>
              <w:t>Subtotal: controllable opex</w:t>
            </w:r>
          </w:p>
        </w:tc>
        <w:tc>
          <w:tcPr>
            <w:tcW w:w="2016" w:type="dxa"/>
            <w:shd w:val="clear" w:color="auto" w:fill="DBE5F1"/>
            <w:noWrap/>
          </w:tcPr>
          <w:p w:rsidR="0088341A" w:rsidRPr="00257157" w:rsidRDefault="0088341A" w:rsidP="00501137">
            <w:pPr>
              <w:pStyle w:val="AERtabletextright"/>
              <w:keepNext/>
              <w:keepLines/>
              <w:rPr>
                <w:rStyle w:val="AERtextbold"/>
              </w:rPr>
            </w:pPr>
            <w:r w:rsidRPr="00B40A06">
              <w:rPr>
                <w:rStyle w:val="AERtextbold"/>
              </w:rPr>
              <w:t>235.9</w:t>
            </w:r>
          </w:p>
        </w:tc>
        <w:tc>
          <w:tcPr>
            <w:tcW w:w="1016" w:type="dxa"/>
            <w:shd w:val="clear" w:color="auto" w:fill="DBE5F1"/>
            <w:noWrap/>
          </w:tcPr>
          <w:p w:rsidR="0088341A" w:rsidRPr="00257157" w:rsidRDefault="0088341A" w:rsidP="00501137">
            <w:pPr>
              <w:pStyle w:val="AERtabletextright"/>
              <w:keepNext/>
              <w:keepLines/>
              <w:rPr>
                <w:rStyle w:val="AERtextbold"/>
              </w:rPr>
            </w:pPr>
            <w:r w:rsidRPr="00B40A06">
              <w:rPr>
                <w:rStyle w:val="AERtextbold"/>
              </w:rPr>
              <w:t>214.7</w:t>
            </w:r>
          </w:p>
        </w:tc>
        <w:tc>
          <w:tcPr>
            <w:tcW w:w="1016" w:type="dxa"/>
            <w:shd w:val="clear" w:color="auto" w:fill="DBE5F1"/>
            <w:noWrap/>
          </w:tcPr>
          <w:p w:rsidR="0088341A" w:rsidRPr="00257157" w:rsidRDefault="0088341A" w:rsidP="00501137">
            <w:pPr>
              <w:pStyle w:val="AERtabletextright"/>
              <w:keepNext/>
              <w:keepLines/>
              <w:rPr>
                <w:rStyle w:val="AERtextbold"/>
              </w:rPr>
            </w:pPr>
            <w:r w:rsidRPr="00B40A06">
              <w:rPr>
                <w:rStyle w:val="AERtextbold"/>
              </w:rPr>
              <w:t>-21.2</w:t>
            </w:r>
          </w:p>
        </w:tc>
        <w:tc>
          <w:tcPr>
            <w:tcW w:w="1016" w:type="dxa"/>
            <w:shd w:val="clear" w:color="auto" w:fill="DBE5F1"/>
            <w:noWrap/>
          </w:tcPr>
          <w:p w:rsidR="0088341A" w:rsidRPr="00257157" w:rsidRDefault="0088341A" w:rsidP="00501137">
            <w:pPr>
              <w:pStyle w:val="AERtabletextright"/>
              <w:keepNext/>
              <w:keepLines/>
              <w:rPr>
                <w:rStyle w:val="AERtextbold"/>
              </w:rPr>
            </w:pPr>
            <w:r w:rsidRPr="00B40A06">
              <w:rPr>
                <w:rStyle w:val="AERtextbold"/>
              </w:rPr>
              <w:t>-9</w:t>
            </w:r>
          </w:p>
        </w:tc>
      </w:tr>
      <w:tr w:rsidR="0088341A" w:rsidRPr="00520C96" w:rsidTr="00501137">
        <w:trPr>
          <w:trHeight w:val="255"/>
        </w:trPr>
        <w:tc>
          <w:tcPr>
            <w:tcW w:w="3976" w:type="dxa"/>
            <w:shd w:val="clear" w:color="auto" w:fill="auto"/>
            <w:noWrap/>
            <w:vAlign w:val="center"/>
            <w:hideMark/>
          </w:tcPr>
          <w:p w:rsidR="0088341A" w:rsidRPr="00C01371" w:rsidRDefault="0088341A" w:rsidP="00501137">
            <w:pPr>
              <w:pStyle w:val="AERtabletextleft"/>
              <w:keepNext/>
              <w:keepLines/>
              <w:rPr>
                <w:lang w:eastAsia="en-AU"/>
              </w:rPr>
            </w:pPr>
            <w:r w:rsidRPr="00C01371">
              <w:rPr>
                <w:lang w:eastAsia="en-AU"/>
              </w:rPr>
              <w:t>Step changes</w:t>
            </w:r>
          </w:p>
        </w:tc>
        <w:tc>
          <w:tcPr>
            <w:tcW w:w="2016" w:type="dxa"/>
            <w:shd w:val="clear" w:color="auto" w:fill="auto"/>
            <w:noWrap/>
          </w:tcPr>
          <w:p w:rsidR="0088341A" w:rsidRPr="00C01371" w:rsidRDefault="0088341A" w:rsidP="00501137">
            <w:pPr>
              <w:pStyle w:val="AERtabletextright"/>
              <w:keepNext/>
              <w:keepLines/>
              <w:rPr>
                <w:lang w:eastAsia="en-AU"/>
              </w:rPr>
            </w:pPr>
            <w:r w:rsidRPr="00F8299D">
              <w:t>31.2</w:t>
            </w:r>
          </w:p>
        </w:tc>
        <w:tc>
          <w:tcPr>
            <w:tcW w:w="1016" w:type="dxa"/>
            <w:shd w:val="clear" w:color="auto" w:fill="auto"/>
            <w:noWrap/>
          </w:tcPr>
          <w:p w:rsidR="0088341A" w:rsidRPr="00C01371" w:rsidRDefault="0088341A" w:rsidP="00501137">
            <w:pPr>
              <w:pStyle w:val="AERtabletextright"/>
              <w:keepNext/>
              <w:keepLines/>
              <w:rPr>
                <w:lang w:eastAsia="en-AU"/>
              </w:rPr>
            </w:pPr>
            <w:r w:rsidRPr="00F8299D">
              <w:t>2.9</w:t>
            </w:r>
          </w:p>
        </w:tc>
        <w:tc>
          <w:tcPr>
            <w:tcW w:w="1016" w:type="dxa"/>
            <w:shd w:val="clear" w:color="auto" w:fill="auto"/>
            <w:noWrap/>
          </w:tcPr>
          <w:p w:rsidR="0088341A" w:rsidRPr="00C01371" w:rsidRDefault="0088341A" w:rsidP="00501137">
            <w:pPr>
              <w:pStyle w:val="AERtabletextright"/>
              <w:keepNext/>
              <w:keepLines/>
              <w:rPr>
                <w:lang w:eastAsia="en-AU"/>
              </w:rPr>
            </w:pPr>
            <w:r w:rsidRPr="00F8299D">
              <w:t>-28.3</w:t>
            </w:r>
          </w:p>
        </w:tc>
        <w:tc>
          <w:tcPr>
            <w:tcW w:w="1016" w:type="dxa"/>
            <w:shd w:val="clear" w:color="auto" w:fill="auto"/>
            <w:noWrap/>
          </w:tcPr>
          <w:p w:rsidR="0088341A" w:rsidRPr="00C01371" w:rsidRDefault="0088341A" w:rsidP="00501137">
            <w:pPr>
              <w:pStyle w:val="AERtabletextright"/>
              <w:keepNext/>
              <w:keepLines/>
              <w:rPr>
                <w:lang w:eastAsia="en-AU"/>
              </w:rPr>
            </w:pPr>
            <w:r w:rsidRPr="00F8299D">
              <w:t>-91</w:t>
            </w:r>
          </w:p>
        </w:tc>
      </w:tr>
      <w:tr w:rsidR="0088341A" w:rsidRPr="00520C96" w:rsidTr="00501137">
        <w:trPr>
          <w:trHeight w:val="255"/>
        </w:trPr>
        <w:tc>
          <w:tcPr>
            <w:tcW w:w="3976" w:type="dxa"/>
            <w:shd w:val="clear" w:color="auto" w:fill="DBE5F1"/>
            <w:noWrap/>
            <w:vAlign w:val="center"/>
            <w:hideMark/>
          </w:tcPr>
          <w:p w:rsidR="0088341A" w:rsidRPr="00C01371" w:rsidRDefault="0088341A" w:rsidP="00501137">
            <w:pPr>
              <w:pStyle w:val="AERtabletextleft"/>
              <w:keepNext/>
              <w:keepLines/>
              <w:rPr>
                <w:lang w:eastAsia="en-AU"/>
              </w:rPr>
            </w:pPr>
            <w:r w:rsidRPr="00C01371">
              <w:rPr>
                <w:lang w:eastAsia="en-AU"/>
              </w:rPr>
              <w:t>Network growth</w:t>
            </w:r>
          </w:p>
        </w:tc>
        <w:tc>
          <w:tcPr>
            <w:tcW w:w="2016" w:type="dxa"/>
            <w:shd w:val="clear" w:color="auto" w:fill="DBE5F1"/>
            <w:noWrap/>
          </w:tcPr>
          <w:p w:rsidR="0088341A" w:rsidRPr="00C01371" w:rsidRDefault="0088341A" w:rsidP="00501137">
            <w:pPr>
              <w:pStyle w:val="AERtabletextright"/>
              <w:keepNext/>
              <w:keepLines/>
              <w:rPr>
                <w:lang w:eastAsia="en-AU"/>
              </w:rPr>
            </w:pPr>
            <w:r w:rsidRPr="00F8299D">
              <w:t>5.2</w:t>
            </w:r>
          </w:p>
        </w:tc>
        <w:tc>
          <w:tcPr>
            <w:tcW w:w="1016" w:type="dxa"/>
            <w:shd w:val="clear" w:color="auto" w:fill="DBE5F1"/>
            <w:noWrap/>
          </w:tcPr>
          <w:p w:rsidR="0088341A" w:rsidRPr="00C01371" w:rsidRDefault="0088341A" w:rsidP="00501137">
            <w:pPr>
              <w:pStyle w:val="AERtabletextright"/>
              <w:keepNext/>
              <w:keepLines/>
              <w:rPr>
                <w:lang w:eastAsia="en-AU"/>
              </w:rPr>
            </w:pPr>
            <w:r w:rsidRPr="00F8299D">
              <w:t>3.4</w:t>
            </w:r>
          </w:p>
        </w:tc>
        <w:tc>
          <w:tcPr>
            <w:tcW w:w="1016" w:type="dxa"/>
            <w:shd w:val="clear" w:color="auto" w:fill="DBE5F1"/>
            <w:noWrap/>
          </w:tcPr>
          <w:p w:rsidR="0088341A" w:rsidRPr="00C01371" w:rsidRDefault="0088341A" w:rsidP="00501137">
            <w:pPr>
              <w:pStyle w:val="AERtabletextright"/>
              <w:keepNext/>
              <w:keepLines/>
              <w:rPr>
                <w:lang w:eastAsia="en-AU"/>
              </w:rPr>
            </w:pPr>
            <w:r w:rsidRPr="00F8299D">
              <w:t>-1.8</w:t>
            </w:r>
          </w:p>
        </w:tc>
        <w:tc>
          <w:tcPr>
            <w:tcW w:w="1016" w:type="dxa"/>
            <w:shd w:val="clear" w:color="auto" w:fill="DBE5F1"/>
            <w:noWrap/>
          </w:tcPr>
          <w:p w:rsidR="0088341A" w:rsidRPr="00C01371" w:rsidRDefault="0088341A" w:rsidP="00501137">
            <w:pPr>
              <w:pStyle w:val="AERtabletextright"/>
              <w:keepNext/>
              <w:keepLines/>
              <w:rPr>
                <w:lang w:eastAsia="en-AU"/>
              </w:rPr>
            </w:pPr>
            <w:r w:rsidRPr="00F8299D">
              <w:t>-35</w:t>
            </w:r>
          </w:p>
        </w:tc>
      </w:tr>
      <w:tr w:rsidR="0088341A" w:rsidRPr="00520C96" w:rsidTr="00501137">
        <w:trPr>
          <w:trHeight w:val="255"/>
        </w:trPr>
        <w:tc>
          <w:tcPr>
            <w:tcW w:w="3976" w:type="dxa"/>
            <w:shd w:val="clear" w:color="auto" w:fill="auto"/>
            <w:noWrap/>
            <w:vAlign w:val="center"/>
            <w:hideMark/>
          </w:tcPr>
          <w:p w:rsidR="0088341A" w:rsidRPr="00C01371" w:rsidRDefault="0088341A" w:rsidP="00501137">
            <w:pPr>
              <w:pStyle w:val="AERtabletextleft"/>
              <w:keepNext/>
              <w:keepLines/>
              <w:rPr>
                <w:lang w:eastAsia="en-AU"/>
              </w:rPr>
            </w:pPr>
            <w:r w:rsidRPr="00C01371">
              <w:rPr>
                <w:lang w:eastAsia="en-AU"/>
              </w:rPr>
              <w:t>Labour escalation</w:t>
            </w:r>
          </w:p>
        </w:tc>
        <w:tc>
          <w:tcPr>
            <w:tcW w:w="2016" w:type="dxa"/>
            <w:shd w:val="clear" w:color="auto" w:fill="auto"/>
            <w:noWrap/>
          </w:tcPr>
          <w:p w:rsidR="0088341A" w:rsidRPr="00C01371" w:rsidRDefault="0088341A" w:rsidP="00501137">
            <w:pPr>
              <w:pStyle w:val="AERtabletextright"/>
              <w:keepNext/>
              <w:keepLines/>
              <w:rPr>
                <w:lang w:eastAsia="en-AU"/>
              </w:rPr>
            </w:pPr>
            <w:r w:rsidRPr="00F8299D">
              <w:t>8.8</w:t>
            </w:r>
          </w:p>
        </w:tc>
        <w:tc>
          <w:tcPr>
            <w:tcW w:w="1016" w:type="dxa"/>
            <w:shd w:val="clear" w:color="auto" w:fill="auto"/>
            <w:noWrap/>
          </w:tcPr>
          <w:p w:rsidR="0088341A" w:rsidRPr="00C01371" w:rsidRDefault="0088341A" w:rsidP="00501137">
            <w:pPr>
              <w:pStyle w:val="AERtabletextright"/>
              <w:keepNext/>
              <w:keepLines/>
              <w:rPr>
                <w:lang w:eastAsia="en-AU"/>
              </w:rPr>
            </w:pPr>
            <w:r w:rsidRPr="00F8299D">
              <w:t>7.5</w:t>
            </w:r>
          </w:p>
        </w:tc>
        <w:tc>
          <w:tcPr>
            <w:tcW w:w="1016" w:type="dxa"/>
            <w:shd w:val="clear" w:color="auto" w:fill="auto"/>
            <w:noWrap/>
          </w:tcPr>
          <w:p w:rsidR="0088341A" w:rsidRPr="00C01371" w:rsidRDefault="0088341A" w:rsidP="00501137">
            <w:pPr>
              <w:pStyle w:val="AERtabletextright"/>
              <w:keepNext/>
              <w:keepLines/>
              <w:rPr>
                <w:lang w:eastAsia="en-AU"/>
              </w:rPr>
            </w:pPr>
            <w:r w:rsidRPr="00F8299D">
              <w:t>-1.3</w:t>
            </w:r>
          </w:p>
        </w:tc>
        <w:tc>
          <w:tcPr>
            <w:tcW w:w="1016" w:type="dxa"/>
            <w:shd w:val="clear" w:color="auto" w:fill="auto"/>
            <w:noWrap/>
          </w:tcPr>
          <w:p w:rsidR="0088341A" w:rsidRPr="00C01371" w:rsidRDefault="0088341A" w:rsidP="00501137">
            <w:pPr>
              <w:pStyle w:val="AERtabletextright"/>
              <w:keepNext/>
              <w:keepLines/>
              <w:rPr>
                <w:lang w:eastAsia="en-AU"/>
              </w:rPr>
            </w:pPr>
            <w:r w:rsidRPr="00F8299D">
              <w:t>-15</w:t>
            </w:r>
          </w:p>
        </w:tc>
      </w:tr>
      <w:tr w:rsidR="0088341A" w:rsidRPr="00257157" w:rsidTr="00501137">
        <w:trPr>
          <w:trHeight w:val="270"/>
        </w:trPr>
        <w:tc>
          <w:tcPr>
            <w:tcW w:w="3976" w:type="dxa"/>
            <w:shd w:val="clear" w:color="auto" w:fill="DBE5F1"/>
            <w:noWrap/>
            <w:vAlign w:val="center"/>
            <w:hideMark/>
          </w:tcPr>
          <w:p w:rsidR="0088341A" w:rsidRPr="00257157" w:rsidRDefault="0088341A" w:rsidP="00501137">
            <w:pPr>
              <w:pStyle w:val="AERtabletextleft"/>
              <w:keepNext/>
              <w:keepLines/>
              <w:rPr>
                <w:rStyle w:val="AERtextbold"/>
              </w:rPr>
            </w:pPr>
            <w:r w:rsidRPr="00257157">
              <w:rPr>
                <w:rStyle w:val="AERtextbold"/>
              </w:rPr>
              <w:t>Total controllable opex</w:t>
            </w:r>
          </w:p>
        </w:tc>
        <w:tc>
          <w:tcPr>
            <w:tcW w:w="2016" w:type="dxa"/>
            <w:shd w:val="clear" w:color="auto" w:fill="DBE5F1"/>
            <w:noWrap/>
          </w:tcPr>
          <w:p w:rsidR="0088341A" w:rsidRPr="00257157" w:rsidRDefault="0088341A" w:rsidP="00501137">
            <w:pPr>
              <w:pStyle w:val="AERtabletextright"/>
              <w:keepNext/>
              <w:keepLines/>
              <w:rPr>
                <w:rStyle w:val="AERtextbold"/>
              </w:rPr>
            </w:pPr>
            <w:r w:rsidRPr="00B40A06">
              <w:rPr>
                <w:rStyle w:val="AERtextbold"/>
              </w:rPr>
              <w:t>281.0</w:t>
            </w:r>
          </w:p>
        </w:tc>
        <w:tc>
          <w:tcPr>
            <w:tcW w:w="1016" w:type="dxa"/>
            <w:shd w:val="clear" w:color="auto" w:fill="DBE5F1"/>
            <w:noWrap/>
          </w:tcPr>
          <w:p w:rsidR="0088341A" w:rsidRPr="00257157" w:rsidRDefault="0088341A" w:rsidP="00501137">
            <w:pPr>
              <w:pStyle w:val="AERtabletextright"/>
              <w:keepNext/>
              <w:keepLines/>
              <w:rPr>
                <w:rStyle w:val="AERtextbold"/>
              </w:rPr>
            </w:pPr>
            <w:r w:rsidRPr="00B40A06">
              <w:rPr>
                <w:rStyle w:val="AERtextbold"/>
              </w:rPr>
              <w:t>228.5</w:t>
            </w:r>
          </w:p>
        </w:tc>
        <w:tc>
          <w:tcPr>
            <w:tcW w:w="1016" w:type="dxa"/>
            <w:shd w:val="clear" w:color="auto" w:fill="DBE5F1"/>
            <w:noWrap/>
          </w:tcPr>
          <w:p w:rsidR="0088341A" w:rsidRPr="00257157" w:rsidRDefault="0088341A" w:rsidP="00501137">
            <w:pPr>
              <w:pStyle w:val="AERtabletextright"/>
              <w:keepNext/>
              <w:keepLines/>
              <w:rPr>
                <w:rStyle w:val="AERtextbold"/>
              </w:rPr>
            </w:pPr>
            <w:r w:rsidRPr="00B40A06">
              <w:rPr>
                <w:rStyle w:val="AERtextbold"/>
              </w:rPr>
              <w:t>-52.6</w:t>
            </w:r>
          </w:p>
        </w:tc>
        <w:tc>
          <w:tcPr>
            <w:tcW w:w="1016" w:type="dxa"/>
            <w:shd w:val="clear" w:color="auto" w:fill="DBE5F1"/>
            <w:noWrap/>
          </w:tcPr>
          <w:p w:rsidR="0088341A" w:rsidRPr="00257157" w:rsidRDefault="0088341A" w:rsidP="00501137">
            <w:pPr>
              <w:pStyle w:val="AERtabletextright"/>
              <w:keepNext/>
              <w:keepLines/>
              <w:rPr>
                <w:rStyle w:val="AERtextbold"/>
              </w:rPr>
            </w:pPr>
            <w:r w:rsidRPr="00B40A06">
              <w:rPr>
                <w:rStyle w:val="AERtextbold"/>
              </w:rPr>
              <w:t>-19</w:t>
            </w:r>
          </w:p>
        </w:tc>
      </w:tr>
      <w:tr w:rsidR="0088341A" w:rsidRPr="00B40A06" w:rsidTr="00501137">
        <w:trPr>
          <w:trHeight w:val="255"/>
        </w:trPr>
        <w:tc>
          <w:tcPr>
            <w:tcW w:w="3976" w:type="dxa"/>
            <w:shd w:val="clear" w:color="auto" w:fill="auto"/>
            <w:noWrap/>
            <w:vAlign w:val="center"/>
            <w:hideMark/>
          </w:tcPr>
          <w:p w:rsidR="0088341A" w:rsidRPr="00B40A06" w:rsidRDefault="0088341A" w:rsidP="00501137">
            <w:pPr>
              <w:pStyle w:val="AERtabletextleft"/>
              <w:keepNext/>
              <w:keepLines/>
              <w:rPr>
                <w:rStyle w:val="AERtextbold"/>
              </w:rPr>
            </w:pPr>
            <w:r w:rsidRPr="00B40A06">
              <w:rPr>
                <w:rStyle w:val="AERtextbold"/>
              </w:rPr>
              <w:t>Non-controllable</w:t>
            </w:r>
          </w:p>
        </w:tc>
        <w:tc>
          <w:tcPr>
            <w:tcW w:w="2016" w:type="dxa"/>
            <w:shd w:val="clear" w:color="auto" w:fill="auto"/>
            <w:noWrap/>
          </w:tcPr>
          <w:p w:rsidR="0088341A" w:rsidRPr="00B40A06" w:rsidRDefault="0088341A" w:rsidP="00501137">
            <w:pPr>
              <w:pStyle w:val="AERtabletextright"/>
              <w:keepNext/>
              <w:keepLines/>
              <w:rPr>
                <w:rStyle w:val="AERtextbold"/>
              </w:rPr>
            </w:pPr>
          </w:p>
        </w:tc>
        <w:tc>
          <w:tcPr>
            <w:tcW w:w="1016" w:type="dxa"/>
            <w:shd w:val="clear" w:color="auto" w:fill="auto"/>
            <w:noWrap/>
          </w:tcPr>
          <w:p w:rsidR="0088341A" w:rsidRPr="00B40A06" w:rsidRDefault="0088341A" w:rsidP="00501137">
            <w:pPr>
              <w:pStyle w:val="AERtabletextright"/>
              <w:keepNext/>
              <w:keepLines/>
              <w:rPr>
                <w:rStyle w:val="AERtextbold"/>
              </w:rPr>
            </w:pPr>
          </w:p>
        </w:tc>
        <w:tc>
          <w:tcPr>
            <w:tcW w:w="1016" w:type="dxa"/>
            <w:shd w:val="clear" w:color="auto" w:fill="auto"/>
            <w:noWrap/>
          </w:tcPr>
          <w:p w:rsidR="0088341A" w:rsidRPr="00B40A06" w:rsidRDefault="0088341A" w:rsidP="00501137">
            <w:pPr>
              <w:pStyle w:val="AERtabletextright"/>
              <w:keepNext/>
              <w:keepLines/>
              <w:rPr>
                <w:rStyle w:val="AERtextbold"/>
              </w:rPr>
            </w:pPr>
          </w:p>
        </w:tc>
        <w:tc>
          <w:tcPr>
            <w:tcW w:w="1016" w:type="dxa"/>
            <w:shd w:val="clear" w:color="auto" w:fill="auto"/>
            <w:noWrap/>
          </w:tcPr>
          <w:p w:rsidR="0088341A" w:rsidRPr="00B40A06" w:rsidRDefault="0088341A" w:rsidP="00501137">
            <w:pPr>
              <w:pStyle w:val="AERtabletextright"/>
              <w:keepNext/>
              <w:keepLines/>
              <w:rPr>
                <w:rStyle w:val="AERtextbold"/>
              </w:rPr>
            </w:pPr>
          </w:p>
        </w:tc>
      </w:tr>
      <w:tr w:rsidR="0088341A" w:rsidRPr="00520C96" w:rsidTr="00501137">
        <w:trPr>
          <w:trHeight w:val="255"/>
        </w:trPr>
        <w:tc>
          <w:tcPr>
            <w:tcW w:w="3976" w:type="dxa"/>
            <w:shd w:val="clear" w:color="auto" w:fill="DBE5F1"/>
            <w:noWrap/>
            <w:vAlign w:val="center"/>
            <w:hideMark/>
          </w:tcPr>
          <w:p w:rsidR="0088341A" w:rsidRPr="00C01371" w:rsidRDefault="0088341A" w:rsidP="00501137">
            <w:pPr>
              <w:pStyle w:val="AERtabletextleft"/>
              <w:keepNext/>
              <w:keepLines/>
              <w:rPr>
                <w:lang w:eastAsia="en-AU"/>
              </w:rPr>
            </w:pPr>
            <w:r w:rsidRPr="00C01371">
              <w:rPr>
                <w:lang w:eastAsia="en-AU"/>
              </w:rPr>
              <w:t>Self-insurance</w:t>
            </w:r>
          </w:p>
        </w:tc>
        <w:tc>
          <w:tcPr>
            <w:tcW w:w="2016" w:type="dxa"/>
            <w:shd w:val="clear" w:color="auto" w:fill="DBE5F1"/>
            <w:noWrap/>
          </w:tcPr>
          <w:p w:rsidR="0088341A" w:rsidRPr="00C01371" w:rsidRDefault="0088341A" w:rsidP="00501137">
            <w:pPr>
              <w:pStyle w:val="AERtabletextright"/>
              <w:keepNext/>
              <w:keepLines/>
              <w:rPr>
                <w:lang w:eastAsia="en-AU"/>
              </w:rPr>
            </w:pPr>
            <w:r w:rsidRPr="00F8299D">
              <w:t>6.4</w:t>
            </w:r>
          </w:p>
        </w:tc>
        <w:tc>
          <w:tcPr>
            <w:tcW w:w="1016" w:type="dxa"/>
            <w:shd w:val="clear" w:color="auto" w:fill="DBE5F1"/>
            <w:noWrap/>
          </w:tcPr>
          <w:p w:rsidR="0088341A" w:rsidRPr="00C01371" w:rsidRDefault="0088341A" w:rsidP="00501137">
            <w:pPr>
              <w:pStyle w:val="AERtabletextright"/>
              <w:keepNext/>
              <w:keepLines/>
              <w:rPr>
                <w:lang w:eastAsia="en-AU"/>
              </w:rPr>
            </w:pPr>
            <w:r w:rsidRPr="00F8299D">
              <w:t>5.0</w:t>
            </w:r>
          </w:p>
        </w:tc>
        <w:tc>
          <w:tcPr>
            <w:tcW w:w="1016" w:type="dxa"/>
            <w:shd w:val="clear" w:color="auto" w:fill="DBE5F1"/>
            <w:noWrap/>
          </w:tcPr>
          <w:p w:rsidR="0088341A" w:rsidRPr="00C01371" w:rsidRDefault="0088341A" w:rsidP="00501137">
            <w:pPr>
              <w:pStyle w:val="AERtabletextright"/>
              <w:keepNext/>
              <w:keepLines/>
              <w:rPr>
                <w:lang w:eastAsia="en-AU"/>
              </w:rPr>
            </w:pPr>
            <w:r w:rsidRPr="00F8299D">
              <w:t>-1.4</w:t>
            </w:r>
          </w:p>
        </w:tc>
        <w:tc>
          <w:tcPr>
            <w:tcW w:w="1016" w:type="dxa"/>
            <w:shd w:val="clear" w:color="auto" w:fill="DBE5F1"/>
            <w:noWrap/>
          </w:tcPr>
          <w:p w:rsidR="0088341A" w:rsidRPr="00C01371" w:rsidRDefault="0088341A" w:rsidP="00501137">
            <w:pPr>
              <w:pStyle w:val="AERtabletextright"/>
              <w:keepNext/>
              <w:keepLines/>
              <w:rPr>
                <w:lang w:eastAsia="en-AU"/>
              </w:rPr>
            </w:pPr>
            <w:r w:rsidRPr="00F8299D">
              <w:t>-22</w:t>
            </w:r>
          </w:p>
        </w:tc>
      </w:tr>
      <w:tr w:rsidR="0088341A" w:rsidRPr="00520C96" w:rsidTr="00501137">
        <w:trPr>
          <w:trHeight w:val="255"/>
        </w:trPr>
        <w:tc>
          <w:tcPr>
            <w:tcW w:w="3976" w:type="dxa"/>
            <w:shd w:val="clear" w:color="auto" w:fill="auto"/>
            <w:noWrap/>
            <w:vAlign w:val="center"/>
            <w:hideMark/>
          </w:tcPr>
          <w:p w:rsidR="0088341A" w:rsidRPr="00C01371" w:rsidRDefault="0088341A" w:rsidP="00501137">
            <w:pPr>
              <w:pStyle w:val="AERtabletextleft"/>
              <w:keepNext/>
              <w:keepLines/>
              <w:rPr>
                <w:lang w:eastAsia="en-AU"/>
              </w:rPr>
            </w:pPr>
            <w:r w:rsidRPr="00C01371">
              <w:rPr>
                <w:lang w:eastAsia="en-AU"/>
              </w:rPr>
              <w:t>Availability incentive scheme</w:t>
            </w:r>
          </w:p>
        </w:tc>
        <w:tc>
          <w:tcPr>
            <w:tcW w:w="2016" w:type="dxa"/>
            <w:shd w:val="clear" w:color="auto" w:fill="auto"/>
            <w:noWrap/>
          </w:tcPr>
          <w:p w:rsidR="0088341A" w:rsidRPr="00C01371" w:rsidRDefault="0088341A" w:rsidP="00501137">
            <w:pPr>
              <w:pStyle w:val="AERtabletextright"/>
              <w:keepNext/>
              <w:keepLines/>
              <w:rPr>
                <w:lang w:eastAsia="en-AU"/>
              </w:rPr>
            </w:pPr>
            <w:r w:rsidRPr="00F8299D">
              <w:t>9.9</w:t>
            </w:r>
          </w:p>
        </w:tc>
        <w:tc>
          <w:tcPr>
            <w:tcW w:w="1016" w:type="dxa"/>
            <w:shd w:val="clear" w:color="auto" w:fill="auto"/>
            <w:noWrap/>
          </w:tcPr>
          <w:p w:rsidR="0088341A" w:rsidRPr="00C01371" w:rsidRDefault="0088341A" w:rsidP="00501137">
            <w:pPr>
              <w:pStyle w:val="AERtabletextright"/>
              <w:keepNext/>
              <w:keepLines/>
              <w:rPr>
                <w:lang w:eastAsia="en-AU"/>
              </w:rPr>
            </w:pPr>
            <w:r w:rsidRPr="00F8299D">
              <w:t>0.0</w:t>
            </w:r>
          </w:p>
        </w:tc>
        <w:tc>
          <w:tcPr>
            <w:tcW w:w="1016" w:type="dxa"/>
            <w:shd w:val="clear" w:color="auto" w:fill="auto"/>
            <w:noWrap/>
          </w:tcPr>
          <w:p w:rsidR="0088341A" w:rsidRPr="00C01371" w:rsidRDefault="0088341A" w:rsidP="00501137">
            <w:pPr>
              <w:pStyle w:val="AERtabletextright"/>
              <w:keepNext/>
              <w:keepLines/>
              <w:rPr>
                <w:lang w:eastAsia="en-AU"/>
              </w:rPr>
            </w:pPr>
            <w:r w:rsidRPr="00F8299D">
              <w:t>-9.9</w:t>
            </w:r>
          </w:p>
        </w:tc>
        <w:tc>
          <w:tcPr>
            <w:tcW w:w="1016" w:type="dxa"/>
            <w:shd w:val="clear" w:color="auto" w:fill="auto"/>
            <w:noWrap/>
          </w:tcPr>
          <w:p w:rsidR="0088341A" w:rsidRPr="00C01371" w:rsidRDefault="0088341A" w:rsidP="00501137">
            <w:pPr>
              <w:pStyle w:val="AERtabletextright"/>
              <w:keepNext/>
              <w:keepLines/>
              <w:rPr>
                <w:lang w:eastAsia="en-AU"/>
              </w:rPr>
            </w:pPr>
            <w:r w:rsidRPr="00F8299D">
              <w:t>-100</w:t>
            </w:r>
          </w:p>
        </w:tc>
      </w:tr>
      <w:tr w:rsidR="0088341A" w:rsidRPr="00520C96" w:rsidTr="00501137">
        <w:trPr>
          <w:trHeight w:val="255"/>
        </w:trPr>
        <w:tc>
          <w:tcPr>
            <w:tcW w:w="3976" w:type="dxa"/>
            <w:shd w:val="clear" w:color="auto" w:fill="DBE5F1"/>
            <w:noWrap/>
            <w:vAlign w:val="center"/>
            <w:hideMark/>
          </w:tcPr>
          <w:p w:rsidR="0088341A" w:rsidRPr="00C01371" w:rsidRDefault="0088341A" w:rsidP="00501137">
            <w:pPr>
              <w:pStyle w:val="AERtabletextleft"/>
              <w:keepNext/>
              <w:keepLines/>
              <w:rPr>
                <w:lang w:eastAsia="en-AU"/>
              </w:rPr>
            </w:pPr>
            <w:r w:rsidRPr="00C01371">
              <w:rPr>
                <w:lang w:eastAsia="en-AU"/>
              </w:rPr>
              <w:t>Debt raising costs</w:t>
            </w:r>
          </w:p>
        </w:tc>
        <w:tc>
          <w:tcPr>
            <w:tcW w:w="2016" w:type="dxa"/>
            <w:shd w:val="clear" w:color="auto" w:fill="DBE5F1"/>
            <w:noWrap/>
          </w:tcPr>
          <w:p w:rsidR="0088341A" w:rsidRPr="00C01371" w:rsidRDefault="0088341A" w:rsidP="00501137">
            <w:pPr>
              <w:pStyle w:val="AERtabletextright"/>
              <w:keepNext/>
              <w:keepLines/>
              <w:rPr>
                <w:lang w:eastAsia="en-AU"/>
              </w:rPr>
            </w:pPr>
            <w:r w:rsidRPr="00F8299D">
              <w:t>4.7</w:t>
            </w:r>
          </w:p>
        </w:tc>
        <w:tc>
          <w:tcPr>
            <w:tcW w:w="1016" w:type="dxa"/>
            <w:shd w:val="clear" w:color="auto" w:fill="DBE5F1"/>
            <w:noWrap/>
          </w:tcPr>
          <w:p w:rsidR="0088341A" w:rsidRPr="00C01371" w:rsidRDefault="0088341A" w:rsidP="00501137">
            <w:pPr>
              <w:pStyle w:val="AERtabletextright"/>
              <w:keepNext/>
              <w:keepLines/>
              <w:rPr>
                <w:lang w:eastAsia="en-AU"/>
              </w:rPr>
            </w:pPr>
            <w:r w:rsidRPr="00F8299D">
              <w:t>4.5</w:t>
            </w:r>
          </w:p>
        </w:tc>
        <w:tc>
          <w:tcPr>
            <w:tcW w:w="1016" w:type="dxa"/>
            <w:shd w:val="clear" w:color="auto" w:fill="DBE5F1"/>
            <w:noWrap/>
          </w:tcPr>
          <w:p w:rsidR="0088341A" w:rsidRPr="00C01371" w:rsidRDefault="0088341A" w:rsidP="00501137">
            <w:pPr>
              <w:pStyle w:val="AERtabletextright"/>
              <w:keepNext/>
              <w:keepLines/>
              <w:rPr>
                <w:lang w:eastAsia="en-AU"/>
              </w:rPr>
            </w:pPr>
            <w:r w:rsidRPr="00F8299D">
              <w:t>-0.2</w:t>
            </w:r>
          </w:p>
        </w:tc>
        <w:tc>
          <w:tcPr>
            <w:tcW w:w="1016" w:type="dxa"/>
            <w:shd w:val="clear" w:color="auto" w:fill="DBE5F1"/>
            <w:noWrap/>
          </w:tcPr>
          <w:p w:rsidR="0088341A" w:rsidRPr="00C01371" w:rsidRDefault="0088341A" w:rsidP="00501137">
            <w:pPr>
              <w:pStyle w:val="AERtabletextright"/>
              <w:keepNext/>
              <w:keepLines/>
              <w:rPr>
                <w:lang w:eastAsia="en-AU"/>
              </w:rPr>
            </w:pPr>
            <w:r w:rsidRPr="00F8299D">
              <w:t>-4</w:t>
            </w:r>
          </w:p>
        </w:tc>
      </w:tr>
      <w:tr w:rsidR="0088341A" w:rsidRPr="00520C96" w:rsidTr="00501137">
        <w:trPr>
          <w:trHeight w:val="255"/>
        </w:trPr>
        <w:tc>
          <w:tcPr>
            <w:tcW w:w="3976" w:type="dxa"/>
            <w:shd w:val="clear" w:color="auto" w:fill="auto"/>
            <w:noWrap/>
            <w:vAlign w:val="center"/>
            <w:hideMark/>
          </w:tcPr>
          <w:p w:rsidR="0088341A" w:rsidRPr="00C01371" w:rsidRDefault="0088341A" w:rsidP="00501137">
            <w:pPr>
              <w:pStyle w:val="AERtabletextleft"/>
              <w:keepNext/>
              <w:keepLines/>
              <w:rPr>
                <w:lang w:eastAsia="en-AU"/>
              </w:rPr>
            </w:pPr>
            <w:r w:rsidRPr="00C01371">
              <w:rPr>
                <w:lang w:eastAsia="en-AU"/>
              </w:rPr>
              <w:t>Equity raising costs</w:t>
            </w:r>
          </w:p>
        </w:tc>
        <w:tc>
          <w:tcPr>
            <w:tcW w:w="2016" w:type="dxa"/>
            <w:shd w:val="clear" w:color="auto" w:fill="auto"/>
            <w:noWrap/>
          </w:tcPr>
          <w:p w:rsidR="0088341A" w:rsidRPr="00C01371" w:rsidRDefault="0088341A" w:rsidP="00501137">
            <w:pPr>
              <w:pStyle w:val="AERtabletextright"/>
              <w:keepNext/>
              <w:keepLines/>
              <w:rPr>
                <w:lang w:eastAsia="en-AU"/>
              </w:rPr>
            </w:pPr>
            <w:r w:rsidRPr="00F8299D">
              <w:t>3.4</w:t>
            </w:r>
          </w:p>
        </w:tc>
        <w:tc>
          <w:tcPr>
            <w:tcW w:w="1016" w:type="dxa"/>
            <w:shd w:val="clear" w:color="auto" w:fill="auto"/>
            <w:noWrap/>
          </w:tcPr>
          <w:p w:rsidR="0088341A" w:rsidRPr="00C01371" w:rsidRDefault="0088341A" w:rsidP="00501137">
            <w:pPr>
              <w:pStyle w:val="AERtabletextright"/>
              <w:keepNext/>
              <w:keepLines/>
              <w:rPr>
                <w:lang w:eastAsia="en-AU"/>
              </w:rPr>
            </w:pPr>
            <w:r>
              <w:t>n/a</w:t>
            </w:r>
          </w:p>
        </w:tc>
        <w:tc>
          <w:tcPr>
            <w:tcW w:w="1016" w:type="dxa"/>
            <w:shd w:val="clear" w:color="auto" w:fill="auto"/>
            <w:noWrap/>
          </w:tcPr>
          <w:p w:rsidR="0088341A" w:rsidRPr="00C01371" w:rsidRDefault="0088341A" w:rsidP="00501137">
            <w:pPr>
              <w:pStyle w:val="AERtabletextright"/>
              <w:keepNext/>
              <w:keepLines/>
              <w:rPr>
                <w:lang w:eastAsia="en-AU"/>
              </w:rPr>
            </w:pPr>
            <w:r w:rsidRPr="00F8299D">
              <w:t>-3.4</w:t>
            </w:r>
          </w:p>
        </w:tc>
        <w:tc>
          <w:tcPr>
            <w:tcW w:w="1016" w:type="dxa"/>
            <w:shd w:val="clear" w:color="auto" w:fill="auto"/>
            <w:noWrap/>
          </w:tcPr>
          <w:p w:rsidR="0088341A" w:rsidRPr="00C01371" w:rsidRDefault="0088341A" w:rsidP="00501137">
            <w:pPr>
              <w:pStyle w:val="AERtabletextright"/>
              <w:keepNext/>
              <w:keepLines/>
              <w:rPr>
                <w:lang w:eastAsia="en-AU"/>
              </w:rPr>
            </w:pPr>
            <w:r w:rsidRPr="00F8299D">
              <w:t>-100</w:t>
            </w:r>
          </w:p>
        </w:tc>
      </w:tr>
      <w:tr w:rsidR="0088341A" w:rsidRPr="00520C96" w:rsidTr="00501137">
        <w:trPr>
          <w:trHeight w:val="255"/>
        </w:trPr>
        <w:tc>
          <w:tcPr>
            <w:tcW w:w="3976" w:type="dxa"/>
            <w:shd w:val="clear" w:color="auto" w:fill="DBE5F1"/>
            <w:noWrap/>
            <w:vAlign w:val="center"/>
            <w:hideMark/>
          </w:tcPr>
          <w:p w:rsidR="0088341A" w:rsidRPr="00C01371" w:rsidRDefault="0088341A" w:rsidP="00501137">
            <w:pPr>
              <w:pStyle w:val="AERtabletextleft"/>
              <w:keepNext/>
              <w:keepLines/>
              <w:rPr>
                <w:lang w:eastAsia="en-AU"/>
              </w:rPr>
            </w:pPr>
            <w:r w:rsidRPr="00C01371">
              <w:rPr>
                <w:lang w:eastAsia="en-AU"/>
              </w:rPr>
              <w:t>Land and easement tax</w:t>
            </w:r>
          </w:p>
        </w:tc>
        <w:tc>
          <w:tcPr>
            <w:tcW w:w="2016" w:type="dxa"/>
            <w:shd w:val="clear" w:color="auto" w:fill="DBE5F1"/>
            <w:noWrap/>
          </w:tcPr>
          <w:p w:rsidR="0088341A" w:rsidRPr="00C01371" w:rsidRDefault="0088341A" w:rsidP="00501137">
            <w:pPr>
              <w:pStyle w:val="AERtabletextright"/>
              <w:keepNext/>
              <w:keepLines/>
              <w:rPr>
                <w:lang w:eastAsia="en-AU"/>
              </w:rPr>
            </w:pPr>
            <w:r w:rsidRPr="00F8299D">
              <w:t>305.2</w:t>
            </w:r>
          </w:p>
        </w:tc>
        <w:tc>
          <w:tcPr>
            <w:tcW w:w="1016" w:type="dxa"/>
            <w:shd w:val="clear" w:color="auto" w:fill="DBE5F1"/>
            <w:noWrap/>
          </w:tcPr>
          <w:p w:rsidR="0088341A" w:rsidRPr="00C01371" w:rsidRDefault="0088341A" w:rsidP="00501137">
            <w:pPr>
              <w:pStyle w:val="AERtabletextright"/>
              <w:keepNext/>
              <w:keepLines/>
              <w:rPr>
                <w:lang w:eastAsia="en-AU"/>
              </w:rPr>
            </w:pPr>
            <w:r w:rsidRPr="00F8299D">
              <w:t>305.2</w:t>
            </w:r>
          </w:p>
        </w:tc>
        <w:tc>
          <w:tcPr>
            <w:tcW w:w="1016" w:type="dxa"/>
            <w:shd w:val="clear" w:color="auto" w:fill="DBE5F1"/>
            <w:noWrap/>
          </w:tcPr>
          <w:p w:rsidR="0088341A" w:rsidRPr="00C01371" w:rsidRDefault="0088341A" w:rsidP="00501137">
            <w:pPr>
              <w:pStyle w:val="AERtabletextright"/>
              <w:keepNext/>
              <w:keepLines/>
              <w:rPr>
                <w:lang w:eastAsia="en-AU"/>
              </w:rPr>
            </w:pPr>
            <w:r w:rsidRPr="00F8299D">
              <w:t>0.0</w:t>
            </w:r>
          </w:p>
        </w:tc>
        <w:tc>
          <w:tcPr>
            <w:tcW w:w="1016" w:type="dxa"/>
            <w:shd w:val="clear" w:color="auto" w:fill="DBE5F1"/>
            <w:noWrap/>
          </w:tcPr>
          <w:p w:rsidR="0088341A" w:rsidRPr="00C01371" w:rsidRDefault="0088341A" w:rsidP="00501137">
            <w:pPr>
              <w:pStyle w:val="AERtabletextright"/>
              <w:keepNext/>
              <w:keepLines/>
              <w:rPr>
                <w:lang w:eastAsia="en-AU"/>
              </w:rPr>
            </w:pPr>
            <w:r w:rsidRPr="00F8299D">
              <w:t>0</w:t>
            </w:r>
          </w:p>
        </w:tc>
      </w:tr>
      <w:tr w:rsidR="0088341A" w:rsidRPr="00257157" w:rsidTr="00501137">
        <w:trPr>
          <w:trHeight w:val="270"/>
        </w:trPr>
        <w:tc>
          <w:tcPr>
            <w:tcW w:w="3976" w:type="dxa"/>
            <w:shd w:val="clear" w:color="auto" w:fill="auto"/>
            <w:noWrap/>
            <w:vAlign w:val="center"/>
            <w:hideMark/>
          </w:tcPr>
          <w:p w:rsidR="0088341A" w:rsidRPr="00257157" w:rsidRDefault="0088341A" w:rsidP="00501137">
            <w:pPr>
              <w:pStyle w:val="AERtabletextleft"/>
              <w:keepNext/>
              <w:keepLines/>
              <w:rPr>
                <w:rStyle w:val="AERtextbold"/>
              </w:rPr>
            </w:pPr>
            <w:r w:rsidRPr="00257157">
              <w:rPr>
                <w:rStyle w:val="AERtextbold"/>
              </w:rPr>
              <w:t>Total non-controllable</w:t>
            </w:r>
          </w:p>
        </w:tc>
        <w:tc>
          <w:tcPr>
            <w:tcW w:w="2016" w:type="dxa"/>
            <w:shd w:val="clear" w:color="auto" w:fill="auto"/>
            <w:noWrap/>
          </w:tcPr>
          <w:p w:rsidR="0088341A" w:rsidRPr="00257157" w:rsidRDefault="0088341A" w:rsidP="00501137">
            <w:pPr>
              <w:pStyle w:val="AERtabletextright"/>
              <w:keepNext/>
              <w:keepLines/>
              <w:rPr>
                <w:rStyle w:val="AERtextbold"/>
              </w:rPr>
            </w:pPr>
            <w:r w:rsidRPr="00B40A06">
              <w:rPr>
                <w:rStyle w:val="AERtextbold"/>
              </w:rPr>
              <w:t>329.6</w:t>
            </w:r>
          </w:p>
        </w:tc>
        <w:tc>
          <w:tcPr>
            <w:tcW w:w="1016" w:type="dxa"/>
            <w:shd w:val="clear" w:color="auto" w:fill="auto"/>
            <w:noWrap/>
          </w:tcPr>
          <w:p w:rsidR="0088341A" w:rsidRPr="00257157" w:rsidRDefault="0088341A" w:rsidP="00501137">
            <w:pPr>
              <w:pStyle w:val="AERtabletextright"/>
              <w:keepNext/>
              <w:keepLines/>
              <w:rPr>
                <w:rStyle w:val="AERtextbold"/>
              </w:rPr>
            </w:pPr>
            <w:r w:rsidRPr="00B40A06">
              <w:rPr>
                <w:rStyle w:val="AERtextbold"/>
              </w:rPr>
              <w:t>314.7</w:t>
            </w:r>
          </w:p>
        </w:tc>
        <w:tc>
          <w:tcPr>
            <w:tcW w:w="1016" w:type="dxa"/>
            <w:shd w:val="clear" w:color="auto" w:fill="auto"/>
            <w:noWrap/>
          </w:tcPr>
          <w:p w:rsidR="0088341A" w:rsidRPr="00257157" w:rsidRDefault="0088341A" w:rsidP="00501137">
            <w:pPr>
              <w:pStyle w:val="AERtabletextright"/>
              <w:keepNext/>
              <w:keepLines/>
              <w:rPr>
                <w:rStyle w:val="AERtextbold"/>
              </w:rPr>
            </w:pPr>
            <w:r w:rsidRPr="00B40A06">
              <w:rPr>
                <w:rStyle w:val="AERtextbold"/>
              </w:rPr>
              <w:t>-14.9</w:t>
            </w:r>
          </w:p>
        </w:tc>
        <w:tc>
          <w:tcPr>
            <w:tcW w:w="1016" w:type="dxa"/>
            <w:shd w:val="clear" w:color="auto" w:fill="auto"/>
            <w:noWrap/>
          </w:tcPr>
          <w:p w:rsidR="0088341A" w:rsidRPr="00257157" w:rsidRDefault="0088341A" w:rsidP="00501137">
            <w:pPr>
              <w:pStyle w:val="AERtabletextright"/>
              <w:keepNext/>
              <w:keepLines/>
              <w:rPr>
                <w:rStyle w:val="AERtextbold"/>
              </w:rPr>
            </w:pPr>
            <w:r w:rsidRPr="00B40A06">
              <w:rPr>
                <w:rStyle w:val="AERtextbold"/>
              </w:rPr>
              <w:t>-5</w:t>
            </w:r>
          </w:p>
        </w:tc>
      </w:tr>
      <w:tr w:rsidR="0088341A" w:rsidRPr="00257157" w:rsidTr="00501137">
        <w:trPr>
          <w:trHeight w:val="270"/>
        </w:trPr>
        <w:tc>
          <w:tcPr>
            <w:tcW w:w="3976" w:type="dxa"/>
            <w:shd w:val="clear" w:color="auto" w:fill="DBE5F1"/>
            <w:noWrap/>
            <w:vAlign w:val="center"/>
            <w:hideMark/>
          </w:tcPr>
          <w:p w:rsidR="0088341A" w:rsidRPr="00257157" w:rsidRDefault="0088341A" w:rsidP="00501137">
            <w:pPr>
              <w:pStyle w:val="AERtabletextleft"/>
              <w:keepNext/>
              <w:keepLines/>
              <w:rPr>
                <w:rStyle w:val="AERtextbold"/>
              </w:rPr>
            </w:pPr>
            <w:r w:rsidRPr="00257157">
              <w:rPr>
                <w:rStyle w:val="AERtextbold"/>
              </w:rPr>
              <w:t>Total opex</w:t>
            </w:r>
          </w:p>
        </w:tc>
        <w:tc>
          <w:tcPr>
            <w:tcW w:w="2016" w:type="dxa"/>
            <w:shd w:val="clear" w:color="auto" w:fill="DBE5F1"/>
            <w:noWrap/>
          </w:tcPr>
          <w:p w:rsidR="0088341A" w:rsidRPr="00257157" w:rsidRDefault="0088341A" w:rsidP="00501137">
            <w:pPr>
              <w:pStyle w:val="AERtabletextright"/>
              <w:keepNext/>
              <w:keepLines/>
              <w:rPr>
                <w:rStyle w:val="AERtextbold"/>
              </w:rPr>
            </w:pPr>
            <w:r w:rsidRPr="00B40A06">
              <w:rPr>
                <w:rStyle w:val="AERtextbold"/>
              </w:rPr>
              <w:t>610.6</w:t>
            </w:r>
          </w:p>
        </w:tc>
        <w:tc>
          <w:tcPr>
            <w:tcW w:w="1016" w:type="dxa"/>
            <w:shd w:val="clear" w:color="auto" w:fill="DBE5F1"/>
            <w:noWrap/>
          </w:tcPr>
          <w:p w:rsidR="0088341A" w:rsidRPr="00257157" w:rsidRDefault="0088341A" w:rsidP="00501137">
            <w:pPr>
              <w:pStyle w:val="AERtabletextright"/>
              <w:keepNext/>
              <w:keepLines/>
              <w:rPr>
                <w:rStyle w:val="AERtextbold"/>
              </w:rPr>
            </w:pPr>
            <w:r w:rsidRPr="00B40A06">
              <w:rPr>
                <w:rStyle w:val="AERtextbold"/>
              </w:rPr>
              <w:t>543.2</w:t>
            </w:r>
          </w:p>
        </w:tc>
        <w:tc>
          <w:tcPr>
            <w:tcW w:w="1016" w:type="dxa"/>
            <w:shd w:val="clear" w:color="auto" w:fill="DBE5F1"/>
            <w:noWrap/>
          </w:tcPr>
          <w:p w:rsidR="0088341A" w:rsidRPr="00257157" w:rsidRDefault="0088341A" w:rsidP="00501137">
            <w:pPr>
              <w:pStyle w:val="AERtabletextright"/>
              <w:keepNext/>
              <w:keepLines/>
              <w:rPr>
                <w:rStyle w:val="AERtextbold"/>
              </w:rPr>
            </w:pPr>
            <w:r w:rsidRPr="00B40A06">
              <w:rPr>
                <w:rStyle w:val="AERtextbold"/>
              </w:rPr>
              <w:t>-67.5</w:t>
            </w:r>
          </w:p>
        </w:tc>
        <w:tc>
          <w:tcPr>
            <w:tcW w:w="1016" w:type="dxa"/>
            <w:shd w:val="clear" w:color="auto" w:fill="DBE5F1"/>
            <w:noWrap/>
          </w:tcPr>
          <w:p w:rsidR="0088341A" w:rsidRPr="00257157" w:rsidRDefault="0088341A" w:rsidP="00501137">
            <w:pPr>
              <w:pStyle w:val="AERtabletextright"/>
              <w:keepNext/>
              <w:keepLines/>
              <w:rPr>
                <w:rStyle w:val="AERtextbold"/>
              </w:rPr>
            </w:pPr>
            <w:r w:rsidRPr="00B40A06">
              <w:rPr>
                <w:rStyle w:val="AERtextbold"/>
              </w:rPr>
              <w:t>-11</w:t>
            </w:r>
          </w:p>
        </w:tc>
      </w:tr>
      <w:tr w:rsidR="0088341A" w:rsidRPr="00257157" w:rsidTr="00501137">
        <w:trPr>
          <w:trHeight w:val="270"/>
        </w:trPr>
        <w:tc>
          <w:tcPr>
            <w:tcW w:w="3976" w:type="dxa"/>
            <w:shd w:val="clear" w:color="auto" w:fill="DBE5F1"/>
            <w:noWrap/>
            <w:vAlign w:val="center"/>
          </w:tcPr>
          <w:p w:rsidR="0088341A" w:rsidRPr="00257157" w:rsidRDefault="0088341A" w:rsidP="00501137">
            <w:pPr>
              <w:pStyle w:val="AERtabletextleft"/>
              <w:keepNext/>
              <w:keepLines/>
              <w:rPr>
                <w:rStyle w:val="AERtextbold"/>
              </w:rPr>
            </w:pPr>
            <w:r w:rsidRPr="00257157">
              <w:rPr>
                <w:rStyle w:val="AERtextbold"/>
              </w:rPr>
              <w:t xml:space="preserve">Total opex </w:t>
            </w:r>
            <w:r w:rsidR="00F44BD4">
              <w:rPr>
                <w:rStyle w:val="AERtextbold"/>
              </w:rPr>
              <w:t>(excl equity raising costs)</w:t>
            </w:r>
          </w:p>
        </w:tc>
        <w:tc>
          <w:tcPr>
            <w:tcW w:w="2016" w:type="dxa"/>
            <w:shd w:val="clear" w:color="auto" w:fill="DBE5F1"/>
            <w:noWrap/>
          </w:tcPr>
          <w:p w:rsidR="0088341A" w:rsidRPr="00257157" w:rsidRDefault="0088341A" w:rsidP="00501137">
            <w:pPr>
              <w:pStyle w:val="AERtabletextright"/>
              <w:keepNext/>
              <w:keepLines/>
              <w:rPr>
                <w:rStyle w:val="AERtextbold"/>
              </w:rPr>
            </w:pPr>
            <w:r w:rsidRPr="00B40A06">
              <w:rPr>
                <w:rStyle w:val="AERtextbold"/>
              </w:rPr>
              <w:t>607.2</w:t>
            </w:r>
          </w:p>
        </w:tc>
        <w:tc>
          <w:tcPr>
            <w:tcW w:w="1016" w:type="dxa"/>
            <w:shd w:val="clear" w:color="auto" w:fill="DBE5F1"/>
            <w:noWrap/>
          </w:tcPr>
          <w:p w:rsidR="0088341A" w:rsidRPr="00257157" w:rsidRDefault="0088341A" w:rsidP="00501137">
            <w:pPr>
              <w:pStyle w:val="AERtabletextright"/>
              <w:keepNext/>
              <w:keepLines/>
              <w:rPr>
                <w:rStyle w:val="AERtextbold"/>
              </w:rPr>
            </w:pPr>
            <w:r w:rsidRPr="00B40A06">
              <w:rPr>
                <w:rStyle w:val="AERtextbold"/>
              </w:rPr>
              <w:t>543.2</w:t>
            </w:r>
          </w:p>
        </w:tc>
        <w:tc>
          <w:tcPr>
            <w:tcW w:w="1016" w:type="dxa"/>
            <w:shd w:val="clear" w:color="auto" w:fill="DBE5F1"/>
            <w:noWrap/>
          </w:tcPr>
          <w:p w:rsidR="0088341A" w:rsidRPr="00257157" w:rsidRDefault="0088341A" w:rsidP="00501137">
            <w:pPr>
              <w:pStyle w:val="AERtabletextright"/>
              <w:keepNext/>
              <w:keepLines/>
              <w:rPr>
                <w:rStyle w:val="AERtextbold"/>
              </w:rPr>
            </w:pPr>
            <w:r w:rsidRPr="00B40A06">
              <w:rPr>
                <w:rStyle w:val="AERtextbold"/>
              </w:rPr>
              <w:t>-64.1</w:t>
            </w:r>
          </w:p>
        </w:tc>
        <w:tc>
          <w:tcPr>
            <w:tcW w:w="1016" w:type="dxa"/>
            <w:shd w:val="clear" w:color="auto" w:fill="DBE5F1"/>
            <w:noWrap/>
          </w:tcPr>
          <w:p w:rsidR="0088341A" w:rsidRPr="00257157" w:rsidRDefault="0088341A" w:rsidP="00501137">
            <w:pPr>
              <w:pStyle w:val="AERtabletextright"/>
              <w:keepNext/>
              <w:keepLines/>
              <w:rPr>
                <w:rStyle w:val="AERtextbold"/>
              </w:rPr>
            </w:pPr>
            <w:r w:rsidRPr="00B40A06">
              <w:rPr>
                <w:rStyle w:val="AERtextbold"/>
              </w:rPr>
              <w:t>-11</w:t>
            </w:r>
          </w:p>
        </w:tc>
      </w:tr>
    </w:tbl>
    <w:p w:rsidR="00D2157D" w:rsidRDefault="00D2157D" w:rsidP="00D2157D">
      <w:pPr>
        <w:pStyle w:val="AERtablesource"/>
        <w:keepNext/>
        <w:keepLines/>
      </w:pPr>
      <w:r w:rsidRPr="000C301C">
        <w:t>Source:</w:t>
      </w:r>
      <w:r w:rsidRPr="000C301C">
        <w:tab/>
        <w:t xml:space="preserve">SP AusNet, </w:t>
      </w:r>
      <w:r w:rsidRPr="00DF4B8E">
        <w:rPr>
          <w:rStyle w:val="AERtextitalic"/>
        </w:rPr>
        <w:t>Revenue proposal</w:t>
      </w:r>
      <w:r w:rsidRPr="00DF4B8E">
        <w:t xml:space="preserve">, p.149; </w:t>
      </w:r>
      <w:r w:rsidRPr="000B3A38">
        <w:t xml:space="preserve">SP AusNet, </w:t>
      </w:r>
      <w:r w:rsidRPr="00FC7C08">
        <w:rPr>
          <w:rStyle w:val="AERtextitalic"/>
        </w:rPr>
        <w:t>Response to request AER</w:t>
      </w:r>
      <w:r w:rsidR="0047592F">
        <w:rPr>
          <w:rStyle w:val="AERtextitalic"/>
        </w:rPr>
        <w:t xml:space="preserve"> RP </w:t>
      </w:r>
      <w:r w:rsidRPr="00FC7C08">
        <w:rPr>
          <w:rStyle w:val="AERtextitalic"/>
        </w:rPr>
        <w:t>09 - revised opex model</w:t>
      </w:r>
      <w:r w:rsidR="004B3E41">
        <w:rPr>
          <w:rStyle w:val="AERtextitalic"/>
        </w:rPr>
        <w:t xml:space="preserve"> [confidential]</w:t>
      </w:r>
      <w:r w:rsidRPr="00FC7C08">
        <w:t>, 20 May</w:t>
      </w:r>
      <w:r>
        <w:t> </w:t>
      </w:r>
      <w:r w:rsidRPr="00FC7C08">
        <w:t>2013</w:t>
      </w:r>
      <w:r>
        <w:t xml:space="preserve">; </w:t>
      </w:r>
      <w:r w:rsidRPr="00DF4B8E">
        <w:t>AER analysis.</w:t>
      </w:r>
    </w:p>
    <w:p w:rsidR="0088341A" w:rsidRPr="000C301C" w:rsidRDefault="00D2157D" w:rsidP="00BA4979">
      <w:pPr>
        <w:pStyle w:val="AERtablesource"/>
      </w:pPr>
      <w:r>
        <w:t>Note:</w:t>
      </w:r>
      <w:r>
        <w:tab/>
      </w:r>
      <w:r w:rsidR="0088341A" w:rsidRPr="000C301C">
        <w:t>*AER base year includes asset works</w:t>
      </w:r>
      <w:r w:rsidR="0088341A">
        <w:t xml:space="preserve"> and insurance</w:t>
      </w:r>
      <w:r w:rsidR="0088341A" w:rsidRPr="000C301C">
        <w:t>.</w:t>
      </w:r>
      <w:r w:rsidR="0088341A">
        <w:t xml:space="preserve"> Step changes are not escalated. n/a not applicable, ERC was capitalised</w:t>
      </w:r>
      <w:r>
        <w:t>.</w:t>
      </w:r>
    </w:p>
    <w:p w:rsidR="0088341A" w:rsidRDefault="00E872F7" w:rsidP="0088341A">
      <w:pPr>
        <w:pStyle w:val="HeadingBoldBlue"/>
      </w:pPr>
      <w:r>
        <w:lastRenderedPageBreak/>
        <w:t>Controllable opex</w:t>
      </w:r>
    </w:p>
    <w:p w:rsidR="00E872F7" w:rsidRPr="00E8656D" w:rsidRDefault="00E872F7" w:rsidP="00CB05AA">
      <w:pPr>
        <w:pStyle w:val="AERbodytext"/>
        <w:keepNext/>
      </w:pPr>
      <w:r>
        <w:rPr>
          <w:rStyle w:val="AERtextbolditalics"/>
        </w:rPr>
        <w:t>Selection of base year</w:t>
      </w:r>
    </w:p>
    <w:p w:rsidR="0088341A" w:rsidRDefault="0088341A" w:rsidP="00CB05AA">
      <w:pPr>
        <w:pStyle w:val="AERbodytext"/>
        <w:keepNext/>
        <w:numPr>
          <w:ilvl w:val="0"/>
          <w:numId w:val="13"/>
        </w:numPr>
      </w:pPr>
      <w:r>
        <w:t>We reviewed whether the actual expenditure in the proposed base year (2011–12) reflects efficient and prudent costs for total controllable opex and we are satisfied it does. Controllable opex in 2011</w:t>
      </w:r>
      <w:r>
        <w:softHyphen/>
        <w:t>12 is $72.2 million, which is less than the average for the period. However, it is not the year with greatest variance from the average of 2008-09 to 2012-13 nor the year with the largest underspend from allowance (</w:t>
      </w:r>
      <w:r>
        <w:fldChar w:fldCharType="begin"/>
      </w:r>
      <w:r>
        <w:instrText xml:space="preserve"> REF _Ref363584746 \h </w:instrText>
      </w:r>
      <w:r>
        <w:fldChar w:fldCharType="separate"/>
      </w:r>
      <w:r w:rsidR="004F35AA">
        <w:t xml:space="preserve">Figure </w:t>
      </w:r>
      <w:r w:rsidR="004F35AA">
        <w:rPr>
          <w:noProof/>
        </w:rPr>
        <w:t>3</w:t>
      </w:r>
      <w:r w:rsidR="004F35AA">
        <w:t>.</w:t>
      </w:r>
      <w:r w:rsidR="004F35AA">
        <w:rPr>
          <w:noProof/>
        </w:rPr>
        <w:t>8</w:t>
      </w:r>
      <w:r>
        <w:fldChar w:fldCharType="end"/>
      </w:r>
      <w:r>
        <w:t>).</w:t>
      </w:r>
    </w:p>
    <w:p w:rsidR="0088341A" w:rsidRDefault="0088341A" w:rsidP="0088341A">
      <w:pPr>
        <w:pStyle w:val="Caption"/>
        <w:keepLines/>
      </w:pPr>
      <w:bookmarkStart w:id="200" w:name="_Ref363584746"/>
      <w:r>
        <w:t xml:space="preserve">Figure </w:t>
      </w:r>
      <w:fldSimple w:instr=" STYLEREF 1 \s ">
        <w:r w:rsidR="004F35AA">
          <w:rPr>
            <w:noProof/>
          </w:rPr>
          <w:t>3</w:t>
        </w:r>
      </w:fldSimple>
      <w:r w:rsidR="00C56A87">
        <w:t>.</w:t>
      </w:r>
      <w:fldSimple w:instr=" SEQ Figure \* ARABIC \s 1 ">
        <w:r w:rsidR="004F35AA">
          <w:rPr>
            <w:noProof/>
          </w:rPr>
          <w:t>8</w:t>
        </w:r>
      </w:fldSimple>
      <w:bookmarkEnd w:id="200"/>
      <w:r>
        <w:tab/>
      </w:r>
      <w:r w:rsidR="00F44BD4">
        <w:t>SP AusNet’s c</w:t>
      </w:r>
      <w:r>
        <w:t>ontrollable opex, actual expenditure, average and allowance, 2008–13 ($ million, 2013–14)</w:t>
      </w:r>
    </w:p>
    <w:p w:rsidR="0088341A" w:rsidRDefault="0088341A" w:rsidP="0088341A">
      <w:pPr>
        <w:pStyle w:val="AERbodytext"/>
        <w:keepNext/>
        <w:keepLines/>
        <w:numPr>
          <w:ilvl w:val="0"/>
          <w:numId w:val="0"/>
        </w:numPr>
      </w:pPr>
      <w:r>
        <w:rPr>
          <w:noProof/>
          <w:lang w:eastAsia="en-AU"/>
        </w:rPr>
        <w:drawing>
          <wp:inline distT="0" distB="0" distL="0" distR="0" wp14:anchorId="2856CC3F" wp14:editId="24E64F6D">
            <wp:extent cx="5727700" cy="251650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7700" cy="2516505"/>
                    </a:xfrm>
                    <a:prstGeom prst="rect">
                      <a:avLst/>
                    </a:prstGeom>
                    <a:noFill/>
                    <a:ln>
                      <a:noFill/>
                    </a:ln>
                  </pic:spPr>
                </pic:pic>
              </a:graphicData>
            </a:graphic>
          </wp:inline>
        </w:drawing>
      </w:r>
    </w:p>
    <w:p w:rsidR="00D2157D" w:rsidRDefault="00D2157D" w:rsidP="00D2157D">
      <w:pPr>
        <w:pStyle w:val="AERtablesource"/>
        <w:keepNext/>
        <w:keepLines/>
      </w:pPr>
      <w:r>
        <w:t>Source:</w:t>
      </w:r>
      <w:r>
        <w:tab/>
        <w:t xml:space="preserve">SP AusNet, 2012-13 regulatory accounts; </w:t>
      </w:r>
      <w:r w:rsidRPr="000B3A38">
        <w:t xml:space="preserve">SP AusNet, </w:t>
      </w:r>
      <w:r w:rsidRPr="00FC7C08">
        <w:rPr>
          <w:rStyle w:val="AERtextitalic"/>
        </w:rPr>
        <w:t>Response to request AER</w:t>
      </w:r>
      <w:r w:rsidR="0047592F">
        <w:rPr>
          <w:rStyle w:val="AERtextitalic"/>
        </w:rPr>
        <w:t xml:space="preserve"> RP </w:t>
      </w:r>
      <w:r w:rsidRPr="00FC7C08">
        <w:rPr>
          <w:rStyle w:val="AERtextitalic"/>
        </w:rPr>
        <w:t>09 - revised opex model</w:t>
      </w:r>
      <w:r w:rsidR="004B3E41">
        <w:rPr>
          <w:rStyle w:val="AERtextitalic"/>
        </w:rPr>
        <w:t xml:space="preserve"> [confidential]</w:t>
      </w:r>
      <w:r w:rsidRPr="00FC7C08">
        <w:t>, 20 May 2013</w:t>
      </w:r>
      <w:r>
        <w:t>; AER analysis.</w:t>
      </w:r>
    </w:p>
    <w:p w:rsidR="0088341A" w:rsidRDefault="0088341A" w:rsidP="00BA4979">
      <w:pPr>
        <w:pStyle w:val="AERtablesource"/>
      </w:pPr>
      <w:r>
        <w:t xml:space="preserve">Note: </w:t>
      </w:r>
      <w:r>
        <w:tab/>
        <w:t>This analysis is based on actual data it does not include 2013-14 which is a budget estimate.</w:t>
      </w:r>
      <w:r w:rsidR="00F44BD4">
        <w:t xml:space="preserve"> BY = base year. </w:t>
      </w:r>
    </w:p>
    <w:p w:rsidR="0088341A" w:rsidRDefault="0088341A" w:rsidP="006733EE">
      <w:pPr>
        <w:pStyle w:val="HeadingItalic"/>
      </w:pPr>
      <w:r>
        <w:t>Base year adjustments</w:t>
      </w:r>
    </w:p>
    <w:p w:rsidR="0088341A" w:rsidRDefault="0088341A" w:rsidP="0088341A">
      <w:pPr>
        <w:pStyle w:val="AERbodytext"/>
        <w:numPr>
          <w:ilvl w:val="0"/>
          <w:numId w:val="0"/>
        </w:numPr>
      </w:pPr>
      <w:r>
        <w:t xml:space="preserve">We adjusted the 2011–12 base year financial information to remove movements in provisional accounts because these do not represent actual costs in the base year. We applied a decrement of $0.62 million to SP AusNet's </w:t>
      </w:r>
      <w:r w:rsidRPr="00781847">
        <w:t>base year opex to reverse the movement in provisions for future employee entitlements</w:t>
      </w:r>
      <w:r>
        <w:t>.</w:t>
      </w:r>
      <w:r w:rsidRPr="006D2CF1">
        <w:t xml:space="preserve"> </w:t>
      </w:r>
    </w:p>
    <w:p w:rsidR="0088341A" w:rsidRDefault="0088341A" w:rsidP="0088341A">
      <w:pPr>
        <w:pStyle w:val="AERbodytext"/>
        <w:numPr>
          <w:ilvl w:val="0"/>
          <w:numId w:val="0"/>
        </w:numPr>
      </w:pPr>
      <w:r>
        <w:t xml:space="preserve">SP AusNet </w:t>
      </w:r>
      <w:r w:rsidRPr="00076F5D">
        <w:t xml:space="preserve">proposed </w:t>
      </w:r>
      <w:r w:rsidR="00F44BD4">
        <w:t xml:space="preserve">the </w:t>
      </w:r>
      <w:r w:rsidRPr="00076F5D">
        <w:t>replacement of a number of tower steel members in asset works, which EMCa found were replaced under recurrent maintenance in 2008–13. EMCa estimate</w:t>
      </w:r>
      <w:r>
        <w:t>d</w:t>
      </w:r>
      <w:r w:rsidRPr="00076F5D">
        <w:t xml:space="preserve"> an adjustment of $0.6 million to the base year is required to remove duplication between </w:t>
      </w:r>
      <w:r>
        <w:t xml:space="preserve">SP AusNet's </w:t>
      </w:r>
      <w:r w:rsidRPr="00076F5D">
        <w:t xml:space="preserve">bottom up asset works proposal and its base year forecast (forecast </w:t>
      </w:r>
      <w:r>
        <w:t>reduction of</w:t>
      </w:r>
      <w:r w:rsidRPr="00076F5D">
        <w:t xml:space="preserve"> $1.8 million). However, our </w:t>
      </w:r>
      <w:r>
        <w:t xml:space="preserve">revealed costs forecast for total controllable opex does not require an adjustment for </w:t>
      </w:r>
      <w:r w:rsidRPr="00076F5D">
        <w:t xml:space="preserve">reclassification at </w:t>
      </w:r>
      <w:r>
        <w:t>sub–category</w:t>
      </w:r>
      <w:r w:rsidRPr="00076F5D">
        <w:t xml:space="preserve"> level.</w:t>
      </w:r>
    </w:p>
    <w:p w:rsidR="0088341A" w:rsidRPr="006733EE" w:rsidRDefault="0088341A" w:rsidP="00206240">
      <w:pPr>
        <w:pStyle w:val="HeadingBoldItalic"/>
        <w:rPr>
          <w:rStyle w:val="AERtextbolditalics"/>
          <w:b/>
        </w:rPr>
      </w:pPr>
      <w:bookmarkStart w:id="201" w:name="_Ref362009007"/>
      <w:r w:rsidRPr="006733EE">
        <w:rPr>
          <w:rStyle w:val="AERtextbolditalics"/>
          <w:b/>
          <w:i/>
        </w:rPr>
        <w:t>Step changes</w:t>
      </w:r>
      <w:bookmarkEnd w:id="201"/>
    </w:p>
    <w:p w:rsidR="0088341A" w:rsidRDefault="0088341A" w:rsidP="0088341A">
      <w:pPr>
        <w:pStyle w:val="AERbodytext"/>
        <w:numPr>
          <w:ilvl w:val="0"/>
          <w:numId w:val="13"/>
        </w:numPr>
      </w:pPr>
      <w:r>
        <w:t xml:space="preserve">We accept $2.8 million of step changes </w:t>
      </w:r>
      <w:r w:rsidR="00F44BD4">
        <w:t xml:space="preserve">to the </w:t>
      </w:r>
      <w:r>
        <w:t>base-step-trend forecast (</w:t>
      </w:r>
      <w:r>
        <w:fldChar w:fldCharType="begin"/>
      </w:r>
      <w:r>
        <w:instrText xml:space="preserve"> REF _Ref363422966 \h </w:instrText>
      </w:r>
      <w:r>
        <w:fldChar w:fldCharType="separate"/>
      </w:r>
      <w:r w:rsidR="004F35AA">
        <w:t xml:space="preserve">Table </w:t>
      </w:r>
      <w:r w:rsidR="004F35AA">
        <w:rPr>
          <w:noProof/>
        </w:rPr>
        <w:t>3</w:t>
      </w:r>
      <w:r w:rsidR="004F35AA">
        <w:t>.</w:t>
      </w:r>
      <w:r w:rsidR="004F35AA">
        <w:rPr>
          <w:noProof/>
        </w:rPr>
        <w:t>6</w:t>
      </w:r>
      <w:r>
        <w:fldChar w:fldCharType="end"/>
      </w:r>
      <w:r>
        <w:t xml:space="preserve">). Our full reasoning is at Appendix </w:t>
      </w:r>
      <w:r w:rsidR="00FA39F6">
        <w:t xml:space="preserve">D </w:t>
      </w:r>
      <w:r>
        <w:t>(Opex–step changes) and Appendix B (Insurance forecast).</w:t>
      </w:r>
    </w:p>
    <w:p w:rsidR="0088341A" w:rsidRDefault="0088341A" w:rsidP="0088341A">
      <w:pPr>
        <w:pStyle w:val="Caption"/>
        <w:keepLines/>
      </w:pPr>
      <w:bookmarkStart w:id="202" w:name="_Ref363422966"/>
      <w:r>
        <w:lastRenderedPageBreak/>
        <w:t xml:space="preserve">Table </w:t>
      </w:r>
      <w:fldSimple w:instr=" STYLEREF 1 \s ">
        <w:r w:rsidR="004F35AA">
          <w:rPr>
            <w:noProof/>
          </w:rPr>
          <w:t>3</w:t>
        </w:r>
      </w:fldSimple>
      <w:r w:rsidR="00C56A87">
        <w:t>.</w:t>
      </w:r>
      <w:fldSimple w:instr=" SEQ Table \* ARABIC \s 1 ">
        <w:r w:rsidR="004F35AA">
          <w:rPr>
            <w:noProof/>
          </w:rPr>
          <w:t>6</w:t>
        </w:r>
      </w:fldSimple>
      <w:bookmarkEnd w:id="202"/>
      <w:r w:rsidR="00BF1DF5">
        <w:tab/>
        <w:t>AER's step changes, un</w:t>
      </w:r>
      <w:r>
        <w:t>escalated ($ million, 2013-14)</w:t>
      </w:r>
    </w:p>
    <w:tbl>
      <w:tblPr>
        <w:tblStyle w:val="AERtable-text"/>
        <w:tblW w:w="0" w:type="auto"/>
        <w:tblLook w:val="04A0" w:firstRow="1" w:lastRow="0" w:firstColumn="1" w:lastColumn="0" w:noHBand="0" w:noVBand="1"/>
      </w:tblPr>
      <w:tblGrid>
        <w:gridCol w:w="1525"/>
        <w:gridCol w:w="990"/>
        <w:gridCol w:w="741"/>
        <w:gridCol w:w="5986"/>
      </w:tblGrid>
      <w:tr w:rsidR="0088341A" w:rsidRPr="009C0A78" w:rsidTr="00CB05AA">
        <w:trPr>
          <w:cnfStyle w:val="100000000000" w:firstRow="1" w:lastRow="0" w:firstColumn="0" w:lastColumn="0" w:oddVBand="0" w:evenVBand="0" w:oddHBand="0" w:evenHBand="0" w:firstRowFirstColumn="0" w:firstRowLastColumn="0" w:lastRowFirstColumn="0" w:lastRowLastColumn="0"/>
        </w:trPr>
        <w:tc>
          <w:tcPr>
            <w:tcW w:w="1525" w:type="dxa"/>
          </w:tcPr>
          <w:p w:rsidR="0088341A" w:rsidRPr="00CB05AA" w:rsidRDefault="0088341A" w:rsidP="00CB05AA">
            <w:pPr>
              <w:pStyle w:val="AERtabletextleft"/>
            </w:pPr>
            <w:r w:rsidRPr="00CB05AA">
              <w:t>Step change</w:t>
            </w:r>
          </w:p>
        </w:tc>
        <w:tc>
          <w:tcPr>
            <w:tcW w:w="990" w:type="dxa"/>
          </w:tcPr>
          <w:p w:rsidR="0088341A" w:rsidRPr="00CB05AA" w:rsidRDefault="0088341A" w:rsidP="00CB05AA">
            <w:pPr>
              <w:pStyle w:val="AERtabletextleft"/>
            </w:pPr>
            <w:r w:rsidRPr="00CB05AA">
              <w:t>SPA</w:t>
            </w:r>
          </w:p>
        </w:tc>
        <w:tc>
          <w:tcPr>
            <w:tcW w:w="741" w:type="dxa"/>
          </w:tcPr>
          <w:p w:rsidR="0088341A" w:rsidRPr="00CB05AA" w:rsidRDefault="0088341A" w:rsidP="00CB05AA">
            <w:pPr>
              <w:pStyle w:val="AERtabletextleft"/>
            </w:pPr>
            <w:r w:rsidRPr="00CB05AA">
              <w:t>AER</w:t>
            </w:r>
          </w:p>
        </w:tc>
        <w:tc>
          <w:tcPr>
            <w:tcW w:w="5986" w:type="dxa"/>
          </w:tcPr>
          <w:p w:rsidR="0088341A" w:rsidRPr="00CB05AA" w:rsidRDefault="0088341A" w:rsidP="00CB05AA">
            <w:pPr>
              <w:pStyle w:val="AERtabletextleft"/>
            </w:pPr>
            <w:r w:rsidRPr="00CB05AA">
              <w:t>Reason</w:t>
            </w:r>
          </w:p>
        </w:tc>
      </w:tr>
      <w:tr w:rsidR="0088341A" w:rsidRPr="00DB275C" w:rsidTr="00CB05AA">
        <w:tc>
          <w:tcPr>
            <w:tcW w:w="1525" w:type="dxa"/>
          </w:tcPr>
          <w:p w:rsidR="0088341A" w:rsidRPr="00DB275C" w:rsidRDefault="0088341A" w:rsidP="00501137">
            <w:pPr>
              <w:pStyle w:val="AERtabletextleft"/>
              <w:keepNext/>
              <w:keepLines/>
            </w:pPr>
            <w:r w:rsidRPr="00DB275C">
              <w:t xml:space="preserve">SCADA enhancements–controller simulator training </w:t>
            </w:r>
          </w:p>
        </w:tc>
        <w:tc>
          <w:tcPr>
            <w:tcW w:w="990" w:type="dxa"/>
          </w:tcPr>
          <w:p w:rsidR="0088341A" w:rsidRPr="00DB275C" w:rsidRDefault="0088341A" w:rsidP="00501137">
            <w:pPr>
              <w:pStyle w:val="AERtabletextleft"/>
              <w:keepNext/>
              <w:keepLines/>
            </w:pPr>
            <w:r w:rsidRPr="00DB275C">
              <w:t>0.9</w:t>
            </w:r>
          </w:p>
        </w:tc>
        <w:tc>
          <w:tcPr>
            <w:tcW w:w="741" w:type="dxa"/>
          </w:tcPr>
          <w:p w:rsidR="0088341A" w:rsidRPr="00DB275C" w:rsidRDefault="0088341A" w:rsidP="00501137">
            <w:pPr>
              <w:pStyle w:val="AERtabletextleft"/>
              <w:keepNext/>
              <w:keepLines/>
            </w:pPr>
            <w:r w:rsidRPr="00DB275C">
              <w:t>0.9</w:t>
            </w:r>
          </w:p>
        </w:tc>
        <w:tc>
          <w:tcPr>
            <w:tcW w:w="5986" w:type="dxa"/>
          </w:tcPr>
          <w:p w:rsidR="0088341A" w:rsidRPr="00DB275C" w:rsidRDefault="0088341A" w:rsidP="00501137">
            <w:pPr>
              <w:pStyle w:val="AERtabletextleft"/>
              <w:keepNext/>
              <w:keepLines/>
            </w:pPr>
            <w:r w:rsidRPr="00DB275C">
              <w:t>SP AusNet proposed new IT opex totalling $0.9 million for the development of a new training system for network controllers. Currently, it trains staff using the live network under supervised controls but as part of its capex proposal, it proposed to develop a controller simulation training program (which we accept meets the capex objectives).</w:t>
            </w:r>
            <w:r w:rsidRPr="009C0A78">
              <w:rPr>
                <w:rStyle w:val="FootnoteReference"/>
              </w:rPr>
              <w:footnoteReference w:id="328"/>
            </w:r>
            <w:r w:rsidRPr="00DB275C">
              <w:t xml:space="preserve"> This step change is for additional 1.5 full time equivalent staff to develop and build test scenarios in relation to that capex program.</w:t>
            </w:r>
          </w:p>
          <w:p w:rsidR="0088341A" w:rsidRPr="00DB275C" w:rsidRDefault="0088341A" w:rsidP="00501137">
            <w:pPr>
              <w:pStyle w:val="AERtabletextleft"/>
              <w:keepNext/>
              <w:keepLines/>
            </w:pPr>
            <w:r w:rsidRPr="00DB275C">
              <w:t>We accept this step change because it represents good industry practice and reflects what many other TNSPs are implementing. We consider the reduction in risk from the program’s development directly benefits consumers. EMCa recommended accepting the step change, noting the program is good industry practice and used by other TNSPs internationally. It considered the program should improve system operational management and reduce system operational risk.</w:t>
            </w:r>
            <w:r w:rsidRPr="009C0A78">
              <w:rPr>
                <w:rStyle w:val="FootnoteReference"/>
              </w:rPr>
              <w:footnoteReference w:id="329"/>
            </w:r>
            <w:r w:rsidRPr="00A907E9">
              <w:rPr>
                <w:rStyle w:val="Heading2Char"/>
              </w:rPr>
              <w:t xml:space="preserve"> </w:t>
            </w:r>
            <w:r w:rsidRPr="009C0A78">
              <w:rPr>
                <w:rStyle w:val="FootnoteReference"/>
              </w:rPr>
              <w:footnoteReference w:id="330"/>
            </w:r>
          </w:p>
        </w:tc>
      </w:tr>
      <w:tr w:rsidR="0088341A" w:rsidRPr="009C0A78" w:rsidTr="00CB05AA">
        <w:trPr>
          <w:cnfStyle w:val="000000010000" w:firstRow="0" w:lastRow="0" w:firstColumn="0" w:lastColumn="0" w:oddVBand="0" w:evenVBand="0" w:oddHBand="0" w:evenHBand="1" w:firstRowFirstColumn="0" w:firstRowLastColumn="0" w:lastRowFirstColumn="0" w:lastRowLastColumn="0"/>
        </w:trPr>
        <w:tc>
          <w:tcPr>
            <w:tcW w:w="1525" w:type="dxa"/>
          </w:tcPr>
          <w:p w:rsidR="0088341A" w:rsidRPr="00DB275C" w:rsidRDefault="0088341A" w:rsidP="00501137">
            <w:pPr>
              <w:pStyle w:val="AERtabletextleft"/>
              <w:keepNext/>
              <w:keepLines/>
            </w:pPr>
            <w:r w:rsidRPr="00DB275C">
              <w:t xml:space="preserve">Transitional arrangements for the Economic Regulation of NSPs rule change </w:t>
            </w:r>
          </w:p>
        </w:tc>
        <w:tc>
          <w:tcPr>
            <w:tcW w:w="990" w:type="dxa"/>
          </w:tcPr>
          <w:p w:rsidR="0088341A" w:rsidRPr="00DB275C" w:rsidRDefault="0088341A" w:rsidP="00501137">
            <w:pPr>
              <w:pStyle w:val="AERtabletextleft"/>
              <w:keepNext/>
              <w:keepLines/>
            </w:pPr>
            <w:r w:rsidRPr="00DB275C">
              <w:t>2.8</w:t>
            </w:r>
          </w:p>
        </w:tc>
        <w:tc>
          <w:tcPr>
            <w:tcW w:w="741" w:type="dxa"/>
          </w:tcPr>
          <w:p w:rsidR="0088341A" w:rsidRPr="00DB275C" w:rsidRDefault="0088341A" w:rsidP="00501137">
            <w:pPr>
              <w:pStyle w:val="AERtabletextleft"/>
              <w:keepNext/>
              <w:keepLines/>
            </w:pPr>
            <w:r w:rsidRPr="00DB275C">
              <w:t>1.8</w:t>
            </w:r>
          </w:p>
        </w:tc>
        <w:tc>
          <w:tcPr>
            <w:tcW w:w="5986" w:type="dxa"/>
          </w:tcPr>
          <w:p w:rsidR="0088341A" w:rsidRPr="00DB275C" w:rsidRDefault="0088341A" w:rsidP="00501137">
            <w:pPr>
              <w:pStyle w:val="AERtabletextleft"/>
              <w:keepNext/>
              <w:keepLines/>
            </w:pPr>
            <w:r w:rsidRPr="00DB275C">
              <w:t>SP AusNet proposed a $2.8 million step change for the transitional arrangements for the AEMC rule change for the economic regulation of network service providers.</w:t>
            </w:r>
            <w:r w:rsidRPr="009C0A78">
              <w:rPr>
                <w:rStyle w:val="FootnoteReference"/>
              </w:rPr>
              <w:footnoteReference w:id="331"/>
            </w:r>
            <w:r w:rsidRPr="00DB275C">
              <w:t xml:space="preserve"> We do not accept this step change as proposed, because we consider SP AusNet's proposed opex is more than reasonably required to meet the opex objectives. We do, however, accept that a one-off (non-recurrent) step change of $1.9 million is required. We used actual costs in 2012–13 and 2013–14 to estimate the cost of preparing a future transmission regulatory proposal.</w:t>
            </w:r>
          </w:p>
        </w:tc>
      </w:tr>
      <w:tr w:rsidR="0088341A" w:rsidRPr="009C0A78" w:rsidTr="00CB05AA">
        <w:tc>
          <w:tcPr>
            <w:tcW w:w="1525" w:type="dxa"/>
          </w:tcPr>
          <w:p w:rsidR="0088341A" w:rsidRPr="00DB275C" w:rsidRDefault="0088341A" w:rsidP="00501137">
            <w:pPr>
              <w:pStyle w:val="AERtabletextleft"/>
              <w:keepNext/>
              <w:keepLines/>
            </w:pPr>
            <w:r w:rsidRPr="00DB275C">
              <w:t>Security of critical infrastructure</w:t>
            </w:r>
          </w:p>
        </w:tc>
        <w:tc>
          <w:tcPr>
            <w:tcW w:w="990" w:type="dxa"/>
          </w:tcPr>
          <w:p w:rsidR="0088341A" w:rsidRPr="00DB275C" w:rsidRDefault="0088341A" w:rsidP="00501137">
            <w:pPr>
              <w:pStyle w:val="AERtabletextleft"/>
              <w:keepNext/>
              <w:keepLines/>
            </w:pPr>
            <w:r w:rsidRPr="00DB275C">
              <w:t>4.8</w:t>
            </w:r>
          </w:p>
        </w:tc>
        <w:tc>
          <w:tcPr>
            <w:tcW w:w="741" w:type="dxa"/>
          </w:tcPr>
          <w:p w:rsidR="0088341A" w:rsidRPr="009C0A78" w:rsidRDefault="004D1525" w:rsidP="00501137">
            <w:pPr>
              <w:pStyle w:val="AERtabletextleft"/>
              <w:keepNext/>
              <w:keepLines/>
              <w:rPr>
                <w:rFonts w:eastAsia="Calibri"/>
              </w:rPr>
            </w:pPr>
            <w:r>
              <w:rPr>
                <w:rFonts w:eastAsia="Calibri"/>
              </w:rPr>
              <w:t>CIC</w:t>
            </w:r>
          </w:p>
        </w:tc>
        <w:tc>
          <w:tcPr>
            <w:tcW w:w="5986" w:type="dxa"/>
          </w:tcPr>
          <w:p w:rsidR="0088341A" w:rsidRPr="00DB275C" w:rsidRDefault="0088341A" w:rsidP="00501137">
            <w:pPr>
              <w:pStyle w:val="AERtabletextleft"/>
              <w:keepNext/>
              <w:keepLines/>
            </w:pPr>
            <w:r w:rsidRPr="00DB275C">
              <w:t xml:space="preserve">We accept the counter terrorism exercise component is driven by an external legislative requirement—the implementation of the Victorian Government’s Emergency Management Reform white paper and the Terrorism (Community Protection) Act 2003 which will result in increased costs. </w:t>
            </w:r>
          </w:p>
        </w:tc>
      </w:tr>
      <w:tr w:rsidR="0088341A" w:rsidRPr="00DB275C" w:rsidTr="00CB05AA">
        <w:trPr>
          <w:cnfStyle w:val="000000010000" w:firstRow="0" w:lastRow="0" w:firstColumn="0" w:lastColumn="0" w:oddVBand="0" w:evenVBand="0" w:oddHBand="0" w:evenHBand="1" w:firstRowFirstColumn="0" w:firstRowLastColumn="0" w:lastRowFirstColumn="0" w:lastRowLastColumn="0"/>
        </w:trPr>
        <w:tc>
          <w:tcPr>
            <w:tcW w:w="1525" w:type="dxa"/>
          </w:tcPr>
          <w:p w:rsidR="0088341A" w:rsidRPr="009820BB" w:rsidRDefault="0088341A" w:rsidP="00501137">
            <w:pPr>
              <w:pStyle w:val="AERtabletextleft"/>
              <w:keepNext/>
              <w:keepLines/>
            </w:pPr>
            <w:r w:rsidRPr="009820BB">
              <w:t>Total</w:t>
            </w:r>
          </w:p>
        </w:tc>
        <w:tc>
          <w:tcPr>
            <w:tcW w:w="990" w:type="dxa"/>
          </w:tcPr>
          <w:p w:rsidR="0088341A" w:rsidRPr="00DB275C" w:rsidRDefault="0088341A" w:rsidP="00501137">
            <w:pPr>
              <w:pStyle w:val="AERtabletextleft"/>
              <w:keepNext/>
              <w:keepLines/>
            </w:pPr>
          </w:p>
        </w:tc>
        <w:tc>
          <w:tcPr>
            <w:tcW w:w="741" w:type="dxa"/>
          </w:tcPr>
          <w:p w:rsidR="0088341A" w:rsidRPr="00DB275C" w:rsidRDefault="00BF1DF5" w:rsidP="00501137">
            <w:pPr>
              <w:pStyle w:val="AERtabletextleft"/>
              <w:keepNext/>
              <w:keepLines/>
            </w:pPr>
            <w:r>
              <w:t>2.8</w:t>
            </w:r>
          </w:p>
        </w:tc>
        <w:tc>
          <w:tcPr>
            <w:tcW w:w="5986" w:type="dxa"/>
          </w:tcPr>
          <w:p w:rsidR="0088341A" w:rsidRPr="00DB275C" w:rsidRDefault="0088341A" w:rsidP="00501137">
            <w:pPr>
              <w:pStyle w:val="AERtabletextleft"/>
              <w:keepNext/>
              <w:keepLines/>
            </w:pPr>
          </w:p>
        </w:tc>
      </w:tr>
    </w:tbl>
    <w:p w:rsidR="0088341A" w:rsidRDefault="0088341A" w:rsidP="0088341A">
      <w:pPr>
        <w:pStyle w:val="AERtablesource"/>
        <w:keepNext/>
        <w:keepLines/>
      </w:pPr>
      <w:r>
        <w:t>Source:</w:t>
      </w:r>
      <w:r>
        <w:tab/>
        <w:t xml:space="preserve">AER analysis. See appendix B and </w:t>
      </w:r>
      <w:r w:rsidR="00FA39F6">
        <w:t xml:space="preserve">D </w:t>
      </w:r>
      <w:r>
        <w:t>for full details.</w:t>
      </w:r>
      <w:r w:rsidR="00BF1DF5">
        <w:t xml:space="preserve"> </w:t>
      </w:r>
    </w:p>
    <w:p w:rsidR="00BF1DF5" w:rsidRPr="00BF1DF5" w:rsidRDefault="00BF1DF5" w:rsidP="00BF1DF5">
      <w:pPr>
        <w:pStyle w:val="AERtablesource"/>
      </w:pPr>
      <w:r>
        <w:t xml:space="preserve">Note: </w:t>
      </w:r>
      <w:r>
        <w:tab/>
        <w:t xml:space="preserve">Does not include the net insurance step change (appendix B). Total does not include the ‘security of critical infrastructure’ step change. Totals may not add due to rounding. </w:t>
      </w:r>
      <w:r w:rsidR="00F44BD4">
        <w:t xml:space="preserve">CIC = commercial in confidence. </w:t>
      </w:r>
    </w:p>
    <w:p w:rsidR="0088341A" w:rsidRDefault="0088341A" w:rsidP="006733EE">
      <w:pPr>
        <w:pStyle w:val="HeadingItalic"/>
      </w:pPr>
      <w:r>
        <w:t>Additional step changes recommended by EMCa</w:t>
      </w:r>
    </w:p>
    <w:p w:rsidR="0088341A" w:rsidRPr="000A3F18" w:rsidRDefault="0088341A" w:rsidP="0088341A">
      <w:pPr>
        <w:pStyle w:val="AERbodytext"/>
        <w:numPr>
          <w:ilvl w:val="0"/>
          <w:numId w:val="13"/>
        </w:numPr>
      </w:pPr>
      <w:r>
        <w:t>SP AusNet has invested significant capital expenditure on strategic IT during 2003–2013 and EMCa consider the opex benefits for this should be evident in 2014–17. EUAA also addressed this issue in its submission.</w:t>
      </w:r>
      <w:r w:rsidRPr="003F2A31">
        <w:t xml:space="preserve"> </w:t>
      </w:r>
      <w:r>
        <w:t>EUAA commented that:</w:t>
      </w:r>
      <w:r>
        <w:rPr>
          <w:rStyle w:val="FootnoteReference"/>
        </w:rPr>
        <w:footnoteReference w:id="332"/>
      </w:r>
      <w:r>
        <w:t xml:space="preserve"> </w:t>
      </w:r>
    </w:p>
    <w:p w:rsidR="0088341A" w:rsidRDefault="0088341A" w:rsidP="0088341A">
      <w:pPr>
        <w:pStyle w:val="AERquote"/>
      </w:pPr>
      <w:r>
        <w:t xml:space="preserve">SP AusNet </w:t>
      </w:r>
      <w:r w:rsidRPr="000A3F18">
        <w:t>has proposed $2.8</w:t>
      </w:r>
      <w:r>
        <w:t> </w:t>
      </w:r>
      <w:r w:rsidRPr="000A3F18">
        <w:t>m</w:t>
      </w:r>
      <w:r>
        <w:t>illion</w:t>
      </w:r>
      <w:r w:rsidRPr="000A3F18">
        <w:t xml:space="preserve"> more operating expenditure to support ICT capital</w:t>
      </w:r>
      <w:r>
        <w:t xml:space="preserve"> </w:t>
      </w:r>
      <w:r w:rsidRPr="000A3F18">
        <w:t>expenditure. While in the broader context this is not a significant amount, it needs to be seen</w:t>
      </w:r>
      <w:r>
        <w:t xml:space="preserve"> </w:t>
      </w:r>
      <w:r w:rsidRPr="000A3F18">
        <w:t xml:space="preserve">as part of </w:t>
      </w:r>
      <w:r>
        <w:t xml:space="preserve">SP AusNet's </w:t>
      </w:r>
      <w:r w:rsidRPr="000A3F18">
        <w:t>substantial claim for much higher capital and operating expenditure in</w:t>
      </w:r>
      <w:r>
        <w:t xml:space="preserve"> </w:t>
      </w:r>
      <w:r w:rsidRPr="000A3F18">
        <w:t>ICT than it has incurred historically. We are not in a position to assess this expenditure claim</w:t>
      </w:r>
      <w:r>
        <w:t xml:space="preserve"> </w:t>
      </w:r>
      <w:r w:rsidRPr="000A3F18">
        <w:t>but would like to be convinced that such large additional amounts of IT expenditure are</w:t>
      </w:r>
      <w:r>
        <w:t xml:space="preserve"> </w:t>
      </w:r>
      <w:r w:rsidRPr="000A3F18">
        <w:t xml:space="preserve">essential, rather than nice to have. </w:t>
      </w:r>
    </w:p>
    <w:p w:rsidR="0088341A" w:rsidRDefault="0088341A" w:rsidP="0088341A">
      <w:pPr>
        <w:pStyle w:val="AERquote"/>
      </w:pPr>
      <w:r w:rsidRPr="000A3F18">
        <w:t>In addition, where the additional expenditure results in</w:t>
      </w:r>
      <w:r>
        <w:t xml:space="preserve"> </w:t>
      </w:r>
      <w:r w:rsidRPr="000A3F18">
        <w:t>greater functionality and efficiency, we would have expected to see off-setting reductions in</w:t>
      </w:r>
      <w:r>
        <w:t xml:space="preserve"> </w:t>
      </w:r>
      <w:r w:rsidRPr="000A3F18">
        <w:t xml:space="preserve">expenditure elsewhere. However </w:t>
      </w:r>
      <w:r>
        <w:t xml:space="preserve">SP AusNet </w:t>
      </w:r>
      <w:r w:rsidRPr="000A3F18">
        <w:t>has only identified reductions of $0.8</w:t>
      </w:r>
      <w:r>
        <w:t> </w:t>
      </w:r>
      <w:r w:rsidRPr="000A3F18">
        <w:t>m</w:t>
      </w:r>
      <w:r>
        <w:t>illion</w:t>
      </w:r>
      <w:r w:rsidRPr="000A3F18">
        <w:t xml:space="preserve"> in</w:t>
      </w:r>
      <w:r>
        <w:t xml:space="preserve"> </w:t>
      </w:r>
      <w:r w:rsidRPr="000A3F18">
        <w:t>expenditure. This seems inadequate.</w:t>
      </w:r>
    </w:p>
    <w:p w:rsidR="0088341A" w:rsidRDefault="0088341A" w:rsidP="0088341A">
      <w:pPr>
        <w:pStyle w:val="AERbodytext"/>
        <w:numPr>
          <w:ilvl w:val="0"/>
          <w:numId w:val="13"/>
        </w:numPr>
      </w:pPr>
      <w:r>
        <w:t>EMCa's advice on this matter was:</w:t>
      </w:r>
      <w:r>
        <w:rPr>
          <w:rStyle w:val="FootnoteReference"/>
        </w:rPr>
        <w:footnoteReference w:id="333"/>
      </w:r>
      <w:r>
        <w:t xml:space="preserve"> </w:t>
      </w:r>
    </w:p>
    <w:p w:rsidR="0088341A" w:rsidRDefault="0088341A" w:rsidP="0088341A">
      <w:pPr>
        <w:pStyle w:val="AERquote"/>
      </w:pPr>
      <w:r w:rsidRPr="00F44930">
        <w:lastRenderedPageBreak/>
        <w:t xml:space="preserve">an estimate of the efficient level of opex, as is required under the NER, should take into account the continuation of efficiency improvements that can reasonably be expected. </w:t>
      </w:r>
      <w:r>
        <w:t xml:space="preserve">SP AusNet </w:t>
      </w:r>
      <w:r w:rsidRPr="00F44930">
        <w:t>is forecasting an efficiency gain of 1.44% from improvement due to capital project managem</w:t>
      </w:r>
      <w:r>
        <w:t>ent capability and governance. [RP P21 &amp; P83]</w:t>
      </w:r>
      <w:r w:rsidRPr="00F44930">
        <w:t>.</w:t>
      </w:r>
    </w:p>
    <w:p w:rsidR="0088341A" w:rsidRPr="00F44930" w:rsidRDefault="0088341A" w:rsidP="0088341A">
      <w:pPr>
        <w:pStyle w:val="AERquote"/>
      </w:pPr>
      <w:r w:rsidRPr="00F44930">
        <w:t>This would represent approximately a 2.</w:t>
      </w:r>
      <w:r w:rsidR="002666E5">
        <w:t>6 </w:t>
      </w:r>
      <w:r>
        <w:t>per cent</w:t>
      </w:r>
      <w:r w:rsidRPr="00F44930">
        <w:t xml:space="preserve"> reduction in </w:t>
      </w:r>
      <w:r>
        <w:t xml:space="preserve">SP AusNet's </w:t>
      </w:r>
      <w:r w:rsidRPr="00F44930">
        <w:t>proposed controllable opex, and we consider this to be a reasonable proxy for continuous improvements generally.</w:t>
      </w:r>
    </w:p>
    <w:p w:rsidR="0088341A" w:rsidRDefault="0088341A" w:rsidP="0088341A">
      <w:pPr>
        <w:pStyle w:val="AERbodytext"/>
        <w:numPr>
          <w:ilvl w:val="0"/>
          <w:numId w:val="13"/>
        </w:numPr>
      </w:pPr>
      <w:r>
        <w:t xml:space="preserve">We accept that EMCa’s review considers the issue of capturing the benefits of strategic capital investments. The question for us is whether some of these benefits have already been captured in the base year expenditure and going forward will be shared with customers. On balance we will not make an adjustment for the benefits we expect in the future for the past capex investments. </w:t>
      </w:r>
    </w:p>
    <w:p w:rsidR="0088341A" w:rsidRPr="003E1BF5" w:rsidRDefault="0088341A" w:rsidP="0088341A">
      <w:pPr>
        <w:pStyle w:val="HeadingBoldItalic"/>
      </w:pPr>
      <w:r>
        <w:t>Real cost escalation</w:t>
      </w:r>
    </w:p>
    <w:p w:rsidR="0088341A" w:rsidRPr="006C0A35" w:rsidRDefault="0088341A" w:rsidP="0088341A">
      <w:pPr>
        <w:pStyle w:val="AERbodytext"/>
        <w:numPr>
          <w:ilvl w:val="0"/>
          <w:numId w:val="13"/>
        </w:numPr>
      </w:pPr>
      <w:r w:rsidRPr="006C0A35">
        <w:t xml:space="preserve">We applied individual real cost escalators for each year of the 2004–17 regulatory control period. Our application differs from </w:t>
      </w:r>
      <w:r>
        <w:t xml:space="preserve">SP AusNet's </w:t>
      </w:r>
      <w:r w:rsidRPr="006C0A35">
        <w:t xml:space="preserve">proposal which applied an average of the forecast real cost escalators in each year. We consider our approach more reliably reflects the year on year movements in real cost escalation over the forecast. </w:t>
      </w:r>
      <w:r>
        <w:t xml:space="preserve">Our </w:t>
      </w:r>
      <w:r w:rsidRPr="006C0A35">
        <w:t xml:space="preserve">approach is consistent with </w:t>
      </w:r>
      <w:r>
        <w:t xml:space="preserve">SP AusNet's approach for </w:t>
      </w:r>
      <w:r w:rsidRPr="006C0A35">
        <w:t xml:space="preserve">its proposed capex forecast. This adjustment reduced </w:t>
      </w:r>
      <w:r>
        <w:t xml:space="preserve">SP AusNet's </w:t>
      </w:r>
      <w:r w:rsidRPr="006C0A35">
        <w:t>total opex requirements by $</w:t>
      </w:r>
      <w:r>
        <w:t>1.6 </w:t>
      </w:r>
      <w:r w:rsidRPr="006C0A35">
        <w:t>million (</w:t>
      </w:r>
      <w:r>
        <w:fldChar w:fldCharType="begin"/>
      </w:r>
      <w:r>
        <w:instrText xml:space="preserve"> REF _Ref362433620 \h </w:instrText>
      </w:r>
      <w:r>
        <w:fldChar w:fldCharType="separate"/>
      </w:r>
      <w:r w:rsidR="004F35AA">
        <w:t xml:space="preserve">Table </w:t>
      </w:r>
      <w:r w:rsidR="004F35AA">
        <w:rPr>
          <w:noProof/>
        </w:rPr>
        <w:t>3</w:t>
      </w:r>
      <w:r w:rsidR="004F35AA">
        <w:t>.</w:t>
      </w:r>
      <w:r w:rsidR="004F35AA">
        <w:rPr>
          <w:noProof/>
        </w:rPr>
        <w:t>7</w:t>
      </w:r>
      <w:r>
        <w:fldChar w:fldCharType="end"/>
      </w:r>
      <w:r w:rsidRPr="006C0A35">
        <w:t>).</w:t>
      </w:r>
    </w:p>
    <w:p w:rsidR="0088341A" w:rsidRDefault="0088341A" w:rsidP="0088341A">
      <w:pPr>
        <w:pStyle w:val="Caption"/>
        <w:keepLines/>
      </w:pPr>
      <w:bookmarkStart w:id="203" w:name="_Ref362433620"/>
      <w:r>
        <w:t xml:space="preserve">Table </w:t>
      </w:r>
      <w:fldSimple w:instr=" STYLEREF 1 \s ">
        <w:r w:rsidR="004F35AA">
          <w:rPr>
            <w:noProof/>
          </w:rPr>
          <w:t>3</w:t>
        </w:r>
      </w:fldSimple>
      <w:r w:rsidR="00C56A87">
        <w:t>.</w:t>
      </w:r>
      <w:fldSimple w:instr=" SEQ Table \* ARABIC \s 1 ">
        <w:r w:rsidR="004F35AA">
          <w:rPr>
            <w:noProof/>
          </w:rPr>
          <w:t>7</w:t>
        </w:r>
      </w:fldSimple>
      <w:bookmarkEnd w:id="203"/>
      <w:r>
        <w:tab/>
        <w:t>Impact of AER's real cost escalation on opex ($ million, 2013–14)</w:t>
      </w:r>
    </w:p>
    <w:tbl>
      <w:tblPr>
        <w:tblW w:w="0" w:type="auto"/>
        <w:tblBorders>
          <w:bottom w:val="single" w:sz="4" w:space="0" w:color="365F91"/>
        </w:tblBorders>
        <w:tblLook w:val="04A0" w:firstRow="1" w:lastRow="0" w:firstColumn="1" w:lastColumn="0" w:noHBand="0" w:noVBand="1"/>
      </w:tblPr>
      <w:tblGrid>
        <w:gridCol w:w="3166"/>
        <w:gridCol w:w="1519"/>
        <w:gridCol w:w="1519"/>
        <w:gridCol w:w="1519"/>
        <w:gridCol w:w="1519"/>
      </w:tblGrid>
      <w:tr w:rsidR="0088341A" w:rsidRPr="00FB1DC8" w:rsidTr="00501137">
        <w:tc>
          <w:tcPr>
            <w:tcW w:w="3166" w:type="dxa"/>
            <w:shd w:val="clear" w:color="auto" w:fill="365F91"/>
            <w:vAlign w:val="center"/>
          </w:tcPr>
          <w:p w:rsidR="0088341A" w:rsidRPr="00520C96" w:rsidRDefault="0088341A" w:rsidP="00501137">
            <w:pPr>
              <w:pStyle w:val="AERtabletextright"/>
              <w:rPr>
                <w:b/>
                <w:color w:val="FFFFFF"/>
              </w:rPr>
            </w:pPr>
          </w:p>
        </w:tc>
        <w:tc>
          <w:tcPr>
            <w:tcW w:w="1519" w:type="dxa"/>
            <w:shd w:val="clear" w:color="auto" w:fill="365F91"/>
            <w:vAlign w:val="center"/>
          </w:tcPr>
          <w:p w:rsidR="0088341A" w:rsidRPr="00520C96" w:rsidRDefault="0088341A" w:rsidP="00501137">
            <w:pPr>
              <w:pStyle w:val="AERtabletextright"/>
              <w:rPr>
                <w:b/>
                <w:color w:val="FFFFFF"/>
              </w:rPr>
            </w:pPr>
            <w:r w:rsidRPr="00520C96">
              <w:rPr>
                <w:b/>
                <w:color w:val="FFFFFF"/>
              </w:rPr>
              <w:t>2014–15</w:t>
            </w:r>
          </w:p>
        </w:tc>
        <w:tc>
          <w:tcPr>
            <w:tcW w:w="1519" w:type="dxa"/>
            <w:shd w:val="clear" w:color="auto" w:fill="365F91"/>
            <w:vAlign w:val="center"/>
          </w:tcPr>
          <w:p w:rsidR="0088341A" w:rsidRPr="00520C96" w:rsidRDefault="0088341A" w:rsidP="00501137">
            <w:pPr>
              <w:pStyle w:val="AERtabletextright"/>
              <w:rPr>
                <w:b/>
                <w:color w:val="FFFFFF"/>
              </w:rPr>
            </w:pPr>
            <w:r w:rsidRPr="00520C96">
              <w:rPr>
                <w:b/>
                <w:color w:val="FFFFFF"/>
              </w:rPr>
              <w:t>2015–16</w:t>
            </w:r>
          </w:p>
        </w:tc>
        <w:tc>
          <w:tcPr>
            <w:tcW w:w="1519" w:type="dxa"/>
            <w:shd w:val="clear" w:color="auto" w:fill="365F91"/>
            <w:vAlign w:val="center"/>
          </w:tcPr>
          <w:p w:rsidR="0088341A" w:rsidRPr="00520C96" w:rsidRDefault="0088341A" w:rsidP="00501137">
            <w:pPr>
              <w:pStyle w:val="AERtabletextright"/>
              <w:rPr>
                <w:b/>
                <w:color w:val="FFFFFF"/>
              </w:rPr>
            </w:pPr>
            <w:r w:rsidRPr="00520C96">
              <w:rPr>
                <w:b/>
                <w:color w:val="FFFFFF"/>
              </w:rPr>
              <w:t>2016–17</w:t>
            </w:r>
          </w:p>
        </w:tc>
        <w:tc>
          <w:tcPr>
            <w:tcW w:w="1519" w:type="dxa"/>
            <w:shd w:val="clear" w:color="auto" w:fill="365F91"/>
            <w:vAlign w:val="center"/>
          </w:tcPr>
          <w:p w:rsidR="0088341A" w:rsidRPr="00520C96" w:rsidRDefault="0088341A" w:rsidP="00501137">
            <w:pPr>
              <w:pStyle w:val="AERtabletextright"/>
              <w:rPr>
                <w:b/>
                <w:color w:val="FFFFFF"/>
              </w:rPr>
            </w:pPr>
            <w:r w:rsidRPr="00520C96">
              <w:rPr>
                <w:b/>
                <w:color w:val="FFFFFF"/>
              </w:rPr>
              <w:t>Total</w:t>
            </w:r>
          </w:p>
        </w:tc>
      </w:tr>
      <w:tr w:rsidR="0088341A" w:rsidRPr="00FB1DC8" w:rsidTr="00501137">
        <w:tc>
          <w:tcPr>
            <w:tcW w:w="3166" w:type="dxa"/>
            <w:shd w:val="clear" w:color="auto" w:fill="auto"/>
            <w:vAlign w:val="center"/>
          </w:tcPr>
          <w:p w:rsidR="0088341A" w:rsidRPr="00FB1DC8" w:rsidRDefault="0088341A" w:rsidP="00501137">
            <w:pPr>
              <w:pStyle w:val="AERtabletextright"/>
            </w:pPr>
            <w:r w:rsidRPr="00FB1DC8">
              <w:t>Reduction from applying AER escalators</w:t>
            </w:r>
          </w:p>
        </w:tc>
        <w:tc>
          <w:tcPr>
            <w:tcW w:w="1519" w:type="dxa"/>
            <w:shd w:val="clear" w:color="auto" w:fill="auto"/>
            <w:vAlign w:val="center"/>
          </w:tcPr>
          <w:p w:rsidR="0088341A" w:rsidRPr="00FB1DC8" w:rsidRDefault="0088341A" w:rsidP="00501137">
            <w:pPr>
              <w:pStyle w:val="AERtabletextright"/>
            </w:pPr>
            <w:r>
              <w:t>0.2</w:t>
            </w:r>
          </w:p>
        </w:tc>
        <w:tc>
          <w:tcPr>
            <w:tcW w:w="1519" w:type="dxa"/>
            <w:shd w:val="clear" w:color="auto" w:fill="auto"/>
            <w:vAlign w:val="center"/>
          </w:tcPr>
          <w:p w:rsidR="0088341A" w:rsidRPr="00FB1DC8" w:rsidRDefault="0088341A" w:rsidP="00501137">
            <w:pPr>
              <w:pStyle w:val="AERtabletextright"/>
            </w:pPr>
            <w:r>
              <w:t>0.6</w:t>
            </w:r>
          </w:p>
        </w:tc>
        <w:tc>
          <w:tcPr>
            <w:tcW w:w="1519" w:type="dxa"/>
            <w:shd w:val="clear" w:color="auto" w:fill="auto"/>
            <w:vAlign w:val="center"/>
          </w:tcPr>
          <w:p w:rsidR="0088341A" w:rsidRPr="00FB1DC8" w:rsidRDefault="0088341A" w:rsidP="00501137">
            <w:pPr>
              <w:pStyle w:val="AERtabletextright"/>
            </w:pPr>
            <w:r>
              <w:t>0.8</w:t>
            </w:r>
          </w:p>
        </w:tc>
        <w:tc>
          <w:tcPr>
            <w:tcW w:w="1519" w:type="dxa"/>
            <w:shd w:val="clear" w:color="auto" w:fill="auto"/>
            <w:vAlign w:val="center"/>
          </w:tcPr>
          <w:p w:rsidR="0088341A" w:rsidRPr="00FB1DC8" w:rsidRDefault="0088341A" w:rsidP="00501137">
            <w:pPr>
              <w:pStyle w:val="AERtabletextright"/>
            </w:pPr>
            <w:r>
              <w:t>1.6</w:t>
            </w:r>
          </w:p>
        </w:tc>
      </w:tr>
    </w:tbl>
    <w:p w:rsidR="0088341A" w:rsidRDefault="0088341A" w:rsidP="0088341A">
      <w:pPr>
        <w:pStyle w:val="AERtablesource"/>
        <w:keepNext/>
        <w:keepLines/>
      </w:pPr>
      <w:r>
        <w:t>Source:</w:t>
      </w:r>
      <w:r>
        <w:tab/>
        <w:t xml:space="preserve">AER analysis. </w:t>
      </w:r>
    </w:p>
    <w:p w:rsidR="0088341A" w:rsidRDefault="0088341A" w:rsidP="0088341A">
      <w:pPr>
        <w:pStyle w:val="HeadingBoldItalic"/>
      </w:pPr>
      <w:bookmarkStart w:id="204" w:name="_Ref362009052"/>
      <w:r>
        <w:t>Network growth</w:t>
      </w:r>
      <w:bookmarkEnd w:id="204"/>
      <w:r>
        <w:t xml:space="preserve"> </w:t>
      </w:r>
    </w:p>
    <w:p w:rsidR="0088341A" w:rsidRDefault="0088341A" w:rsidP="0088341A">
      <w:pPr>
        <w:pStyle w:val="AERbodytext"/>
        <w:numPr>
          <w:ilvl w:val="0"/>
          <w:numId w:val="13"/>
        </w:numPr>
      </w:pPr>
      <w:r w:rsidRPr="00944042">
        <w:t xml:space="preserve">We accept </w:t>
      </w:r>
      <w:r>
        <w:t xml:space="preserve">SP AusNet's </w:t>
      </w:r>
      <w:r w:rsidRPr="0084474A">
        <w:t>proposed approach for estimating the network growth escalator over the 2008–14 regulatory control period</w:t>
      </w:r>
      <w:r w:rsidR="00D77DC9">
        <w:t>, however w</w:t>
      </w:r>
      <w:r w:rsidRPr="0084474A">
        <w:t xml:space="preserve">e updated </w:t>
      </w:r>
      <w:r>
        <w:t xml:space="preserve">SP AusNet's </w:t>
      </w:r>
      <w:r w:rsidRPr="0084474A">
        <w:t>opening RAB value as at 1</w:t>
      </w:r>
      <w:r w:rsidR="0010542E">
        <w:t> </w:t>
      </w:r>
      <w:r w:rsidRPr="0084474A">
        <w:t>April</w:t>
      </w:r>
      <w:r w:rsidR="0010542E">
        <w:t> </w:t>
      </w:r>
      <w:r w:rsidRPr="0084474A">
        <w:t xml:space="preserve">2014 (an input) to reflect our draft decision. </w:t>
      </w:r>
      <w:r>
        <w:t>Therefore the network growth factor is revised from 3.06 per cent to 2.91 per cent.</w:t>
      </w:r>
    </w:p>
    <w:p w:rsidR="0088341A" w:rsidRPr="003E5069" w:rsidRDefault="0088341A" w:rsidP="0088341A">
      <w:pPr>
        <w:pStyle w:val="AERbodytext"/>
        <w:numPr>
          <w:ilvl w:val="0"/>
          <w:numId w:val="13"/>
        </w:numPr>
      </w:pPr>
      <w:r>
        <w:t xml:space="preserve">EMCa provided an </w:t>
      </w:r>
      <w:r w:rsidRPr="00944042">
        <w:t xml:space="preserve">alternative </w:t>
      </w:r>
      <w:r>
        <w:t xml:space="preserve">method to </w:t>
      </w:r>
      <w:r w:rsidRPr="00944042">
        <w:t>estimat</w:t>
      </w:r>
      <w:r>
        <w:t xml:space="preserve">e the network growth factor by using </w:t>
      </w:r>
      <w:r w:rsidRPr="00944042">
        <w:t>the ratio of the Group 3 asset roll in value and the replacement value of the RAB</w:t>
      </w:r>
      <w:r>
        <w:t>. We accepted SP AusNet's method but note the outcome of the two approaches is broadly similar.</w:t>
      </w:r>
      <w:r>
        <w:rPr>
          <w:rStyle w:val="FootnoteReference"/>
        </w:rPr>
        <w:footnoteReference w:id="334"/>
      </w:r>
    </w:p>
    <w:p w:rsidR="0088341A" w:rsidRPr="0084474A" w:rsidRDefault="0088341A" w:rsidP="0088341A">
      <w:pPr>
        <w:pStyle w:val="HeadingBoldItalic"/>
        <w:rPr>
          <w:rStyle w:val="AERtextbolditalics"/>
          <w:b/>
          <w:i/>
        </w:rPr>
      </w:pPr>
      <w:bookmarkStart w:id="205" w:name="_Ref362015113"/>
      <w:r w:rsidRPr="0084474A">
        <w:rPr>
          <w:rStyle w:val="AERtextbolditalics"/>
          <w:b/>
          <w:i/>
        </w:rPr>
        <w:t>Economies of scale factors</w:t>
      </w:r>
      <w:bookmarkEnd w:id="205"/>
    </w:p>
    <w:p w:rsidR="0088341A" w:rsidRDefault="0088341A" w:rsidP="0088341A">
      <w:pPr>
        <w:pStyle w:val="AERbodytext"/>
        <w:numPr>
          <w:ilvl w:val="0"/>
          <w:numId w:val="13"/>
        </w:numPr>
      </w:pPr>
      <w:r>
        <w:rPr>
          <w:rStyle w:val="AERbody"/>
        </w:rPr>
        <w:t xml:space="preserve">While we accept SP AusNet's method for escalating its network growth, we do not accept the proposed scale factors have led to a realistic </w:t>
      </w:r>
      <w:r>
        <w:t>forecast. On this matter, EUAA commented:</w:t>
      </w:r>
      <w:r>
        <w:rPr>
          <w:rStyle w:val="FootnoteReference"/>
        </w:rPr>
        <w:footnoteReference w:id="335"/>
      </w:r>
      <w:r w:rsidRPr="00D46055">
        <w:rPr>
          <w:rStyle w:val="FootnoteReference"/>
        </w:rPr>
        <w:t xml:space="preserve"> </w:t>
      </w:r>
    </w:p>
    <w:p w:rsidR="0088341A" w:rsidRPr="00584548" w:rsidRDefault="0088341A" w:rsidP="0088341A">
      <w:pPr>
        <w:pStyle w:val="AERquote"/>
        <w:keepNext/>
        <w:keepLines/>
      </w:pPr>
      <w:r>
        <w:t xml:space="preserve">SP AusNet </w:t>
      </w:r>
      <w:r w:rsidRPr="00877B5C">
        <w:t>has proposed a proportional increase in opex (group three assets as a proportion of</w:t>
      </w:r>
      <w:r>
        <w:t xml:space="preserve"> </w:t>
      </w:r>
      <w:r w:rsidRPr="00877B5C">
        <w:t>RAB) reduced by 30</w:t>
      </w:r>
      <w:r>
        <w:t> per cent</w:t>
      </w:r>
      <w:r w:rsidRPr="00877B5C">
        <w:t xml:space="preserve"> for economies of scale. We are not convinced by this, considering that</w:t>
      </w:r>
      <w:r>
        <w:t xml:space="preserve"> </w:t>
      </w:r>
      <w:r w:rsidRPr="00877B5C">
        <w:t xml:space="preserve">these </w:t>
      </w:r>
      <w:r w:rsidRPr="00584548">
        <w:t>additional assets are new and as such may have a much lower opex requirement than existing assets. Accordingly we call on the AER to conduct a bottom up assessment of likely opex for these additional assets.</w:t>
      </w:r>
    </w:p>
    <w:p w:rsidR="0010542E" w:rsidRDefault="0010542E" w:rsidP="0010542E">
      <w:pPr>
        <w:pStyle w:val="AERbodytext"/>
        <w:numPr>
          <w:ilvl w:val="0"/>
          <w:numId w:val="13"/>
        </w:numPr>
      </w:pPr>
      <w:r>
        <w:t>SP AusNet applied a scale factor of 70 per cent to routine maintenance and maintenance support and 100 per cent</w:t>
      </w:r>
      <w:r w:rsidRPr="00C91DBD">
        <w:t xml:space="preserve"> to corporate support costs. </w:t>
      </w:r>
      <w:r>
        <w:t xml:space="preserve">We do not consider the proposed scale factors reasonably </w:t>
      </w:r>
      <w:r>
        <w:lastRenderedPageBreak/>
        <w:t>reflect the costs that a prudent operator in the circumstances of the relevant TNSP would require to achieve the opex objectives.</w:t>
      </w:r>
      <w:r>
        <w:rPr>
          <w:rStyle w:val="FootnoteReference"/>
        </w:rPr>
        <w:footnoteReference w:id="336"/>
      </w:r>
      <w:r>
        <w:t xml:space="preserve"> We </w:t>
      </w:r>
      <w:r w:rsidRPr="00944042">
        <w:t>benchmark</w:t>
      </w:r>
      <w:r>
        <w:t>ed</w:t>
      </w:r>
      <w:r w:rsidRPr="00944042">
        <w:t xml:space="preserve"> the approved scale factors for similar categories </w:t>
      </w:r>
      <w:r>
        <w:t>of</w:t>
      </w:r>
      <w:r w:rsidRPr="00944042">
        <w:t xml:space="preserve"> rece</w:t>
      </w:r>
      <w:r>
        <w:t>nt transmission determinations (</w:t>
      </w:r>
      <w:r>
        <w:fldChar w:fldCharType="begin"/>
      </w:r>
      <w:r>
        <w:instrText xml:space="preserve"> REF _Ref360728042 \h </w:instrText>
      </w:r>
      <w:r>
        <w:fldChar w:fldCharType="separate"/>
      </w:r>
      <w:r w:rsidR="004F35AA">
        <w:t xml:space="preserve">Table </w:t>
      </w:r>
      <w:r w:rsidR="004F35AA">
        <w:rPr>
          <w:noProof/>
        </w:rPr>
        <w:t>3</w:t>
      </w:r>
      <w:r w:rsidR="004F35AA">
        <w:t>.</w:t>
      </w:r>
      <w:r w:rsidR="004F35AA">
        <w:rPr>
          <w:noProof/>
        </w:rPr>
        <w:t>8</w:t>
      </w:r>
      <w:r>
        <w:fldChar w:fldCharType="end"/>
      </w:r>
      <w:r>
        <w:t>).</w:t>
      </w:r>
      <w:r>
        <w:rPr>
          <w:rStyle w:val="FootnoteReference"/>
        </w:rPr>
        <w:footnoteReference w:id="337"/>
      </w:r>
      <w:r>
        <w:t xml:space="preserve"> We</w:t>
      </w:r>
      <w:r w:rsidRPr="00FE2FBE">
        <w:t xml:space="preserve"> </w:t>
      </w:r>
      <w:r>
        <w:t>consider</w:t>
      </w:r>
      <w:r w:rsidRPr="00FE2FBE">
        <w:t xml:space="preserve"> that </w:t>
      </w:r>
      <w:r>
        <w:t>these</w:t>
      </w:r>
      <w:r w:rsidRPr="00FE2FBE">
        <w:t xml:space="preserve"> </w:t>
      </w:r>
      <w:r>
        <w:t xml:space="preserve">scale </w:t>
      </w:r>
      <w:r w:rsidRPr="00FE2FBE">
        <w:t>factor</w:t>
      </w:r>
      <w:r>
        <w:t>s</w:t>
      </w:r>
      <w:r w:rsidRPr="00FE2FBE">
        <w:t xml:space="preserve"> </w:t>
      </w:r>
      <w:r>
        <w:t>reasonably reflect the costs that a prudent operator in the circumstances of the relevant TNSP would require to achieve the opex objectives.</w:t>
      </w:r>
      <w:r>
        <w:rPr>
          <w:rStyle w:val="FootnoteReference"/>
        </w:rPr>
        <w:footnoteReference w:id="338"/>
      </w:r>
      <w:r>
        <w:t xml:space="preserve"> We provided our benchmark scale factors to SP AusNet who subsequently agreed they were appropriate factors for these categories.</w:t>
      </w:r>
      <w:r>
        <w:rPr>
          <w:rStyle w:val="FootnoteReference"/>
        </w:rPr>
        <w:footnoteReference w:id="339"/>
      </w:r>
    </w:p>
    <w:p w:rsidR="0010542E" w:rsidRPr="00C91DBD" w:rsidRDefault="0010542E" w:rsidP="0010542E">
      <w:pPr>
        <w:pStyle w:val="AERbodytext"/>
        <w:numPr>
          <w:ilvl w:val="0"/>
          <w:numId w:val="13"/>
        </w:numPr>
      </w:pPr>
      <w:r>
        <w:t xml:space="preserve">The combined effect of changing the network growth escalator and economies of scale factors reduced </w:t>
      </w:r>
      <w:r w:rsidRPr="00DC6612">
        <w:t>forecast for network growth</w:t>
      </w:r>
      <w:r>
        <w:t xml:space="preserve"> to $3.4 million, from the $5.2 million SP AusNet proposed.</w:t>
      </w:r>
    </w:p>
    <w:p w:rsidR="0088341A" w:rsidRDefault="0088341A" w:rsidP="0088341A">
      <w:pPr>
        <w:pStyle w:val="Caption"/>
      </w:pPr>
      <w:bookmarkStart w:id="206" w:name="_Ref360728042"/>
      <w:r>
        <w:t xml:space="preserve">Table </w:t>
      </w:r>
      <w:fldSimple w:instr=" STYLEREF 1 \s ">
        <w:r w:rsidR="004F35AA">
          <w:rPr>
            <w:noProof/>
          </w:rPr>
          <w:t>3</w:t>
        </w:r>
      </w:fldSimple>
      <w:r w:rsidR="00C56A87">
        <w:t>.</w:t>
      </w:r>
      <w:fldSimple w:instr=" SEQ Table \* ARABIC \s 1 ">
        <w:r w:rsidR="004F35AA">
          <w:rPr>
            <w:noProof/>
          </w:rPr>
          <w:t>8</w:t>
        </w:r>
      </w:fldSimple>
      <w:bookmarkEnd w:id="206"/>
      <w:r>
        <w:tab/>
        <w:t>AER's scale factors (per cent)</w:t>
      </w:r>
    </w:p>
    <w:tbl>
      <w:tblPr>
        <w:tblW w:w="9237" w:type="dxa"/>
        <w:tblBorders>
          <w:bottom w:val="single" w:sz="4" w:space="0" w:color="365F91"/>
        </w:tblBorders>
        <w:tblLook w:val="04A0" w:firstRow="1" w:lastRow="0" w:firstColumn="1" w:lastColumn="0" w:noHBand="0" w:noVBand="1"/>
      </w:tblPr>
      <w:tblGrid>
        <w:gridCol w:w="4677"/>
        <w:gridCol w:w="2280"/>
        <w:gridCol w:w="2280"/>
      </w:tblGrid>
      <w:tr w:rsidR="0088341A" w:rsidRPr="007A32BB" w:rsidTr="00501137">
        <w:trPr>
          <w:trHeight w:val="80"/>
        </w:trPr>
        <w:tc>
          <w:tcPr>
            <w:tcW w:w="4677" w:type="dxa"/>
            <w:shd w:val="clear" w:color="auto" w:fill="365F91"/>
            <w:vAlign w:val="center"/>
            <w:hideMark/>
          </w:tcPr>
          <w:p w:rsidR="0088341A" w:rsidRPr="00686C38" w:rsidRDefault="0088341A" w:rsidP="00501137">
            <w:pPr>
              <w:pStyle w:val="AERtabletextleft"/>
              <w:keepNext/>
              <w:keepLines/>
              <w:rPr>
                <w:b/>
                <w:color w:val="FFFFFF"/>
              </w:rPr>
            </w:pPr>
            <w:r w:rsidRPr="00686C38">
              <w:rPr>
                <w:b/>
                <w:color w:val="FFFFFF"/>
              </w:rPr>
              <w:t xml:space="preserve">SP AusNet ‘Group 3’ opex category </w:t>
            </w:r>
          </w:p>
        </w:tc>
        <w:tc>
          <w:tcPr>
            <w:tcW w:w="2280" w:type="dxa"/>
            <w:shd w:val="clear" w:color="auto" w:fill="365F91"/>
            <w:vAlign w:val="center"/>
            <w:hideMark/>
          </w:tcPr>
          <w:p w:rsidR="0088341A" w:rsidRPr="00686C38" w:rsidRDefault="0088341A" w:rsidP="00501137">
            <w:pPr>
              <w:pStyle w:val="AERtabletextright"/>
              <w:keepNext/>
              <w:keepLines/>
              <w:rPr>
                <w:b/>
                <w:color w:val="FFFFFF"/>
              </w:rPr>
            </w:pPr>
            <w:r w:rsidRPr="00686C38">
              <w:rPr>
                <w:b/>
                <w:color w:val="FFFFFF"/>
              </w:rPr>
              <w:t xml:space="preserve">SP AusNet proposed </w:t>
            </w:r>
          </w:p>
        </w:tc>
        <w:tc>
          <w:tcPr>
            <w:tcW w:w="2280" w:type="dxa"/>
            <w:shd w:val="clear" w:color="auto" w:fill="365F91"/>
            <w:vAlign w:val="center"/>
            <w:hideMark/>
          </w:tcPr>
          <w:p w:rsidR="0088341A" w:rsidRPr="00686C38" w:rsidRDefault="0088341A" w:rsidP="00501137">
            <w:pPr>
              <w:pStyle w:val="AERtabletextright"/>
              <w:keepNext/>
              <w:keepLines/>
              <w:rPr>
                <w:b/>
                <w:color w:val="FFFFFF"/>
              </w:rPr>
            </w:pPr>
            <w:r w:rsidRPr="00686C38">
              <w:rPr>
                <w:b/>
                <w:color w:val="FFFFFF"/>
              </w:rPr>
              <w:t>AER benchmark</w:t>
            </w:r>
          </w:p>
        </w:tc>
      </w:tr>
      <w:tr w:rsidR="0088341A" w:rsidRPr="007A32BB" w:rsidTr="00501137">
        <w:trPr>
          <w:trHeight w:val="80"/>
        </w:trPr>
        <w:tc>
          <w:tcPr>
            <w:tcW w:w="4677" w:type="dxa"/>
            <w:shd w:val="clear" w:color="auto" w:fill="auto"/>
            <w:vAlign w:val="center"/>
            <w:hideMark/>
          </w:tcPr>
          <w:p w:rsidR="0088341A" w:rsidRPr="007A32BB" w:rsidRDefault="0088341A" w:rsidP="00501137">
            <w:pPr>
              <w:pStyle w:val="AERtabletextleft"/>
              <w:keepNext/>
              <w:keepLines/>
            </w:pPr>
            <w:r w:rsidRPr="007A32BB">
              <w:t xml:space="preserve">Routine maintenance </w:t>
            </w:r>
          </w:p>
        </w:tc>
        <w:tc>
          <w:tcPr>
            <w:tcW w:w="2280" w:type="dxa"/>
            <w:shd w:val="clear" w:color="auto" w:fill="auto"/>
            <w:vAlign w:val="center"/>
            <w:hideMark/>
          </w:tcPr>
          <w:p w:rsidR="0088341A" w:rsidRPr="007A32BB" w:rsidRDefault="0088341A" w:rsidP="00501137">
            <w:pPr>
              <w:pStyle w:val="AERtabletextright"/>
              <w:keepNext/>
              <w:keepLines/>
            </w:pPr>
            <w:r w:rsidRPr="007A32BB">
              <w:t>70</w:t>
            </w:r>
          </w:p>
        </w:tc>
        <w:tc>
          <w:tcPr>
            <w:tcW w:w="2280" w:type="dxa"/>
            <w:shd w:val="clear" w:color="auto" w:fill="auto"/>
            <w:vAlign w:val="center"/>
            <w:hideMark/>
          </w:tcPr>
          <w:p w:rsidR="0088341A" w:rsidRPr="007A32BB" w:rsidRDefault="0088341A" w:rsidP="00501137">
            <w:pPr>
              <w:pStyle w:val="AERtabletextright"/>
              <w:keepNext/>
              <w:keepLines/>
            </w:pPr>
            <w:r w:rsidRPr="007A32BB">
              <w:t>95</w:t>
            </w:r>
          </w:p>
        </w:tc>
      </w:tr>
      <w:tr w:rsidR="0088341A" w:rsidRPr="007A32BB" w:rsidTr="00501137">
        <w:trPr>
          <w:trHeight w:val="80"/>
        </w:trPr>
        <w:tc>
          <w:tcPr>
            <w:tcW w:w="4677" w:type="dxa"/>
            <w:shd w:val="clear" w:color="auto" w:fill="DBE5F1"/>
            <w:vAlign w:val="center"/>
            <w:hideMark/>
          </w:tcPr>
          <w:p w:rsidR="0088341A" w:rsidRPr="007A32BB" w:rsidRDefault="0088341A" w:rsidP="00501137">
            <w:pPr>
              <w:pStyle w:val="AERtabletextleft"/>
              <w:keepNext/>
              <w:keepLines/>
            </w:pPr>
            <w:r w:rsidRPr="007A32BB">
              <w:t xml:space="preserve">Routine maintenance support </w:t>
            </w:r>
          </w:p>
        </w:tc>
        <w:tc>
          <w:tcPr>
            <w:tcW w:w="2280" w:type="dxa"/>
            <w:shd w:val="clear" w:color="auto" w:fill="DBE5F1"/>
            <w:vAlign w:val="center"/>
            <w:hideMark/>
          </w:tcPr>
          <w:p w:rsidR="0088341A" w:rsidRPr="007A32BB" w:rsidRDefault="0088341A" w:rsidP="00501137">
            <w:pPr>
              <w:pStyle w:val="AERtabletextright"/>
              <w:keepNext/>
              <w:keepLines/>
            </w:pPr>
            <w:r w:rsidRPr="007A32BB">
              <w:t>70</w:t>
            </w:r>
          </w:p>
        </w:tc>
        <w:tc>
          <w:tcPr>
            <w:tcW w:w="2280" w:type="dxa"/>
            <w:shd w:val="clear" w:color="auto" w:fill="DBE5F1"/>
            <w:vAlign w:val="center"/>
            <w:hideMark/>
          </w:tcPr>
          <w:p w:rsidR="0088341A" w:rsidRPr="007A32BB" w:rsidRDefault="0088341A" w:rsidP="00501137">
            <w:pPr>
              <w:pStyle w:val="AERtabletextright"/>
              <w:keepNext/>
              <w:keepLines/>
            </w:pPr>
            <w:r w:rsidRPr="007A32BB">
              <w:t>25</w:t>
            </w:r>
          </w:p>
        </w:tc>
      </w:tr>
      <w:tr w:rsidR="0088341A" w:rsidRPr="007A32BB" w:rsidTr="00501137">
        <w:trPr>
          <w:trHeight w:val="80"/>
        </w:trPr>
        <w:tc>
          <w:tcPr>
            <w:tcW w:w="4677" w:type="dxa"/>
            <w:shd w:val="clear" w:color="auto" w:fill="auto"/>
            <w:vAlign w:val="center"/>
            <w:hideMark/>
          </w:tcPr>
          <w:p w:rsidR="0088341A" w:rsidRPr="007A32BB" w:rsidRDefault="0088341A" w:rsidP="00501137">
            <w:pPr>
              <w:pStyle w:val="AERtabletextleft"/>
              <w:keepNext/>
              <w:keepLines/>
            </w:pPr>
            <w:r w:rsidRPr="007A32BB">
              <w:t>Corporate support</w:t>
            </w:r>
          </w:p>
        </w:tc>
        <w:tc>
          <w:tcPr>
            <w:tcW w:w="2280" w:type="dxa"/>
            <w:shd w:val="clear" w:color="auto" w:fill="auto"/>
            <w:vAlign w:val="center"/>
            <w:hideMark/>
          </w:tcPr>
          <w:p w:rsidR="0088341A" w:rsidRPr="007A32BB" w:rsidRDefault="0088341A" w:rsidP="00501137">
            <w:pPr>
              <w:pStyle w:val="AERtabletextright"/>
              <w:keepNext/>
              <w:keepLines/>
            </w:pPr>
            <w:r w:rsidRPr="007A32BB">
              <w:t>100</w:t>
            </w:r>
          </w:p>
        </w:tc>
        <w:tc>
          <w:tcPr>
            <w:tcW w:w="2280" w:type="dxa"/>
            <w:shd w:val="clear" w:color="auto" w:fill="auto"/>
            <w:vAlign w:val="center"/>
            <w:hideMark/>
          </w:tcPr>
          <w:p w:rsidR="0088341A" w:rsidRPr="007A32BB" w:rsidRDefault="0088341A" w:rsidP="00501137">
            <w:pPr>
              <w:pStyle w:val="AERtabletextright"/>
              <w:keepNext/>
              <w:keepLines/>
            </w:pPr>
            <w:r w:rsidRPr="007A32BB">
              <w:t>10</w:t>
            </w:r>
          </w:p>
        </w:tc>
      </w:tr>
      <w:tr w:rsidR="0088341A" w:rsidRPr="007A32BB" w:rsidTr="00501137">
        <w:trPr>
          <w:trHeight w:val="80"/>
        </w:trPr>
        <w:tc>
          <w:tcPr>
            <w:tcW w:w="4677" w:type="dxa"/>
            <w:shd w:val="clear" w:color="auto" w:fill="DBE5F1"/>
            <w:vAlign w:val="center"/>
          </w:tcPr>
          <w:p w:rsidR="0088341A" w:rsidRPr="007A32BB" w:rsidRDefault="0088341A" w:rsidP="00501137">
            <w:pPr>
              <w:pStyle w:val="AERtabletextleft"/>
              <w:keepNext/>
              <w:keepLines/>
            </w:pPr>
            <w:r>
              <w:t>Insurance</w:t>
            </w:r>
          </w:p>
        </w:tc>
        <w:tc>
          <w:tcPr>
            <w:tcW w:w="2280" w:type="dxa"/>
            <w:shd w:val="clear" w:color="auto" w:fill="DBE5F1"/>
            <w:vAlign w:val="center"/>
          </w:tcPr>
          <w:p w:rsidR="0088341A" w:rsidRPr="007A32BB" w:rsidRDefault="0088341A" w:rsidP="00501137">
            <w:pPr>
              <w:pStyle w:val="AERtabletextright"/>
              <w:keepNext/>
              <w:keepLines/>
            </w:pPr>
          </w:p>
        </w:tc>
        <w:tc>
          <w:tcPr>
            <w:tcW w:w="2280" w:type="dxa"/>
            <w:shd w:val="clear" w:color="auto" w:fill="DBE5F1"/>
            <w:vAlign w:val="center"/>
          </w:tcPr>
          <w:p w:rsidR="0088341A" w:rsidRPr="007A32BB" w:rsidRDefault="0088341A" w:rsidP="00501137">
            <w:pPr>
              <w:pStyle w:val="AERtabletextright"/>
              <w:keepNext/>
              <w:keepLines/>
            </w:pPr>
            <w:r>
              <w:t>100</w:t>
            </w:r>
          </w:p>
        </w:tc>
      </w:tr>
    </w:tbl>
    <w:p w:rsidR="0088341A" w:rsidRDefault="0088341A" w:rsidP="000D59B9">
      <w:pPr>
        <w:pStyle w:val="AERtablesource"/>
      </w:pPr>
      <w:r w:rsidRPr="004E19B4">
        <w:t>Source:</w:t>
      </w:r>
      <w:r>
        <w:tab/>
      </w:r>
      <w:r w:rsidRPr="000B3A38">
        <w:t xml:space="preserve">SP AusNet, </w:t>
      </w:r>
      <w:r w:rsidRPr="00FC7C08">
        <w:rPr>
          <w:rStyle w:val="AERtextitalic"/>
        </w:rPr>
        <w:t>Response to request AER</w:t>
      </w:r>
      <w:r w:rsidR="0047592F">
        <w:rPr>
          <w:rStyle w:val="AERtextitalic"/>
        </w:rPr>
        <w:t xml:space="preserve"> RP </w:t>
      </w:r>
      <w:r w:rsidRPr="00FC7C08">
        <w:rPr>
          <w:rStyle w:val="AERtextitalic"/>
        </w:rPr>
        <w:t>09 - revised opex model</w:t>
      </w:r>
      <w:r w:rsidR="004B3E41">
        <w:rPr>
          <w:rStyle w:val="AERtextitalic"/>
        </w:rPr>
        <w:t xml:space="preserve"> [confidential]</w:t>
      </w:r>
      <w:r w:rsidRPr="00FC7C08">
        <w:t>, 20 May 2013</w:t>
      </w:r>
      <w:r w:rsidRPr="004E19B4">
        <w:t>; AER analysis.</w:t>
      </w:r>
      <w:r>
        <w:t xml:space="preserve"> </w:t>
      </w:r>
    </w:p>
    <w:p w:rsidR="0088341A" w:rsidRPr="00A907E9" w:rsidRDefault="0088341A" w:rsidP="00AE649A">
      <w:pPr>
        <w:pStyle w:val="HeadingBoldBlue"/>
      </w:pPr>
      <w:bookmarkStart w:id="207" w:name="_Ref362519942"/>
      <w:r w:rsidRPr="00A907E9">
        <w:t>Non controllable opex</w:t>
      </w:r>
      <w:bookmarkEnd w:id="207"/>
    </w:p>
    <w:p w:rsidR="0088341A" w:rsidRPr="00655D46" w:rsidRDefault="0088341A" w:rsidP="00AE649A">
      <w:pPr>
        <w:pStyle w:val="HeadingBoldItalic"/>
      </w:pPr>
      <w:r>
        <w:t>Self-insurance</w:t>
      </w:r>
    </w:p>
    <w:p w:rsidR="0088341A" w:rsidRDefault="0088341A" w:rsidP="0088341A">
      <w:pPr>
        <w:pStyle w:val="AERbodytext"/>
        <w:numPr>
          <w:ilvl w:val="0"/>
          <w:numId w:val="13"/>
        </w:numPr>
      </w:pPr>
      <w:r>
        <w:t xml:space="preserve">Our substitute allowance for self-insurance ($5.0 million) is effectively, SP AusNet's average expected loss forecast which its actuary derived (Aon). We adjusted SP AusNet's proposed forecast ($6.4 million) to remove the risk margin, and risk exposure for risks compensated through its opex allowance or not appropriate. Our full reasoning and consideration of the issues raised in our review of self-insurance is set out in Appendix </w:t>
      </w:r>
      <w:r w:rsidR="00FA39F6">
        <w:t>C</w:t>
      </w:r>
      <w:r>
        <w:t xml:space="preserve">. </w:t>
      </w:r>
    </w:p>
    <w:p w:rsidR="0088341A" w:rsidRDefault="0088341A" w:rsidP="00AE649A">
      <w:pPr>
        <w:pStyle w:val="HeadingBoldItalic"/>
      </w:pPr>
      <w:r>
        <w:t>Debt raising costs</w:t>
      </w:r>
    </w:p>
    <w:p w:rsidR="0088341A" w:rsidRDefault="0088341A" w:rsidP="0088341A">
      <w:pPr>
        <w:pStyle w:val="AERbodytext"/>
        <w:numPr>
          <w:ilvl w:val="0"/>
          <w:numId w:val="13"/>
        </w:numPr>
      </w:pPr>
      <w:r>
        <w:t>We accept SP AusNet's proposed method for determining its benchmark debt raising costs allowance. Debt raising costs are transaction costs incurred each time that the TNSP raises or refinances debt. These costs may include underwriting fees, legal fees, company credit rating fees and other transaction costs. They are a legitimate expense for a prudent service provider acting efficiently and an allowance should be provided to recover these costs.</w:t>
      </w:r>
    </w:p>
    <w:p w:rsidR="0088341A" w:rsidRDefault="0088341A" w:rsidP="0088341A">
      <w:pPr>
        <w:pStyle w:val="AERbodytext"/>
        <w:numPr>
          <w:ilvl w:val="0"/>
          <w:numId w:val="13"/>
        </w:numPr>
      </w:pPr>
      <w:r>
        <w:t>SP AusNet proposed a total debt raising cost allowance of $4.7 million ($2013–14) over the 2014–17 regulatory control period.</w:t>
      </w:r>
      <w:r>
        <w:rPr>
          <w:rStyle w:val="FootnoteReference"/>
        </w:rPr>
        <w:footnoteReference w:id="340"/>
      </w:r>
      <w:r>
        <w:t xml:space="preserve"> It based this allowance on the benchmark unit rate for debt raising costs used in our recent final decisions for the Powerlink, ElectraNet and Murraylink electricity transmission networks.</w:t>
      </w:r>
      <w:r>
        <w:rPr>
          <w:rStyle w:val="FootnoteReference"/>
        </w:rPr>
        <w:footnoteReference w:id="341"/>
      </w:r>
    </w:p>
    <w:p w:rsidR="0088341A" w:rsidRDefault="0088341A" w:rsidP="0088341A">
      <w:pPr>
        <w:pStyle w:val="AERbodytext"/>
        <w:numPr>
          <w:ilvl w:val="0"/>
          <w:numId w:val="13"/>
        </w:numPr>
      </w:pPr>
      <w:r>
        <w:lastRenderedPageBreak/>
        <w:t>To decide on the total benchmark debt raising cost allowance, we rely on a method that the Allen Consulting Group (ACG) developed:</w:t>
      </w:r>
      <w:r>
        <w:rPr>
          <w:rStyle w:val="FootnoteReference"/>
        </w:rPr>
        <w:footnoteReference w:id="342"/>
      </w:r>
    </w:p>
    <w:p w:rsidR="0088341A" w:rsidRDefault="0088341A" w:rsidP="0088341A">
      <w:pPr>
        <w:pStyle w:val="AERbulletlistfirststyle"/>
      </w:pPr>
      <w:r>
        <w:t>First, a benchmark unit rate for debt raising costs is calculated. This unite rate, expressed in basis points per year, is determined based on estimates of:</w:t>
      </w:r>
    </w:p>
    <w:p w:rsidR="0088341A" w:rsidRDefault="0088341A" w:rsidP="0088341A">
      <w:pPr>
        <w:pStyle w:val="AERbulletlistsecondstyle"/>
      </w:pPr>
      <w:r>
        <w:t>the transaction costs that a prudent service provider, acting efficiently, would incur in raising debt</w:t>
      </w:r>
      <w:r>
        <w:rPr>
          <w:rStyle w:val="FootnoteReference"/>
        </w:rPr>
        <w:footnoteReference w:id="343"/>
      </w:r>
    </w:p>
    <w:p w:rsidR="0088341A" w:rsidRDefault="0088341A" w:rsidP="0088341A">
      <w:pPr>
        <w:pStyle w:val="AERbulletlistsecondstyle"/>
      </w:pPr>
      <w:r>
        <w:t>the expected timing and frequency of these transaction costs</w:t>
      </w:r>
      <w:r>
        <w:rPr>
          <w:rStyle w:val="FootnoteReference"/>
        </w:rPr>
        <w:footnoteReference w:id="344"/>
      </w:r>
    </w:p>
    <w:p w:rsidR="0088341A" w:rsidRDefault="0088341A" w:rsidP="0088341A">
      <w:pPr>
        <w:pStyle w:val="AERbulletlistsecondstyle"/>
      </w:pPr>
      <w:r>
        <w:t>the number of 'standard' bond issuances required over the regulatory control period to finance the benchmark portion of the TNSP's RAB.</w:t>
      </w:r>
      <w:r>
        <w:rPr>
          <w:rStyle w:val="FootnoteReference"/>
        </w:rPr>
        <w:footnoteReference w:id="345"/>
      </w:r>
    </w:p>
    <w:p w:rsidR="0088341A" w:rsidRDefault="0088341A" w:rsidP="0088341A">
      <w:pPr>
        <w:pStyle w:val="AERbulletlistfirststyle"/>
      </w:pPr>
      <w:r>
        <w:t>Second, the debt raising cost allowance is determined in the post</w:t>
      </w:r>
      <w:r>
        <w:softHyphen/>
      </w:r>
      <w:r>
        <w:softHyphen/>
      </w:r>
      <w:r>
        <w:noBreakHyphen/>
        <w:t>tax revenue model as the product of the benchmark unit rate and the debt portion of the TNSP's RAB.</w:t>
      </w:r>
      <w:r>
        <w:rPr>
          <w:rStyle w:val="FootnoteReference"/>
        </w:rPr>
        <w:footnoteReference w:id="346"/>
      </w:r>
    </w:p>
    <w:p w:rsidR="0088341A" w:rsidRDefault="0088341A" w:rsidP="0088341A">
      <w:pPr>
        <w:pStyle w:val="AERbodytext"/>
        <w:numPr>
          <w:ilvl w:val="0"/>
          <w:numId w:val="13"/>
        </w:numPr>
        <w:rPr>
          <w:rStyle w:val="AERbody"/>
        </w:rPr>
      </w:pPr>
      <w:r>
        <w:rPr>
          <w:rStyle w:val="AERbody"/>
        </w:rPr>
        <w:t>We periodically updated the inputs into the ACG method with more recent market data. Specifically, we updated the value of expected transaction costs, the assumed standard bond size, and the weighted average cost of capital (WACC) applied in deriving the benchmark unit rate.</w:t>
      </w:r>
      <w:r>
        <w:rPr>
          <w:rStyle w:val="FootnoteReference"/>
        </w:rPr>
        <w:footnoteReference w:id="347"/>
      </w:r>
      <w:r>
        <w:rPr>
          <w:rStyle w:val="AERbody"/>
        </w:rPr>
        <w:t xml:space="preserve"> Further, we will update the benchmark debt raising cost allowance for our final decision based on the debt component of the RAB and WACC determined at the time.</w:t>
      </w:r>
    </w:p>
    <w:p w:rsidR="0088341A" w:rsidRDefault="0088341A" w:rsidP="0088341A">
      <w:pPr>
        <w:pStyle w:val="AERbodytext"/>
        <w:numPr>
          <w:ilvl w:val="0"/>
          <w:numId w:val="13"/>
        </w:numPr>
        <w:rPr>
          <w:rStyle w:val="AERbody"/>
        </w:rPr>
      </w:pPr>
      <w:r>
        <w:rPr>
          <w:rStyle w:val="AERbody"/>
        </w:rPr>
        <w:t>For this draft decision, we updated SP AusNet's proposed benchmark unit rate for debt raising costs to reflect the indicative WACC. We also updated the benchmark unit rate to reflect the number of 'standard' bond issuances required over the 2014–17 regulatory control period to finance the debt portion of SP AusNet's RAB. This update resulted in a benchmark unit rate for debt raising costs of 9.0 basis points per year. Accordingly, we determined a benchmark debt raising cost allowances of $4.5 million ($2013–14) for SP AusNet</w:t>
      </w:r>
      <w:r w:rsidR="00312CFD">
        <w:rPr>
          <w:rStyle w:val="AERbody"/>
        </w:rPr>
        <w:t xml:space="preserve"> </w:t>
      </w:r>
      <w:r>
        <w:rPr>
          <w:rStyle w:val="AERbody"/>
        </w:rPr>
        <w:t>(</w:t>
      </w:r>
      <w:r>
        <w:rPr>
          <w:rStyle w:val="AERbody"/>
        </w:rPr>
        <w:fldChar w:fldCharType="begin"/>
      </w:r>
      <w:r>
        <w:rPr>
          <w:rStyle w:val="AERbody"/>
        </w:rPr>
        <w:instrText xml:space="preserve"> REF _Ref360728425 \h </w:instrText>
      </w:r>
      <w:r>
        <w:rPr>
          <w:rStyle w:val="AERbody"/>
        </w:rPr>
      </w:r>
      <w:r>
        <w:rPr>
          <w:rStyle w:val="AERbody"/>
        </w:rPr>
        <w:fldChar w:fldCharType="separate"/>
      </w:r>
      <w:r w:rsidR="004F35AA">
        <w:t xml:space="preserve">Table </w:t>
      </w:r>
      <w:r w:rsidR="004F35AA">
        <w:rPr>
          <w:noProof/>
        </w:rPr>
        <w:t>3</w:t>
      </w:r>
      <w:r w:rsidR="004F35AA">
        <w:t>.</w:t>
      </w:r>
      <w:r w:rsidR="004F35AA">
        <w:rPr>
          <w:noProof/>
        </w:rPr>
        <w:t>9</w:t>
      </w:r>
      <w:r>
        <w:rPr>
          <w:rStyle w:val="AERbody"/>
        </w:rPr>
        <w:fldChar w:fldCharType="end"/>
      </w:r>
      <w:r>
        <w:rPr>
          <w:rStyle w:val="AERbody"/>
        </w:rPr>
        <w:t>).</w:t>
      </w:r>
    </w:p>
    <w:p w:rsidR="0088341A" w:rsidRDefault="0088341A" w:rsidP="0088341A">
      <w:pPr>
        <w:pStyle w:val="Caption"/>
        <w:keepLines/>
        <w:rPr>
          <w:rStyle w:val="AERbody"/>
        </w:rPr>
      </w:pPr>
      <w:bookmarkStart w:id="208" w:name="_Ref360728425"/>
      <w:r>
        <w:t xml:space="preserve">Table </w:t>
      </w:r>
      <w:fldSimple w:instr=" STYLEREF 1 \s ">
        <w:r w:rsidR="004F35AA">
          <w:rPr>
            <w:noProof/>
          </w:rPr>
          <w:t>3</w:t>
        </w:r>
      </w:fldSimple>
      <w:r w:rsidR="00C56A87">
        <w:t>.</w:t>
      </w:r>
      <w:fldSimple w:instr=" SEQ Table \* ARABIC \s 1 ">
        <w:r w:rsidR="004F35AA">
          <w:rPr>
            <w:noProof/>
          </w:rPr>
          <w:t>9</w:t>
        </w:r>
      </w:fldSimple>
      <w:bookmarkEnd w:id="208"/>
      <w:r>
        <w:tab/>
      </w:r>
      <w:r w:rsidRPr="00332AA0">
        <w:rPr>
          <w:rStyle w:val="AERbody"/>
        </w:rPr>
        <w:t>AER</w:t>
      </w:r>
      <w:r>
        <w:rPr>
          <w:rStyle w:val="AERbody"/>
        </w:rPr>
        <w:t>'s</w:t>
      </w:r>
      <w:r w:rsidRPr="00332AA0">
        <w:rPr>
          <w:rStyle w:val="AERbody"/>
        </w:rPr>
        <w:t xml:space="preserve"> draft decision on debt raising costs (</w:t>
      </w:r>
      <w:r>
        <w:rPr>
          <w:rStyle w:val="AERbody"/>
        </w:rPr>
        <w:t>$ million</w:t>
      </w:r>
      <w:r w:rsidRPr="00332AA0">
        <w:rPr>
          <w:rStyle w:val="AERbody"/>
        </w:rPr>
        <w:t xml:space="preserve">, </w:t>
      </w:r>
      <w:r>
        <w:rPr>
          <w:rStyle w:val="AERbody"/>
        </w:rPr>
        <w:t>2013–14</w:t>
      </w:r>
      <w:r w:rsidRPr="00332AA0">
        <w:rPr>
          <w:rStyle w:val="AERbody"/>
        </w:rPr>
        <w:t>)</w:t>
      </w:r>
    </w:p>
    <w:tbl>
      <w:tblPr>
        <w:tblW w:w="0" w:type="auto"/>
        <w:tblBorders>
          <w:bottom w:val="single" w:sz="4" w:space="0" w:color="365F91"/>
        </w:tblBorders>
        <w:tblLook w:val="04A0" w:firstRow="1" w:lastRow="0" w:firstColumn="1" w:lastColumn="0" w:noHBand="0" w:noVBand="1"/>
      </w:tblPr>
      <w:tblGrid>
        <w:gridCol w:w="2518"/>
        <w:gridCol w:w="1681"/>
        <w:gridCol w:w="1681"/>
        <w:gridCol w:w="1681"/>
        <w:gridCol w:w="1681"/>
      </w:tblGrid>
      <w:tr w:rsidR="0088341A" w:rsidRPr="00520C96" w:rsidTr="00501137">
        <w:tc>
          <w:tcPr>
            <w:tcW w:w="2518" w:type="dxa"/>
            <w:shd w:val="clear" w:color="auto" w:fill="365F91"/>
            <w:vAlign w:val="center"/>
          </w:tcPr>
          <w:p w:rsidR="0088341A" w:rsidRPr="00520C96" w:rsidRDefault="0088341A" w:rsidP="00501137">
            <w:pPr>
              <w:pStyle w:val="AERtabletextleft"/>
              <w:keepNext/>
              <w:keepLines/>
              <w:rPr>
                <w:b/>
                <w:color w:val="FFFFFF"/>
              </w:rPr>
            </w:pPr>
            <w:r w:rsidRPr="00520C96">
              <w:rPr>
                <w:b/>
                <w:color w:val="FFFFFF"/>
              </w:rPr>
              <w:t>Unit rate</w:t>
            </w:r>
          </w:p>
        </w:tc>
        <w:tc>
          <w:tcPr>
            <w:tcW w:w="1681" w:type="dxa"/>
            <w:shd w:val="clear" w:color="auto" w:fill="365F91"/>
            <w:vAlign w:val="center"/>
          </w:tcPr>
          <w:p w:rsidR="0088341A" w:rsidRPr="00520C96" w:rsidRDefault="0088341A" w:rsidP="00501137">
            <w:pPr>
              <w:pStyle w:val="AERtabletextright"/>
              <w:keepNext/>
              <w:keepLines/>
              <w:rPr>
                <w:b/>
                <w:color w:val="FFFFFF"/>
              </w:rPr>
            </w:pPr>
            <w:r w:rsidRPr="00520C96">
              <w:rPr>
                <w:b/>
                <w:color w:val="FFFFFF"/>
              </w:rPr>
              <w:t>2014–15</w:t>
            </w:r>
          </w:p>
        </w:tc>
        <w:tc>
          <w:tcPr>
            <w:tcW w:w="1681" w:type="dxa"/>
            <w:shd w:val="clear" w:color="auto" w:fill="365F91"/>
            <w:vAlign w:val="center"/>
          </w:tcPr>
          <w:p w:rsidR="0088341A" w:rsidRPr="00520C96" w:rsidRDefault="0088341A" w:rsidP="00501137">
            <w:pPr>
              <w:pStyle w:val="AERtabletextright"/>
              <w:keepNext/>
              <w:keepLines/>
              <w:rPr>
                <w:b/>
                <w:color w:val="FFFFFF"/>
              </w:rPr>
            </w:pPr>
            <w:r w:rsidRPr="00520C96">
              <w:rPr>
                <w:b/>
                <w:color w:val="FFFFFF"/>
              </w:rPr>
              <w:t>2015–16</w:t>
            </w:r>
          </w:p>
        </w:tc>
        <w:tc>
          <w:tcPr>
            <w:tcW w:w="1681" w:type="dxa"/>
            <w:shd w:val="clear" w:color="auto" w:fill="365F91"/>
            <w:vAlign w:val="center"/>
          </w:tcPr>
          <w:p w:rsidR="0088341A" w:rsidRPr="00520C96" w:rsidRDefault="0088341A" w:rsidP="00501137">
            <w:pPr>
              <w:pStyle w:val="AERtabletextright"/>
              <w:keepNext/>
              <w:keepLines/>
              <w:rPr>
                <w:b/>
                <w:color w:val="FFFFFF"/>
              </w:rPr>
            </w:pPr>
            <w:r w:rsidRPr="00520C96">
              <w:rPr>
                <w:b/>
                <w:color w:val="FFFFFF"/>
              </w:rPr>
              <w:t>2016–17</w:t>
            </w:r>
          </w:p>
        </w:tc>
        <w:tc>
          <w:tcPr>
            <w:tcW w:w="1681" w:type="dxa"/>
            <w:shd w:val="clear" w:color="auto" w:fill="365F91"/>
            <w:vAlign w:val="center"/>
          </w:tcPr>
          <w:p w:rsidR="0088341A" w:rsidRPr="00520C96" w:rsidRDefault="0088341A" w:rsidP="00501137">
            <w:pPr>
              <w:pStyle w:val="AERtabletextright"/>
              <w:keepNext/>
              <w:keepLines/>
              <w:rPr>
                <w:b/>
                <w:color w:val="FFFFFF"/>
              </w:rPr>
            </w:pPr>
            <w:r w:rsidRPr="00520C96">
              <w:rPr>
                <w:b/>
                <w:color w:val="FFFFFF"/>
              </w:rPr>
              <w:t>Total</w:t>
            </w:r>
          </w:p>
        </w:tc>
      </w:tr>
      <w:tr w:rsidR="0088341A" w:rsidRPr="00FB1DC8" w:rsidTr="00501137">
        <w:tc>
          <w:tcPr>
            <w:tcW w:w="2518" w:type="dxa"/>
            <w:shd w:val="clear" w:color="auto" w:fill="auto"/>
            <w:vAlign w:val="center"/>
          </w:tcPr>
          <w:p w:rsidR="0088341A" w:rsidRPr="00FB1DC8" w:rsidRDefault="0088341A" w:rsidP="00501137">
            <w:pPr>
              <w:pStyle w:val="AERtabletextleft"/>
              <w:keepNext/>
              <w:keepLines/>
            </w:pPr>
            <w:r>
              <w:t>9.0</w:t>
            </w:r>
            <w:r w:rsidRPr="00FB1DC8">
              <w:t xml:space="preserve"> basis points per year</w:t>
            </w:r>
          </w:p>
        </w:tc>
        <w:tc>
          <w:tcPr>
            <w:tcW w:w="1681" w:type="dxa"/>
            <w:shd w:val="clear" w:color="auto" w:fill="auto"/>
            <w:vAlign w:val="center"/>
          </w:tcPr>
          <w:p w:rsidR="0088341A" w:rsidRPr="00FB1DC8" w:rsidRDefault="0088341A" w:rsidP="00501137">
            <w:pPr>
              <w:pStyle w:val="AERtabletextright"/>
              <w:keepNext/>
              <w:keepLines/>
            </w:pPr>
            <w:r w:rsidRPr="00FB1DC8">
              <w:t>1.5</w:t>
            </w:r>
          </w:p>
        </w:tc>
        <w:tc>
          <w:tcPr>
            <w:tcW w:w="1681" w:type="dxa"/>
            <w:shd w:val="clear" w:color="auto" w:fill="auto"/>
            <w:vAlign w:val="center"/>
          </w:tcPr>
          <w:p w:rsidR="0088341A" w:rsidRPr="00FB1DC8" w:rsidRDefault="0088341A" w:rsidP="00501137">
            <w:pPr>
              <w:pStyle w:val="AERtabletextright"/>
              <w:keepNext/>
              <w:keepLines/>
            </w:pPr>
            <w:r w:rsidRPr="00FB1DC8">
              <w:t>1.5</w:t>
            </w:r>
          </w:p>
        </w:tc>
        <w:tc>
          <w:tcPr>
            <w:tcW w:w="1681" w:type="dxa"/>
            <w:shd w:val="clear" w:color="auto" w:fill="auto"/>
            <w:vAlign w:val="center"/>
          </w:tcPr>
          <w:p w:rsidR="0088341A" w:rsidRPr="00FB1DC8" w:rsidRDefault="0088341A" w:rsidP="00501137">
            <w:pPr>
              <w:pStyle w:val="AERtabletextright"/>
              <w:keepNext/>
              <w:keepLines/>
            </w:pPr>
            <w:r w:rsidRPr="00FB1DC8">
              <w:t>1.5</w:t>
            </w:r>
          </w:p>
        </w:tc>
        <w:tc>
          <w:tcPr>
            <w:tcW w:w="1681" w:type="dxa"/>
            <w:shd w:val="clear" w:color="auto" w:fill="auto"/>
            <w:vAlign w:val="center"/>
          </w:tcPr>
          <w:p w:rsidR="0088341A" w:rsidRPr="00FB1DC8" w:rsidRDefault="0088341A" w:rsidP="00501137">
            <w:pPr>
              <w:pStyle w:val="AERtabletextright"/>
              <w:keepNext/>
              <w:keepLines/>
            </w:pPr>
            <w:r w:rsidRPr="00FB1DC8">
              <w:t>4.5</w:t>
            </w:r>
          </w:p>
        </w:tc>
      </w:tr>
    </w:tbl>
    <w:p w:rsidR="0088341A" w:rsidRDefault="0088341A" w:rsidP="0088341A">
      <w:pPr>
        <w:pStyle w:val="AERtablesource"/>
        <w:keepNext/>
        <w:keepLines/>
      </w:pPr>
      <w:r>
        <w:t>Source:</w:t>
      </w:r>
      <w:r>
        <w:tab/>
        <w:t>AER analysis.</w:t>
      </w:r>
    </w:p>
    <w:p w:rsidR="0088341A" w:rsidRDefault="0088341A" w:rsidP="0088341A">
      <w:pPr>
        <w:pStyle w:val="AERbodytext"/>
        <w:numPr>
          <w:ilvl w:val="0"/>
          <w:numId w:val="13"/>
        </w:numPr>
      </w:pPr>
      <w:r>
        <w:t>We consider this method estimates debt raising costs a prudent service provider, acting efficiently would incur. Most notably, our approach:</w:t>
      </w:r>
    </w:p>
    <w:p w:rsidR="0088341A" w:rsidRDefault="0088341A" w:rsidP="0088341A">
      <w:pPr>
        <w:pStyle w:val="AERbulletlistfirststyle"/>
      </w:pPr>
      <w:r>
        <w:lastRenderedPageBreak/>
        <w:t>identifies the types of transaction costs that a prudent service provider acting efficiently would incur in raising debt,</w:t>
      </w:r>
    </w:p>
    <w:p w:rsidR="0088341A" w:rsidRDefault="0088341A" w:rsidP="0088341A">
      <w:pPr>
        <w:pStyle w:val="AERbulletlistfirststyle"/>
      </w:pPr>
      <w:r>
        <w:t>quantifies the level of those costs (accounting for the circumstances of the TNSP) with reference to market rates for the relevant services.</w:t>
      </w:r>
    </w:p>
    <w:p w:rsidR="0088341A" w:rsidRDefault="0088341A" w:rsidP="00AE649A">
      <w:pPr>
        <w:pStyle w:val="HeadingBoldItalic"/>
      </w:pPr>
      <w:bookmarkStart w:id="209" w:name="_Ref362009087"/>
      <w:r>
        <w:t>Availability Incentive Scheme rebates</w:t>
      </w:r>
      <w:bookmarkEnd w:id="209"/>
    </w:p>
    <w:p w:rsidR="0088341A" w:rsidRPr="00134C63" w:rsidRDefault="0088341A" w:rsidP="0088341A">
      <w:pPr>
        <w:pStyle w:val="AERbodytext"/>
        <w:numPr>
          <w:ilvl w:val="0"/>
          <w:numId w:val="13"/>
        </w:numPr>
      </w:pPr>
      <w:r>
        <w:t xml:space="preserve">SP AusNet </w:t>
      </w:r>
      <w:r w:rsidRPr="00134C63">
        <w:t>is currently subject to the Availability Incentive Scheme</w:t>
      </w:r>
      <w:r>
        <w:t xml:space="preserve"> (AIS)</w:t>
      </w:r>
      <w:r w:rsidRPr="00134C63">
        <w:t>. Under th</w:t>
      </w:r>
      <w:r>
        <w:t>is scheme</w:t>
      </w:r>
      <w:r w:rsidRPr="00134C63">
        <w:t xml:space="preserve">, </w:t>
      </w:r>
      <w:r>
        <w:t xml:space="preserve">SP AusNet </w:t>
      </w:r>
      <w:r w:rsidRPr="00134C63">
        <w:t>must pay rebates to AEMO for out</w:t>
      </w:r>
      <w:r>
        <w:t xml:space="preserve">ages on its network. The </w:t>
      </w:r>
      <w:r w:rsidRPr="00134C63">
        <w:t>rebates paid depend on the particular asset that is out of service and the time when the outage occurs (</w:t>
      </w:r>
      <w:r>
        <w:t>for example</w:t>
      </w:r>
      <w:r w:rsidRPr="00134C63">
        <w:t xml:space="preserve"> off–peak, shoulder, peak). </w:t>
      </w:r>
      <w:r>
        <w:t xml:space="preserve">On the basis that this scheme was under review by AEMO, SP AusNet </w:t>
      </w:r>
      <w:r w:rsidRPr="00134C63">
        <w:t>provided a ‘placeholder’ rebate forecast</w:t>
      </w:r>
      <w:r>
        <w:t xml:space="preserve"> in its revenue proposal. It also noted that AEMO’s response will inform the forecast that will be submitted as part of the revised revenue proposal.</w:t>
      </w:r>
      <w:r w:rsidRPr="00134C63">
        <w:t xml:space="preserve"> </w:t>
      </w:r>
      <w:r>
        <w:t xml:space="preserve">On 16 July, </w:t>
      </w:r>
      <w:r w:rsidRPr="00134C63">
        <w:t xml:space="preserve">AEMO notified </w:t>
      </w:r>
      <w:r>
        <w:t xml:space="preserve">SP AusNet </w:t>
      </w:r>
      <w:r w:rsidRPr="00134C63">
        <w:t>and the AER that it intends to maintain the AIS for the 2014–17 regulatory control period</w:t>
      </w:r>
      <w:r>
        <w:t xml:space="preserve">. </w:t>
      </w:r>
    </w:p>
    <w:p w:rsidR="0088341A" w:rsidRDefault="0088341A" w:rsidP="0088341A">
      <w:pPr>
        <w:pStyle w:val="AERbodytext"/>
        <w:numPr>
          <w:ilvl w:val="0"/>
          <w:numId w:val="13"/>
        </w:numPr>
      </w:pPr>
      <w:r>
        <w:t xml:space="preserve">During our ongoing engagement with SP AusNet, we were informed that it would submit a revised AIS rebate forecast if AEMO decided to maintain the scheme for the 2014–17 regulatory control period.  We will assess that forecast when it is received. On this basis, we have not provided any opex for AIS rebates in SP AusNet opex forecast in this draft decision. </w:t>
      </w:r>
    </w:p>
    <w:p w:rsidR="0088341A" w:rsidRDefault="0088341A" w:rsidP="0088341A">
      <w:pPr>
        <w:pStyle w:val="AERbodytext"/>
        <w:numPr>
          <w:ilvl w:val="0"/>
          <w:numId w:val="13"/>
        </w:numPr>
      </w:pPr>
      <w:r>
        <w:t>The EUAA commented:</w:t>
      </w:r>
      <w:r>
        <w:rPr>
          <w:rStyle w:val="FootnoteReference"/>
        </w:rPr>
        <w:footnoteReference w:id="348"/>
      </w:r>
      <w:r>
        <w:t xml:space="preserve"> </w:t>
      </w:r>
    </w:p>
    <w:p w:rsidR="0088341A" w:rsidRDefault="0088341A" w:rsidP="0088341A">
      <w:pPr>
        <w:pStyle w:val="AERquote"/>
      </w:pPr>
      <w:r>
        <w:t xml:space="preserve">SP AusNet </w:t>
      </w:r>
      <w:r w:rsidRPr="00AD1223">
        <w:t>has forecast $9.9 million for the Availability Incentive Scheme (AIS). To their credit</w:t>
      </w:r>
      <w:r>
        <w:t xml:space="preserve"> </w:t>
      </w:r>
      <w:r w:rsidRPr="00AD1223">
        <w:t>they recognised that AIS payments in addition to the AER’s incentive payments is double</w:t>
      </w:r>
      <w:r>
        <w:t xml:space="preserve"> </w:t>
      </w:r>
      <w:r w:rsidRPr="00AD1223">
        <w:t xml:space="preserve">compensation. We call on the AER to work with AEMO and </w:t>
      </w:r>
      <w:r>
        <w:t xml:space="preserve">SP AusNet </w:t>
      </w:r>
      <w:r w:rsidRPr="00AD1223">
        <w:t>to ensure that this</w:t>
      </w:r>
      <w:r>
        <w:t xml:space="preserve"> </w:t>
      </w:r>
      <w:r w:rsidRPr="00AD1223">
        <w:t>does not continue.</w:t>
      </w:r>
    </w:p>
    <w:p w:rsidR="0088341A" w:rsidRDefault="0088341A" w:rsidP="0088341A">
      <w:pPr>
        <w:pStyle w:val="AERbodytext"/>
        <w:numPr>
          <w:ilvl w:val="0"/>
          <w:numId w:val="13"/>
        </w:numPr>
      </w:pPr>
      <w:r>
        <w:t>We note that SP AusNet requested that AEMO abolish the scheme, as it considered that there was significant overlap with our STPIS.</w:t>
      </w:r>
      <w:r>
        <w:rPr>
          <w:rStyle w:val="FootnoteReference"/>
        </w:rPr>
        <w:footnoteReference w:id="349"/>
      </w:r>
      <w:r>
        <w:t xml:space="preserve"> AEMO intends maintaining the AIS for the 2014–17 regulatory control period but has indicated its intention to review this scheme in time for the subsequent regulatory control period. During that review, we understand that AEMO will consider the AIS' interaction with the AER's incentives scheme.</w:t>
      </w:r>
      <w:r>
        <w:rPr>
          <w:rStyle w:val="FootnoteReference"/>
        </w:rPr>
        <w:footnoteReference w:id="350"/>
      </w:r>
      <w:r>
        <w:t xml:space="preserve"> </w:t>
      </w:r>
    </w:p>
    <w:p w:rsidR="0088341A" w:rsidRPr="00497941" w:rsidRDefault="0088341A" w:rsidP="0088341A">
      <w:pPr>
        <w:pStyle w:val="Caption"/>
        <w:keepLines/>
      </w:pPr>
      <w:bookmarkStart w:id="210" w:name="_Ref361839388"/>
      <w:r>
        <w:t xml:space="preserve">Table </w:t>
      </w:r>
      <w:fldSimple w:instr=" STYLEREF 1 \s ">
        <w:r w:rsidR="004F35AA">
          <w:rPr>
            <w:noProof/>
          </w:rPr>
          <w:t>3</w:t>
        </w:r>
      </w:fldSimple>
      <w:r w:rsidR="00C56A87">
        <w:t>.</w:t>
      </w:r>
      <w:fldSimple w:instr=" SEQ Table \* ARABIC \s 1 ">
        <w:r w:rsidR="004F35AA">
          <w:rPr>
            <w:noProof/>
          </w:rPr>
          <w:t>10</w:t>
        </w:r>
      </w:fldSimple>
      <w:bookmarkEnd w:id="210"/>
      <w:r>
        <w:tab/>
        <w:t>AER's draft decision on SP AusNet's AIS rebate opex ($ million, 2013–14)</w:t>
      </w:r>
    </w:p>
    <w:tbl>
      <w:tblPr>
        <w:tblW w:w="9282" w:type="dxa"/>
        <w:tblBorders>
          <w:bottom w:val="single" w:sz="4" w:space="0" w:color="365F91"/>
        </w:tblBorders>
        <w:tblLook w:val="04A0" w:firstRow="1" w:lastRow="0" w:firstColumn="1" w:lastColumn="0" w:noHBand="0" w:noVBand="1"/>
      </w:tblPr>
      <w:tblGrid>
        <w:gridCol w:w="1856"/>
        <w:gridCol w:w="1856"/>
        <w:gridCol w:w="1856"/>
        <w:gridCol w:w="1857"/>
        <w:gridCol w:w="1857"/>
      </w:tblGrid>
      <w:tr w:rsidR="0088341A" w:rsidTr="00501137">
        <w:trPr>
          <w:trHeight w:val="468"/>
        </w:trPr>
        <w:tc>
          <w:tcPr>
            <w:tcW w:w="1856" w:type="dxa"/>
            <w:shd w:val="clear" w:color="auto" w:fill="365F91"/>
            <w:vAlign w:val="center"/>
          </w:tcPr>
          <w:p w:rsidR="0088341A" w:rsidRPr="00520C96" w:rsidRDefault="0088341A" w:rsidP="00501137">
            <w:pPr>
              <w:pStyle w:val="AERtablesource"/>
              <w:keepNext/>
              <w:keepLines/>
              <w:rPr>
                <w:b/>
                <w:color w:val="FFFFFF"/>
              </w:rPr>
            </w:pPr>
          </w:p>
        </w:tc>
        <w:tc>
          <w:tcPr>
            <w:tcW w:w="1856" w:type="dxa"/>
            <w:shd w:val="clear" w:color="auto" w:fill="365F91"/>
            <w:vAlign w:val="center"/>
          </w:tcPr>
          <w:p w:rsidR="0088341A" w:rsidRPr="00520C96" w:rsidRDefault="0088341A" w:rsidP="00501137">
            <w:pPr>
              <w:pStyle w:val="AERtabletextright"/>
              <w:keepNext/>
              <w:keepLines/>
              <w:rPr>
                <w:b/>
                <w:color w:val="FFFFFF"/>
              </w:rPr>
            </w:pPr>
            <w:r w:rsidRPr="00520C96">
              <w:rPr>
                <w:b/>
                <w:color w:val="FFFFFF"/>
              </w:rPr>
              <w:t>2014–15</w:t>
            </w:r>
          </w:p>
        </w:tc>
        <w:tc>
          <w:tcPr>
            <w:tcW w:w="1856" w:type="dxa"/>
            <w:shd w:val="clear" w:color="auto" w:fill="365F91"/>
            <w:vAlign w:val="center"/>
          </w:tcPr>
          <w:p w:rsidR="0088341A" w:rsidRPr="00520C96" w:rsidRDefault="0088341A" w:rsidP="00501137">
            <w:pPr>
              <w:pStyle w:val="AERtabletextright"/>
              <w:keepNext/>
              <w:keepLines/>
              <w:rPr>
                <w:b/>
                <w:color w:val="FFFFFF"/>
              </w:rPr>
            </w:pPr>
            <w:r w:rsidRPr="00520C96">
              <w:rPr>
                <w:b/>
                <w:color w:val="FFFFFF"/>
              </w:rPr>
              <w:t>2015–16</w:t>
            </w:r>
          </w:p>
        </w:tc>
        <w:tc>
          <w:tcPr>
            <w:tcW w:w="1857" w:type="dxa"/>
            <w:shd w:val="clear" w:color="auto" w:fill="365F91"/>
            <w:vAlign w:val="center"/>
          </w:tcPr>
          <w:p w:rsidR="0088341A" w:rsidRPr="00520C96" w:rsidRDefault="0088341A" w:rsidP="00501137">
            <w:pPr>
              <w:pStyle w:val="AERtabletextright"/>
              <w:keepNext/>
              <w:keepLines/>
              <w:rPr>
                <w:b/>
                <w:color w:val="FFFFFF"/>
              </w:rPr>
            </w:pPr>
            <w:r w:rsidRPr="00520C96">
              <w:rPr>
                <w:b/>
                <w:color w:val="FFFFFF"/>
              </w:rPr>
              <w:t>2016–17</w:t>
            </w:r>
          </w:p>
        </w:tc>
        <w:tc>
          <w:tcPr>
            <w:tcW w:w="1857" w:type="dxa"/>
            <w:shd w:val="clear" w:color="auto" w:fill="365F91"/>
            <w:vAlign w:val="center"/>
          </w:tcPr>
          <w:p w:rsidR="0088341A" w:rsidRPr="00520C96" w:rsidRDefault="0088341A" w:rsidP="00501137">
            <w:pPr>
              <w:pStyle w:val="AERtabletextright"/>
              <w:keepNext/>
              <w:keepLines/>
              <w:rPr>
                <w:b/>
                <w:color w:val="FFFFFF"/>
              </w:rPr>
            </w:pPr>
            <w:r w:rsidRPr="00520C96">
              <w:rPr>
                <w:b/>
                <w:color w:val="FFFFFF"/>
              </w:rPr>
              <w:t>Total</w:t>
            </w:r>
          </w:p>
        </w:tc>
      </w:tr>
      <w:tr w:rsidR="0088341A" w:rsidRPr="00FB1DC8" w:rsidTr="00501137">
        <w:trPr>
          <w:trHeight w:val="468"/>
        </w:trPr>
        <w:tc>
          <w:tcPr>
            <w:tcW w:w="1856" w:type="dxa"/>
            <w:shd w:val="clear" w:color="auto" w:fill="auto"/>
            <w:vAlign w:val="center"/>
          </w:tcPr>
          <w:p w:rsidR="0088341A" w:rsidRPr="00FB1DC8" w:rsidRDefault="0088341A" w:rsidP="00501137">
            <w:pPr>
              <w:pStyle w:val="AERtablesource"/>
              <w:keepNext/>
              <w:keepLines/>
            </w:pPr>
            <w:r w:rsidRPr="00FB1DC8">
              <w:t>AIS rebates opex</w:t>
            </w:r>
          </w:p>
        </w:tc>
        <w:tc>
          <w:tcPr>
            <w:tcW w:w="1856" w:type="dxa"/>
            <w:shd w:val="clear" w:color="auto" w:fill="auto"/>
            <w:vAlign w:val="center"/>
          </w:tcPr>
          <w:p w:rsidR="0088341A" w:rsidRPr="00FB1DC8" w:rsidRDefault="0088341A" w:rsidP="00501137">
            <w:pPr>
              <w:pStyle w:val="AERtabletextright"/>
              <w:keepNext/>
              <w:keepLines/>
            </w:pPr>
            <w:r w:rsidRPr="00FB1DC8">
              <w:t>0.0</w:t>
            </w:r>
          </w:p>
        </w:tc>
        <w:tc>
          <w:tcPr>
            <w:tcW w:w="1856" w:type="dxa"/>
            <w:shd w:val="clear" w:color="auto" w:fill="auto"/>
            <w:vAlign w:val="center"/>
          </w:tcPr>
          <w:p w:rsidR="0088341A" w:rsidRPr="00FB1DC8" w:rsidRDefault="0088341A" w:rsidP="00501137">
            <w:pPr>
              <w:pStyle w:val="AERtabletextright"/>
              <w:keepNext/>
              <w:keepLines/>
            </w:pPr>
            <w:r w:rsidRPr="00FB1DC8">
              <w:t>0.0</w:t>
            </w:r>
          </w:p>
        </w:tc>
        <w:tc>
          <w:tcPr>
            <w:tcW w:w="1857" w:type="dxa"/>
            <w:shd w:val="clear" w:color="auto" w:fill="auto"/>
            <w:vAlign w:val="center"/>
          </w:tcPr>
          <w:p w:rsidR="0088341A" w:rsidRPr="00FB1DC8" w:rsidRDefault="0088341A" w:rsidP="00501137">
            <w:pPr>
              <w:pStyle w:val="AERtabletextright"/>
              <w:keepNext/>
              <w:keepLines/>
            </w:pPr>
            <w:r w:rsidRPr="00FB1DC8">
              <w:t>0.0</w:t>
            </w:r>
          </w:p>
        </w:tc>
        <w:tc>
          <w:tcPr>
            <w:tcW w:w="1857" w:type="dxa"/>
            <w:shd w:val="clear" w:color="auto" w:fill="auto"/>
            <w:vAlign w:val="center"/>
          </w:tcPr>
          <w:p w:rsidR="0088341A" w:rsidRPr="00FB1DC8" w:rsidRDefault="0088341A" w:rsidP="00501137">
            <w:pPr>
              <w:pStyle w:val="AERtabletextright"/>
              <w:keepNext/>
              <w:keepLines/>
            </w:pPr>
            <w:r w:rsidRPr="00FB1DC8">
              <w:t>0.0</w:t>
            </w:r>
          </w:p>
        </w:tc>
      </w:tr>
    </w:tbl>
    <w:p w:rsidR="0088341A" w:rsidRDefault="0088341A" w:rsidP="0088341A">
      <w:pPr>
        <w:pStyle w:val="AERtablesource"/>
        <w:keepNext/>
        <w:keepLines/>
      </w:pPr>
      <w:r>
        <w:t>Source:</w:t>
      </w:r>
      <w:r>
        <w:tab/>
        <w:t>AER analysis</w:t>
      </w:r>
    </w:p>
    <w:p w:rsidR="0088341A" w:rsidRDefault="0088341A" w:rsidP="00AE649A">
      <w:pPr>
        <w:pStyle w:val="HeadingBoldItalic"/>
      </w:pPr>
      <w:r>
        <w:t>Easement land tax</w:t>
      </w:r>
    </w:p>
    <w:p w:rsidR="0088341A" w:rsidRPr="001858DC" w:rsidRDefault="0088341A" w:rsidP="0088341A">
      <w:pPr>
        <w:pStyle w:val="AERbodytext"/>
        <w:numPr>
          <w:ilvl w:val="0"/>
          <w:numId w:val="13"/>
        </w:numPr>
      </w:pPr>
      <w:r>
        <w:t>Victoria's land tax regime extends to easements held by SP AusNet. SP AusNet is required to forecast its easement land tax liability as part of the forecast opex. Where the forecast we accept in this determination differs (higher or lower) from the actual tax paid, SP AusNet is entitled to apply for a pass through.</w:t>
      </w:r>
      <w:r>
        <w:rPr>
          <w:rStyle w:val="FootnoteReference"/>
        </w:rPr>
        <w:footnoteReference w:id="351"/>
      </w:r>
      <w:r>
        <w:t xml:space="preserve"> Under the pass through rules, a materiality threshold (one per cent of SP AusNet's maximum allowed revenue (MAR)) must be met before a pass through is granted.</w:t>
      </w:r>
      <w:r>
        <w:rPr>
          <w:rStyle w:val="FootnoteReference"/>
        </w:rPr>
        <w:footnoteReference w:id="352"/>
      </w:r>
    </w:p>
    <w:p w:rsidR="0088341A" w:rsidRDefault="0088341A" w:rsidP="0088341A">
      <w:pPr>
        <w:pStyle w:val="AERbodytext"/>
        <w:numPr>
          <w:ilvl w:val="0"/>
          <w:numId w:val="13"/>
        </w:numPr>
      </w:pPr>
      <w:r>
        <w:lastRenderedPageBreak/>
        <w:t>SP AusNet proposed an easement and land tax forecast of $305.3 million for the 2014–17 regulatory control period. We are satisfied that this forecast reflects a realistic expectation of the easement land tax likely to be incurred in 2014–17 because:</w:t>
      </w:r>
    </w:p>
    <w:p w:rsidR="0088341A" w:rsidRDefault="0088341A" w:rsidP="0088341A">
      <w:pPr>
        <w:pStyle w:val="AERbulletlistfirststyle"/>
      </w:pPr>
      <w:r>
        <w:t>the forecast average annual tax liability of $101.7 million is relatively close the actual tax SP AusNet incurred in 2012–13 (</w:t>
      </w:r>
      <w:r w:rsidRPr="00A10918">
        <w:t>$10</w:t>
      </w:r>
      <w:r>
        <w:t>1.6 million)</w:t>
      </w:r>
    </w:p>
    <w:p w:rsidR="0088341A" w:rsidRDefault="0088341A" w:rsidP="0088341A">
      <w:pPr>
        <w:pStyle w:val="AERbulletlistfirststyle"/>
      </w:pPr>
      <w:r>
        <w:t>SP AusNet's forecast easement land tax assumes it will increase at the same rate as CPI.</w:t>
      </w:r>
      <w:r w:rsidRPr="00A10918">
        <w:t xml:space="preserve"> </w:t>
      </w:r>
    </w:p>
    <w:p w:rsidR="0088341A" w:rsidRDefault="0088341A" w:rsidP="0088341A">
      <w:pPr>
        <w:pStyle w:val="Caption"/>
        <w:keepLines/>
      </w:pPr>
      <w:r>
        <w:t xml:space="preserve">Table </w:t>
      </w:r>
      <w:fldSimple w:instr=" STYLEREF 1 \s ">
        <w:r w:rsidR="004F35AA">
          <w:rPr>
            <w:noProof/>
          </w:rPr>
          <w:t>3</w:t>
        </w:r>
      </w:fldSimple>
      <w:r w:rsidR="00C56A87">
        <w:t>.</w:t>
      </w:r>
      <w:fldSimple w:instr=" SEQ Table \* ARABIC \s 1 ">
        <w:r w:rsidR="004F35AA">
          <w:rPr>
            <w:noProof/>
          </w:rPr>
          <w:t>11</w:t>
        </w:r>
      </w:fldSimple>
      <w:r>
        <w:tab/>
        <w:t>A</w:t>
      </w:r>
      <w:r w:rsidRPr="00582482">
        <w:t xml:space="preserve">ER's draft decision on SP AusNet's </w:t>
      </w:r>
      <w:r>
        <w:t>land and easement tax</w:t>
      </w:r>
      <w:r w:rsidRPr="00582482">
        <w:t xml:space="preserve"> ($ million, 2013–14)</w:t>
      </w:r>
    </w:p>
    <w:tbl>
      <w:tblPr>
        <w:tblW w:w="9282" w:type="dxa"/>
        <w:tblBorders>
          <w:bottom w:val="single" w:sz="4" w:space="0" w:color="365F91"/>
        </w:tblBorders>
        <w:tblLook w:val="04A0" w:firstRow="1" w:lastRow="0" w:firstColumn="1" w:lastColumn="0" w:noHBand="0" w:noVBand="1"/>
      </w:tblPr>
      <w:tblGrid>
        <w:gridCol w:w="2376"/>
        <w:gridCol w:w="1336"/>
        <w:gridCol w:w="1856"/>
        <w:gridCol w:w="1857"/>
        <w:gridCol w:w="1857"/>
      </w:tblGrid>
      <w:tr w:rsidR="0088341A" w:rsidTr="00501137">
        <w:trPr>
          <w:trHeight w:val="468"/>
        </w:trPr>
        <w:tc>
          <w:tcPr>
            <w:tcW w:w="2376" w:type="dxa"/>
            <w:shd w:val="clear" w:color="auto" w:fill="365F91"/>
            <w:vAlign w:val="center"/>
          </w:tcPr>
          <w:p w:rsidR="0088341A" w:rsidRPr="00520C96" w:rsidRDefault="0088341A" w:rsidP="00501137">
            <w:pPr>
              <w:pStyle w:val="Caption"/>
              <w:keepLines/>
              <w:rPr>
                <w:b w:val="0"/>
                <w:color w:val="FFFFFF"/>
                <w:sz w:val="16"/>
              </w:rPr>
            </w:pPr>
          </w:p>
        </w:tc>
        <w:tc>
          <w:tcPr>
            <w:tcW w:w="1336" w:type="dxa"/>
            <w:shd w:val="clear" w:color="auto" w:fill="365F91"/>
            <w:vAlign w:val="center"/>
          </w:tcPr>
          <w:p w:rsidR="0088341A" w:rsidRPr="00520C96" w:rsidRDefault="0088341A" w:rsidP="00501137">
            <w:pPr>
              <w:pStyle w:val="AERtabletextright"/>
              <w:keepNext/>
              <w:keepLines/>
              <w:rPr>
                <w:b/>
                <w:color w:val="FFFFFF"/>
              </w:rPr>
            </w:pPr>
            <w:r w:rsidRPr="00520C96">
              <w:rPr>
                <w:b/>
                <w:color w:val="FFFFFF"/>
              </w:rPr>
              <w:t>2014–15</w:t>
            </w:r>
          </w:p>
        </w:tc>
        <w:tc>
          <w:tcPr>
            <w:tcW w:w="1856" w:type="dxa"/>
            <w:shd w:val="clear" w:color="auto" w:fill="365F91"/>
            <w:vAlign w:val="center"/>
          </w:tcPr>
          <w:p w:rsidR="0088341A" w:rsidRPr="00520C96" w:rsidRDefault="0088341A" w:rsidP="00501137">
            <w:pPr>
              <w:pStyle w:val="AERtabletextright"/>
              <w:keepNext/>
              <w:keepLines/>
              <w:rPr>
                <w:b/>
                <w:color w:val="FFFFFF"/>
              </w:rPr>
            </w:pPr>
            <w:r w:rsidRPr="00520C96">
              <w:rPr>
                <w:b/>
                <w:color w:val="FFFFFF"/>
              </w:rPr>
              <w:t>2015–16</w:t>
            </w:r>
          </w:p>
        </w:tc>
        <w:tc>
          <w:tcPr>
            <w:tcW w:w="1857" w:type="dxa"/>
            <w:shd w:val="clear" w:color="auto" w:fill="365F91"/>
            <w:vAlign w:val="center"/>
          </w:tcPr>
          <w:p w:rsidR="0088341A" w:rsidRPr="00520C96" w:rsidRDefault="0088341A" w:rsidP="00501137">
            <w:pPr>
              <w:pStyle w:val="AERtabletextright"/>
              <w:keepNext/>
              <w:keepLines/>
              <w:rPr>
                <w:b/>
                <w:color w:val="FFFFFF"/>
              </w:rPr>
            </w:pPr>
            <w:r w:rsidRPr="00520C96">
              <w:rPr>
                <w:b/>
                <w:color w:val="FFFFFF"/>
              </w:rPr>
              <w:t>2016–17</w:t>
            </w:r>
          </w:p>
        </w:tc>
        <w:tc>
          <w:tcPr>
            <w:tcW w:w="1857" w:type="dxa"/>
            <w:shd w:val="clear" w:color="auto" w:fill="365F91"/>
            <w:vAlign w:val="center"/>
          </w:tcPr>
          <w:p w:rsidR="0088341A" w:rsidRPr="00520C96" w:rsidRDefault="0088341A" w:rsidP="00501137">
            <w:pPr>
              <w:pStyle w:val="AERtabletextright"/>
              <w:keepNext/>
              <w:keepLines/>
              <w:rPr>
                <w:b/>
                <w:color w:val="FFFFFF"/>
              </w:rPr>
            </w:pPr>
            <w:r w:rsidRPr="00520C96">
              <w:rPr>
                <w:b/>
                <w:color w:val="FFFFFF"/>
              </w:rPr>
              <w:t>Total</w:t>
            </w:r>
          </w:p>
        </w:tc>
      </w:tr>
      <w:tr w:rsidR="0088341A" w:rsidTr="00501137">
        <w:trPr>
          <w:trHeight w:val="468"/>
        </w:trPr>
        <w:tc>
          <w:tcPr>
            <w:tcW w:w="2376" w:type="dxa"/>
            <w:shd w:val="clear" w:color="auto" w:fill="auto"/>
            <w:vAlign w:val="center"/>
          </w:tcPr>
          <w:p w:rsidR="0088341A" w:rsidRPr="00582482" w:rsidRDefault="0088341A" w:rsidP="00501137">
            <w:pPr>
              <w:pStyle w:val="AERtabletextleft"/>
              <w:keepNext/>
              <w:keepLines/>
            </w:pPr>
            <w:r w:rsidRPr="00582482">
              <w:t>Land and easement tax</w:t>
            </w:r>
          </w:p>
        </w:tc>
        <w:tc>
          <w:tcPr>
            <w:tcW w:w="1336" w:type="dxa"/>
            <w:shd w:val="clear" w:color="auto" w:fill="auto"/>
            <w:vAlign w:val="bottom"/>
          </w:tcPr>
          <w:p w:rsidR="0088341A" w:rsidRPr="00582482" w:rsidRDefault="0088341A" w:rsidP="00501137">
            <w:pPr>
              <w:pStyle w:val="AERtabletextright"/>
              <w:keepNext/>
              <w:keepLines/>
            </w:pPr>
            <w:r w:rsidRPr="00582482">
              <w:t>100.9</w:t>
            </w:r>
          </w:p>
        </w:tc>
        <w:tc>
          <w:tcPr>
            <w:tcW w:w="1856" w:type="dxa"/>
            <w:shd w:val="clear" w:color="auto" w:fill="auto"/>
            <w:vAlign w:val="bottom"/>
          </w:tcPr>
          <w:p w:rsidR="0088341A" w:rsidRPr="00582482" w:rsidRDefault="0088341A" w:rsidP="00501137">
            <w:pPr>
              <w:pStyle w:val="AERtabletextright"/>
              <w:keepNext/>
              <w:keepLines/>
            </w:pPr>
            <w:r w:rsidRPr="00582482">
              <w:t>103.4</w:t>
            </w:r>
          </w:p>
        </w:tc>
        <w:tc>
          <w:tcPr>
            <w:tcW w:w="1857" w:type="dxa"/>
            <w:shd w:val="clear" w:color="auto" w:fill="auto"/>
            <w:vAlign w:val="bottom"/>
          </w:tcPr>
          <w:p w:rsidR="0088341A" w:rsidRPr="00582482" w:rsidRDefault="0088341A" w:rsidP="00501137">
            <w:pPr>
              <w:pStyle w:val="AERtabletextright"/>
              <w:keepNext/>
              <w:keepLines/>
            </w:pPr>
            <w:r w:rsidRPr="00582482">
              <w:t>100.9</w:t>
            </w:r>
          </w:p>
        </w:tc>
        <w:tc>
          <w:tcPr>
            <w:tcW w:w="1857" w:type="dxa"/>
            <w:shd w:val="clear" w:color="auto" w:fill="auto"/>
            <w:vAlign w:val="bottom"/>
          </w:tcPr>
          <w:p w:rsidR="0088341A" w:rsidRPr="00582482" w:rsidRDefault="0088341A" w:rsidP="00501137">
            <w:pPr>
              <w:pStyle w:val="AERtabletextright"/>
              <w:keepNext/>
              <w:keepLines/>
            </w:pPr>
            <w:r w:rsidRPr="00582482">
              <w:t>305.2</w:t>
            </w:r>
          </w:p>
        </w:tc>
      </w:tr>
    </w:tbl>
    <w:p w:rsidR="0088341A" w:rsidRDefault="0088341A" w:rsidP="000D59B9">
      <w:pPr>
        <w:pStyle w:val="AERtablesource"/>
      </w:pPr>
      <w:r w:rsidRPr="00582482">
        <w:t>Source:</w:t>
      </w:r>
      <w:r w:rsidRPr="00582482">
        <w:tab/>
        <w:t>AER analysis</w:t>
      </w:r>
    </w:p>
    <w:p w:rsidR="0088341A" w:rsidRPr="00A907E9" w:rsidRDefault="0088341A" w:rsidP="0088341A">
      <w:pPr>
        <w:pStyle w:val="Heading3"/>
        <w:numPr>
          <w:ilvl w:val="3"/>
          <w:numId w:val="20"/>
        </w:numPr>
      </w:pPr>
      <w:bookmarkStart w:id="211" w:name="_Ref363813915"/>
      <w:r w:rsidRPr="00A907E9">
        <w:t>Consistency in determining the opex allowance and the EBSS gain</w:t>
      </w:r>
      <w:bookmarkEnd w:id="211"/>
    </w:p>
    <w:p w:rsidR="00503F2A" w:rsidRDefault="006A36B3" w:rsidP="006A36B3">
      <w:pPr>
        <w:pStyle w:val="AERbodytext"/>
        <w:numPr>
          <w:ilvl w:val="0"/>
          <w:numId w:val="13"/>
        </w:numPr>
      </w:pPr>
      <w:r>
        <w:t>Forecasts, by their very nature are not exact. Our approach aims to provide the best forecast, given SP AusNet's circumstances.</w:t>
      </w:r>
      <w:r>
        <w:rPr>
          <w:rStyle w:val="FootnoteReference"/>
        </w:rPr>
        <w:footnoteReference w:id="353"/>
      </w:r>
      <w:r>
        <w:t xml:space="preserve"> </w:t>
      </w:r>
      <w:r w:rsidR="00A17DB2">
        <w:t>It incentivises SP AusNet to manage the network efficiently and therefore provides the best indicator of future opex requirements.</w:t>
      </w:r>
      <w:r w:rsidR="00A17DB2">
        <w:rPr>
          <w:rStyle w:val="FootnoteReference"/>
        </w:rPr>
        <w:footnoteReference w:id="354"/>
      </w:r>
      <w:r w:rsidR="00A17DB2">
        <w:t xml:space="preserve"> </w:t>
      </w:r>
      <w:r>
        <w:t xml:space="preserve">This approach does not prejudge the sustainability of cost reductions or the future accuracy of our allowance. </w:t>
      </w:r>
    </w:p>
    <w:p w:rsidR="006C42C6" w:rsidRDefault="00166359" w:rsidP="006A36B3">
      <w:pPr>
        <w:pStyle w:val="AERbodytext"/>
        <w:numPr>
          <w:ilvl w:val="0"/>
          <w:numId w:val="13"/>
        </w:numPr>
      </w:pPr>
      <w:r>
        <w:t xml:space="preserve">The revealed costs mechanism, working with the EBSS, works well in the circumstances of lack of information. </w:t>
      </w:r>
    </w:p>
    <w:p w:rsidR="006C42C6" w:rsidRDefault="00166359" w:rsidP="005D0895">
      <w:pPr>
        <w:pStyle w:val="AERbulletlistfirststyle"/>
      </w:pPr>
      <w:r>
        <w:t xml:space="preserve">If a base year is chosen on the basis that the gain was of a lasting nature, </w:t>
      </w:r>
      <w:r w:rsidR="006C42C6">
        <w:t>the TNSP</w:t>
      </w:r>
      <w:r>
        <w:t xml:space="preserve"> will re</w:t>
      </w:r>
      <w:r w:rsidR="006C42C6">
        <w:t>c</w:t>
      </w:r>
      <w:r>
        <w:t xml:space="preserve">eive a carryover benefit for five years plus the benefit in the base year. If the efficiency gain turns out to be sustainable, </w:t>
      </w:r>
      <w:r w:rsidR="006C42C6">
        <w:t>the TNSP</w:t>
      </w:r>
      <w:r>
        <w:t xml:space="preserve"> will have properly reveived that ongoin</w:t>
      </w:r>
      <w:r w:rsidR="006C42C6">
        <w:t>g</w:t>
      </w:r>
      <w:r>
        <w:t xml:space="preserve"> benefit. If the efficiency gain turns out to be one-off, then the EBSS operates to provide the TNSP with an appropriate amount of revenue. </w:t>
      </w:r>
      <w:r w:rsidR="006A36B3">
        <w:t xml:space="preserve">Further, if the latter scenario eventuates, then in the subsequent regulatory control period (beginning 2017), the opex allowance will </w:t>
      </w:r>
      <w:r w:rsidR="00A17DB2">
        <w:t>be based on</w:t>
      </w:r>
      <w:r w:rsidR="006A36B3">
        <w:t xml:space="preserve"> the </w:t>
      </w:r>
      <w:r w:rsidR="00A17DB2">
        <w:t xml:space="preserve">higher </w:t>
      </w:r>
      <w:r w:rsidR="006A36B3">
        <w:t>revealed opex during 2014–17</w:t>
      </w:r>
      <w:r w:rsidR="00A17DB2">
        <w:t>.</w:t>
      </w:r>
      <w:r w:rsidR="006A36B3">
        <w:t xml:space="preserve"> </w:t>
      </w:r>
      <w:r w:rsidR="00A17DB2">
        <w:t xml:space="preserve">This will </w:t>
      </w:r>
      <w:r w:rsidR="006A36B3">
        <w:t xml:space="preserve">provide a higher </w:t>
      </w:r>
      <w:r w:rsidR="00503F2A">
        <w:t>opex forecast</w:t>
      </w:r>
      <w:r w:rsidR="006A36B3">
        <w:t xml:space="preserve"> for the subsequent regulatory control period. </w:t>
      </w:r>
      <w:r w:rsidR="006C42C6">
        <w:t>In this case, SP AusNet is at no disadvantage during 2014–17 because its total building block revenue includes the EBSS building block.</w:t>
      </w:r>
    </w:p>
    <w:p w:rsidR="006C42C6" w:rsidRDefault="00166359" w:rsidP="005D0895">
      <w:pPr>
        <w:pStyle w:val="AERbulletlistfirststyle"/>
      </w:pPr>
      <w:r>
        <w:t>Conversely, if a base year is chosen that assumes that the efficiency gain was a one</w:t>
      </w:r>
      <w:r w:rsidR="006C42C6">
        <w:t>-off gain, the TNSP will not rec</w:t>
      </w:r>
      <w:r>
        <w:t>eive a generous EBSS benefit but will simply get to retain the one-off benefit by retaining that sum for a period of six years. If we are corrent in our view that the TNSP</w:t>
      </w:r>
      <w:r w:rsidR="006C42C6">
        <w:t>’</w:t>
      </w:r>
      <w:r>
        <w:t xml:space="preserve">s gain was one-off, then the opex forecast for the next period should be correct (based on the revealed costs approach). If we were incorrect and the gain turns out to be sustained, then the TNSP will get the benefit by having the higher revenues for that next period, which is appropriate. </w:t>
      </w:r>
    </w:p>
    <w:p w:rsidR="006A36B3" w:rsidRDefault="00166359" w:rsidP="00137A5C">
      <w:pPr>
        <w:pStyle w:val="AERbodytext"/>
      </w:pPr>
      <w:r>
        <w:t xml:space="preserve">Thus, in these scenarios, the revealed costs approach provides a reliable means of determining the opex forecast, and the EBSS operates as something of a backup. We are required to make a best estimate of an opex forecast that meets the opex criteria. While that means that a judgemnt needs to be made as to whether any efficiency in the past period was one-off or lasting, an error in this assessment should not have adverse results for </w:t>
      </w:r>
      <w:r w:rsidR="006C42C6">
        <w:t>SP AusNet</w:t>
      </w:r>
      <w:r>
        <w:t xml:space="preserve">. </w:t>
      </w:r>
    </w:p>
    <w:p w:rsidR="006A36B3" w:rsidRDefault="006A36B3" w:rsidP="006A36B3">
      <w:pPr>
        <w:pStyle w:val="AERbodytext"/>
        <w:numPr>
          <w:ilvl w:val="0"/>
          <w:numId w:val="13"/>
        </w:numPr>
      </w:pPr>
      <w:r>
        <w:lastRenderedPageBreak/>
        <w:t>Expenditure for which the business has discretion in managing the cost, timing, scope and risks (for example, risk of deferring works) is 'controllable'. Asset works is controllable because the business has full discretion over its assets management policies and practices.</w:t>
      </w:r>
      <w:r>
        <w:rPr>
          <w:rStyle w:val="FootnoteReference"/>
        </w:rPr>
        <w:footnoteReference w:id="355"/>
      </w:r>
      <w:r>
        <w:t xml:space="preserve"> While any given 'project' in an asset works program may be infrequent in nature (for example, an individual asset such as a transformer may require refurbishment only once or twice in its lifetime), the 'program' of refurbishment is continuous (recurrent) and controllable. The base year expenditure should reflect all controllable costs because businesses are incentivised to exert effort to achieve ongoing cost efficiencies. The program of refurbishment and condition monitoring is recurrent expenditure, because it is a business-as-usual activity: it is part of core asset management practices that SP AusNet has been undertaking on an on-going basis.</w:t>
      </w:r>
      <w:r w:rsidRPr="00FC7C08">
        <w:t xml:space="preserve"> </w:t>
      </w:r>
      <w:r w:rsidR="00137A5C">
        <w:t xml:space="preserve">SP AusNet’s </w:t>
      </w:r>
      <w:r w:rsidRPr="00FC7C08">
        <w:t>2011–12 to 2015–16 Asset Management Plan noted its decision to defer works results in minimal short term risks, but material longer term risks.</w:t>
      </w:r>
      <w:r w:rsidRPr="00FC7C08">
        <w:rPr>
          <w:rStyle w:val="FootnoteReference"/>
        </w:rPr>
        <w:footnoteReference w:id="356"/>
      </w:r>
      <w:r w:rsidRPr="00FC7C08">
        <w:t xml:space="preserve"> But these elevated risk levels for which SP AusNet is now seeking funding directly result from SP AusNet’s decision to defer work.</w:t>
      </w:r>
    </w:p>
    <w:p w:rsidR="006A36B3" w:rsidRDefault="006A36B3" w:rsidP="006A36B3">
      <w:pPr>
        <w:pStyle w:val="AERbodytext"/>
        <w:numPr>
          <w:ilvl w:val="0"/>
          <w:numId w:val="13"/>
        </w:numPr>
      </w:pPr>
      <w:r>
        <w:t xml:space="preserve">SP AusNet's position appears to be that the revealed opex </w:t>
      </w:r>
      <w:r w:rsidRPr="00C63A70">
        <w:t>is unsustainable</w:t>
      </w:r>
      <w:r>
        <w:t xml:space="preserve"> (it considers asset works non-recurrent) and therefore, it applied a </w:t>
      </w:r>
      <w:r w:rsidRPr="00C63A70">
        <w:t>bottom–up forecas</w:t>
      </w:r>
      <w:r>
        <w:t>t. It sets out that the GFC requir</w:t>
      </w:r>
      <w:r w:rsidR="00137A5C">
        <w:t xml:space="preserve">ed </w:t>
      </w:r>
      <w:r>
        <w:t>it to prioritise expenditure, so it managed its business by deploying unsustainable opex reductions</w:t>
      </w:r>
      <w:r w:rsidR="00137A5C">
        <w:t>. Nevertheless,</w:t>
      </w:r>
      <w:r>
        <w:t xml:space="preserve"> it also set out a number of other drivers, including efficiency gains and acknowledging its (previous) over forecast</w:t>
      </w:r>
      <w:r w:rsidR="0073533B">
        <w:t>ing</w:t>
      </w:r>
      <w:r>
        <w:t xml:space="preserve"> of requirements. While we accept the </w:t>
      </w:r>
      <w:r w:rsidRPr="00C63A70">
        <w:t>GFC</w:t>
      </w:r>
      <w:r>
        <w:t xml:space="preserve"> may have had such an impact, </w:t>
      </w:r>
      <w:r w:rsidRPr="00C63A70">
        <w:t>these</w:t>
      </w:r>
      <w:r>
        <w:t xml:space="preserve"> works were </w:t>
      </w:r>
      <w:r w:rsidR="00137A5C">
        <w:t xml:space="preserve">already </w:t>
      </w:r>
      <w:r>
        <w:t xml:space="preserve">built into a previous opex allowance </w:t>
      </w:r>
      <w:r w:rsidRPr="00C63A70">
        <w:t xml:space="preserve">once </w:t>
      </w:r>
      <w:r>
        <w:t>and it would not be appropriate for consumers to now be asked to fund the same works again.</w:t>
      </w:r>
      <w:r w:rsidRPr="00DB37B7">
        <w:t xml:space="preserve"> </w:t>
      </w:r>
    </w:p>
    <w:p w:rsidR="0088341A" w:rsidRDefault="0088341A" w:rsidP="0088341A">
      <w:pPr>
        <w:pStyle w:val="AERbodytext"/>
        <w:numPr>
          <w:ilvl w:val="0"/>
          <w:numId w:val="13"/>
        </w:numPr>
      </w:pPr>
      <w:r>
        <w:t xml:space="preserve">SP AusNet stated that its asset works forecast involves non-recurrent costs, so that a top down approach, which assesses past expenditure to ‘reveal’ future requirements, was inappropriate. In our view, SP AusNet's position on this point is inconsistent with its approach to calculating its EBSS efficiency carryover. On the one hand, it is proposing a large EBSS carryover on the basis that it achieved sustainable recurrent efficiencies during the current regulatory control period. On the other hand, it considers these to be non-recurrent and proposes that customers fund the same works again in the next regulatory control period. If we were to forecast opex on the basis of an approach that is different to our revealed costs approach, then SP AusNet should not automatically receive its nominated EBSS carryover. The EBSS outcome should be consistent with </w:t>
      </w:r>
      <w:r w:rsidR="0073533B">
        <w:t xml:space="preserve">objectives of the EBSS under the </w:t>
      </w:r>
      <w:r>
        <w:t xml:space="preserve">NER and the scheme </w:t>
      </w:r>
      <w:r w:rsidR="0073533B">
        <w:t>itself</w:t>
      </w:r>
      <w:r>
        <w:t xml:space="preserve">.  </w:t>
      </w:r>
    </w:p>
    <w:p w:rsidR="0088341A" w:rsidRPr="00D20D66" w:rsidRDefault="0088341A" w:rsidP="0088341A">
      <w:pPr>
        <w:pStyle w:val="AERbodytext"/>
        <w:numPr>
          <w:ilvl w:val="0"/>
          <w:numId w:val="13"/>
        </w:numPr>
      </w:pPr>
      <w:r>
        <w:t xml:space="preserve">If we were to accept </w:t>
      </w:r>
      <w:r w:rsidRPr="00690B37">
        <w:t>SP AusNet</w:t>
      </w:r>
      <w:r>
        <w:t>'s proposal, then consumers will not share in the efficiency benefits as intended by the incentive framework.</w:t>
      </w:r>
      <w:r>
        <w:rPr>
          <w:rStyle w:val="FootnoteReference"/>
        </w:rPr>
        <w:footnoteReference w:id="357"/>
      </w:r>
      <w:r>
        <w:t xml:space="preserve"> In fact, SP AusNet's share of the benefit will increase from 30 per cent to over 140 per cent.</w:t>
      </w:r>
      <w:r>
        <w:rPr>
          <w:rStyle w:val="FootnoteReference"/>
        </w:rPr>
        <w:footnoteReference w:id="358"/>
      </w:r>
      <w:r>
        <w:t xml:space="preserve"> </w:t>
      </w:r>
      <w:r w:rsidRPr="005C40F8">
        <w:rPr>
          <w:rStyle w:val="AERbody"/>
        </w:rPr>
        <w:t xml:space="preserve">On this point, the EUAA commented in its submission on </w:t>
      </w:r>
      <w:r>
        <w:rPr>
          <w:rStyle w:val="AERbody"/>
        </w:rPr>
        <w:t xml:space="preserve">SP AusNet's </w:t>
      </w:r>
      <w:r w:rsidRPr="005C40F8">
        <w:rPr>
          <w:rStyle w:val="AERbody"/>
        </w:rPr>
        <w:t>proposal</w:t>
      </w:r>
      <w:r w:rsidRPr="00D20D66">
        <w:t>:</w:t>
      </w:r>
      <w:r w:rsidRPr="00D20D66">
        <w:rPr>
          <w:rStyle w:val="FootnoteReference"/>
        </w:rPr>
        <w:footnoteReference w:id="359"/>
      </w:r>
      <w:r w:rsidRPr="00D20D66">
        <w:t xml:space="preserve"> </w:t>
      </w:r>
    </w:p>
    <w:p w:rsidR="0088341A" w:rsidRPr="00D20D66" w:rsidRDefault="0088341A" w:rsidP="0088341A">
      <w:pPr>
        <w:pStyle w:val="AERquote"/>
      </w:pPr>
      <w:r>
        <w:t xml:space="preserve">SP AusNet </w:t>
      </w:r>
      <w:r w:rsidRPr="00D20D66">
        <w:t xml:space="preserve">has projected remarkably large EBSS payments ($47.1 million) over the three year regulatory period. Considering the small gap between allowed and actual opex in the current regulatory period this is </w:t>
      </w:r>
      <w:r w:rsidRPr="00D20D66">
        <w:lastRenderedPageBreak/>
        <w:t xml:space="preserve">remarkable and while we are not disputing their calculation, it does point to the importance of the AER setting opex allowances that result in a fair distribution of the benefits of efficiency improvement, with users. </w:t>
      </w:r>
    </w:p>
    <w:p w:rsidR="0088341A" w:rsidRDefault="0088341A" w:rsidP="0088341A">
      <w:pPr>
        <w:pStyle w:val="AERbodytext"/>
        <w:numPr>
          <w:ilvl w:val="0"/>
          <w:numId w:val="3"/>
        </w:numPr>
        <w:rPr>
          <w:rStyle w:val="AERbody"/>
        </w:rPr>
      </w:pPr>
      <w:r>
        <w:t>The interaction of the EBSS and the opex allowance is therefore very important. The EBSS has an effect on our assessment of the total opex that reasonably reflects the opex criteria for this regulatory control period. The regulatory scheme must be considered as a whole, and assessments for each building block should be made taking into account the operation of the scheme as a whole, not as separate disconnected decisions.</w:t>
      </w:r>
      <w:r w:rsidRPr="009C0283">
        <w:t xml:space="preserve"> </w:t>
      </w:r>
      <w:r>
        <w:rPr>
          <w:rStyle w:val="AERbody"/>
        </w:rPr>
        <w:t xml:space="preserve">This is important because the EBSS is premised on </w:t>
      </w:r>
      <w:r w:rsidR="00D60B22">
        <w:rPr>
          <w:rStyle w:val="AERbody"/>
        </w:rPr>
        <w:t xml:space="preserve">rewarding ongoing efficiencies, which is best assessed using </w:t>
      </w:r>
      <w:r>
        <w:rPr>
          <w:rStyle w:val="AERbody"/>
        </w:rPr>
        <w:t>a revealed costs forecast</w:t>
      </w:r>
      <w:r w:rsidR="00D60B22">
        <w:rPr>
          <w:rStyle w:val="AERbody"/>
        </w:rPr>
        <w:t xml:space="preserve">. These separate building blocks </w:t>
      </w:r>
      <w:r>
        <w:rPr>
          <w:rStyle w:val="AERbody"/>
        </w:rPr>
        <w:t>cannot be considered in</w:t>
      </w:r>
      <w:r w:rsidR="00D60B22">
        <w:rPr>
          <w:rStyle w:val="AERbody"/>
        </w:rPr>
        <w:t xml:space="preserve"> complete</w:t>
      </w:r>
      <w:r>
        <w:rPr>
          <w:rStyle w:val="AERbody"/>
        </w:rPr>
        <w:t xml:space="preserve"> isolation. If a bottom up forecast for part of the controllable opex was accepted, then the appropriate application of the EBSS would also need to be reconsidered. The fact that SP AusNet has proposed both a bottom</w:t>
      </w:r>
      <w:r w:rsidR="008B0C46">
        <w:rPr>
          <w:rStyle w:val="AERbody"/>
        </w:rPr>
        <w:t xml:space="preserve"> </w:t>
      </w:r>
      <w:r>
        <w:rPr>
          <w:rStyle w:val="AERbody"/>
        </w:rPr>
        <w:t xml:space="preserve">up forecast for expenditure it considers 'non-recurrent' and an EBSS benefit for that same expenditure, is contradictory. The EBSS benefit would only be appropriate if the efficiency savings implicit in the carryover amounts are also assumed to be recurrent in the opex forecast. </w:t>
      </w:r>
    </w:p>
    <w:p w:rsidR="0088341A" w:rsidRDefault="0088341A" w:rsidP="0088341A">
      <w:pPr>
        <w:pStyle w:val="AERbodytext"/>
        <w:numPr>
          <w:ilvl w:val="0"/>
          <w:numId w:val="3"/>
        </w:numPr>
        <w:rPr>
          <w:rStyle w:val="AERbody"/>
        </w:rPr>
      </w:pPr>
      <w:r>
        <w:rPr>
          <w:rStyle w:val="AERbody"/>
        </w:rPr>
        <w:t>The interaction between the EBSS and the opex forecast is shown in the following example.</w:t>
      </w:r>
    </w:p>
    <w:p w:rsidR="0088341A" w:rsidRPr="00681608" w:rsidRDefault="0088341A" w:rsidP="00681608">
      <w:pPr>
        <w:pStyle w:val="HeadingBoldBlue"/>
        <w:rPr>
          <w:rStyle w:val="AERtextbold"/>
          <w:b/>
        </w:rPr>
      </w:pPr>
      <w:r w:rsidRPr="00681608">
        <w:rPr>
          <w:rStyle w:val="AERtextbold"/>
          <w:b/>
        </w:rPr>
        <w:t>Example of interaction between EBSS and opex allowance</w:t>
      </w:r>
    </w:p>
    <w:p w:rsidR="0088341A" w:rsidRDefault="0088341A" w:rsidP="0088341A">
      <w:r w:rsidRPr="00837BE4">
        <w:t xml:space="preserve">When </w:t>
      </w:r>
      <w:r w:rsidR="00D60B22">
        <w:t xml:space="preserve">the </w:t>
      </w:r>
      <w:r w:rsidRPr="00837BE4">
        <w:t xml:space="preserve">revealed cost approach is applied and the EBSS are considered in tandem, on average, a TNSP will </w:t>
      </w:r>
      <w:r>
        <w:t>recover enough revenue to cover its cost</w:t>
      </w:r>
      <w:r w:rsidR="0073533B">
        <w:t>s</w:t>
      </w:r>
      <w:r>
        <w:t xml:space="preserve">, given the time value of money and the </w:t>
      </w:r>
      <w:r w:rsidRPr="00837BE4">
        <w:t>EBSS scheme.</w:t>
      </w:r>
      <w:r>
        <w:t xml:space="preserve"> </w:t>
      </w:r>
    </w:p>
    <w:p w:rsidR="0088341A" w:rsidRPr="00837BE4" w:rsidRDefault="0088341A" w:rsidP="0088341A">
      <w:r>
        <w:t xml:space="preserve">The EBSS intends for TNSPs to receive 30 per cent of any efficiency gains, and the remaining 70 per cent is shared with consumers. However, depending on the method used to forecast the opex allowance in the next period and whether the efficiency was a sustainable (recurrent) or non-recurrent underspend, the sharing ratio changes. This is explained in the two scenarios discussed below. </w:t>
      </w:r>
    </w:p>
    <w:p w:rsidR="0088341A" w:rsidRPr="00681608" w:rsidRDefault="0088341A" w:rsidP="004E540D">
      <w:pPr>
        <w:pStyle w:val="HeadingBoldItalic"/>
        <w:rPr>
          <w:rStyle w:val="AERtextbold"/>
        </w:rPr>
      </w:pPr>
      <w:r w:rsidRPr="00681608">
        <w:rPr>
          <w:rStyle w:val="AERtextbold"/>
          <w:b/>
        </w:rPr>
        <w:t>Recurrent efficiency gain</w:t>
      </w:r>
    </w:p>
    <w:p w:rsidR="0088341A" w:rsidRDefault="0088341A" w:rsidP="0088341A">
      <w:r w:rsidRPr="00837BE4">
        <w:t xml:space="preserve">The first example </w:t>
      </w:r>
      <w:r>
        <w:t>(</w:t>
      </w:r>
      <w:r>
        <w:fldChar w:fldCharType="begin"/>
      </w:r>
      <w:r>
        <w:instrText xml:space="preserve"> REF _Ref363815613 \h </w:instrText>
      </w:r>
      <w:r>
        <w:fldChar w:fldCharType="separate"/>
      </w:r>
      <w:r w:rsidR="004F35AA">
        <w:t xml:space="preserve">Figure </w:t>
      </w:r>
      <w:r w:rsidR="004F35AA">
        <w:rPr>
          <w:noProof/>
        </w:rPr>
        <w:t>3</w:t>
      </w:r>
      <w:r w:rsidR="004F35AA">
        <w:t>.</w:t>
      </w:r>
      <w:r w:rsidR="004F35AA">
        <w:rPr>
          <w:noProof/>
        </w:rPr>
        <w:t>9</w:t>
      </w:r>
      <w:r>
        <w:fldChar w:fldCharType="end"/>
      </w:r>
      <w:r>
        <w:t xml:space="preserve">) </w:t>
      </w:r>
      <w:r w:rsidRPr="00837BE4">
        <w:t>is a scenario where an efficiency gain (underspend) is achieved by the TNSP in the base year (year 4) and the efficiency is sustained. In this example</w:t>
      </w:r>
      <w:r>
        <w:t xml:space="preserve"> </w:t>
      </w:r>
      <w:r w:rsidRPr="00837BE4">
        <w:t>the TNSP received an allowance of $100</w:t>
      </w:r>
      <w:r>
        <w:t xml:space="preserve"> per year during the first period (years 1 to 5). </w:t>
      </w:r>
      <w:r w:rsidRPr="00837BE4">
        <w:t>However, in year 4 it permanently</w:t>
      </w:r>
      <w:r>
        <w:t xml:space="preserve"> </w:t>
      </w:r>
      <w:r w:rsidRPr="00837BE4">
        <w:t>reduced its expenditure requirement to $50.</w:t>
      </w:r>
      <w:r>
        <w:t xml:space="preserve"> In the example we assume that year 4 is proposed as the base year for forecasting opex for the next regulatory control period. Therefore:</w:t>
      </w:r>
    </w:p>
    <w:p w:rsidR="0088341A" w:rsidRDefault="0088341A" w:rsidP="0088341A">
      <w:pPr>
        <w:pStyle w:val="AERbulletlistfirststyle"/>
      </w:pPr>
      <w:r>
        <w:t>the TNSP receives an EBSS ‘reward’ in years 6 to 9</w:t>
      </w:r>
    </w:p>
    <w:p w:rsidR="0088341A" w:rsidRDefault="0088341A" w:rsidP="0088341A">
      <w:pPr>
        <w:pStyle w:val="AERbulletlistfirststyle"/>
      </w:pPr>
      <w:r>
        <w:t>the TNSP receives the benefit of the unspent opex allowance in years 4 and 5.</w:t>
      </w:r>
    </w:p>
    <w:p w:rsidR="0088341A" w:rsidRDefault="0088341A" w:rsidP="0088341A">
      <w:r>
        <w:t xml:space="preserve">In year 10 onwards, consumers benefit because the opex allowance is $50 per year instead of $100. We do time-value-of-money calculations to calculate the dollar value of the sharing of these gains up to year 10. Consequently, the TNSP receives 30 per cent of the benefits of its cost reduction while the consumers receive 70 per cent. Hence, although we originally allowed the TNSP $100, by exerting effort it realised sustainable efficiencies, which it retained for a period and then passed onto consumers through a lower opex allowance thereafter. </w:t>
      </w:r>
    </w:p>
    <w:p w:rsidR="0088341A" w:rsidRDefault="0088341A" w:rsidP="0088341A">
      <w:pPr>
        <w:pStyle w:val="Caption"/>
      </w:pPr>
      <w:bookmarkStart w:id="212" w:name="_Ref363815613"/>
      <w:r>
        <w:lastRenderedPageBreak/>
        <w:t xml:space="preserve">Figure </w:t>
      </w:r>
      <w:fldSimple w:instr=" STYLEREF 1 \s ">
        <w:r w:rsidR="004F35AA">
          <w:rPr>
            <w:noProof/>
          </w:rPr>
          <w:t>3</w:t>
        </w:r>
      </w:fldSimple>
      <w:r w:rsidR="00C56A87">
        <w:t>.</w:t>
      </w:r>
      <w:fldSimple w:instr=" SEQ Figure \* ARABIC \s 1 ">
        <w:r w:rsidR="004F35AA">
          <w:rPr>
            <w:noProof/>
          </w:rPr>
          <w:t>9</w:t>
        </w:r>
      </w:fldSimple>
      <w:bookmarkEnd w:id="212"/>
      <w:r>
        <w:tab/>
        <w:t>Example of a recurrent efficiency gain, the EBSS and the opex forecast</w:t>
      </w:r>
    </w:p>
    <w:p w:rsidR="0088341A" w:rsidRDefault="0088341A" w:rsidP="0088341A">
      <w:pPr>
        <w:rPr>
          <w:noProof/>
          <w:lang w:eastAsia="en-AU"/>
        </w:rPr>
      </w:pPr>
      <w:r>
        <w:rPr>
          <w:noProof/>
          <w:lang w:eastAsia="en-AU"/>
        </w:rPr>
        <w:drawing>
          <wp:inline distT="0" distB="0" distL="0" distR="0" wp14:anchorId="3281C777" wp14:editId="37CDE2EB">
            <wp:extent cx="5727700" cy="373824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7700" cy="3738245"/>
                    </a:xfrm>
                    <a:prstGeom prst="rect">
                      <a:avLst/>
                    </a:prstGeom>
                    <a:noFill/>
                    <a:ln>
                      <a:noFill/>
                    </a:ln>
                  </pic:spPr>
                </pic:pic>
              </a:graphicData>
            </a:graphic>
          </wp:inline>
        </w:drawing>
      </w:r>
    </w:p>
    <w:p w:rsidR="0088341A" w:rsidRPr="007C09C9" w:rsidRDefault="0088341A" w:rsidP="007C09C9">
      <w:pPr>
        <w:pStyle w:val="AERtablesource"/>
        <w:rPr>
          <w:rStyle w:val="AERbody"/>
          <w:sz w:val="16"/>
        </w:rPr>
      </w:pPr>
      <w:r w:rsidRPr="007C09C9">
        <w:rPr>
          <w:rStyle w:val="AERbody"/>
          <w:sz w:val="16"/>
        </w:rPr>
        <w:t>Source:</w:t>
      </w:r>
      <w:r w:rsidRPr="007C09C9">
        <w:rPr>
          <w:rStyle w:val="AERbody"/>
          <w:sz w:val="16"/>
        </w:rPr>
        <w:tab/>
        <w:t>AER analysis</w:t>
      </w:r>
      <w:r w:rsidR="007C09C9" w:rsidRPr="007C09C9">
        <w:rPr>
          <w:rStyle w:val="AERbody"/>
          <w:sz w:val="16"/>
        </w:rPr>
        <w:t>.</w:t>
      </w:r>
    </w:p>
    <w:p w:rsidR="0088341A" w:rsidRPr="00681608" w:rsidRDefault="0088341A" w:rsidP="004E540D">
      <w:pPr>
        <w:pStyle w:val="HeadingBoldItalic"/>
        <w:rPr>
          <w:rStyle w:val="AERtextbold"/>
        </w:rPr>
      </w:pPr>
      <w:r w:rsidRPr="00681608">
        <w:rPr>
          <w:rStyle w:val="AERtextbold"/>
          <w:b/>
        </w:rPr>
        <w:t>Non-recurrent efficiency gain</w:t>
      </w:r>
    </w:p>
    <w:p w:rsidR="0088341A" w:rsidRDefault="0088341A" w:rsidP="0088341A">
      <w:r>
        <w:t>The next example (</w:t>
      </w:r>
      <w:r>
        <w:fldChar w:fldCharType="begin"/>
      </w:r>
      <w:r>
        <w:instrText xml:space="preserve"> REF _Ref363815628 \h </w:instrText>
      </w:r>
      <w:r>
        <w:fldChar w:fldCharType="separate"/>
      </w:r>
      <w:r w:rsidR="004F35AA">
        <w:t xml:space="preserve">Figure </w:t>
      </w:r>
      <w:r w:rsidR="004F35AA">
        <w:rPr>
          <w:noProof/>
        </w:rPr>
        <w:t>3</w:t>
      </w:r>
      <w:r w:rsidR="004F35AA">
        <w:t>.</w:t>
      </w:r>
      <w:r w:rsidR="004F35AA">
        <w:rPr>
          <w:noProof/>
        </w:rPr>
        <w:t>10</w:t>
      </w:r>
      <w:r>
        <w:fldChar w:fldCharType="end"/>
      </w:r>
      <w:r>
        <w:t>) is a scenario where the TNSP has achieved a one-off efficiency gain (underspend) in the base year of $50. We assume, as with the first example, the TNSP received an allowance of $100 each year during the first period. However it only spent $50 in year 4 (base year). The sharing of the EBSS gain with consumers due to the one off underspend depends on how the period two allowance is set.</w:t>
      </w:r>
    </w:p>
    <w:p w:rsidR="0088341A" w:rsidRDefault="0088341A" w:rsidP="0088341A">
      <w:pPr>
        <w:pStyle w:val="HeadingItalic"/>
      </w:pPr>
      <w:r>
        <w:t>Using the revealed costs method to set the forecast in year 6 to 10</w:t>
      </w:r>
    </w:p>
    <w:p w:rsidR="0088341A" w:rsidRDefault="00F44BD4" w:rsidP="0088341A">
      <w:r>
        <w:t>The r</w:t>
      </w:r>
      <w:r w:rsidR="0088341A">
        <w:t xml:space="preserve">evealed cost method uses a base year and sets the next period opex allowance at the base year amount. Using this method results in the opex allowance and the EBSS interacting as follows: </w:t>
      </w:r>
    </w:p>
    <w:p w:rsidR="0088341A" w:rsidRDefault="0088341A" w:rsidP="0088341A">
      <w:pPr>
        <w:pStyle w:val="AERbulletlistfirststyle"/>
      </w:pPr>
      <w:r>
        <w:t>In year 6 to 10 the TNSP receives an opex allowance of $50 per annum</w:t>
      </w:r>
    </w:p>
    <w:p w:rsidR="0088341A" w:rsidRDefault="0088341A" w:rsidP="0088341A">
      <w:pPr>
        <w:pStyle w:val="AERbulletlistfirststyle"/>
      </w:pPr>
      <w:r>
        <w:t>It also receives and EBSS benefits in years 6 to 9 of $50 per annum</w:t>
      </w:r>
    </w:p>
    <w:p w:rsidR="0088341A" w:rsidRDefault="0088341A" w:rsidP="0088341A">
      <w:pPr>
        <w:pStyle w:val="AERbulletlistfirststyle"/>
      </w:pPr>
      <w:r>
        <w:t xml:space="preserve">The EBSS plus the opex allowance total $100 per annum in years 6 to 9, which meets its expenditure requirement.  </w:t>
      </w:r>
    </w:p>
    <w:p w:rsidR="0088341A" w:rsidRDefault="0088341A" w:rsidP="0088341A">
      <w:pPr>
        <w:pStyle w:val="AERbulletlistfirststyle"/>
      </w:pPr>
      <w:r>
        <w:t xml:space="preserve">In year 10 the TNSP ‘pays back’ the extra allowance to consumers that it received in year 4. </w:t>
      </w:r>
    </w:p>
    <w:p w:rsidR="0088341A" w:rsidRDefault="0088341A" w:rsidP="0088341A">
      <w:pPr>
        <w:pStyle w:val="AERbulletlistfirststyle"/>
      </w:pPr>
      <w:r>
        <w:t>Because of the time-value-of-money, the TNSP has received 30 per cent of the benefits.</w:t>
      </w:r>
    </w:p>
    <w:p w:rsidR="0088341A" w:rsidRDefault="0088341A" w:rsidP="0088341A">
      <w:pPr>
        <w:pStyle w:val="Caption"/>
      </w:pPr>
      <w:bookmarkStart w:id="213" w:name="_Ref363815628"/>
      <w:r>
        <w:lastRenderedPageBreak/>
        <w:t xml:space="preserve">Figure </w:t>
      </w:r>
      <w:fldSimple w:instr=" STYLEREF 1 \s ">
        <w:r w:rsidR="004F35AA">
          <w:rPr>
            <w:noProof/>
          </w:rPr>
          <w:t>3</w:t>
        </w:r>
      </w:fldSimple>
      <w:r w:rsidR="00C56A87">
        <w:t>.</w:t>
      </w:r>
      <w:fldSimple w:instr=" SEQ Figure \* ARABIC \s 1 ">
        <w:r w:rsidR="004F35AA">
          <w:rPr>
            <w:noProof/>
          </w:rPr>
          <w:t>10</w:t>
        </w:r>
      </w:fldSimple>
      <w:bookmarkEnd w:id="213"/>
      <w:r>
        <w:tab/>
        <w:t>Example of non-recurrent efficiency gain, the EBSS and the revealed costs opex forecast</w:t>
      </w:r>
    </w:p>
    <w:p w:rsidR="0088341A" w:rsidRDefault="0088341A" w:rsidP="0088341A">
      <w:pPr>
        <w:pStyle w:val="AERbodytext"/>
        <w:numPr>
          <w:ilvl w:val="0"/>
          <w:numId w:val="13"/>
        </w:numPr>
        <w:rPr>
          <w:noProof/>
          <w:lang w:eastAsia="en-AU"/>
        </w:rPr>
      </w:pPr>
      <w:r>
        <w:rPr>
          <w:noProof/>
          <w:lang w:eastAsia="en-AU"/>
        </w:rPr>
        <w:drawing>
          <wp:inline distT="0" distB="0" distL="0" distR="0" wp14:anchorId="70871E2C" wp14:editId="0A9D5ECC">
            <wp:extent cx="5735320" cy="37452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5320" cy="3745230"/>
                    </a:xfrm>
                    <a:prstGeom prst="rect">
                      <a:avLst/>
                    </a:prstGeom>
                    <a:noFill/>
                    <a:ln>
                      <a:noFill/>
                    </a:ln>
                  </pic:spPr>
                </pic:pic>
              </a:graphicData>
            </a:graphic>
          </wp:inline>
        </w:drawing>
      </w:r>
    </w:p>
    <w:p w:rsidR="0088341A" w:rsidRPr="007C09C9" w:rsidRDefault="0088341A" w:rsidP="007C09C9">
      <w:pPr>
        <w:pStyle w:val="AERtablesource"/>
        <w:rPr>
          <w:rStyle w:val="AERbody"/>
          <w:sz w:val="16"/>
        </w:rPr>
      </w:pPr>
      <w:r w:rsidRPr="007C09C9">
        <w:rPr>
          <w:rStyle w:val="AERbody"/>
          <w:sz w:val="16"/>
        </w:rPr>
        <w:t>Source:</w:t>
      </w:r>
      <w:r w:rsidRPr="007C09C9">
        <w:rPr>
          <w:rStyle w:val="AERbody"/>
          <w:sz w:val="16"/>
        </w:rPr>
        <w:tab/>
        <w:t>AER analysis</w:t>
      </w:r>
      <w:r w:rsidR="007C09C9" w:rsidRPr="007C09C9">
        <w:rPr>
          <w:rStyle w:val="AERbody"/>
          <w:sz w:val="16"/>
        </w:rPr>
        <w:t>.</w:t>
      </w:r>
    </w:p>
    <w:p w:rsidR="0088341A" w:rsidRDefault="0088341A" w:rsidP="0088341A">
      <w:pPr>
        <w:pStyle w:val="HeadingItalic"/>
      </w:pPr>
      <w:r>
        <w:t>Using the bottom up method to set the forecast in year 6 to 10</w:t>
      </w:r>
    </w:p>
    <w:p w:rsidR="0088341A" w:rsidRDefault="0088341A" w:rsidP="0088341A">
      <w:r>
        <w:t>This example (</w:t>
      </w:r>
      <w:r>
        <w:fldChar w:fldCharType="begin"/>
      </w:r>
      <w:r>
        <w:instrText xml:space="preserve"> REF _Ref363815697 \h </w:instrText>
      </w:r>
      <w:r>
        <w:fldChar w:fldCharType="separate"/>
      </w:r>
      <w:r w:rsidR="004F35AA">
        <w:t xml:space="preserve">Figure </w:t>
      </w:r>
      <w:r w:rsidR="004F35AA">
        <w:rPr>
          <w:noProof/>
        </w:rPr>
        <w:t>3</w:t>
      </w:r>
      <w:r w:rsidR="004F35AA">
        <w:t>.</w:t>
      </w:r>
      <w:r w:rsidR="004F35AA">
        <w:rPr>
          <w:noProof/>
        </w:rPr>
        <w:t>11</w:t>
      </w:r>
      <w:r>
        <w:fldChar w:fldCharType="end"/>
      </w:r>
      <w:r>
        <w:t>) shows the problem that occurs when a bottom up forecast is used to set the allowance for years 6 to 10. In this case the opex allowance is set to $100 per annum for years 6 to 10, but the TNSP has:</w:t>
      </w:r>
    </w:p>
    <w:p w:rsidR="0088341A" w:rsidRDefault="0088341A" w:rsidP="0088341A">
      <w:pPr>
        <w:pStyle w:val="AERbulletlistfirststyle"/>
      </w:pPr>
      <w:r>
        <w:t>Entirely retained its underspend relative to the allowance in year 4 (which is not shared with consumers), and:</w:t>
      </w:r>
    </w:p>
    <w:p w:rsidR="0088341A" w:rsidRDefault="007C09C9" w:rsidP="0088341A">
      <w:pPr>
        <w:pStyle w:val="AERbulletlistthirdstyle"/>
      </w:pPr>
      <w:r>
        <w:t>i</w:t>
      </w:r>
      <w:r w:rsidR="0088341A">
        <w:t>s rewarded by $50 per annum in year 6 to 9 with an EBSS benefit (whic</w:t>
      </w:r>
      <w:r>
        <w:t>h is not shared with consumers)</w:t>
      </w:r>
    </w:p>
    <w:p w:rsidR="0088341A" w:rsidRDefault="007C09C9" w:rsidP="0088341A">
      <w:pPr>
        <w:pStyle w:val="AERbulletlistthirdstyle"/>
      </w:pPr>
      <w:r>
        <w:t>i</w:t>
      </w:r>
      <w:r w:rsidR="0088341A">
        <w:t xml:space="preserve">t receives $150 per annum for year 6 to 9 in total, which is more than </w:t>
      </w:r>
      <w:r w:rsidR="00F44BD4">
        <w:t>it requires to perform its $100</w:t>
      </w:r>
      <w:r w:rsidR="0088341A">
        <w:t xml:space="preserve"> of work for those years.</w:t>
      </w:r>
    </w:p>
    <w:p w:rsidR="0088341A" w:rsidRDefault="0088341A" w:rsidP="0088341A">
      <w:pPr>
        <w:pStyle w:val="Caption"/>
      </w:pPr>
      <w:bookmarkStart w:id="214" w:name="_Ref363815697"/>
      <w:r>
        <w:lastRenderedPageBreak/>
        <w:t xml:space="preserve">Figure </w:t>
      </w:r>
      <w:fldSimple w:instr=" STYLEREF 1 \s ">
        <w:r w:rsidR="004F35AA">
          <w:rPr>
            <w:noProof/>
          </w:rPr>
          <w:t>3</w:t>
        </w:r>
      </w:fldSimple>
      <w:r w:rsidR="00C56A87">
        <w:t>.</w:t>
      </w:r>
      <w:fldSimple w:instr=" SEQ Figure \* ARABIC \s 1 ">
        <w:r w:rsidR="004F35AA">
          <w:rPr>
            <w:noProof/>
          </w:rPr>
          <w:t>11</w:t>
        </w:r>
      </w:fldSimple>
      <w:bookmarkEnd w:id="214"/>
      <w:r>
        <w:tab/>
        <w:t>Example of non-recurrent efficiency gain, the EBSS and bottom</w:t>
      </w:r>
      <w:r w:rsidR="008B0C46">
        <w:t xml:space="preserve"> </w:t>
      </w:r>
      <w:r>
        <w:t xml:space="preserve">up opex forecast </w:t>
      </w:r>
    </w:p>
    <w:p w:rsidR="0088341A" w:rsidRDefault="0088341A" w:rsidP="0088341A">
      <w:r>
        <w:rPr>
          <w:noProof/>
          <w:lang w:eastAsia="en-AU"/>
        </w:rPr>
        <w:drawing>
          <wp:inline distT="0" distB="0" distL="0" distR="0" wp14:anchorId="524A5F4C" wp14:editId="0A36C061">
            <wp:extent cx="5735320" cy="37452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5320" cy="3745230"/>
                    </a:xfrm>
                    <a:prstGeom prst="rect">
                      <a:avLst/>
                    </a:prstGeom>
                    <a:noFill/>
                    <a:ln>
                      <a:noFill/>
                    </a:ln>
                  </pic:spPr>
                </pic:pic>
              </a:graphicData>
            </a:graphic>
          </wp:inline>
        </w:drawing>
      </w:r>
    </w:p>
    <w:p w:rsidR="0088341A" w:rsidRPr="007C09C9" w:rsidRDefault="0088341A" w:rsidP="007C09C9">
      <w:pPr>
        <w:pStyle w:val="AERtablesource"/>
        <w:rPr>
          <w:rStyle w:val="AERbody"/>
          <w:sz w:val="16"/>
        </w:rPr>
      </w:pPr>
      <w:r w:rsidRPr="007C09C9">
        <w:rPr>
          <w:rStyle w:val="AERbody"/>
          <w:sz w:val="16"/>
        </w:rPr>
        <w:t>Source:</w:t>
      </w:r>
      <w:r w:rsidRPr="007C09C9">
        <w:rPr>
          <w:rStyle w:val="AERbody"/>
          <w:sz w:val="16"/>
        </w:rPr>
        <w:tab/>
        <w:t>AER analysis</w:t>
      </w:r>
      <w:r w:rsidR="007C09C9">
        <w:rPr>
          <w:rStyle w:val="AERbody"/>
          <w:sz w:val="16"/>
        </w:rPr>
        <w:t>.</w:t>
      </w:r>
    </w:p>
    <w:p w:rsidR="0088341A" w:rsidRPr="00771884" w:rsidRDefault="0088341A" w:rsidP="0088341A">
      <w:pPr>
        <w:pStyle w:val="Heading2"/>
        <w:numPr>
          <w:ilvl w:val="2"/>
          <w:numId w:val="20"/>
        </w:numPr>
      </w:pPr>
      <w:bookmarkStart w:id="215" w:name="_Toc365283301"/>
      <w:r>
        <w:t>Draft decision</w:t>
      </w:r>
      <w:bookmarkEnd w:id="215"/>
    </w:p>
    <w:p w:rsidR="0088341A" w:rsidRPr="00771884" w:rsidRDefault="0088341A" w:rsidP="0088341A">
      <w:pPr>
        <w:pStyle w:val="AERrevisionbox"/>
      </w:pPr>
      <w:r>
        <w:rPr>
          <w:rStyle w:val="AERtextbold"/>
        </w:rPr>
        <w:t>Revision 3</w:t>
      </w:r>
      <w:r w:rsidRPr="00771884">
        <w:rPr>
          <w:rStyle w:val="AERtextbold"/>
        </w:rPr>
        <w:t>.1:</w:t>
      </w:r>
      <w:r w:rsidRPr="00771884">
        <w:t xml:space="preserve"> </w:t>
      </w:r>
      <w:r w:rsidR="007C09C9">
        <w:tab/>
        <w:t>M</w:t>
      </w:r>
      <w:r>
        <w:t xml:space="preserve">ake all necessary amendments to reflect the AER's draft decision on conforming operating expenditure for the 2014–17 regulatory control period in </w:t>
      </w:r>
      <w:r>
        <w:fldChar w:fldCharType="begin"/>
      </w:r>
      <w:r>
        <w:instrText xml:space="preserve"> REF _Ref362366168 \h </w:instrText>
      </w:r>
      <w:r>
        <w:fldChar w:fldCharType="separate"/>
      </w:r>
      <w:r w:rsidR="004F35AA">
        <w:t xml:space="preserve">Table </w:t>
      </w:r>
      <w:r w:rsidR="004F35AA">
        <w:rPr>
          <w:noProof/>
        </w:rPr>
        <w:t>3</w:t>
      </w:r>
      <w:r w:rsidR="004F35AA">
        <w:t>.</w:t>
      </w:r>
      <w:r w:rsidR="004F35AA">
        <w:rPr>
          <w:noProof/>
        </w:rPr>
        <w:t>1</w:t>
      </w:r>
      <w:r>
        <w:fldChar w:fldCharType="end"/>
      </w:r>
      <w:r>
        <w:t>.</w:t>
      </w:r>
    </w:p>
    <w:p w:rsidR="0088341A" w:rsidRDefault="0088341A" w:rsidP="0088341A">
      <w:pPr>
        <w:pStyle w:val="AERtablesource"/>
        <w:keepNext/>
        <w:keepLines/>
      </w:pPr>
    </w:p>
    <w:p w:rsidR="0088341A" w:rsidRPr="008F3D22" w:rsidRDefault="0088341A" w:rsidP="0088341A">
      <w:pPr>
        <w:pStyle w:val="AERbodytext"/>
        <w:numPr>
          <w:ilvl w:val="0"/>
          <w:numId w:val="1"/>
        </w:numPr>
        <w:rPr>
          <w:rStyle w:val="AERbody"/>
        </w:rPr>
      </w:pPr>
    </w:p>
    <w:p w:rsidR="0088341A" w:rsidRDefault="0088341A" w:rsidP="0088341A">
      <w:pPr>
        <w:pStyle w:val="AERbodytext"/>
        <w:numPr>
          <w:ilvl w:val="0"/>
          <w:numId w:val="1"/>
        </w:numPr>
        <w:rPr>
          <w:rStyle w:val="AERbody"/>
        </w:rPr>
        <w:sectPr w:rsidR="0088341A">
          <w:footerReference w:type="default" r:id="rId52"/>
          <w:pgSz w:w="11906" w:h="16838"/>
          <w:pgMar w:top="1440" w:right="1440" w:bottom="1440" w:left="1440" w:header="708" w:footer="708" w:gutter="0"/>
          <w:cols w:space="708"/>
          <w:docGrid w:linePitch="360"/>
        </w:sectPr>
      </w:pPr>
    </w:p>
    <w:p w:rsidR="0088341A" w:rsidRPr="00F326BE" w:rsidRDefault="0088341A" w:rsidP="0088341A">
      <w:pPr>
        <w:pStyle w:val="Heading1"/>
        <w:numPr>
          <w:ilvl w:val="1"/>
          <w:numId w:val="20"/>
        </w:numPr>
      </w:pPr>
      <w:bookmarkStart w:id="216" w:name="_Toc365283302"/>
      <w:bookmarkStart w:id="217" w:name="_Toc365462000"/>
      <w:r w:rsidRPr="00F326BE">
        <w:lastRenderedPageBreak/>
        <w:t>Cost of capital</w:t>
      </w:r>
      <w:bookmarkEnd w:id="216"/>
      <w:bookmarkEnd w:id="217"/>
    </w:p>
    <w:p w:rsidR="0088341A" w:rsidRDefault="0088341A" w:rsidP="0088341A">
      <w:pPr>
        <w:pStyle w:val="AERbodytext"/>
        <w:numPr>
          <w:ilvl w:val="0"/>
          <w:numId w:val="0"/>
        </w:numPr>
      </w:pPr>
      <w:r>
        <w:t>As part of making a determination on the annual building block revenue requirement for a transmission network service provider (TNSP), we are required to make a decision on the return on capital building block.</w:t>
      </w:r>
      <w:r>
        <w:rPr>
          <w:rStyle w:val="FootnoteReference"/>
        </w:rPr>
        <w:footnoteReference w:id="360"/>
      </w:r>
      <w:r>
        <w:t xml:space="preserve"> The return on capital building block is calculated as the product of the cost of capital (or rate of return) and the value of the regulatory asset base (RAB). Our draft decision on SP AusNet's RAB is set out in attachment 5. This attachment sets out our draft decision regarding the cost of capital applying to SP AusNet over the 2014</w:t>
      </w:r>
      <w:r>
        <w:softHyphen/>
        <w:t xml:space="preserve">–17 regulatory control period. </w:t>
      </w:r>
    </w:p>
    <w:p w:rsidR="0088341A" w:rsidRDefault="0088341A" w:rsidP="0088341A">
      <w:pPr>
        <w:pStyle w:val="AERbodytext"/>
        <w:numPr>
          <w:ilvl w:val="0"/>
          <w:numId w:val="0"/>
        </w:numPr>
      </w:pPr>
      <w:r>
        <w:t>Under the transitional</w:t>
      </w:r>
      <w:r w:rsidRPr="003A0629">
        <w:t xml:space="preserve"> </w:t>
      </w:r>
      <w:r>
        <w:t xml:space="preserve">arrangements, </w:t>
      </w:r>
      <w:r w:rsidRPr="00A442FB">
        <w:t xml:space="preserve">an older version of the NER (version 52) </w:t>
      </w:r>
      <w:r>
        <w:t>will</w:t>
      </w:r>
      <w:r w:rsidRPr="00A442FB">
        <w:t xml:space="preserve"> apply to SP AusNet</w:t>
      </w:r>
      <w:r>
        <w:t>'s 2014–17 transmission determination. This version of</w:t>
      </w:r>
      <w:r w:rsidRPr="005A3D8F">
        <w:t xml:space="preserve"> the </w:t>
      </w:r>
      <w:r>
        <w:t xml:space="preserve">NER requires that </w:t>
      </w:r>
      <w:r w:rsidRPr="005A3D8F">
        <w:t>the cost of capital is measured as the return required by investors in a commercial enterprise with a similar nature and degree of non-diversifiable risk as that faced by the transmission business.</w:t>
      </w:r>
      <w:r w:rsidRPr="005A3D8F">
        <w:rPr>
          <w:rStyle w:val="FootnoteReference"/>
        </w:rPr>
        <w:footnoteReference w:id="361"/>
      </w:r>
      <w:r>
        <w:t xml:space="preserve"> It must be calculated as a nominal post-tax weighted average cost of capital (WACC). Further, key parameters used to calculate the cost of capital have been determined by the AER in its 2009 WACC review. </w:t>
      </w:r>
    </w:p>
    <w:p w:rsidR="0088341A" w:rsidRDefault="0088341A" w:rsidP="0088341A">
      <w:pPr>
        <w:pStyle w:val="AERbodytext"/>
        <w:numPr>
          <w:ilvl w:val="0"/>
          <w:numId w:val="0"/>
        </w:numPr>
      </w:pPr>
      <w:r>
        <w:t>We are currently in the process of developing a new rate of return guideline.</w:t>
      </w:r>
      <w:r>
        <w:rPr>
          <w:rStyle w:val="FootnoteReference"/>
        </w:rPr>
        <w:footnoteReference w:id="362"/>
      </w:r>
      <w:r>
        <w:t xml:space="preserve"> However, we note that the transitional arrangements operate so that this new guideline will not apply to SP AusNet's 2014–17 regulatory control period. We accordingly applied our 2009 review of the WACC to setting the key parameters of SP AusNet's rate of return for its 2014–17 regulatory control period.</w:t>
      </w:r>
      <w:r w:rsidRPr="00906915">
        <w:t xml:space="preserve"> </w:t>
      </w:r>
    </w:p>
    <w:p w:rsidR="0088341A" w:rsidRPr="003800E4" w:rsidRDefault="0088341A" w:rsidP="0088341A">
      <w:pPr>
        <w:pStyle w:val="Heading2"/>
        <w:numPr>
          <w:ilvl w:val="2"/>
          <w:numId w:val="20"/>
        </w:numPr>
      </w:pPr>
      <w:bookmarkStart w:id="218" w:name="_Toc365283303"/>
      <w:r w:rsidRPr="00A907E9">
        <w:t>Draft</w:t>
      </w:r>
      <w:r>
        <w:t xml:space="preserve"> decision</w:t>
      </w:r>
      <w:bookmarkEnd w:id="218"/>
    </w:p>
    <w:p w:rsidR="0088341A" w:rsidRDefault="0088341A" w:rsidP="0088341A">
      <w:pPr>
        <w:pStyle w:val="AERbodytext"/>
        <w:numPr>
          <w:ilvl w:val="0"/>
          <w:numId w:val="1"/>
        </w:numPr>
      </w:pPr>
      <w:r>
        <w:t xml:space="preserve">We accept SP AusNet's proposed </w:t>
      </w:r>
      <w:r w:rsidRPr="005A3D8F">
        <w:t xml:space="preserve">method for determining the WACC, including </w:t>
      </w:r>
      <w:r>
        <w:t>SP AusNet</w:t>
      </w:r>
      <w:r w:rsidRPr="005A3D8F">
        <w:t>’s proposed averaging period.</w:t>
      </w:r>
      <w:r w:rsidRPr="005A3D8F">
        <w:rPr>
          <w:rStyle w:val="FootnoteReference"/>
        </w:rPr>
        <w:footnoteReference w:id="363"/>
      </w:r>
      <w:r w:rsidRPr="005A3D8F">
        <w:t xml:space="preserve"> However, </w:t>
      </w:r>
      <w:r>
        <w:t>for this draft decision, we</w:t>
      </w:r>
      <w:r w:rsidRPr="005A3D8F">
        <w:t xml:space="preserve"> determine an indicative WACC of</w:t>
      </w:r>
      <w:r>
        <w:t xml:space="preserve"> 7.43 </w:t>
      </w:r>
      <w:r w:rsidRPr="005A3D8F">
        <w:t>per cent, as set out in</w:t>
      </w:r>
      <w:r>
        <w:t xml:space="preserve"> </w:t>
      </w:r>
      <w:r>
        <w:fldChar w:fldCharType="begin"/>
      </w:r>
      <w:r>
        <w:instrText xml:space="preserve"> REF _Ref355187690 \h </w:instrText>
      </w:r>
      <w:r>
        <w:fldChar w:fldCharType="separate"/>
      </w:r>
      <w:r w:rsidR="004F35AA">
        <w:t xml:space="preserve">Table </w:t>
      </w:r>
      <w:r w:rsidR="004F35AA">
        <w:rPr>
          <w:noProof/>
        </w:rPr>
        <w:t>4</w:t>
      </w:r>
      <w:r w:rsidR="004F35AA">
        <w:t>.</w:t>
      </w:r>
      <w:r w:rsidR="004F35AA">
        <w:rPr>
          <w:noProof/>
        </w:rPr>
        <w:t>1</w:t>
      </w:r>
      <w:r>
        <w:fldChar w:fldCharType="end"/>
      </w:r>
      <w:r w:rsidRPr="005A3D8F">
        <w:t>.</w:t>
      </w:r>
      <w:r>
        <w:t xml:space="preserve"> Our</w:t>
      </w:r>
      <w:r w:rsidRPr="005A3D8F">
        <w:t xml:space="preserve"> draft decision reflects market based parameters—the nominal risk free rate and the debt risk premium (DRP)—estimated over an indicative averaging period.</w:t>
      </w:r>
      <w:r w:rsidRPr="005A3D8F">
        <w:rPr>
          <w:rStyle w:val="FootnoteReference"/>
        </w:rPr>
        <w:footnoteReference w:id="364"/>
      </w:r>
      <w:r w:rsidRPr="005A3D8F">
        <w:t xml:space="preserve"> </w:t>
      </w:r>
      <w:r w:rsidRPr="00C07A44">
        <w:t xml:space="preserve">We will update these parameters for </w:t>
      </w:r>
      <w:r>
        <w:t>our</w:t>
      </w:r>
      <w:r w:rsidRPr="00C07A44">
        <w:t xml:space="preserve"> final decision, based on the </w:t>
      </w:r>
      <w:r>
        <w:t xml:space="preserve">accepted </w:t>
      </w:r>
      <w:r w:rsidRPr="00C07A44">
        <w:t xml:space="preserve">averaging period. </w:t>
      </w:r>
    </w:p>
    <w:p w:rsidR="0088341A" w:rsidRDefault="0088341A" w:rsidP="0088341A">
      <w:pPr>
        <w:pStyle w:val="Caption"/>
        <w:keepLines/>
      </w:pPr>
      <w:bookmarkStart w:id="219" w:name="_Ref355187690"/>
      <w:r>
        <w:lastRenderedPageBreak/>
        <w:t xml:space="preserve">Table </w:t>
      </w:r>
      <w:fldSimple w:instr=" STYLEREF 1 \s ">
        <w:r w:rsidR="004F35AA">
          <w:rPr>
            <w:noProof/>
          </w:rPr>
          <w:t>4</w:t>
        </w:r>
      </w:fldSimple>
      <w:r w:rsidR="00C56A87">
        <w:t>.</w:t>
      </w:r>
      <w:fldSimple w:instr=" SEQ Table \* ARABIC \s 1 ">
        <w:r w:rsidR="004F35AA">
          <w:rPr>
            <w:noProof/>
          </w:rPr>
          <w:t>1</w:t>
        </w:r>
      </w:fldSimple>
      <w:bookmarkEnd w:id="219"/>
      <w:r>
        <w:tab/>
        <w:t>AER's draft decision on WACC parameters</w:t>
      </w:r>
    </w:p>
    <w:tbl>
      <w:tblPr>
        <w:tblW w:w="0" w:type="auto"/>
        <w:tblBorders>
          <w:bottom w:val="single" w:sz="4" w:space="0" w:color="365F91"/>
        </w:tblBorders>
        <w:tblLook w:val="04A0" w:firstRow="1" w:lastRow="0" w:firstColumn="1" w:lastColumn="0" w:noHBand="0" w:noVBand="1"/>
      </w:tblPr>
      <w:tblGrid>
        <w:gridCol w:w="4621"/>
        <w:gridCol w:w="4621"/>
      </w:tblGrid>
      <w:tr w:rsidR="0088341A" w:rsidTr="00501137">
        <w:tc>
          <w:tcPr>
            <w:tcW w:w="4621" w:type="dxa"/>
            <w:shd w:val="clear" w:color="auto" w:fill="365F91"/>
            <w:vAlign w:val="center"/>
          </w:tcPr>
          <w:p w:rsidR="0088341A" w:rsidRPr="00035EF5" w:rsidRDefault="0088341A" w:rsidP="00501137">
            <w:pPr>
              <w:pStyle w:val="AERbodytext"/>
              <w:keepNext/>
              <w:keepLines/>
              <w:numPr>
                <w:ilvl w:val="0"/>
                <w:numId w:val="1"/>
              </w:numPr>
              <w:spacing w:before="120"/>
              <w:rPr>
                <w:b/>
                <w:color w:val="FFFFFF"/>
                <w:sz w:val="16"/>
              </w:rPr>
            </w:pPr>
            <w:r w:rsidRPr="00035EF5">
              <w:rPr>
                <w:b/>
                <w:color w:val="FFFFFF"/>
                <w:sz w:val="16"/>
              </w:rPr>
              <w:t>Parameter</w:t>
            </w:r>
          </w:p>
        </w:tc>
        <w:tc>
          <w:tcPr>
            <w:tcW w:w="4621" w:type="dxa"/>
            <w:shd w:val="clear" w:color="auto" w:fill="365F91"/>
            <w:vAlign w:val="center"/>
          </w:tcPr>
          <w:p w:rsidR="0088341A" w:rsidRPr="00035EF5" w:rsidRDefault="0088341A" w:rsidP="00501137">
            <w:pPr>
              <w:pStyle w:val="AERbodytext"/>
              <w:keepNext/>
              <w:keepLines/>
              <w:numPr>
                <w:ilvl w:val="0"/>
                <w:numId w:val="1"/>
              </w:numPr>
              <w:spacing w:before="120"/>
              <w:rPr>
                <w:b/>
                <w:color w:val="FFFFFF"/>
                <w:sz w:val="16"/>
              </w:rPr>
            </w:pPr>
            <w:r w:rsidRPr="00035EF5">
              <w:rPr>
                <w:b/>
                <w:color w:val="FFFFFF"/>
                <w:sz w:val="16"/>
              </w:rPr>
              <w:t>AER</w:t>
            </w:r>
            <w:r w:rsidR="00F44BD4">
              <w:rPr>
                <w:b/>
                <w:color w:val="FFFFFF"/>
                <w:sz w:val="16"/>
              </w:rPr>
              <w:t>’s</w:t>
            </w:r>
            <w:r w:rsidRPr="00035EF5">
              <w:rPr>
                <w:b/>
                <w:color w:val="FFFFFF"/>
                <w:sz w:val="16"/>
              </w:rPr>
              <w:t xml:space="preserve"> draft decision</w:t>
            </w:r>
          </w:p>
        </w:tc>
      </w:tr>
      <w:tr w:rsidR="0088341A" w:rsidTr="00501137">
        <w:tc>
          <w:tcPr>
            <w:tcW w:w="4621" w:type="dxa"/>
            <w:vAlign w:val="center"/>
          </w:tcPr>
          <w:p w:rsidR="0088341A" w:rsidRPr="00035EF5" w:rsidRDefault="0088341A" w:rsidP="00501137">
            <w:pPr>
              <w:pStyle w:val="AERtabletextleft"/>
              <w:keepNext/>
              <w:keepLines/>
            </w:pPr>
            <w:r w:rsidRPr="00035EF5">
              <w:t>Nominal risk free rate</w:t>
            </w:r>
          </w:p>
        </w:tc>
        <w:tc>
          <w:tcPr>
            <w:tcW w:w="4621" w:type="dxa"/>
            <w:vAlign w:val="center"/>
          </w:tcPr>
          <w:p w:rsidR="0088341A" w:rsidRPr="00035EF5" w:rsidRDefault="0088341A" w:rsidP="00501137">
            <w:pPr>
              <w:pStyle w:val="AERtabletextleft"/>
              <w:keepNext/>
              <w:keepLines/>
            </w:pPr>
            <w:r>
              <w:t>3.54%</w:t>
            </w:r>
          </w:p>
        </w:tc>
      </w:tr>
      <w:tr w:rsidR="0088341A" w:rsidTr="00501137">
        <w:tc>
          <w:tcPr>
            <w:tcW w:w="4621" w:type="dxa"/>
            <w:shd w:val="clear" w:color="auto" w:fill="DBE5F1"/>
            <w:vAlign w:val="center"/>
          </w:tcPr>
          <w:p w:rsidR="0088341A" w:rsidRPr="00035EF5" w:rsidRDefault="0088341A" w:rsidP="00501137">
            <w:pPr>
              <w:pStyle w:val="AERtabletextleft"/>
              <w:keepNext/>
              <w:keepLines/>
            </w:pPr>
            <w:r w:rsidRPr="00035EF5">
              <w:t>Equity beta</w:t>
            </w:r>
          </w:p>
        </w:tc>
        <w:tc>
          <w:tcPr>
            <w:tcW w:w="4621" w:type="dxa"/>
            <w:shd w:val="clear" w:color="auto" w:fill="DBE5F1"/>
            <w:vAlign w:val="center"/>
          </w:tcPr>
          <w:p w:rsidR="0088341A" w:rsidRPr="00035EF5" w:rsidRDefault="0088341A" w:rsidP="00501137">
            <w:pPr>
              <w:pStyle w:val="AERtabletextleft"/>
              <w:keepNext/>
              <w:keepLines/>
            </w:pPr>
            <w:r w:rsidRPr="00035EF5">
              <w:t>0.80</w:t>
            </w:r>
          </w:p>
        </w:tc>
      </w:tr>
      <w:tr w:rsidR="0088341A" w:rsidTr="00501137">
        <w:tc>
          <w:tcPr>
            <w:tcW w:w="4621" w:type="dxa"/>
            <w:vAlign w:val="center"/>
          </w:tcPr>
          <w:p w:rsidR="0088341A" w:rsidRPr="00035EF5" w:rsidRDefault="0088341A" w:rsidP="00501137">
            <w:pPr>
              <w:pStyle w:val="AERtabletextleft"/>
              <w:keepNext/>
              <w:keepLines/>
            </w:pPr>
            <w:r w:rsidRPr="00035EF5">
              <w:t>Market risk premium</w:t>
            </w:r>
          </w:p>
        </w:tc>
        <w:tc>
          <w:tcPr>
            <w:tcW w:w="4621" w:type="dxa"/>
            <w:vAlign w:val="center"/>
          </w:tcPr>
          <w:p w:rsidR="0088341A" w:rsidRPr="00035EF5" w:rsidRDefault="0088341A" w:rsidP="00501137">
            <w:pPr>
              <w:pStyle w:val="AERtabletextleft"/>
              <w:keepNext/>
              <w:keepLines/>
            </w:pPr>
            <w:r w:rsidRPr="00035EF5">
              <w:t>6.50</w:t>
            </w:r>
            <w:r>
              <w:t>%</w:t>
            </w:r>
          </w:p>
        </w:tc>
      </w:tr>
      <w:tr w:rsidR="0088341A" w:rsidTr="00501137">
        <w:tc>
          <w:tcPr>
            <w:tcW w:w="4621" w:type="dxa"/>
            <w:shd w:val="clear" w:color="auto" w:fill="DBE5F1"/>
            <w:vAlign w:val="center"/>
          </w:tcPr>
          <w:p w:rsidR="0088341A" w:rsidRPr="00035EF5" w:rsidRDefault="0088341A" w:rsidP="00501137">
            <w:pPr>
              <w:pStyle w:val="AERtabletextleft"/>
              <w:keepNext/>
              <w:keepLines/>
            </w:pPr>
            <w:r w:rsidRPr="00035EF5">
              <w:t>Debt risk premiu</w:t>
            </w:r>
            <w:r w:rsidRPr="00035EF5">
              <w:rPr>
                <w:noProof/>
              </w:rPr>
              <w:t>m</w:t>
            </w:r>
          </w:p>
        </w:tc>
        <w:tc>
          <w:tcPr>
            <w:tcW w:w="4621" w:type="dxa"/>
            <w:shd w:val="clear" w:color="auto" w:fill="DBE5F1"/>
            <w:vAlign w:val="center"/>
          </w:tcPr>
          <w:p w:rsidR="0088341A" w:rsidRPr="00035EF5" w:rsidRDefault="0088341A" w:rsidP="00501137">
            <w:pPr>
              <w:pStyle w:val="AERtabletextleft"/>
              <w:keepNext/>
              <w:keepLines/>
            </w:pPr>
            <w:r>
              <w:t>3.00%</w:t>
            </w:r>
          </w:p>
        </w:tc>
      </w:tr>
      <w:tr w:rsidR="0088341A" w:rsidTr="00501137">
        <w:tc>
          <w:tcPr>
            <w:tcW w:w="4621" w:type="dxa"/>
            <w:vAlign w:val="center"/>
          </w:tcPr>
          <w:p w:rsidR="0088341A" w:rsidRPr="00035EF5" w:rsidRDefault="0088341A" w:rsidP="00501137">
            <w:pPr>
              <w:pStyle w:val="AERtabletextleft"/>
              <w:keepNext/>
              <w:keepLines/>
            </w:pPr>
            <w:r w:rsidRPr="00035EF5">
              <w:t>Gearing level</w:t>
            </w:r>
          </w:p>
        </w:tc>
        <w:tc>
          <w:tcPr>
            <w:tcW w:w="4621" w:type="dxa"/>
            <w:vAlign w:val="center"/>
          </w:tcPr>
          <w:p w:rsidR="0088341A" w:rsidRPr="00035EF5" w:rsidRDefault="0088341A" w:rsidP="00501137">
            <w:pPr>
              <w:pStyle w:val="AERtabletextleft"/>
              <w:keepNext/>
              <w:keepLines/>
            </w:pPr>
            <w:r w:rsidRPr="00035EF5">
              <w:t>60%</w:t>
            </w:r>
          </w:p>
        </w:tc>
      </w:tr>
      <w:tr w:rsidR="0088341A" w:rsidTr="00501137">
        <w:tc>
          <w:tcPr>
            <w:tcW w:w="4621" w:type="dxa"/>
            <w:shd w:val="clear" w:color="auto" w:fill="DBE5F1"/>
            <w:vAlign w:val="center"/>
          </w:tcPr>
          <w:p w:rsidR="0088341A" w:rsidRPr="00035EF5" w:rsidRDefault="0088341A" w:rsidP="00501137">
            <w:pPr>
              <w:pStyle w:val="AERtabletextleft"/>
              <w:keepNext/>
              <w:keepLines/>
            </w:pPr>
            <w:r w:rsidRPr="00035EF5">
              <w:t>Inflation forecast</w:t>
            </w:r>
          </w:p>
        </w:tc>
        <w:tc>
          <w:tcPr>
            <w:tcW w:w="4621" w:type="dxa"/>
            <w:shd w:val="clear" w:color="auto" w:fill="DBE5F1"/>
            <w:vAlign w:val="center"/>
          </w:tcPr>
          <w:p w:rsidR="0088341A" w:rsidRPr="00035EF5" w:rsidRDefault="0088341A" w:rsidP="00501137">
            <w:pPr>
              <w:pStyle w:val="AERtabletextleft"/>
              <w:keepNext/>
              <w:keepLines/>
            </w:pPr>
            <w:r>
              <w:t>2.50%</w:t>
            </w:r>
          </w:p>
        </w:tc>
      </w:tr>
      <w:tr w:rsidR="0088341A" w:rsidTr="00501137">
        <w:tc>
          <w:tcPr>
            <w:tcW w:w="4621" w:type="dxa"/>
            <w:vAlign w:val="center"/>
          </w:tcPr>
          <w:p w:rsidR="0088341A" w:rsidRPr="00035EF5" w:rsidRDefault="0088341A" w:rsidP="00501137">
            <w:pPr>
              <w:pStyle w:val="AERtabletextleft"/>
              <w:keepNext/>
              <w:keepLines/>
            </w:pPr>
            <w:r w:rsidRPr="00035EF5">
              <w:t>Gamma</w:t>
            </w:r>
          </w:p>
        </w:tc>
        <w:tc>
          <w:tcPr>
            <w:tcW w:w="4621" w:type="dxa"/>
            <w:vAlign w:val="center"/>
          </w:tcPr>
          <w:p w:rsidR="0088341A" w:rsidRPr="00035EF5" w:rsidRDefault="0088341A" w:rsidP="00501137">
            <w:pPr>
              <w:pStyle w:val="AERtabletextleft"/>
              <w:keepNext/>
              <w:keepLines/>
            </w:pPr>
            <w:r w:rsidRPr="00035EF5">
              <w:t>0.65</w:t>
            </w:r>
          </w:p>
        </w:tc>
      </w:tr>
      <w:tr w:rsidR="0088341A" w:rsidTr="00501137">
        <w:tc>
          <w:tcPr>
            <w:tcW w:w="4621" w:type="dxa"/>
            <w:shd w:val="clear" w:color="auto" w:fill="DBE5F1"/>
            <w:vAlign w:val="center"/>
          </w:tcPr>
          <w:p w:rsidR="0088341A" w:rsidRPr="00035EF5" w:rsidRDefault="0088341A" w:rsidP="00501137">
            <w:pPr>
              <w:pStyle w:val="AERtabletextleft"/>
              <w:keepNext/>
              <w:keepLines/>
            </w:pPr>
            <w:r w:rsidRPr="00035EF5">
              <w:t>Nominal post-tax cost of equity</w:t>
            </w:r>
          </w:p>
        </w:tc>
        <w:tc>
          <w:tcPr>
            <w:tcW w:w="4621" w:type="dxa"/>
            <w:shd w:val="clear" w:color="auto" w:fill="DBE5F1"/>
            <w:vAlign w:val="center"/>
          </w:tcPr>
          <w:p w:rsidR="0088341A" w:rsidRPr="00035EF5" w:rsidRDefault="0088341A" w:rsidP="00501137">
            <w:pPr>
              <w:pStyle w:val="AERtabletextleft"/>
              <w:keepNext/>
              <w:keepLines/>
            </w:pPr>
            <w:r>
              <w:t>8.74%</w:t>
            </w:r>
          </w:p>
        </w:tc>
      </w:tr>
      <w:tr w:rsidR="0088341A" w:rsidTr="00501137">
        <w:tc>
          <w:tcPr>
            <w:tcW w:w="4621" w:type="dxa"/>
            <w:vAlign w:val="center"/>
          </w:tcPr>
          <w:p w:rsidR="0088341A" w:rsidRPr="00035EF5" w:rsidRDefault="0088341A" w:rsidP="00501137">
            <w:pPr>
              <w:pStyle w:val="AERtabletextleft"/>
              <w:keepNext/>
              <w:keepLines/>
            </w:pPr>
            <w:r w:rsidRPr="00035EF5">
              <w:t>Nominal p</w:t>
            </w:r>
            <w:r>
              <w:t>re</w:t>
            </w:r>
            <w:r w:rsidRPr="00035EF5">
              <w:t>-tax cost of debt</w:t>
            </w:r>
          </w:p>
        </w:tc>
        <w:tc>
          <w:tcPr>
            <w:tcW w:w="4621" w:type="dxa"/>
            <w:vAlign w:val="center"/>
          </w:tcPr>
          <w:p w:rsidR="0088341A" w:rsidRPr="00035EF5" w:rsidRDefault="0088341A" w:rsidP="00501137">
            <w:pPr>
              <w:pStyle w:val="AERtabletextleft"/>
              <w:keepNext/>
              <w:keepLines/>
            </w:pPr>
            <w:r>
              <w:t>6.55%</w:t>
            </w:r>
          </w:p>
        </w:tc>
      </w:tr>
      <w:tr w:rsidR="0088341A" w:rsidTr="00501137">
        <w:tc>
          <w:tcPr>
            <w:tcW w:w="4621" w:type="dxa"/>
            <w:shd w:val="clear" w:color="auto" w:fill="DBE5F1"/>
            <w:vAlign w:val="center"/>
          </w:tcPr>
          <w:p w:rsidR="0088341A" w:rsidRPr="00035EF5" w:rsidRDefault="0088341A" w:rsidP="00501137">
            <w:pPr>
              <w:pStyle w:val="AERtabletextleft"/>
              <w:keepNext/>
              <w:keepLines/>
            </w:pPr>
            <w:r w:rsidRPr="00035EF5">
              <w:t>Nominal vanilla WACC</w:t>
            </w:r>
          </w:p>
        </w:tc>
        <w:tc>
          <w:tcPr>
            <w:tcW w:w="4621" w:type="dxa"/>
            <w:shd w:val="clear" w:color="auto" w:fill="DBE5F1"/>
            <w:vAlign w:val="center"/>
          </w:tcPr>
          <w:p w:rsidR="0088341A" w:rsidRPr="00035EF5" w:rsidRDefault="0088341A" w:rsidP="00501137">
            <w:pPr>
              <w:pStyle w:val="AERtabletextleft"/>
              <w:keepNext/>
              <w:keepLines/>
            </w:pPr>
            <w:r>
              <w:t>7.43%</w:t>
            </w:r>
          </w:p>
        </w:tc>
      </w:tr>
    </w:tbl>
    <w:p w:rsidR="0088341A" w:rsidRPr="002D6DEC" w:rsidRDefault="0088341A" w:rsidP="000D59B9">
      <w:pPr>
        <w:pStyle w:val="AERtablesource"/>
      </w:pPr>
      <w:r>
        <w:t>Source:</w:t>
      </w:r>
      <w:r>
        <w:tab/>
        <w:t>AER analysis.</w:t>
      </w:r>
    </w:p>
    <w:p w:rsidR="0088341A" w:rsidRDefault="0088341A" w:rsidP="0088341A">
      <w:pPr>
        <w:pStyle w:val="Heading2"/>
        <w:numPr>
          <w:ilvl w:val="2"/>
          <w:numId w:val="20"/>
        </w:numPr>
      </w:pPr>
      <w:bookmarkStart w:id="220" w:name="_Toc365283304"/>
      <w:r>
        <w:t>SP AusNet's proposal</w:t>
      </w:r>
      <w:bookmarkEnd w:id="220"/>
    </w:p>
    <w:p w:rsidR="0088341A" w:rsidRDefault="0088341A" w:rsidP="0088341A">
      <w:pPr>
        <w:pStyle w:val="AERbodytext"/>
        <w:numPr>
          <w:ilvl w:val="0"/>
          <w:numId w:val="1"/>
        </w:numPr>
      </w:pPr>
      <w:r>
        <w:t>SP AusNet</w:t>
      </w:r>
      <w:r w:rsidRPr="00C402CC">
        <w:t xml:space="preserve"> </w:t>
      </w:r>
      <w:r w:rsidRPr="005A3D8F">
        <w:t>propose</w:t>
      </w:r>
      <w:r>
        <w:t xml:space="preserve">d a nominal vanilla WACC of 7.19 per cent, based on </w:t>
      </w:r>
      <w:r w:rsidRPr="007E742F">
        <w:t xml:space="preserve">market data from </w:t>
      </w:r>
      <w:r>
        <w:t>November to December 2012</w:t>
      </w:r>
      <w:r w:rsidRPr="007E742F">
        <w:t>.</w:t>
      </w:r>
      <w:r>
        <w:rPr>
          <w:rStyle w:val="FootnoteReference"/>
        </w:rPr>
        <w:footnoteReference w:id="365"/>
      </w:r>
      <w:r w:rsidRPr="007E742F">
        <w:t xml:space="preserve"> </w:t>
      </w:r>
      <w:r>
        <w:t xml:space="preserve">This WACC reflects the parameters shown in </w:t>
      </w:r>
      <w:r>
        <w:fldChar w:fldCharType="begin"/>
      </w:r>
      <w:r>
        <w:instrText xml:space="preserve"> REF _Ref355188340 \h </w:instrText>
      </w:r>
      <w:r>
        <w:fldChar w:fldCharType="separate"/>
      </w:r>
      <w:r w:rsidR="004F35AA">
        <w:t xml:space="preserve">Table </w:t>
      </w:r>
      <w:r w:rsidR="004F35AA">
        <w:rPr>
          <w:noProof/>
        </w:rPr>
        <w:t>4</w:t>
      </w:r>
      <w:r w:rsidR="004F35AA">
        <w:t>.</w:t>
      </w:r>
      <w:r w:rsidR="004F35AA">
        <w:rPr>
          <w:noProof/>
        </w:rPr>
        <w:t>2</w:t>
      </w:r>
      <w:r>
        <w:fldChar w:fldCharType="end"/>
      </w:r>
      <w:r w:rsidRPr="005A3D8F">
        <w:t>.</w:t>
      </w:r>
    </w:p>
    <w:p w:rsidR="0088341A" w:rsidRDefault="0088341A" w:rsidP="0088341A">
      <w:pPr>
        <w:pStyle w:val="Caption"/>
      </w:pPr>
      <w:bookmarkStart w:id="221" w:name="_Ref355188340"/>
      <w:r>
        <w:t xml:space="preserve">Table </w:t>
      </w:r>
      <w:fldSimple w:instr=" STYLEREF 1 \s ">
        <w:r w:rsidR="004F35AA">
          <w:rPr>
            <w:noProof/>
          </w:rPr>
          <w:t>4</w:t>
        </w:r>
      </w:fldSimple>
      <w:r w:rsidR="00C56A87">
        <w:t>.</w:t>
      </w:r>
      <w:fldSimple w:instr=" SEQ Table \* ARABIC \s 1 ">
        <w:r w:rsidR="004F35AA">
          <w:rPr>
            <w:noProof/>
          </w:rPr>
          <w:t>2</w:t>
        </w:r>
      </w:fldSimple>
      <w:bookmarkEnd w:id="221"/>
      <w:r>
        <w:tab/>
        <w:t>SP AusNet's proposed WACC parameters</w:t>
      </w:r>
    </w:p>
    <w:tbl>
      <w:tblPr>
        <w:tblW w:w="0" w:type="auto"/>
        <w:tblBorders>
          <w:bottom w:val="single" w:sz="4" w:space="0" w:color="365F91"/>
        </w:tblBorders>
        <w:tblLook w:val="04A0" w:firstRow="1" w:lastRow="0" w:firstColumn="1" w:lastColumn="0" w:noHBand="0" w:noVBand="1"/>
      </w:tblPr>
      <w:tblGrid>
        <w:gridCol w:w="4621"/>
        <w:gridCol w:w="4621"/>
      </w:tblGrid>
      <w:tr w:rsidR="0088341A" w:rsidTr="00501137">
        <w:tc>
          <w:tcPr>
            <w:tcW w:w="4621" w:type="dxa"/>
            <w:shd w:val="clear" w:color="auto" w:fill="365F91"/>
            <w:vAlign w:val="center"/>
          </w:tcPr>
          <w:p w:rsidR="0088341A" w:rsidRPr="00BD4CF5" w:rsidRDefault="0088341A" w:rsidP="00501137">
            <w:pPr>
              <w:pStyle w:val="AERbodytext"/>
              <w:numPr>
                <w:ilvl w:val="0"/>
                <w:numId w:val="1"/>
              </w:numPr>
              <w:spacing w:before="120"/>
              <w:rPr>
                <w:b/>
                <w:color w:val="FFFFFF"/>
                <w:sz w:val="16"/>
              </w:rPr>
            </w:pPr>
            <w:r w:rsidRPr="00BD4CF5">
              <w:rPr>
                <w:b/>
                <w:color w:val="FFFFFF"/>
                <w:sz w:val="16"/>
              </w:rPr>
              <w:t>Parameter</w:t>
            </w:r>
          </w:p>
        </w:tc>
        <w:tc>
          <w:tcPr>
            <w:tcW w:w="4621" w:type="dxa"/>
            <w:shd w:val="clear" w:color="auto" w:fill="365F91"/>
            <w:vAlign w:val="center"/>
          </w:tcPr>
          <w:p w:rsidR="0088341A" w:rsidRPr="00BD4CF5" w:rsidRDefault="0088341A" w:rsidP="00501137">
            <w:pPr>
              <w:pStyle w:val="AERbodytext"/>
              <w:numPr>
                <w:ilvl w:val="0"/>
                <w:numId w:val="1"/>
              </w:numPr>
              <w:spacing w:before="120"/>
              <w:rPr>
                <w:b/>
                <w:color w:val="FFFFFF"/>
                <w:sz w:val="16"/>
              </w:rPr>
            </w:pPr>
            <w:r>
              <w:rPr>
                <w:b/>
                <w:color w:val="FFFFFF"/>
                <w:sz w:val="16"/>
              </w:rPr>
              <w:t>SP AusNet</w:t>
            </w:r>
            <w:r w:rsidR="00F44BD4">
              <w:rPr>
                <w:b/>
                <w:color w:val="FFFFFF"/>
                <w:sz w:val="16"/>
              </w:rPr>
              <w:t>’s</w:t>
            </w:r>
            <w:r>
              <w:rPr>
                <w:b/>
                <w:color w:val="FFFFFF"/>
                <w:sz w:val="16"/>
              </w:rPr>
              <w:t xml:space="preserve"> proposal</w:t>
            </w:r>
          </w:p>
        </w:tc>
      </w:tr>
      <w:tr w:rsidR="0088341A" w:rsidTr="00501137">
        <w:tc>
          <w:tcPr>
            <w:tcW w:w="4621" w:type="dxa"/>
            <w:vAlign w:val="center"/>
          </w:tcPr>
          <w:p w:rsidR="0088341A" w:rsidRPr="00BD4CF5" w:rsidRDefault="0088341A" w:rsidP="00501137">
            <w:pPr>
              <w:pStyle w:val="AERtabletextleft"/>
            </w:pPr>
            <w:r w:rsidRPr="00BD4CF5">
              <w:t>Nominal risk free rate</w:t>
            </w:r>
          </w:p>
        </w:tc>
        <w:tc>
          <w:tcPr>
            <w:tcW w:w="4621" w:type="dxa"/>
            <w:vAlign w:val="center"/>
          </w:tcPr>
          <w:p w:rsidR="0088341A" w:rsidRPr="00BD4CF5" w:rsidRDefault="0088341A" w:rsidP="00501137">
            <w:pPr>
              <w:pStyle w:val="AERtabletextleft"/>
            </w:pPr>
            <w:r>
              <w:t>3.14%</w:t>
            </w:r>
          </w:p>
        </w:tc>
      </w:tr>
      <w:tr w:rsidR="0088341A" w:rsidTr="00501137">
        <w:tc>
          <w:tcPr>
            <w:tcW w:w="4621" w:type="dxa"/>
            <w:shd w:val="clear" w:color="auto" w:fill="DBE5F1"/>
            <w:vAlign w:val="center"/>
          </w:tcPr>
          <w:p w:rsidR="0088341A" w:rsidRPr="00BD4CF5" w:rsidRDefault="0088341A" w:rsidP="00501137">
            <w:pPr>
              <w:pStyle w:val="AERtabletextleft"/>
            </w:pPr>
            <w:r w:rsidRPr="00BD4CF5">
              <w:t>Equity beta</w:t>
            </w:r>
          </w:p>
        </w:tc>
        <w:tc>
          <w:tcPr>
            <w:tcW w:w="4621" w:type="dxa"/>
            <w:shd w:val="clear" w:color="auto" w:fill="DBE5F1"/>
            <w:vAlign w:val="center"/>
          </w:tcPr>
          <w:p w:rsidR="0088341A" w:rsidRPr="00BD4CF5" w:rsidRDefault="0088341A" w:rsidP="00501137">
            <w:pPr>
              <w:pStyle w:val="AERtabletextleft"/>
            </w:pPr>
            <w:r w:rsidRPr="00BD4CF5">
              <w:t>0.80</w:t>
            </w:r>
          </w:p>
        </w:tc>
      </w:tr>
      <w:tr w:rsidR="0088341A" w:rsidTr="00501137">
        <w:tc>
          <w:tcPr>
            <w:tcW w:w="4621" w:type="dxa"/>
            <w:vAlign w:val="center"/>
          </w:tcPr>
          <w:p w:rsidR="0088341A" w:rsidRPr="00BD4CF5" w:rsidRDefault="0088341A" w:rsidP="00501137">
            <w:pPr>
              <w:pStyle w:val="AERtabletextleft"/>
            </w:pPr>
            <w:r w:rsidRPr="00BD4CF5">
              <w:t>Market risk premium</w:t>
            </w:r>
          </w:p>
        </w:tc>
        <w:tc>
          <w:tcPr>
            <w:tcW w:w="4621" w:type="dxa"/>
            <w:vAlign w:val="center"/>
          </w:tcPr>
          <w:p w:rsidR="0088341A" w:rsidRPr="00BD4CF5" w:rsidRDefault="0088341A" w:rsidP="00501137">
            <w:pPr>
              <w:pStyle w:val="AERtabletextleft"/>
            </w:pPr>
            <w:r w:rsidRPr="00BD4CF5">
              <w:t>6.50%</w:t>
            </w:r>
          </w:p>
        </w:tc>
      </w:tr>
      <w:tr w:rsidR="0088341A" w:rsidTr="00501137">
        <w:tc>
          <w:tcPr>
            <w:tcW w:w="4621" w:type="dxa"/>
            <w:shd w:val="clear" w:color="auto" w:fill="DBE5F1"/>
            <w:vAlign w:val="center"/>
          </w:tcPr>
          <w:p w:rsidR="0088341A" w:rsidRPr="00BD4CF5" w:rsidRDefault="0088341A" w:rsidP="00501137">
            <w:pPr>
              <w:pStyle w:val="AERtabletextleft"/>
            </w:pPr>
            <w:r w:rsidRPr="00BD4CF5">
              <w:t>Debt risk premium</w:t>
            </w:r>
          </w:p>
        </w:tc>
        <w:tc>
          <w:tcPr>
            <w:tcW w:w="4621" w:type="dxa"/>
            <w:shd w:val="clear" w:color="auto" w:fill="DBE5F1"/>
            <w:vAlign w:val="center"/>
          </w:tcPr>
          <w:p w:rsidR="0088341A" w:rsidRPr="00BD4CF5" w:rsidRDefault="0088341A" w:rsidP="00501137">
            <w:pPr>
              <w:pStyle w:val="AERtabletextleft"/>
            </w:pPr>
            <w:r>
              <w:t>3.28</w:t>
            </w:r>
            <w:r w:rsidRPr="00BD4CF5">
              <w:t>%</w:t>
            </w:r>
          </w:p>
        </w:tc>
      </w:tr>
      <w:tr w:rsidR="0088341A" w:rsidTr="00501137">
        <w:tc>
          <w:tcPr>
            <w:tcW w:w="4621" w:type="dxa"/>
            <w:vAlign w:val="center"/>
          </w:tcPr>
          <w:p w:rsidR="0088341A" w:rsidRPr="00BD4CF5" w:rsidRDefault="0088341A" w:rsidP="00501137">
            <w:pPr>
              <w:pStyle w:val="AERtabletextleft"/>
            </w:pPr>
            <w:r w:rsidRPr="00BD4CF5">
              <w:t>Gearing level</w:t>
            </w:r>
          </w:p>
        </w:tc>
        <w:tc>
          <w:tcPr>
            <w:tcW w:w="4621" w:type="dxa"/>
            <w:vAlign w:val="center"/>
          </w:tcPr>
          <w:p w:rsidR="0088341A" w:rsidRPr="00BD4CF5" w:rsidRDefault="0088341A" w:rsidP="00501137">
            <w:pPr>
              <w:pStyle w:val="AERtabletextleft"/>
            </w:pPr>
            <w:r w:rsidRPr="00BD4CF5">
              <w:t>60%</w:t>
            </w:r>
          </w:p>
        </w:tc>
      </w:tr>
      <w:tr w:rsidR="0088341A" w:rsidTr="00501137">
        <w:tc>
          <w:tcPr>
            <w:tcW w:w="4621" w:type="dxa"/>
            <w:shd w:val="clear" w:color="auto" w:fill="DBE5F1"/>
            <w:vAlign w:val="center"/>
          </w:tcPr>
          <w:p w:rsidR="0088341A" w:rsidRPr="00BD4CF5" w:rsidRDefault="0088341A" w:rsidP="00501137">
            <w:pPr>
              <w:pStyle w:val="AERtabletextleft"/>
            </w:pPr>
            <w:r w:rsidRPr="00BD4CF5">
              <w:t>Inflation forecast</w:t>
            </w:r>
          </w:p>
        </w:tc>
        <w:tc>
          <w:tcPr>
            <w:tcW w:w="4621" w:type="dxa"/>
            <w:shd w:val="clear" w:color="auto" w:fill="DBE5F1"/>
            <w:vAlign w:val="center"/>
          </w:tcPr>
          <w:p w:rsidR="0088341A" w:rsidRPr="00BD4CF5" w:rsidRDefault="0088341A" w:rsidP="00501137">
            <w:pPr>
              <w:pStyle w:val="AERtabletextleft"/>
            </w:pPr>
            <w:r>
              <w:t>2.50</w:t>
            </w:r>
            <w:r w:rsidRPr="00BD4CF5">
              <w:t>%</w:t>
            </w:r>
          </w:p>
        </w:tc>
      </w:tr>
      <w:tr w:rsidR="0088341A" w:rsidTr="00501137">
        <w:tc>
          <w:tcPr>
            <w:tcW w:w="4621" w:type="dxa"/>
            <w:vAlign w:val="center"/>
          </w:tcPr>
          <w:p w:rsidR="0088341A" w:rsidRPr="00BD4CF5" w:rsidRDefault="0088341A" w:rsidP="00501137">
            <w:pPr>
              <w:pStyle w:val="AERtabletextleft"/>
            </w:pPr>
            <w:r w:rsidRPr="00BD4CF5">
              <w:t>Gamma</w:t>
            </w:r>
          </w:p>
        </w:tc>
        <w:tc>
          <w:tcPr>
            <w:tcW w:w="4621" w:type="dxa"/>
            <w:vAlign w:val="center"/>
          </w:tcPr>
          <w:p w:rsidR="0088341A" w:rsidRPr="00BD4CF5" w:rsidRDefault="0088341A" w:rsidP="00501137">
            <w:pPr>
              <w:pStyle w:val="AERtabletextleft"/>
            </w:pPr>
            <w:r w:rsidRPr="00BD4CF5">
              <w:t>0.65</w:t>
            </w:r>
          </w:p>
        </w:tc>
      </w:tr>
      <w:tr w:rsidR="0088341A" w:rsidTr="00501137">
        <w:tc>
          <w:tcPr>
            <w:tcW w:w="4621" w:type="dxa"/>
            <w:shd w:val="clear" w:color="auto" w:fill="DBE5F1"/>
            <w:vAlign w:val="center"/>
          </w:tcPr>
          <w:p w:rsidR="0088341A" w:rsidRPr="00BD4CF5" w:rsidRDefault="0088341A" w:rsidP="00501137">
            <w:pPr>
              <w:pStyle w:val="AERtabletextleft"/>
            </w:pPr>
            <w:r w:rsidRPr="00BD4CF5">
              <w:t>Nominal post-tax cost of equity</w:t>
            </w:r>
          </w:p>
        </w:tc>
        <w:tc>
          <w:tcPr>
            <w:tcW w:w="4621" w:type="dxa"/>
            <w:shd w:val="clear" w:color="auto" w:fill="DBE5F1"/>
            <w:vAlign w:val="center"/>
          </w:tcPr>
          <w:p w:rsidR="0088341A" w:rsidRPr="00BD4CF5" w:rsidRDefault="0088341A" w:rsidP="00501137">
            <w:pPr>
              <w:pStyle w:val="AERtabletextleft"/>
            </w:pPr>
            <w:r>
              <w:t>8.34</w:t>
            </w:r>
            <w:r w:rsidRPr="00BD4CF5">
              <w:t>%</w:t>
            </w:r>
          </w:p>
        </w:tc>
      </w:tr>
      <w:tr w:rsidR="0088341A" w:rsidTr="00501137">
        <w:tc>
          <w:tcPr>
            <w:tcW w:w="4621" w:type="dxa"/>
            <w:vAlign w:val="center"/>
          </w:tcPr>
          <w:p w:rsidR="0088341A" w:rsidRPr="00BD4CF5" w:rsidRDefault="0088341A" w:rsidP="00501137">
            <w:pPr>
              <w:pStyle w:val="AERtabletextleft"/>
            </w:pPr>
            <w:r w:rsidRPr="00BD4CF5">
              <w:t>Nominal p</w:t>
            </w:r>
            <w:r>
              <w:t>re</w:t>
            </w:r>
            <w:r w:rsidRPr="00BD4CF5">
              <w:t>-tax cost of debt</w:t>
            </w:r>
          </w:p>
        </w:tc>
        <w:tc>
          <w:tcPr>
            <w:tcW w:w="4621" w:type="dxa"/>
            <w:vAlign w:val="center"/>
          </w:tcPr>
          <w:p w:rsidR="0088341A" w:rsidRPr="00BD4CF5" w:rsidRDefault="0088341A" w:rsidP="00501137">
            <w:pPr>
              <w:pStyle w:val="AERtabletextleft"/>
            </w:pPr>
            <w:r>
              <w:t>6.42</w:t>
            </w:r>
            <w:r w:rsidRPr="00BD4CF5">
              <w:t>%</w:t>
            </w:r>
          </w:p>
        </w:tc>
      </w:tr>
      <w:tr w:rsidR="0088341A" w:rsidTr="00501137">
        <w:tc>
          <w:tcPr>
            <w:tcW w:w="4621" w:type="dxa"/>
            <w:shd w:val="clear" w:color="auto" w:fill="DBE5F1"/>
            <w:vAlign w:val="center"/>
          </w:tcPr>
          <w:p w:rsidR="0088341A" w:rsidRPr="00BD4CF5" w:rsidRDefault="0088341A" w:rsidP="00501137">
            <w:pPr>
              <w:pStyle w:val="AERtabletextleft"/>
            </w:pPr>
            <w:r w:rsidRPr="00BD4CF5">
              <w:t>Nominal vanilla WACC</w:t>
            </w:r>
          </w:p>
        </w:tc>
        <w:tc>
          <w:tcPr>
            <w:tcW w:w="4621" w:type="dxa"/>
            <w:shd w:val="clear" w:color="auto" w:fill="DBE5F1"/>
            <w:vAlign w:val="center"/>
          </w:tcPr>
          <w:p w:rsidR="0088341A" w:rsidRPr="00BD4CF5" w:rsidRDefault="0088341A" w:rsidP="00501137">
            <w:pPr>
              <w:pStyle w:val="AERtabletextleft"/>
            </w:pPr>
            <w:r>
              <w:t>7.19</w:t>
            </w:r>
            <w:r w:rsidRPr="00BD4CF5">
              <w:t>%</w:t>
            </w:r>
          </w:p>
        </w:tc>
      </w:tr>
    </w:tbl>
    <w:p w:rsidR="0088341A" w:rsidRDefault="0088341A" w:rsidP="0088341A">
      <w:pPr>
        <w:pStyle w:val="AERtablesource"/>
      </w:pPr>
      <w:r>
        <w:t xml:space="preserve">Source: </w:t>
      </w:r>
      <w:r>
        <w:tab/>
        <w:t xml:space="preserve">SP AusNet, </w:t>
      </w:r>
      <w:r>
        <w:rPr>
          <w:rStyle w:val="AERtextitalic"/>
        </w:rPr>
        <w:t>R</w:t>
      </w:r>
      <w:r w:rsidRPr="00947AC3">
        <w:rPr>
          <w:rStyle w:val="AERtextitalic"/>
        </w:rPr>
        <w:t>evenue proposal</w:t>
      </w:r>
      <w:r>
        <w:t>, p. 176.</w:t>
      </w:r>
    </w:p>
    <w:p w:rsidR="0088341A" w:rsidRDefault="0088341A" w:rsidP="0088341A">
      <w:pPr>
        <w:pStyle w:val="AERbodytext"/>
        <w:numPr>
          <w:ilvl w:val="0"/>
          <w:numId w:val="1"/>
        </w:numPr>
      </w:pPr>
      <w:r>
        <w:t>In calculating its proposed WACC, SP AusNet</w:t>
      </w:r>
      <w:r w:rsidRPr="00917DCD">
        <w:t xml:space="preserve"> </w:t>
      </w:r>
      <w:r w:rsidRPr="005A3D8F">
        <w:t>applied the equity beta, market risk premium (MRP) and the level of gearing determined by the AER in the 2009 review of the WACC parameters</w:t>
      </w:r>
      <w:r>
        <w:t xml:space="preserve"> (WACC </w:t>
      </w:r>
      <w:r>
        <w:lastRenderedPageBreak/>
        <w:t>review)</w:t>
      </w:r>
      <w:r w:rsidRPr="005A3D8F">
        <w:t>.</w:t>
      </w:r>
      <w:r>
        <w:rPr>
          <w:rStyle w:val="FootnoteReference"/>
        </w:rPr>
        <w:footnoteReference w:id="366"/>
      </w:r>
      <w:r w:rsidRPr="005A3D8F">
        <w:t xml:space="preserve"> Similarly, as part of estimating its tax allowance, </w:t>
      </w:r>
      <w:r>
        <w:t>SP Aus</w:t>
      </w:r>
      <w:r w:rsidRPr="005A3D8F">
        <w:t>Net proposed to apply the gamma value specified in the WACC review.</w:t>
      </w:r>
    </w:p>
    <w:p w:rsidR="0088341A" w:rsidRDefault="0088341A" w:rsidP="0088341A">
      <w:pPr>
        <w:pStyle w:val="AERbodytext"/>
        <w:numPr>
          <w:ilvl w:val="0"/>
          <w:numId w:val="1"/>
        </w:numPr>
      </w:pPr>
      <w:r>
        <w:t>SP AusNet's</w:t>
      </w:r>
      <w:r w:rsidRPr="00917DCD">
        <w:t xml:space="preserve"> </w:t>
      </w:r>
      <w:r w:rsidRPr="005A3D8F">
        <w:t>method for determining the risk free rate is also consistent with that s</w:t>
      </w:r>
      <w:r>
        <w:t>et out</w:t>
      </w:r>
      <w:r w:rsidRPr="005A3D8F">
        <w:t xml:space="preserve"> in the WACC review. That is, the nominal risk free rate reflects the annualised </w:t>
      </w:r>
      <w:r>
        <w:t>yields on 10 year Commonwealth G</w:t>
      </w:r>
      <w:r w:rsidRPr="005A3D8F">
        <w:t xml:space="preserve">overnment securities (CGS) based on an averaging period as close as practically possible to the start of the regulatory control period. Given </w:t>
      </w:r>
      <w:r>
        <w:t>SP Aus</w:t>
      </w:r>
      <w:r w:rsidRPr="005A3D8F">
        <w:t xml:space="preserve">Net’s nominated averaging period is in the future, the risk free rate in </w:t>
      </w:r>
      <w:r>
        <w:t>its</w:t>
      </w:r>
      <w:r w:rsidRPr="005A3D8F">
        <w:t xml:space="preserve"> revenue proposal is based on an indicative averaging period</w:t>
      </w:r>
      <w:r w:rsidRPr="00703713">
        <w:t xml:space="preserve"> </w:t>
      </w:r>
      <w:r>
        <w:t>of 20 business days commencing on 12 November 2012</w:t>
      </w:r>
      <w:r w:rsidRPr="005A3D8F">
        <w:t>.</w:t>
      </w:r>
    </w:p>
    <w:p w:rsidR="0088341A" w:rsidRDefault="0088341A" w:rsidP="0088341A">
      <w:pPr>
        <w:pStyle w:val="AERbodytext"/>
        <w:numPr>
          <w:ilvl w:val="0"/>
          <w:numId w:val="1"/>
        </w:numPr>
      </w:pPr>
      <w:r w:rsidRPr="005A3D8F">
        <w:t>To determine the DRP</w:t>
      </w:r>
      <w:r>
        <w:t>,</w:t>
      </w:r>
      <w:r w:rsidRPr="005F1A3B">
        <w:t xml:space="preserve"> </w:t>
      </w:r>
      <w:r>
        <w:t>SP Aus</w:t>
      </w:r>
      <w:r w:rsidRPr="005A3D8F">
        <w:t>Net commissioned a report by PriceWaterhouseCoopers (PwC).</w:t>
      </w:r>
      <w:r w:rsidRPr="005A3D8F">
        <w:rPr>
          <w:rStyle w:val="FootnoteReference"/>
        </w:rPr>
        <w:footnoteReference w:id="367"/>
      </w:r>
      <w:r w:rsidRPr="005A3D8F">
        <w:t xml:space="preserve"> PwC estimated the DRP by extrapolating Bloomberg’s seven year BBB rated fair value curve to an equivalent 10 year term. The extrapolation approach is based on a pair</w:t>
      </w:r>
      <w:r>
        <w:t>ed</w:t>
      </w:r>
      <w:r w:rsidRPr="005A3D8F">
        <w:t xml:space="preserve"> bonds analysis.</w:t>
      </w:r>
      <w:r w:rsidRPr="005A3D8F">
        <w:rPr>
          <w:rStyle w:val="FootnoteReference"/>
        </w:rPr>
        <w:footnoteReference w:id="368"/>
      </w:r>
      <w:r w:rsidRPr="005A3D8F">
        <w:t xml:space="preserve"> </w:t>
      </w:r>
      <w:r>
        <w:t>This approach is consistent with our recent decisions.</w:t>
      </w:r>
      <w:r>
        <w:rPr>
          <w:rStyle w:val="FootnoteReference"/>
        </w:rPr>
        <w:footnoteReference w:id="369"/>
      </w:r>
    </w:p>
    <w:p w:rsidR="0088341A" w:rsidRPr="00932300" w:rsidRDefault="0088341A" w:rsidP="0088341A">
      <w:pPr>
        <w:pStyle w:val="AERbodytext"/>
        <w:numPr>
          <w:ilvl w:val="0"/>
          <w:numId w:val="1"/>
        </w:numPr>
      </w:pPr>
      <w:r>
        <w:t>To determine the inflation forecast, SP AusNet stated</w:t>
      </w:r>
      <w:r w:rsidR="00F44BD4">
        <w:t xml:space="preserve"> that it applied the method</w:t>
      </w:r>
      <w:r>
        <w:t xml:space="preserve"> </w:t>
      </w:r>
      <w:r w:rsidR="00F44BD4">
        <w:t>we used</w:t>
      </w:r>
      <w:r>
        <w:t xml:space="preserve"> in recent determinations. SP AusNet also adopted a forecast period that matches the maturity of the 10 year bond used to establish the risk free rate.</w:t>
      </w:r>
      <w:r>
        <w:rPr>
          <w:rStyle w:val="FootnoteReference"/>
        </w:rPr>
        <w:footnoteReference w:id="370"/>
      </w:r>
      <w:r>
        <w:t xml:space="preserve"> </w:t>
      </w:r>
    </w:p>
    <w:p w:rsidR="0088341A" w:rsidRDefault="0088341A" w:rsidP="0088341A">
      <w:pPr>
        <w:pStyle w:val="Heading2"/>
        <w:numPr>
          <w:ilvl w:val="2"/>
          <w:numId w:val="20"/>
        </w:numPr>
      </w:pPr>
      <w:bookmarkStart w:id="222" w:name="_Toc365283305"/>
      <w:r>
        <w:t>Assessment approach</w:t>
      </w:r>
      <w:bookmarkEnd w:id="222"/>
    </w:p>
    <w:p w:rsidR="0088341A" w:rsidRPr="005A3D8F" w:rsidRDefault="0088341A" w:rsidP="0088341A">
      <w:pPr>
        <w:pStyle w:val="AERbodytext"/>
        <w:numPr>
          <w:ilvl w:val="0"/>
          <w:numId w:val="1"/>
        </w:numPr>
      </w:pPr>
      <w:r w:rsidRPr="005A3D8F">
        <w:t>This section considers:</w:t>
      </w:r>
    </w:p>
    <w:p w:rsidR="0088341A" w:rsidRPr="005A3D8F" w:rsidRDefault="0088341A" w:rsidP="0088341A">
      <w:pPr>
        <w:pStyle w:val="AERbulletlistfirststyle"/>
      </w:pPr>
      <w:r w:rsidRPr="005A3D8F">
        <w:t xml:space="preserve">the requirements of the </w:t>
      </w:r>
      <w:r>
        <w:t>N</w:t>
      </w:r>
      <w:r w:rsidRPr="005A3D8F">
        <w:t xml:space="preserve">ational </w:t>
      </w:r>
      <w:r>
        <w:t>E</w:t>
      </w:r>
      <w:r w:rsidRPr="005A3D8F">
        <w:t xml:space="preserve">lectricity </w:t>
      </w:r>
      <w:r>
        <w:t>L</w:t>
      </w:r>
      <w:r w:rsidRPr="005A3D8F">
        <w:t>aw (NEL) and NER on the rate of return</w:t>
      </w:r>
    </w:p>
    <w:p w:rsidR="0088341A" w:rsidRDefault="0088341A" w:rsidP="0088341A">
      <w:pPr>
        <w:pStyle w:val="AERbulletlistfirststyle"/>
      </w:pPr>
      <w:r w:rsidRPr="005A3D8F">
        <w:t>the determination of specific parameters.</w:t>
      </w:r>
    </w:p>
    <w:p w:rsidR="0088341A" w:rsidRPr="00A907E9" w:rsidRDefault="0088341A" w:rsidP="0088341A">
      <w:pPr>
        <w:pStyle w:val="Heading3"/>
        <w:numPr>
          <w:ilvl w:val="3"/>
          <w:numId w:val="20"/>
        </w:numPr>
      </w:pPr>
      <w:r w:rsidRPr="00A907E9">
        <w:t>Requirements of the NEL and NER on the rate of return</w:t>
      </w:r>
    </w:p>
    <w:p w:rsidR="0088341A" w:rsidRDefault="0088341A" w:rsidP="0088341A">
      <w:pPr>
        <w:pStyle w:val="AERbodytext"/>
        <w:numPr>
          <w:ilvl w:val="0"/>
          <w:numId w:val="1"/>
        </w:numPr>
      </w:pPr>
      <w:r>
        <w:t xml:space="preserve">Under the transitional arrangements, </w:t>
      </w:r>
      <w:r w:rsidRPr="00A442FB">
        <w:t xml:space="preserve">an older version of the NER (version 52) </w:t>
      </w:r>
      <w:r>
        <w:t>will</w:t>
      </w:r>
      <w:r w:rsidRPr="00A442FB">
        <w:t xml:space="preserve"> apply to SP AusNet</w:t>
      </w:r>
      <w:r>
        <w:t>'s 2014–17 transmission determination. Based on this version of</w:t>
      </w:r>
      <w:r w:rsidRPr="005A3D8F">
        <w:t xml:space="preserve"> the </w:t>
      </w:r>
      <w:r>
        <w:t>NER, we are</w:t>
      </w:r>
      <w:r w:rsidRPr="00404939">
        <w:t xml:space="preserve"> </w:t>
      </w:r>
      <w:r w:rsidRPr="005A3D8F">
        <w:t>require</w:t>
      </w:r>
      <w:r>
        <w:t xml:space="preserve">d </w:t>
      </w:r>
      <w:r w:rsidRPr="005A3D8F">
        <w:t xml:space="preserve">to apply a rate of return </w:t>
      </w:r>
      <w:r>
        <w:t>using</w:t>
      </w:r>
      <w:r w:rsidRPr="005A3D8F">
        <w:t xml:space="preserve"> the nominal vanilla WACC formulation.</w:t>
      </w:r>
      <w:r w:rsidRPr="005A3D8F">
        <w:rPr>
          <w:rStyle w:val="FootnoteReference"/>
        </w:rPr>
        <w:footnoteReference w:id="371"/>
      </w:r>
      <w:r w:rsidRPr="005A3D8F">
        <w:t xml:space="preserve"> In calculating the nominal vanilla WACC, </w:t>
      </w:r>
      <w:r>
        <w:t>we</w:t>
      </w:r>
      <w:r w:rsidRPr="005A3D8F">
        <w:t xml:space="preserve"> must:</w:t>
      </w:r>
    </w:p>
    <w:p w:rsidR="0088341A" w:rsidRPr="005A3D8F" w:rsidRDefault="0088341A" w:rsidP="0088341A">
      <w:pPr>
        <w:pStyle w:val="AERbulletlistfirststyle"/>
      </w:pPr>
      <w:r w:rsidRPr="005A3D8F">
        <w:t>apply the capital asset pricing model (CAPM) to determine the return on equity</w:t>
      </w:r>
      <w:r w:rsidRPr="005A3D8F">
        <w:rPr>
          <w:rStyle w:val="FootnoteReference"/>
        </w:rPr>
        <w:footnoteReference w:id="372"/>
      </w:r>
    </w:p>
    <w:p w:rsidR="0088341A" w:rsidRPr="005A3D8F" w:rsidRDefault="0088341A" w:rsidP="0088341A">
      <w:pPr>
        <w:pStyle w:val="AERbulletlistfirststyle"/>
      </w:pPr>
      <w:r w:rsidRPr="005A3D8F">
        <w:t>adopt the parameter values, methods and credit rating determined in the WACC review.</w:t>
      </w:r>
      <w:r w:rsidRPr="005A3D8F">
        <w:rPr>
          <w:rStyle w:val="FootnoteReference"/>
        </w:rPr>
        <w:footnoteReference w:id="373"/>
      </w:r>
    </w:p>
    <w:p w:rsidR="0088341A" w:rsidRDefault="0088341A" w:rsidP="0088341A">
      <w:pPr>
        <w:pStyle w:val="AERbodytext"/>
        <w:numPr>
          <w:ilvl w:val="0"/>
          <w:numId w:val="1"/>
        </w:numPr>
      </w:pPr>
      <w:r>
        <w:t>SP AusNet</w:t>
      </w:r>
      <w:r w:rsidRPr="005A3D8F">
        <w:t xml:space="preserve"> submitted its revenue proposal after the completion of the 2009 WACC review. </w:t>
      </w:r>
      <w:r>
        <w:t>T</w:t>
      </w:r>
      <w:r w:rsidRPr="005A3D8F">
        <w:t xml:space="preserve">herefore, </w:t>
      </w:r>
      <w:r>
        <w:t>t</w:t>
      </w:r>
      <w:r w:rsidRPr="005A3D8F">
        <w:t>he relevant values, methods and credit rating are those determined in that review</w:t>
      </w:r>
      <w:r>
        <w:t xml:space="preserve">, as set out in </w:t>
      </w:r>
      <w:r w:rsidR="007C09C9">
        <w:br/>
      </w:r>
      <w:r>
        <w:fldChar w:fldCharType="begin"/>
      </w:r>
      <w:r>
        <w:instrText xml:space="preserve"> REF _Ref355190447 \h </w:instrText>
      </w:r>
      <w:r>
        <w:fldChar w:fldCharType="separate"/>
      </w:r>
      <w:r w:rsidR="004F35AA">
        <w:t xml:space="preserve">Table </w:t>
      </w:r>
      <w:r w:rsidR="004F35AA">
        <w:rPr>
          <w:noProof/>
        </w:rPr>
        <w:t>4</w:t>
      </w:r>
      <w:r w:rsidR="004F35AA">
        <w:t>.</w:t>
      </w:r>
      <w:r w:rsidR="004F35AA">
        <w:rPr>
          <w:noProof/>
        </w:rPr>
        <w:t>3</w:t>
      </w:r>
      <w:r>
        <w:fldChar w:fldCharType="end"/>
      </w:r>
      <w:r>
        <w:t>.</w:t>
      </w:r>
    </w:p>
    <w:p w:rsidR="0088341A" w:rsidRDefault="0088341A" w:rsidP="0088341A">
      <w:pPr>
        <w:pStyle w:val="Caption"/>
        <w:keepLines/>
      </w:pPr>
      <w:bookmarkStart w:id="223" w:name="_Ref355190447"/>
      <w:r>
        <w:lastRenderedPageBreak/>
        <w:t xml:space="preserve">Table </w:t>
      </w:r>
      <w:fldSimple w:instr=" STYLEREF 1 \s ">
        <w:r w:rsidR="004F35AA">
          <w:rPr>
            <w:noProof/>
          </w:rPr>
          <w:t>4</w:t>
        </w:r>
      </w:fldSimple>
      <w:r w:rsidR="00C56A87">
        <w:t>.</w:t>
      </w:r>
      <w:fldSimple w:instr=" SEQ Table \* ARABIC \s 1 ">
        <w:r w:rsidR="004F35AA">
          <w:rPr>
            <w:noProof/>
          </w:rPr>
          <w:t>3</w:t>
        </w:r>
      </w:fldSimple>
      <w:bookmarkEnd w:id="223"/>
      <w:r>
        <w:tab/>
        <w:t>Values,</w:t>
      </w:r>
      <w:r w:rsidRPr="006223EB">
        <w:t xml:space="preserve"> </w:t>
      </w:r>
      <w:r w:rsidRPr="005A3D8F">
        <w:t>method and credit rating determined in 2009 WACC review</w:t>
      </w:r>
    </w:p>
    <w:tbl>
      <w:tblPr>
        <w:tblW w:w="0" w:type="auto"/>
        <w:tblBorders>
          <w:bottom w:val="single" w:sz="4" w:space="0" w:color="365F91"/>
        </w:tblBorders>
        <w:tblLayout w:type="fixed"/>
        <w:tblLook w:val="04A0" w:firstRow="1" w:lastRow="0" w:firstColumn="1" w:lastColumn="0" w:noHBand="0" w:noVBand="1"/>
      </w:tblPr>
      <w:tblGrid>
        <w:gridCol w:w="4621"/>
        <w:gridCol w:w="4621"/>
      </w:tblGrid>
      <w:tr w:rsidR="0088341A" w:rsidRPr="00581A23" w:rsidTr="00501137">
        <w:trPr>
          <w:trHeight w:val="675"/>
        </w:trPr>
        <w:tc>
          <w:tcPr>
            <w:tcW w:w="4621" w:type="dxa"/>
            <w:shd w:val="clear" w:color="auto" w:fill="365F91"/>
            <w:noWrap/>
            <w:vAlign w:val="center"/>
          </w:tcPr>
          <w:p w:rsidR="0088341A" w:rsidRPr="00BC465F" w:rsidRDefault="0088341A" w:rsidP="00501137">
            <w:pPr>
              <w:pStyle w:val="AERtabletextleft"/>
              <w:keepNext/>
              <w:keepLines/>
              <w:rPr>
                <w:b/>
                <w:color w:val="FFFFFF"/>
              </w:rPr>
            </w:pPr>
            <w:r w:rsidRPr="00BC465F">
              <w:rPr>
                <w:b/>
                <w:color w:val="FFFFFF"/>
              </w:rPr>
              <w:t> Parameter</w:t>
            </w:r>
          </w:p>
        </w:tc>
        <w:tc>
          <w:tcPr>
            <w:tcW w:w="4621" w:type="dxa"/>
            <w:shd w:val="clear" w:color="auto" w:fill="365F91"/>
            <w:vAlign w:val="center"/>
          </w:tcPr>
          <w:p w:rsidR="0088341A" w:rsidRPr="00BC465F" w:rsidRDefault="0088341A" w:rsidP="00501137">
            <w:pPr>
              <w:pStyle w:val="AERtabletextleft"/>
              <w:keepNext/>
              <w:keepLines/>
              <w:rPr>
                <w:b/>
                <w:color w:val="FFFFFF"/>
              </w:rPr>
            </w:pPr>
            <w:r w:rsidRPr="00BC465F">
              <w:rPr>
                <w:b/>
                <w:color w:val="FFFFFF"/>
              </w:rPr>
              <w:t xml:space="preserve">WACC review </w:t>
            </w:r>
          </w:p>
        </w:tc>
      </w:tr>
      <w:tr w:rsidR="0088341A" w:rsidRPr="00581A23" w:rsidTr="00501137">
        <w:trPr>
          <w:trHeight w:val="300"/>
        </w:trPr>
        <w:tc>
          <w:tcPr>
            <w:tcW w:w="4621" w:type="dxa"/>
            <w:noWrap/>
            <w:vAlign w:val="center"/>
          </w:tcPr>
          <w:p w:rsidR="0088341A" w:rsidRPr="00990F05" w:rsidRDefault="0088341A" w:rsidP="00501137">
            <w:pPr>
              <w:pStyle w:val="AERtabletextleft"/>
              <w:keepNext/>
              <w:keepLines/>
            </w:pPr>
            <w:r w:rsidRPr="00174DBD">
              <w:t>Nominal risk free rate</w:t>
            </w:r>
          </w:p>
        </w:tc>
        <w:tc>
          <w:tcPr>
            <w:tcW w:w="4621" w:type="dxa"/>
            <w:noWrap/>
            <w:vAlign w:val="center"/>
          </w:tcPr>
          <w:p w:rsidR="0088341A" w:rsidRPr="00990F05" w:rsidRDefault="0088341A" w:rsidP="00501137">
            <w:pPr>
              <w:pStyle w:val="AERtabletextleft"/>
              <w:keepNext/>
              <w:keepLines/>
            </w:pPr>
            <w:r w:rsidRPr="00174DBD">
              <w:t>Annualised yield on 10 year CGS based on agreed averaging period as close as practically possible to the start of the regulatory control period</w:t>
            </w:r>
          </w:p>
        </w:tc>
      </w:tr>
      <w:tr w:rsidR="0088341A" w:rsidRPr="00581A23" w:rsidTr="00501137">
        <w:trPr>
          <w:trHeight w:val="300"/>
        </w:trPr>
        <w:tc>
          <w:tcPr>
            <w:tcW w:w="4621" w:type="dxa"/>
            <w:shd w:val="clear" w:color="auto" w:fill="DBE5F1"/>
            <w:noWrap/>
            <w:vAlign w:val="center"/>
          </w:tcPr>
          <w:p w:rsidR="0088341A" w:rsidRPr="00990F05" w:rsidRDefault="0088341A" w:rsidP="00501137">
            <w:pPr>
              <w:pStyle w:val="AERtabletextleft"/>
              <w:keepNext/>
              <w:keepLines/>
            </w:pPr>
            <w:r w:rsidRPr="00174DBD">
              <w:t>Equity beta</w:t>
            </w:r>
          </w:p>
        </w:tc>
        <w:tc>
          <w:tcPr>
            <w:tcW w:w="4621" w:type="dxa"/>
            <w:shd w:val="clear" w:color="auto" w:fill="DBE5F1"/>
            <w:noWrap/>
            <w:vAlign w:val="center"/>
          </w:tcPr>
          <w:p w:rsidR="0088341A" w:rsidRPr="00990F05" w:rsidRDefault="0088341A" w:rsidP="00501137">
            <w:pPr>
              <w:pStyle w:val="AERtabletextleft"/>
              <w:keepNext/>
              <w:keepLines/>
            </w:pPr>
            <w:r w:rsidRPr="00174DBD">
              <w:t>0.8</w:t>
            </w:r>
            <w:r>
              <w:t>0</w:t>
            </w:r>
          </w:p>
        </w:tc>
      </w:tr>
      <w:tr w:rsidR="0088341A" w:rsidRPr="00581A23" w:rsidTr="00501137">
        <w:trPr>
          <w:trHeight w:val="300"/>
        </w:trPr>
        <w:tc>
          <w:tcPr>
            <w:tcW w:w="4621" w:type="dxa"/>
            <w:noWrap/>
            <w:vAlign w:val="center"/>
          </w:tcPr>
          <w:p w:rsidR="0088341A" w:rsidRPr="00990F05" w:rsidRDefault="0088341A" w:rsidP="00501137">
            <w:pPr>
              <w:pStyle w:val="AERtabletextleft"/>
              <w:keepNext/>
              <w:keepLines/>
            </w:pPr>
            <w:r w:rsidRPr="00174DBD">
              <w:t>Market risk premium</w:t>
            </w:r>
          </w:p>
        </w:tc>
        <w:tc>
          <w:tcPr>
            <w:tcW w:w="4621" w:type="dxa"/>
            <w:noWrap/>
            <w:vAlign w:val="center"/>
          </w:tcPr>
          <w:p w:rsidR="0088341A" w:rsidRPr="00990F05" w:rsidRDefault="0088341A" w:rsidP="00501137">
            <w:pPr>
              <w:pStyle w:val="AERtabletextleft"/>
              <w:keepNext/>
              <w:keepLines/>
            </w:pPr>
            <w:r w:rsidRPr="00174DBD">
              <w:t>6.50%</w:t>
            </w:r>
          </w:p>
        </w:tc>
      </w:tr>
      <w:tr w:rsidR="0088341A" w:rsidRPr="00581A23" w:rsidTr="00501137">
        <w:trPr>
          <w:trHeight w:val="300"/>
        </w:trPr>
        <w:tc>
          <w:tcPr>
            <w:tcW w:w="4621" w:type="dxa"/>
            <w:shd w:val="clear" w:color="auto" w:fill="DBE5F1"/>
            <w:noWrap/>
            <w:vAlign w:val="center"/>
          </w:tcPr>
          <w:p w:rsidR="0088341A" w:rsidRPr="00990F05" w:rsidRDefault="0088341A" w:rsidP="00501137">
            <w:pPr>
              <w:pStyle w:val="AERtabletextleft"/>
              <w:keepNext/>
              <w:keepLines/>
            </w:pPr>
            <w:r w:rsidRPr="00174DBD">
              <w:t>Credit rating</w:t>
            </w:r>
            <w:r>
              <w:t xml:space="preserve"> (for estimating debt risk premium)</w:t>
            </w:r>
          </w:p>
        </w:tc>
        <w:tc>
          <w:tcPr>
            <w:tcW w:w="4621" w:type="dxa"/>
            <w:shd w:val="clear" w:color="auto" w:fill="DBE5F1"/>
            <w:noWrap/>
            <w:vAlign w:val="center"/>
          </w:tcPr>
          <w:p w:rsidR="0088341A" w:rsidRPr="00990F05" w:rsidRDefault="0088341A" w:rsidP="00501137">
            <w:pPr>
              <w:pStyle w:val="AERtabletextleft"/>
              <w:keepNext/>
              <w:keepLines/>
            </w:pPr>
            <w:r w:rsidRPr="00174DBD">
              <w:t>BBB+</w:t>
            </w:r>
          </w:p>
        </w:tc>
      </w:tr>
      <w:tr w:rsidR="0088341A" w:rsidRPr="00581A23" w:rsidTr="00501137">
        <w:trPr>
          <w:trHeight w:val="300"/>
        </w:trPr>
        <w:tc>
          <w:tcPr>
            <w:tcW w:w="4621" w:type="dxa"/>
            <w:noWrap/>
            <w:vAlign w:val="center"/>
          </w:tcPr>
          <w:p w:rsidR="0088341A" w:rsidRPr="00990F05" w:rsidRDefault="0088341A" w:rsidP="00501137">
            <w:pPr>
              <w:pStyle w:val="AERtabletextleft"/>
              <w:keepNext/>
              <w:keepLines/>
            </w:pPr>
            <w:r w:rsidRPr="00174DBD">
              <w:t>Gearing level</w:t>
            </w:r>
          </w:p>
        </w:tc>
        <w:tc>
          <w:tcPr>
            <w:tcW w:w="4621" w:type="dxa"/>
            <w:noWrap/>
            <w:vAlign w:val="center"/>
          </w:tcPr>
          <w:p w:rsidR="0088341A" w:rsidRPr="00990F05" w:rsidRDefault="0088341A" w:rsidP="00501137">
            <w:pPr>
              <w:pStyle w:val="AERtabletextleft"/>
              <w:keepNext/>
              <w:keepLines/>
            </w:pPr>
            <w:r w:rsidRPr="00174DBD">
              <w:t>60%</w:t>
            </w:r>
          </w:p>
        </w:tc>
      </w:tr>
      <w:tr w:rsidR="0088341A" w:rsidRPr="00581A23" w:rsidTr="00501137">
        <w:trPr>
          <w:trHeight w:val="300"/>
        </w:trPr>
        <w:tc>
          <w:tcPr>
            <w:tcW w:w="4621" w:type="dxa"/>
            <w:shd w:val="clear" w:color="auto" w:fill="DBE5F1"/>
            <w:noWrap/>
            <w:vAlign w:val="center"/>
          </w:tcPr>
          <w:p w:rsidR="0088341A" w:rsidRPr="00990F05" w:rsidRDefault="0088341A" w:rsidP="00501137">
            <w:pPr>
              <w:pStyle w:val="AERtabletextleft"/>
              <w:keepNext/>
              <w:keepLines/>
            </w:pPr>
            <w:r w:rsidRPr="00174DBD">
              <w:t>Assumed utilisation of imputation credits (gamma)</w:t>
            </w:r>
          </w:p>
        </w:tc>
        <w:tc>
          <w:tcPr>
            <w:tcW w:w="4621" w:type="dxa"/>
            <w:shd w:val="clear" w:color="auto" w:fill="DBE5F1"/>
            <w:noWrap/>
            <w:vAlign w:val="center"/>
          </w:tcPr>
          <w:p w:rsidR="0088341A" w:rsidRPr="00990F05" w:rsidRDefault="0088341A" w:rsidP="00501137">
            <w:pPr>
              <w:pStyle w:val="AERtabletextleft"/>
              <w:keepNext/>
              <w:keepLines/>
            </w:pPr>
            <w:r w:rsidRPr="00174DBD">
              <w:t>0.65</w:t>
            </w:r>
          </w:p>
        </w:tc>
      </w:tr>
    </w:tbl>
    <w:p w:rsidR="0088341A" w:rsidRPr="00990F05" w:rsidRDefault="0088341A" w:rsidP="000D59B9">
      <w:pPr>
        <w:pStyle w:val="AERtablesource"/>
      </w:pPr>
      <w:r>
        <w:t xml:space="preserve"> </w:t>
      </w:r>
      <w:r w:rsidRPr="00990F05">
        <w:t>Source:</w:t>
      </w:r>
      <w:r w:rsidRPr="00990F05">
        <w:tab/>
        <w:t xml:space="preserve">AER, </w:t>
      </w:r>
      <w:r w:rsidRPr="00990F05">
        <w:rPr>
          <w:rStyle w:val="AERtextitalic"/>
        </w:rPr>
        <w:t>Statement of the revised WACC parameters (transmission)</w:t>
      </w:r>
      <w:r w:rsidRPr="00990F05">
        <w:t>, May 2009, p. 6.</w:t>
      </w:r>
    </w:p>
    <w:p w:rsidR="0088341A" w:rsidRPr="00A907E9" w:rsidRDefault="0088341A" w:rsidP="0088341A">
      <w:pPr>
        <w:pStyle w:val="Heading3"/>
        <w:numPr>
          <w:ilvl w:val="3"/>
          <w:numId w:val="20"/>
        </w:numPr>
      </w:pPr>
      <w:bookmarkStart w:id="224" w:name="_Ref355193107"/>
      <w:r w:rsidRPr="00A907E9">
        <w:t>Determination of specific parameters</w:t>
      </w:r>
      <w:bookmarkEnd w:id="224"/>
    </w:p>
    <w:p w:rsidR="0088341A" w:rsidRDefault="0088341A" w:rsidP="0088341A">
      <w:pPr>
        <w:pStyle w:val="AERbodytext"/>
        <w:numPr>
          <w:ilvl w:val="0"/>
          <w:numId w:val="1"/>
        </w:numPr>
      </w:pPr>
      <w:r>
        <w:t xml:space="preserve">To determine </w:t>
      </w:r>
      <w:r w:rsidRPr="005A3D8F">
        <w:t xml:space="preserve">the WACC applicable at the time of any given determination, </w:t>
      </w:r>
      <w:r>
        <w:t>we update</w:t>
      </w:r>
      <w:r w:rsidRPr="005A3D8F">
        <w:t xml:space="preserve"> values for the DRP</w:t>
      </w:r>
      <w:r>
        <w:t xml:space="preserve"> and</w:t>
      </w:r>
      <w:r w:rsidRPr="005A3D8F">
        <w:t xml:space="preserve"> nominal risk free rate based on prevailing market data. This market data reflects an averaging period as close as practically possible to the start of the regulatory control period. For this draft decision,</w:t>
      </w:r>
      <w:r>
        <w:t xml:space="preserve"> we used an indicative 20 business day averaging period from 24 June 2013 to 19 July 2013. We also adopt the most up to date forecast inflation rate, as discussed further below.</w:t>
      </w:r>
    </w:p>
    <w:p w:rsidR="0088341A" w:rsidRPr="007065F6" w:rsidRDefault="0088341A" w:rsidP="0088341A">
      <w:pPr>
        <w:pStyle w:val="HeadingBoldBlue"/>
        <w:rPr>
          <w:rStyle w:val="AERtextbold"/>
          <w:b/>
        </w:rPr>
      </w:pPr>
      <w:r w:rsidRPr="007065F6">
        <w:rPr>
          <w:rStyle w:val="AERtextbold"/>
          <w:b/>
        </w:rPr>
        <w:t>Debt risk premium</w:t>
      </w:r>
    </w:p>
    <w:p w:rsidR="0088341A" w:rsidRDefault="0088341A" w:rsidP="0088341A">
      <w:pPr>
        <w:pStyle w:val="AERbodytext"/>
        <w:numPr>
          <w:ilvl w:val="0"/>
          <w:numId w:val="0"/>
        </w:numPr>
      </w:pPr>
      <w:r>
        <w:t xml:space="preserve">The DRP is the margin </w:t>
      </w:r>
      <w:r w:rsidRPr="005A3D8F">
        <w:t xml:space="preserve">above the nominal risk free rate that a debt holder would require to invest in a benchmark efficient service provider. Combined with the nominal risk free rate, the DRP represents the return on debt and is an input for calculating the WACC. </w:t>
      </w:r>
      <w:r>
        <w:t>Our</w:t>
      </w:r>
      <w:r w:rsidRPr="005A3D8F">
        <w:t xml:space="preserve"> assessment approach for this draft decision is consistent with that adopted in </w:t>
      </w:r>
      <w:r>
        <w:t>our</w:t>
      </w:r>
      <w:r w:rsidRPr="005A3D8F">
        <w:t xml:space="preserve"> recent final decision for </w:t>
      </w:r>
      <w:r>
        <w:t>ElectraNet</w:t>
      </w:r>
      <w:r w:rsidRPr="005A3D8F">
        <w:t>.</w:t>
      </w:r>
      <w:r w:rsidRPr="00A7127B">
        <w:rPr>
          <w:rStyle w:val="FootnoteReference"/>
        </w:rPr>
        <w:footnoteReference w:id="374"/>
      </w:r>
      <w:r w:rsidRPr="00A7127B">
        <w:t xml:space="preserve"> That is, </w:t>
      </w:r>
      <w:r>
        <w:t>we</w:t>
      </w:r>
      <w:r w:rsidRPr="00A7127B">
        <w:t xml:space="preserve"> estimate the DRP using</w:t>
      </w:r>
      <w:r>
        <w:t>:</w:t>
      </w:r>
    </w:p>
    <w:p w:rsidR="0088341A" w:rsidRPr="00A97AA7" w:rsidRDefault="0088341A" w:rsidP="0088341A">
      <w:pPr>
        <w:pStyle w:val="AERbulletlistfirststyle"/>
      </w:pPr>
      <w:r w:rsidRPr="00A97AA7">
        <w:t>an appropriate benchmark</w:t>
      </w:r>
    </w:p>
    <w:p w:rsidR="0088341A" w:rsidRPr="00A97AA7" w:rsidRDefault="0088341A" w:rsidP="0088341A">
      <w:pPr>
        <w:pStyle w:val="AERbulletlistfirststyle"/>
      </w:pPr>
      <w:r w:rsidRPr="00A97AA7">
        <w:t xml:space="preserve">a method that conforms to these benchmark parameters. </w:t>
      </w:r>
    </w:p>
    <w:p w:rsidR="0088341A" w:rsidRPr="007065F6" w:rsidRDefault="0088341A" w:rsidP="0088341A">
      <w:pPr>
        <w:pStyle w:val="HeadingBoldItalic"/>
        <w:rPr>
          <w:rStyle w:val="AERtextitalic"/>
          <w:i/>
        </w:rPr>
      </w:pPr>
      <w:r w:rsidRPr="007065F6">
        <w:rPr>
          <w:rStyle w:val="AERtextitalic"/>
          <w:i/>
        </w:rPr>
        <w:t>Benchmark assumption</w:t>
      </w:r>
    </w:p>
    <w:p w:rsidR="0088341A" w:rsidRPr="005A3D8F" w:rsidRDefault="0088341A" w:rsidP="0088341A">
      <w:pPr>
        <w:pStyle w:val="AERbodytext"/>
        <w:numPr>
          <w:ilvl w:val="0"/>
          <w:numId w:val="1"/>
        </w:numPr>
      </w:pPr>
      <w:r>
        <w:t>We</w:t>
      </w:r>
      <w:r w:rsidRPr="005A3D8F">
        <w:t xml:space="preserve"> adopt</w:t>
      </w:r>
      <w:r w:rsidR="00F44BD4">
        <w:t>ed</w:t>
      </w:r>
      <w:r w:rsidRPr="005A3D8F">
        <w:t xml:space="preserve"> a 10 year Australian corporate bond with a BBB+ credit rating as the benchmark for estimating the DRP.</w:t>
      </w:r>
      <w:r w:rsidRPr="005A3D8F">
        <w:rPr>
          <w:rStyle w:val="FootnoteReference"/>
        </w:rPr>
        <w:footnoteReference w:id="375"/>
      </w:r>
      <w:r w:rsidRPr="005A3D8F">
        <w:t xml:space="preserve"> The term of this benchmark </w:t>
      </w:r>
      <w:r>
        <w:t>bond provides internal consistency with the method f</w:t>
      </w:r>
      <w:r w:rsidRPr="005A3D8F">
        <w:t>or calculating the nominal risk free rate determined in the WACC review.</w:t>
      </w:r>
    </w:p>
    <w:p w:rsidR="0088341A" w:rsidRPr="005A3D8F" w:rsidRDefault="0088341A" w:rsidP="0088341A">
      <w:pPr>
        <w:pStyle w:val="HeadingBoldItalic"/>
      </w:pPr>
      <w:r w:rsidRPr="005A3D8F">
        <w:t>Method used to estimate the DRP</w:t>
      </w:r>
    </w:p>
    <w:p w:rsidR="0088341A" w:rsidRPr="005A3D8F" w:rsidRDefault="0088341A" w:rsidP="0088341A">
      <w:pPr>
        <w:pStyle w:val="AERbodytext"/>
        <w:numPr>
          <w:ilvl w:val="0"/>
          <w:numId w:val="1"/>
        </w:numPr>
      </w:pPr>
      <w:r w:rsidRPr="005A3D8F">
        <w:t xml:space="preserve">To estimate the 10 year DRP for this draft decision, </w:t>
      </w:r>
      <w:r>
        <w:t>we</w:t>
      </w:r>
      <w:r w:rsidRPr="005A3D8F">
        <w:t xml:space="preserve"> used:</w:t>
      </w:r>
    </w:p>
    <w:p w:rsidR="0088341A" w:rsidRPr="005A3D8F" w:rsidRDefault="0088341A" w:rsidP="0088341A">
      <w:pPr>
        <w:pStyle w:val="AERbulletlistfirststyle"/>
      </w:pPr>
      <w:r w:rsidRPr="005A3D8F">
        <w:t>the Bloomberg BBB rated fair value curve, to estimate the (base) seven year DRP</w:t>
      </w:r>
      <w:r>
        <w:t>, plus</w:t>
      </w:r>
    </w:p>
    <w:p w:rsidR="0088341A" w:rsidRDefault="0088341A" w:rsidP="0088341A">
      <w:pPr>
        <w:pStyle w:val="AERbulletlistfirststyle"/>
      </w:pPr>
      <w:r w:rsidRPr="005A3D8F">
        <w:lastRenderedPageBreak/>
        <w:t xml:space="preserve">the average annual increment </w:t>
      </w:r>
      <w:r>
        <w:t xml:space="preserve">in the DRP </w:t>
      </w:r>
      <w:r w:rsidRPr="005A3D8F">
        <w:t xml:space="preserve">observed across </w:t>
      </w:r>
      <w:r>
        <w:t xml:space="preserve">pairs of </w:t>
      </w:r>
      <w:r w:rsidRPr="005A3D8F">
        <w:t>bonds of differing maturities issued by the same company, to extrapolate the seven year DRP estimate to 10 years</w:t>
      </w:r>
      <w:r>
        <w:t xml:space="preserve"> (paired bonds analysis)</w:t>
      </w:r>
      <w:r w:rsidRPr="005A3D8F">
        <w:t>.</w:t>
      </w:r>
    </w:p>
    <w:p w:rsidR="0088341A" w:rsidRPr="007065F6" w:rsidRDefault="0088341A" w:rsidP="0088341A">
      <w:pPr>
        <w:pStyle w:val="HeadingBoldBlue"/>
        <w:rPr>
          <w:rStyle w:val="AERtextbold"/>
          <w:b/>
        </w:rPr>
      </w:pPr>
      <w:r w:rsidRPr="007065F6">
        <w:rPr>
          <w:rStyle w:val="AERtextbold"/>
          <w:b/>
        </w:rPr>
        <w:t>Nominal risk free rate</w:t>
      </w:r>
    </w:p>
    <w:p w:rsidR="0088341A" w:rsidRPr="005A3D8F" w:rsidRDefault="0088341A" w:rsidP="0088341A">
      <w:pPr>
        <w:pStyle w:val="AERbodytext"/>
        <w:numPr>
          <w:ilvl w:val="0"/>
          <w:numId w:val="1"/>
        </w:numPr>
      </w:pPr>
      <w:r w:rsidRPr="00BB0BB2">
        <w:rPr>
          <w:rStyle w:val="AERtextbold"/>
          <w:b w:val="0"/>
        </w:rPr>
        <w:t>The risk free rate</w:t>
      </w:r>
      <w:r w:rsidRPr="00860452">
        <w:t xml:space="preserve"> </w:t>
      </w:r>
      <w:r w:rsidRPr="005A3D8F">
        <w:t>measures the return that an investor would expect from an asset with zero volatility and zero default risk. The yield on long term CGS is often used as a proxy for the risk free rate because the risk of government default on interest and debt repayments is considered to be low.</w:t>
      </w:r>
    </w:p>
    <w:p w:rsidR="0088341A" w:rsidRDefault="0088341A" w:rsidP="0088341A">
      <w:pPr>
        <w:pStyle w:val="AERbodytext"/>
        <w:numPr>
          <w:ilvl w:val="0"/>
          <w:numId w:val="1"/>
        </w:numPr>
      </w:pPr>
      <w:r w:rsidRPr="005A3D8F">
        <w:t>In the CAPM framework, all information used for deriving the rate of return should be as current as possible, to achieve an unbiased forward looking rate. Using the on-the-day rate may be theoretically correct because it represents the latest available information. This approach, however, exposes the TNSP and customers to daily volatility. For this reason, an averaging period approach is used to minimise volatility in observed bond yields.</w:t>
      </w:r>
    </w:p>
    <w:p w:rsidR="0088341A" w:rsidRPr="007065F6" w:rsidRDefault="0088341A" w:rsidP="0088341A">
      <w:pPr>
        <w:pStyle w:val="HeadingBoldBlue"/>
        <w:rPr>
          <w:rStyle w:val="AERtextbold"/>
          <w:b/>
        </w:rPr>
      </w:pPr>
      <w:r w:rsidRPr="007065F6">
        <w:rPr>
          <w:rStyle w:val="AERtextbold"/>
          <w:b/>
        </w:rPr>
        <w:t>Expected inflation rate</w:t>
      </w:r>
    </w:p>
    <w:p w:rsidR="0088341A" w:rsidRPr="005A3D8F" w:rsidRDefault="0088341A" w:rsidP="0088341A">
      <w:pPr>
        <w:pStyle w:val="AERbodytext"/>
        <w:numPr>
          <w:ilvl w:val="0"/>
          <w:numId w:val="1"/>
        </w:numPr>
      </w:pPr>
      <w:r>
        <w:t>The expected inflation rate</w:t>
      </w:r>
      <w:r w:rsidRPr="00860452">
        <w:t xml:space="preserve"> </w:t>
      </w:r>
      <w:r w:rsidRPr="005A3D8F">
        <w:t>is not a parameter relevant to the determination of the WACC.</w:t>
      </w:r>
      <w:r w:rsidRPr="005A3D8F">
        <w:rPr>
          <w:rStyle w:val="FootnoteReference"/>
        </w:rPr>
        <w:footnoteReference w:id="376"/>
      </w:r>
      <w:r w:rsidRPr="005A3D8F">
        <w:t xml:space="preserve"> </w:t>
      </w:r>
      <w:r>
        <w:t xml:space="preserve">However, it is used in the post </w:t>
      </w:r>
      <w:r w:rsidRPr="005A3D8F">
        <w:t xml:space="preserve">tax revenue model (PTRM)—for example, to index the RAB—and is an implicit component of the nominal risk free rate. For this reason, this attachment discusses </w:t>
      </w:r>
      <w:r>
        <w:t>our</w:t>
      </w:r>
      <w:r w:rsidRPr="005A3D8F">
        <w:t xml:space="preserve"> determination of the expected inflation rate.</w:t>
      </w:r>
    </w:p>
    <w:p w:rsidR="0088341A" w:rsidRPr="005A3D8F" w:rsidRDefault="0088341A" w:rsidP="0088341A">
      <w:pPr>
        <w:pStyle w:val="AERbodytext"/>
        <w:numPr>
          <w:ilvl w:val="0"/>
          <w:numId w:val="1"/>
        </w:numPr>
      </w:pPr>
      <w:r>
        <w:t>Our</w:t>
      </w:r>
      <w:r w:rsidRPr="005A3D8F">
        <w:t xml:space="preserve"> approach to estimating inflation is consistent with that used in previous regulatory decisions.</w:t>
      </w:r>
      <w:r>
        <w:rPr>
          <w:rStyle w:val="FootnoteReference"/>
        </w:rPr>
        <w:footnoteReference w:id="377"/>
      </w:r>
      <w:r w:rsidRPr="005A3D8F">
        <w:t xml:space="preserve"> This method involves:</w:t>
      </w:r>
    </w:p>
    <w:p w:rsidR="0088341A" w:rsidRPr="005A3D8F" w:rsidRDefault="0088341A" w:rsidP="0088341A">
      <w:pPr>
        <w:pStyle w:val="AERbulletlistfirststyle"/>
      </w:pPr>
      <w:r w:rsidRPr="005A3D8F">
        <w:t xml:space="preserve">taking a geometric average of forecast inflation for each of the next 10 years </w:t>
      </w:r>
      <w:r>
        <w:t xml:space="preserve">commencing from the start of the 2013–17 regulatory control period </w:t>
      </w:r>
      <w:r w:rsidRPr="005A3D8F">
        <w:t>(consistent with using a 10 year term for the risk free rate and other WACC parameters)</w:t>
      </w:r>
    </w:p>
    <w:p w:rsidR="0088341A" w:rsidRPr="005A3D8F" w:rsidRDefault="0088341A" w:rsidP="0088341A">
      <w:pPr>
        <w:pStyle w:val="AERbulletlistfirststyle"/>
      </w:pPr>
      <w:r w:rsidRPr="005A3D8F">
        <w:t xml:space="preserve">adopting the Reserve Bank of Australia’s (RBA) headline inflation forecasts from the latest RBA </w:t>
      </w:r>
      <w:r w:rsidRPr="0078334D">
        <w:rPr>
          <w:rStyle w:val="AERtextitalic"/>
        </w:rPr>
        <w:t>Statement on Monetary Policy</w:t>
      </w:r>
      <w:r w:rsidRPr="005A3D8F">
        <w:t>, for as many future years as the RBA publishes inflation forecasts</w:t>
      </w:r>
    </w:p>
    <w:p w:rsidR="0088341A" w:rsidRPr="00990F05" w:rsidRDefault="0088341A" w:rsidP="0088341A">
      <w:pPr>
        <w:pStyle w:val="AERbulletlistfirststyle"/>
      </w:pPr>
      <w:r w:rsidRPr="005A3D8F">
        <w:t>adopting the mid-point of the RBA’s inflation target (2.5 per cent) for the remaining future years (out to year 10).</w:t>
      </w:r>
    </w:p>
    <w:p w:rsidR="0088341A" w:rsidRPr="003800E4" w:rsidRDefault="0088341A" w:rsidP="0088341A">
      <w:pPr>
        <w:pStyle w:val="Heading2"/>
        <w:numPr>
          <w:ilvl w:val="2"/>
          <w:numId w:val="20"/>
        </w:numPr>
      </w:pPr>
      <w:bookmarkStart w:id="225" w:name="_Toc365283306"/>
      <w:r>
        <w:t>Reasons for draft decision</w:t>
      </w:r>
      <w:bookmarkEnd w:id="225"/>
      <w:r>
        <w:t xml:space="preserve"> </w:t>
      </w:r>
    </w:p>
    <w:p w:rsidR="0088341A" w:rsidRDefault="0088341A" w:rsidP="0088341A">
      <w:pPr>
        <w:pStyle w:val="AERbodytext"/>
        <w:numPr>
          <w:ilvl w:val="0"/>
          <w:numId w:val="1"/>
        </w:numPr>
      </w:pPr>
      <w:r>
        <w:t xml:space="preserve">SP AusNet's </w:t>
      </w:r>
      <w:r w:rsidRPr="005A3D8F">
        <w:t>proposed method for determining the WACC adopted the values, method</w:t>
      </w:r>
      <w:r>
        <w:t>s</w:t>
      </w:r>
      <w:r w:rsidRPr="005A3D8F">
        <w:t xml:space="preserve"> and credit rating determined in the </w:t>
      </w:r>
      <w:r>
        <w:t xml:space="preserve">2009 </w:t>
      </w:r>
      <w:r w:rsidRPr="005A3D8F">
        <w:t>WACC review—specifically, the equity beta, the MRP, the level of gearing and the value of the assumed utilisation of imputation credits (gamma).</w:t>
      </w:r>
      <w:r w:rsidRPr="005A3D8F">
        <w:rPr>
          <w:rStyle w:val="FootnoteReference"/>
        </w:rPr>
        <w:footnoteReference w:id="378"/>
      </w:r>
      <w:r w:rsidRPr="005A3D8F">
        <w:t xml:space="preserve"> </w:t>
      </w:r>
      <w:r>
        <w:t>Therefore, we accept</w:t>
      </w:r>
      <w:r w:rsidRPr="005A3D8F">
        <w:t xml:space="preserve"> </w:t>
      </w:r>
      <w:r>
        <w:t>SP Aus</w:t>
      </w:r>
      <w:r w:rsidRPr="005A3D8F">
        <w:t xml:space="preserve">Net’s proposed values for these </w:t>
      </w:r>
      <w:r w:rsidRPr="00244753">
        <w:t>parameters</w:t>
      </w:r>
      <w:r>
        <w:t xml:space="preserve"> (section </w:t>
      </w:r>
      <w:r>
        <w:fldChar w:fldCharType="begin"/>
      </w:r>
      <w:r>
        <w:instrText xml:space="preserve"> REF _Ref355191602 \r \h </w:instrText>
      </w:r>
      <w:r>
        <w:fldChar w:fldCharType="separate"/>
      </w:r>
      <w:r w:rsidR="004F35AA">
        <w:t>4.4.1</w:t>
      </w:r>
      <w:r>
        <w:fldChar w:fldCharType="end"/>
      </w:r>
      <w:r>
        <w:t>).</w:t>
      </w:r>
    </w:p>
    <w:p w:rsidR="0088341A" w:rsidRDefault="0088341A" w:rsidP="0088341A">
      <w:pPr>
        <w:pStyle w:val="AERbodytext"/>
        <w:numPr>
          <w:ilvl w:val="0"/>
          <w:numId w:val="0"/>
        </w:numPr>
      </w:pPr>
      <w:r w:rsidRPr="005A3D8F">
        <w:t xml:space="preserve">In establishing the WACC, </w:t>
      </w:r>
      <w:r>
        <w:t>we also accept</w:t>
      </w:r>
      <w:r w:rsidRPr="005A3D8F">
        <w:t xml:space="preserve"> </w:t>
      </w:r>
      <w:r>
        <w:t>SP Aus</w:t>
      </w:r>
      <w:r w:rsidRPr="005A3D8F">
        <w:t>Net’s proposed method for determining the DRP</w:t>
      </w:r>
      <w:r w:rsidRPr="00147210">
        <w:t xml:space="preserve">, the nominal risk free rate and inflation forecasts. </w:t>
      </w:r>
      <w:r>
        <w:t>Our</w:t>
      </w:r>
      <w:r w:rsidRPr="00147210">
        <w:t xml:space="preserve"> reasons are</w:t>
      </w:r>
      <w:r>
        <w:t xml:space="preserve"> discussed in sections </w:t>
      </w:r>
      <w:r>
        <w:fldChar w:fldCharType="begin"/>
      </w:r>
      <w:r>
        <w:instrText xml:space="preserve"> REF _Ref355191667 \r \h </w:instrText>
      </w:r>
      <w:r>
        <w:fldChar w:fldCharType="separate"/>
      </w:r>
      <w:r w:rsidR="004F35AA">
        <w:t>4.4.2</w:t>
      </w:r>
      <w:r>
        <w:fldChar w:fldCharType="end"/>
      </w:r>
      <w:r>
        <w:t xml:space="preserve">, </w:t>
      </w:r>
      <w:r>
        <w:fldChar w:fldCharType="begin"/>
      </w:r>
      <w:r>
        <w:instrText xml:space="preserve"> REF _Ref363745439 \r \h </w:instrText>
      </w:r>
      <w:r>
        <w:fldChar w:fldCharType="separate"/>
      </w:r>
      <w:r w:rsidR="004F35AA">
        <w:t>4.4.3</w:t>
      </w:r>
      <w:r>
        <w:fldChar w:fldCharType="end"/>
      </w:r>
      <w:r>
        <w:t xml:space="preserve"> and </w:t>
      </w:r>
      <w:r>
        <w:fldChar w:fldCharType="begin"/>
      </w:r>
      <w:r>
        <w:instrText xml:space="preserve"> REF _Ref355191676 \r \h </w:instrText>
      </w:r>
      <w:r>
        <w:fldChar w:fldCharType="separate"/>
      </w:r>
      <w:r w:rsidR="004F35AA">
        <w:t>4.4.4</w:t>
      </w:r>
      <w:r>
        <w:fldChar w:fldCharType="end"/>
      </w:r>
      <w:r>
        <w:t>.</w:t>
      </w:r>
    </w:p>
    <w:p w:rsidR="0088341A" w:rsidRPr="00A907E9" w:rsidRDefault="0088341A" w:rsidP="0088341A">
      <w:pPr>
        <w:pStyle w:val="Heading3"/>
        <w:numPr>
          <w:ilvl w:val="3"/>
          <w:numId w:val="20"/>
        </w:numPr>
      </w:pPr>
      <w:bookmarkStart w:id="226" w:name="_Ref355191602"/>
      <w:r w:rsidRPr="00A907E9">
        <w:lastRenderedPageBreak/>
        <w:t>Parameters determined in the WACC review</w:t>
      </w:r>
      <w:bookmarkEnd w:id="226"/>
    </w:p>
    <w:p w:rsidR="0088341A" w:rsidRDefault="0088341A" w:rsidP="0088341A">
      <w:pPr>
        <w:pStyle w:val="AERbodytext"/>
        <w:numPr>
          <w:ilvl w:val="0"/>
          <w:numId w:val="1"/>
        </w:numPr>
      </w:pPr>
      <w:r>
        <w:t>In the WACC review, we</w:t>
      </w:r>
      <w:r w:rsidRPr="005A3D8F">
        <w:t xml:space="preserve"> specified the following parameter values:</w:t>
      </w:r>
    </w:p>
    <w:p w:rsidR="0088341A" w:rsidRPr="00AC6B29" w:rsidRDefault="0088341A" w:rsidP="0088341A">
      <w:pPr>
        <w:pStyle w:val="AERbulletlistfirststyle"/>
      </w:pPr>
      <w:r w:rsidRPr="00AC6B29">
        <w:t>Equity beta of 0.8—The equity beta provides a measure of the ‘riskiness’ of an asset’s return compared with the return on the entire market. The equity beta reflects the asset’s exposure to non-diversifiable (systematic) risk, which is the only form of risk that requires compensation under the CAPM. An equity beta of 1.0 implies the firm’s return has the same level of systematic risk as that of the overall market. An equity beta of less than 1.0 implies the firm’s return is less sensitive to systematic risk than is the overall market, and vice versa.</w:t>
      </w:r>
    </w:p>
    <w:p w:rsidR="0088341A" w:rsidRPr="00AC6B29" w:rsidRDefault="0088341A" w:rsidP="0088341A">
      <w:pPr>
        <w:pStyle w:val="AERbulletlistfirststyle"/>
      </w:pPr>
      <w:r w:rsidRPr="00AC6B29">
        <w:t>MRP of 6.5 per cent—The MRP is the expected return over the risk free rate that investors require to invest in a well-diversified portfolio of risky assets. It represents the risk premium that investors in such a portfolio can expect to earn for bearing only non-diversifiable (systematic) risk. The MRP is common to all assets in the economy and not specific to an individual asset or business.</w:t>
      </w:r>
    </w:p>
    <w:p w:rsidR="0088341A" w:rsidRPr="00AC6B29" w:rsidRDefault="0088341A" w:rsidP="0088341A">
      <w:pPr>
        <w:pStyle w:val="AERbulletlistfirststyle"/>
      </w:pPr>
      <w:r w:rsidRPr="00AC6B29">
        <w:t>Gearing level of 60 per cent—Gearing is defined as the ratio of the value of debt to total capital (that is, both debt and equity). It is used to weight the costs of debt and equity when formulating the WACC.</w:t>
      </w:r>
    </w:p>
    <w:p w:rsidR="0088341A" w:rsidRPr="00AC6B29" w:rsidRDefault="0088341A" w:rsidP="0088341A">
      <w:pPr>
        <w:pStyle w:val="AERbulletlistfirststyle"/>
      </w:pPr>
      <w:r w:rsidRPr="00AC6B29">
        <w:t xml:space="preserve">Gamma of 0.65—Under the Australian imputation tax system, domestic investors receive a credit for tax paid at the company level (an imputation credit, or gamma), which offsets part or all of their personal income tax liabilities. For eligible shareholders, imputation credits represent a benefit from the investment in addition to any cash dividend or capital gains received. </w:t>
      </w:r>
    </w:p>
    <w:p w:rsidR="0088341A" w:rsidRPr="005A3D8F" w:rsidRDefault="0088341A" w:rsidP="0088341A">
      <w:pPr>
        <w:pStyle w:val="AERbodytext"/>
        <w:numPr>
          <w:ilvl w:val="0"/>
          <w:numId w:val="1"/>
        </w:numPr>
      </w:pPr>
      <w:r w:rsidRPr="00AC6B29">
        <w:t xml:space="preserve">As outlined, </w:t>
      </w:r>
      <w:r>
        <w:t>we</w:t>
      </w:r>
      <w:r w:rsidRPr="00AC6B29">
        <w:t xml:space="preserve"> accept </w:t>
      </w:r>
      <w:r>
        <w:t>SP Aus</w:t>
      </w:r>
      <w:r w:rsidRPr="00AC6B29">
        <w:t>Net’s proposed values for these parameters, which are consistent with those determined in the WACC review</w:t>
      </w:r>
      <w:r w:rsidRPr="005A3D8F">
        <w:t>.</w:t>
      </w:r>
      <w:r w:rsidRPr="005A3D8F">
        <w:rPr>
          <w:rStyle w:val="FootnoteReference"/>
        </w:rPr>
        <w:footnoteReference w:id="379"/>
      </w:r>
    </w:p>
    <w:p w:rsidR="0088341A" w:rsidRPr="00A907E9" w:rsidRDefault="0088341A" w:rsidP="0088341A">
      <w:pPr>
        <w:pStyle w:val="Heading3"/>
        <w:numPr>
          <w:ilvl w:val="3"/>
          <w:numId w:val="20"/>
        </w:numPr>
      </w:pPr>
      <w:bookmarkStart w:id="227" w:name="_Ref355191667"/>
      <w:r w:rsidRPr="00A907E9">
        <w:t>Debt risk premium</w:t>
      </w:r>
      <w:bookmarkEnd w:id="227"/>
    </w:p>
    <w:p w:rsidR="0088341A" w:rsidRDefault="0088341A" w:rsidP="0088341A">
      <w:pPr>
        <w:pStyle w:val="AERbodytext"/>
        <w:numPr>
          <w:ilvl w:val="0"/>
          <w:numId w:val="1"/>
        </w:numPr>
      </w:pPr>
      <w:r>
        <w:t xml:space="preserve">We accept, in principle, SP AusNet's proposed benchmark assumption and </w:t>
      </w:r>
      <w:r w:rsidRPr="005A3D8F">
        <w:t xml:space="preserve">method for determining the DRP. </w:t>
      </w:r>
      <w:r>
        <w:t>However</w:t>
      </w:r>
      <w:r w:rsidRPr="005A3D8F">
        <w:t>,</w:t>
      </w:r>
      <w:r>
        <w:t xml:space="preserve"> in applying the proposed method, we</w:t>
      </w:r>
      <w:r w:rsidRPr="005A3D8F">
        <w:t xml:space="preserve"> updated </w:t>
      </w:r>
      <w:r>
        <w:t>SP AusNet's</w:t>
      </w:r>
      <w:r w:rsidRPr="005A3D8F">
        <w:t xml:space="preserve"> DRP </w:t>
      </w:r>
      <w:r w:rsidRPr="00910326">
        <w:t xml:space="preserve">to </w:t>
      </w:r>
      <w:r>
        <w:t>3 </w:t>
      </w:r>
      <w:r w:rsidRPr="00910326">
        <w:t xml:space="preserve">per cent, </w:t>
      </w:r>
      <w:r w:rsidRPr="005A3D8F">
        <w:t>reflect</w:t>
      </w:r>
      <w:r>
        <w:t>ing</w:t>
      </w:r>
      <w:r w:rsidRPr="005A3D8F">
        <w:t xml:space="preserve"> the indicative averaging period used throughout this draft decision.</w:t>
      </w:r>
      <w:r>
        <w:t xml:space="preserve"> We</w:t>
      </w:r>
      <w:r w:rsidRPr="005A3D8F">
        <w:t xml:space="preserve"> will</w:t>
      </w:r>
      <w:r>
        <w:t xml:space="preserve"> again update the DRP for our</w:t>
      </w:r>
      <w:r w:rsidRPr="005A3D8F">
        <w:t xml:space="preserve"> final decision, based on </w:t>
      </w:r>
      <w:r>
        <w:t>the</w:t>
      </w:r>
      <w:r w:rsidRPr="005A3D8F">
        <w:t xml:space="preserve"> </w:t>
      </w:r>
      <w:r>
        <w:t>accepted</w:t>
      </w:r>
      <w:r w:rsidRPr="005A3D8F">
        <w:t xml:space="preserve"> averaging period.</w:t>
      </w:r>
    </w:p>
    <w:p w:rsidR="0088341A" w:rsidRDefault="0088341A" w:rsidP="0088341A">
      <w:pPr>
        <w:pStyle w:val="AERbodytext"/>
        <w:numPr>
          <w:ilvl w:val="0"/>
          <w:numId w:val="1"/>
        </w:numPr>
      </w:pPr>
      <w:r>
        <w:t>Regarding the benchmark assumption</w:t>
      </w:r>
      <w:r w:rsidRPr="005A3D8F">
        <w:t xml:space="preserve">, </w:t>
      </w:r>
      <w:r>
        <w:t>we accept</w:t>
      </w:r>
      <w:r w:rsidRPr="005A3D8F">
        <w:t xml:space="preserve"> </w:t>
      </w:r>
      <w:r>
        <w:t>SP Aus</w:t>
      </w:r>
      <w:r w:rsidRPr="005A3D8F">
        <w:t>Net’s propos</w:t>
      </w:r>
      <w:r>
        <w:t>al that the</w:t>
      </w:r>
      <w:r w:rsidRPr="005A3D8F">
        <w:t xml:space="preserve"> DRP benchmark</w:t>
      </w:r>
      <w:r>
        <w:t xml:space="preserve"> be</w:t>
      </w:r>
      <w:r w:rsidRPr="005A3D8F">
        <w:t xml:space="preserve"> based on an Australian corporate fixed rate bond issue with a term to maturity of 10 years and a BBB+ credit rating.</w:t>
      </w:r>
      <w:r w:rsidRPr="005A3D8F">
        <w:rPr>
          <w:rStyle w:val="FootnoteReference"/>
        </w:rPr>
        <w:footnoteReference w:id="380"/>
      </w:r>
      <w:r w:rsidRPr="005A3D8F">
        <w:t xml:space="preserve"> </w:t>
      </w:r>
      <w:r>
        <w:t>The proposed credit rating benchmark is consistent with that established in the WACC review. We</w:t>
      </w:r>
      <w:r w:rsidRPr="005A3D8F">
        <w:t xml:space="preserve"> </w:t>
      </w:r>
      <w:r>
        <w:t xml:space="preserve">also </w:t>
      </w:r>
      <w:r w:rsidRPr="005A3D8F">
        <w:t>adopted this benchmark assumption in previous electricity decisions.</w:t>
      </w:r>
      <w:r w:rsidRPr="005A3D8F">
        <w:rPr>
          <w:rStyle w:val="FootnoteReference"/>
        </w:rPr>
        <w:footnoteReference w:id="381"/>
      </w:r>
      <w:r w:rsidRPr="005A3D8F">
        <w:t xml:space="preserve"> </w:t>
      </w:r>
      <w:r>
        <w:t>We</w:t>
      </w:r>
      <w:r w:rsidRPr="005A3D8F">
        <w:t xml:space="preserve"> accept </w:t>
      </w:r>
      <w:r>
        <w:t>SP Aus</w:t>
      </w:r>
      <w:r w:rsidRPr="005A3D8F">
        <w:t xml:space="preserve">Net’s proposed </w:t>
      </w:r>
      <w:r>
        <w:t>method</w:t>
      </w:r>
      <w:r w:rsidRPr="005A3D8F">
        <w:t xml:space="preserve"> </w:t>
      </w:r>
      <w:r>
        <w:t>for</w:t>
      </w:r>
      <w:r w:rsidRPr="005A3D8F">
        <w:t xml:space="preserve"> establishing the DRP</w:t>
      </w:r>
      <w:r>
        <w:t>,</w:t>
      </w:r>
      <w:r w:rsidRPr="005A3D8F">
        <w:t xml:space="preserve"> </w:t>
      </w:r>
      <w:r>
        <w:t>i</w:t>
      </w:r>
      <w:r w:rsidRPr="005A3D8F">
        <w:t xml:space="preserve">n particular, </w:t>
      </w:r>
      <w:r>
        <w:t>SP Aus</w:t>
      </w:r>
      <w:r w:rsidRPr="005A3D8F">
        <w:t xml:space="preserve">Net’s proposal to estimate the benchmark DRP solely on the </w:t>
      </w:r>
      <w:r>
        <w:t>Bloomberg BBB fair value curve.</w:t>
      </w:r>
      <w:r w:rsidDel="00274EE5">
        <w:rPr>
          <w:rStyle w:val="FootnoteReference"/>
        </w:rPr>
        <w:t xml:space="preserve"> </w:t>
      </w:r>
    </w:p>
    <w:p w:rsidR="0088341A" w:rsidRDefault="0088341A" w:rsidP="0088341A">
      <w:pPr>
        <w:pStyle w:val="AERbodytext"/>
        <w:numPr>
          <w:ilvl w:val="0"/>
          <w:numId w:val="1"/>
        </w:numPr>
        <w:rPr>
          <w:rStyle w:val="AERbody"/>
        </w:rPr>
      </w:pPr>
      <w:r>
        <w:t>We</w:t>
      </w:r>
      <w:r w:rsidRPr="005A3D8F">
        <w:t xml:space="preserve"> also accept </w:t>
      </w:r>
      <w:r>
        <w:t>SP Aus</w:t>
      </w:r>
      <w:r w:rsidRPr="005A3D8F">
        <w:t>Net’s proposed method to extrapolate the Bloomberg BBB fair value curve from seven to 10 years, based on PwC</w:t>
      </w:r>
      <w:r>
        <w:t>'s</w:t>
      </w:r>
      <w:r w:rsidRPr="005A3D8F">
        <w:t xml:space="preserve"> analysis of paired bonds.</w:t>
      </w:r>
      <w:r w:rsidRPr="005A3D8F">
        <w:rPr>
          <w:rStyle w:val="FootnoteReference"/>
        </w:rPr>
        <w:footnoteReference w:id="382"/>
      </w:r>
      <w:r w:rsidRPr="005A3D8F">
        <w:t xml:space="preserve"> </w:t>
      </w:r>
      <w:r>
        <w:t>We accepted PwC's paired bonds approach in the recent ElectraNet's 2013–18 transmission determination.</w:t>
      </w:r>
      <w:r>
        <w:rPr>
          <w:rStyle w:val="FootnoteReference"/>
        </w:rPr>
        <w:footnoteReference w:id="383"/>
      </w:r>
      <w:r>
        <w:t xml:space="preserve"> We also consider that the paired bonds PwC selected for determining SP AusNet's DRP are generally appropriate. We </w:t>
      </w:r>
      <w:r>
        <w:lastRenderedPageBreak/>
        <w:t>note that t</w:t>
      </w:r>
      <w:r w:rsidRPr="0010570B">
        <w:t xml:space="preserve">he two GPT bonds </w:t>
      </w:r>
      <w:r>
        <w:t xml:space="preserve">selected by SP AusNet </w:t>
      </w:r>
      <w:r w:rsidRPr="0010570B">
        <w:t>are issued by different entities</w:t>
      </w:r>
      <w:r>
        <w:t>. However,</w:t>
      </w:r>
      <w:r w:rsidRPr="0010570B">
        <w:t xml:space="preserve"> these entities </w:t>
      </w:r>
      <w:r>
        <w:t xml:space="preserve">appear </w:t>
      </w:r>
      <w:r w:rsidRPr="0010570B">
        <w:t>to be sufficiently associated</w:t>
      </w:r>
      <w:r>
        <w:t>. Therefore, for this draft decision, we</w:t>
      </w:r>
      <w:r w:rsidRPr="0010570B">
        <w:t xml:space="preserve"> consider</w:t>
      </w:r>
      <w:r>
        <w:t xml:space="preserve"> these bonds</w:t>
      </w:r>
      <w:r w:rsidRPr="0010570B">
        <w:t xml:space="preserve"> as being issued by the same company</w:t>
      </w:r>
      <w:r>
        <w:t>. Further, w</w:t>
      </w:r>
      <w:r w:rsidRPr="00A57ABF">
        <w:t xml:space="preserve">e disagree </w:t>
      </w:r>
      <w:r>
        <w:t>with the</w:t>
      </w:r>
      <w:r w:rsidRPr="00A57ABF">
        <w:t xml:space="preserve"> term to maturity </w:t>
      </w:r>
      <w:r>
        <w:t xml:space="preserve">used by SP AusNet </w:t>
      </w:r>
      <w:r w:rsidRPr="00A57ABF">
        <w:t>for the longer dated bond</w:t>
      </w:r>
      <w:r>
        <w:t xml:space="preserve"> for the GPT paired bonds.</w:t>
      </w:r>
      <w:r w:rsidRPr="00A57ABF">
        <w:t xml:space="preserve"> </w:t>
      </w:r>
      <w:r>
        <w:t xml:space="preserve">The </w:t>
      </w:r>
      <w:r w:rsidRPr="00A57ABF">
        <w:t xml:space="preserve">term to maturity </w:t>
      </w:r>
      <w:r>
        <w:t>for this bond should be</w:t>
      </w:r>
      <w:r w:rsidRPr="00A57ABF">
        <w:t xml:space="preserve"> 9.7 years,</w:t>
      </w:r>
      <w:r>
        <w:t xml:space="preserve"> compared to </w:t>
      </w:r>
      <w:r w:rsidRPr="00A57ABF">
        <w:t>9.47 years</w:t>
      </w:r>
      <w:r>
        <w:t xml:space="preserve"> used by SP AusNet</w:t>
      </w:r>
      <w:r w:rsidRPr="00A57ABF">
        <w:t>.</w:t>
      </w:r>
      <w:r>
        <w:t xml:space="preserve"> </w:t>
      </w:r>
      <w:r w:rsidRPr="00A57ABF">
        <w:t xml:space="preserve">The </w:t>
      </w:r>
      <w:r>
        <w:t>updated</w:t>
      </w:r>
      <w:r w:rsidRPr="00A57ABF">
        <w:t xml:space="preserve"> term to maturity </w:t>
      </w:r>
      <w:r>
        <w:t xml:space="preserve">results in a slight change to the proposed value. </w:t>
      </w:r>
    </w:p>
    <w:p w:rsidR="0088341A" w:rsidRDefault="0088341A" w:rsidP="0088341A">
      <w:pPr>
        <w:pStyle w:val="AERbodytext"/>
        <w:numPr>
          <w:ilvl w:val="0"/>
          <w:numId w:val="1"/>
        </w:numPr>
      </w:pPr>
      <w:bookmarkStart w:id="228" w:name="_Ref355191673"/>
      <w:r>
        <w:t>We</w:t>
      </w:r>
      <w:r w:rsidRPr="00E37A20">
        <w:t xml:space="preserve"> </w:t>
      </w:r>
      <w:r>
        <w:t>acknowledge the Energy Users Coalition of Victoria (EUCV) and Energy Users Association of Australia's (EUAA) concerns with the use of the Bloomberg fair value curve to determine the DRP.</w:t>
      </w:r>
      <w:r>
        <w:rPr>
          <w:rStyle w:val="FootnoteReference"/>
        </w:rPr>
        <w:footnoteReference w:id="384"/>
      </w:r>
      <w:r>
        <w:t xml:space="preserve"> Notwithstanding these concerns, we are mindful of</w:t>
      </w:r>
      <w:r w:rsidRPr="005A3D8F">
        <w:t xml:space="preserve"> the Australian Competition Tribunal’s recommendation to undertake a public consultation process before selecting an alternative DRP method.</w:t>
      </w:r>
      <w:r w:rsidRPr="005A3D8F">
        <w:rPr>
          <w:rStyle w:val="FootnoteReference"/>
        </w:rPr>
        <w:footnoteReference w:id="385"/>
      </w:r>
      <w:r w:rsidRPr="005A3D8F">
        <w:t xml:space="preserve"> </w:t>
      </w:r>
      <w:r>
        <w:t>We are currently in the process of developing the rate of return guidelines.</w:t>
      </w:r>
      <w:r>
        <w:rPr>
          <w:rStyle w:val="FootnoteReference"/>
        </w:rPr>
        <w:footnoteReference w:id="386"/>
      </w:r>
      <w:r>
        <w:t xml:space="preserve"> This process provides us an opportunity to develop and consult on both our method to estimating the return on debt and how to implement that method. The outcomes of this guideline would inform the next revenue reset for SP AusNet starting 1 April 2017.</w:t>
      </w:r>
    </w:p>
    <w:p w:rsidR="0088341A" w:rsidRPr="00A907E9" w:rsidRDefault="0088341A" w:rsidP="0088341A">
      <w:pPr>
        <w:pStyle w:val="Heading3"/>
        <w:numPr>
          <w:ilvl w:val="3"/>
          <w:numId w:val="20"/>
        </w:numPr>
      </w:pPr>
      <w:bookmarkStart w:id="229" w:name="_Ref363745439"/>
      <w:r w:rsidRPr="00A907E9">
        <w:t>Nominal risk free rate</w:t>
      </w:r>
      <w:bookmarkEnd w:id="228"/>
      <w:bookmarkEnd w:id="229"/>
    </w:p>
    <w:p w:rsidR="0088341A" w:rsidRDefault="0088341A" w:rsidP="0088341A">
      <w:pPr>
        <w:pStyle w:val="AERbodytext"/>
        <w:numPr>
          <w:ilvl w:val="0"/>
          <w:numId w:val="1"/>
        </w:numPr>
        <w:rPr>
          <w:rStyle w:val="AERbody"/>
        </w:rPr>
      </w:pPr>
      <w:r>
        <w:t>We accept SP AusNet's</w:t>
      </w:r>
      <w:r w:rsidRPr="009F126C">
        <w:t xml:space="preserve"> </w:t>
      </w:r>
      <w:r w:rsidRPr="005A3D8F">
        <w:t>proposed averaging period to calculate the nominal risk free rate</w:t>
      </w:r>
      <w:r>
        <w:t xml:space="preserve"> as it satisfies the requirements set out in the NER and WACC review</w:t>
      </w:r>
      <w:r w:rsidRPr="005A3D8F">
        <w:t xml:space="preserve">. </w:t>
      </w:r>
      <w:r>
        <w:t>We also accept</w:t>
      </w:r>
      <w:r w:rsidRPr="005A3D8F">
        <w:t xml:space="preserve"> </w:t>
      </w:r>
      <w:r>
        <w:t>SP AusNet's</w:t>
      </w:r>
      <w:r w:rsidRPr="005A3D8F">
        <w:t xml:space="preserve"> request to keep</w:t>
      </w:r>
      <w:r w:rsidRPr="005A3D8F">
        <w:rPr>
          <w:rStyle w:val="AERbody"/>
        </w:rPr>
        <w:t xml:space="preserve"> the averaging period confidential until the expiration of that period.</w:t>
      </w:r>
      <w:r w:rsidRPr="005A3D8F">
        <w:rPr>
          <w:rStyle w:val="FootnoteReference"/>
        </w:rPr>
        <w:footnoteReference w:id="387"/>
      </w:r>
      <w:r w:rsidRPr="005A3D8F">
        <w:rPr>
          <w:rStyle w:val="AERbody"/>
        </w:rPr>
        <w:t xml:space="preserve"> </w:t>
      </w:r>
    </w:p>
    <w:p w:rsidR="0088341A" w:rsidRPr="00B31E44" w:rsidRDefault="0088341A" w:rsidP="0088341A">
      <w:pPr>
        <w:pStyle w:val="AERbodytext"/>
        <w:numPr>
          <w:ilvl w:val="0"/>
          <w:numId w:val="1"/>
        </w:numPr>
        <w:rPr>
          <w:rStyle w:val="AERbody"/>
        </w:rPr>
      </w:pPr>
      <w:r>
        <w:rPr>
          <w:rStyle w:val="AERbody"/>
        </w:rPr>
        <w:t>The WACC review states that we will only accept an averaging period commencing as close as reasonably possible to the start of the TNSP's regulatory control period. This incorporates the most up to date data, which allows for an unbiased forward looking estimate of the nominal risk free rate.</w:t>
      </w:r>
      <w:r>
        <w:rPr>
          <w:rStyle w:val="FootnoteReference"/>
        </w:rPr>
        <w:footnoteReference w:id="388"/>
      </w:r>
      <w:r>
        <w:rPr>
          <w:rStyle w:val="AERbody"/>
        </w:rPr>
        <w:t xml:space="preserve"> In the WACC review, we also consider an averaging period between 10 and 40 business days to be reasonable, as it provides a balance between volatility driven error and old information driven error.</w:t>
      </w:r>
      <w:r>
        <w:rPr>
          <w:rStyle w:val="FootnoteReference"/>
        </w:rPr>
        <w:footnoteReference w:id="389"/>
      </w:r>
      <w:r>
        <w:rPr>
          <w:rStyle w:val="AERbody"/>
        </w:rPr>
        <w:t xml:space="preserve"> In recent determinations we have approved averaging periods that are within these boundaries.</w:t>
      </w:r>
      <w:r>
        <w:rPr>
          <w:rStyle w:val="FootnoteReference"/>
        </w:rPr>
        <w:footnoteReference w:id="390"/>
      </w:r>
      <w:r>
        <w:rPr>
          <w:rStyle w:val="AERbody"/>
        </w:rPr>
        <w:t xml:space="preserve"> We consider SP AusNet's </w:t>
      </w:r>
      <w:r w:rsidRPr="00B31E44">
        <w:rPr>
          <w:rStyle w:val="AERbody"/>
        </w:rPr>
        <w:t>proposed averaging period</w:t>
      </w:r>
      <w:r>
        <w:rPr>
          <w:rStyle w:val="AERbody"/>
        </w:rPr>
        <w:t xml:space="preserve"> satisfies these requirements.</w:t>
      </w:r>
    </w:p>
    <w:p w:rsidR="0088341A" w:rsidRDefault="0088341A" w:rsidP="0088341A">
      <w:pPr>
        <w:pStyle w:val="AERbodytext"/>
        <w:numPr>
          <w:ilvl w:val="0"/>
          <w:numId w:val="1"/>
        </w:numPr>
      </w:pPr>
      <w:r w:rsidRPr="005A3D8F">
        <w:t xml:space="preserve">For this draft decision, </w:t>
      </w:r>
      <w:r>
        <w:t>we</w:t>
      </w:r>
      <w:r w:rsidRPr="005A3D8F">
        <w:t xml:space="preserve"> used an indicative 20 </w:t>
      </w:r>
      <w:r>
        <w:t xml:space="preserve">business </w:t>
      </w:r>
      <w:r w:rsidRPr="005A3D8F">
        <w:t xml:space="preserve">day averaging period </w:t>
      </w:r>
      <w:r>
        <w:t>from</w:t>
      </w:r>
      <w:r w:rsidRPr="005A3D8F">
        <w:t xml:space="preserve"> </w:t>
      </w:r>
      <w:r>
        <w:t>24 June 2013 to 19 July 2013</w:t>
      </w:r>
      <w:r w:rsidRPr="005A3D8F">
        <w:t xml:space="preserve">, which results in a risk free rate </w:t>
      </w:r>
      <w:r w:rsidRPr="00910326">
        <w:t xml:space="preserve">of </w:t>
      </w:r>
      <w:r>
        <w:t>3.54 </w:t>
      </w:r>
      <w:r w:rsidRPr="00910326">
        <w:t>per cent (effective</w:t>
      </w:r>
      <w:r w:rsidRPr="005A3D8F">
        <w:t xml:space="preserve"> annual compounding rate).</w:t>
      </w:r>
      <w:r w:rsidRPr="005A3D8F">
        <w:rPr>
          <w:rStyle w:val="FootnoteReference"/>
        </w:rPr>
        <w:footnoteReference w:id="391"/>
      </w:r>
      <w:r w:rsidRPr="005A3D8F">
        <w:t xml:space="preserve"> </w:t>
      </w:r>
      <w:r>
        <w:t>We</w:t>
      </w:r>
      <w:r w:rsidRPr="005A3D8F">
        <w:t xml:space="preserve"> will update the risk free rate, based on the agreed averaging period, at the time of </w:t>
      </w:r>
      <w:r>
        <w:t>our</w:t>
      </w:r>
      <w:r w:rsidRPr="005A3D8F">
        <w:t xml:space="preserve"> final decision.</w:t>
      </w:r>
      <w:r w:rsidRPr="005A3D8F">
        <w:rPr>
          <w:rStyle w:val="FootnoteReference"/>
        </w:rPr>
        <w:footnoteReference w:id="392"/>
      </w:r>
      <w:r>
        <w:t xml:space="preserve"> </w:t>
      </w:r>
    </w:p>
    <w:p w:rsidR="0088341A" w:rsidRPr="009F21E6" w:rsidRDefault="0088341A" w:rsidP="0088341A">
      <w:pPr>
        <w:pStyle w:val="AERbodytext"/>
        <w:numPr>
          <w:ilvl w:val="0"/>
          <w:numId w:val="1"/>
        </w:numPr>
      </w:pPr>
      <w:r>
        <w:t>The EUAA raised concerns regarding the confidential nature of the averaging period proposed by SP AusNet used to estimate the risk free rate (and the DRP). In particular, the EUAA submitted that since there is nothing that SP AusNet can do to affect the risk free rate, its proposed averaging period should be publicly available.</w:t>
      </w:r>
      <w:r>
        <w:rPr>
          <w:rStyle w:val="FootnoteReference"/>
        </w:rPr>
        <w:footnoteReference w:id="393"/>
      </w:r>
      <w:r>
        <w:t xml:space="preserve"> The NER allows us to accept SP AusNet's request to keep its averaging period confidential but only until the agreed period expires.</w:t>
      </w:r>
      <w:r>
        <w:rPr>
          <w:rStyle w:val="FootnoteReference"/>
        </w:rPr>
        <w:footnoteReference w:id="394"/>
      </w:r>
      <w:r>
        <w:t xml:space="preserve"> In agreeing to accept SP </w:t>
      </w:r>
      <w:r>
        <w:lastRenderedPageBreak/>
        <w:t>AusNet's request, we had regard to the requirement that the proposed averaging period be agreed to in advance of the period itself. We consider this minimises the ability for networks to select an averaging period that will result in a systematic bias. We also consider that, should SP AusNet</w:t>
      </w:r>
      <w:r w:rsidRPr="00B9076C">
        <w:t xml:space="preserve"> </w:t>
      </w:r>
      <w:r>
        <w:t xml:space="preserve">seek to refinance </w:t>
      </w:r>
      <w:r w:rsidRPr="00B9076C">
        <w:t xml:space="preserve">or engage in </w:t>
      </w:r>
      <w:r>
        <w:t>hedging transactions</w:t>
      </w:r>
      <w:r w:rsidRPr="00B9076C">
        <w:t xml:space="preserve"> during the averaging period</w:t>
      </w:r>
      <w:r>
        <w:t>, disclosing this period to market participants may lead to higher financing costs.</w:t>
      </w:r>
      <w:r>
        <w:rPr>
          <w:rStyle w:val="FootnoteReference"/>
        </w:rPr>
        <w:footnoteReference w:id="395"/>
      </w:r>
      <w:r>
        <w:t xml:space="preserve"> This increase in costs is unlikely to be in the long–term interests of consumers. </w:t>
      </w:r>
    </w:p>
    <w:p w:rsidR="0088341A" w:rsidRPr="00A907E9" w:rsidRDefault="0088341A" w:rsidP="0088341A">
      <w:pPr>
        <w:pStyle w:val="Heading3"/>
        <w:numPr>
          <w:ilvl w:val="3"/>
          <w:numId w:val="20"/>
        </w:numPr>
      </w:pPr>
      <w:bookmarkStart w:id="230" w:name="_Ref355191676"/>
      <w:r w:rsidRPr="00A907E9">
        <w:t>Expected inflation rate</w:t>
      </w:r>
      <w:bookmarkEnd w:id="230"/>
    </w:p>
    <w:p w:rsidR="0088341A" w:rsidRDefault="0088341A" w:rsidP="0088341A">
      <w:pPr>
        <w:pStyle w:val="AERbodytext"/>
        <w:numPr>
          <w:ilvl w:val="0"/>
          <w:numId w:val="1"/>
        </w:numPr>
      </w:pPr>
      <w:r>
        <w:t>We accept SP AusNet's</w:t>
      </w:r>
      <w:r w:rsidRPr="000C011D">
        <w:t xml:space="preserve"> </w:t>
      </w:r>
      <w:r>
        <w:t>proposed method for forecasting inflation</w:t>
      </w:r>
      <w:r w:rsidRPr="0005308A">
        <w:t xml:space="preserve">. </w:t>
      </w:r>
      <w:r w:rsidRPr="00AD1E25">
        <w:t xml:space="preserve">This approach is consistent with </w:t>
      </w:r>
      <w:r>
        <w:t>what we have</w:t>
      </w:r>
      <w:r w:rsidRPr="00AD1E25">
        <w:t xml:space="preserve"> pr</w:t>
      </w:r>
      <w:r>
        <w:t>eviously adopted (</w:t>
      </w:r>
      <w:r w:rsidRPr="00AD1E25">
        <w:t>outlined in</w:t>
      </w:r>
      <w:r>
        <w:t xml:space="preserve"> section </w:t>
      </w:r>
      <w:r>
        <w:fldChar w:fldCharType="begin"/>
      </w:r>
      <w:r>
        <w:instrText xml:space="preserve"> REF _Ref355193107 \r \h </w:instrText>
      </w:r>
      <w:r>
        <w:fldChar w:fldCharType="separate"/>
      </w:r>
      <w:r w:rsidR="004F35AA">
        <w:t>4.3.2</w:t>
      </w:r>
      <w:r>
        <w:fldChar w:fldCharType="end"/>
      </w:r>
      <w:r w:rsidRPr="00AD1E25">
        <w:t>).</w:t>
      </w:r>
      <w:r>
        <w:t xml:space="preserve"> H</w:t>
      </w:r>
      <w:r w:rsidRPr="0005308A">
        <w:t xml:space="preserve">owever, </w:t>
      </w:r>
      <w:r>
        <w:t xml:space="preserve">we </w:t>
      </w:r>
      <w:r w:rsidRPr="0005308A">
        <w:t xml:space="preserve">updated </w:t>
      </w:r>
      <w:r>
        <w:t>SP Aus</w:t>
      </w:r>
      <w:r w:rsidRPr="0005308A">
        <w:t xml:space="preserve">Net’s proposed </w:t>
      </w:r>
      <w:r>
        <w:t xml:space="preserve">inflation estimate to reflect the </w:t>
      </w:r>
      <w:r w:rsidRPr="00F94DCB">
        <w:t>latest RBA forecasts</w:t>
      </w:r>
      <w:r w:rsidRPr="0005308A">
        <w:t>.</w:t>
      </w:r>
      <w:r w:rsidRPr="00F94DCB">
        <w:t xml:space="preserve"> </w:t>
      </w:r>
      <w:r>
        <w:t xml:space="preserve">These estimates, shown </w:t>
      </w:r>
      <w:r w:rsidRPr="00244753">
        <w:t>in</w:t>
      </w:r>
      <w:r>
        <w:t xml:space="preserve"> </w:t>
      </w:r>
      <w:r>
        <w:fldChar w:fldCharType="begin"/>
      </w:r>
      <w:r>
        <w:instrText xml:space="preserve"> REF _Ref355193159 \h </w:instrText>
      </w:r>
      <w:r>
        <w:fldChar w:fldCharType="separate"/>
      </w:r>
      <w:r w:rsidR="004F35AA">
        <w:t xml:space="preserve">Table </w:t>
      </w:r>
      <w:r w:rsidR="004F35AA">
        <w:rPr>
          <w:noProof/>
        </w:rPr>
        <w:t>4</w:t>
      </w:r>
      <w:r w:rsidR="004F35AA">
        <w:t>.</w:t>
      </w:r>
      <w:r w:rsidR="004F35AA">
        <w:rPr>
          <w:noProof/>
        </w:rPr>
        <w:t>4</w:t>
      </w:r>
      <w:r>
        <w:fldChar w:fldCharType="end"/>
      </w:r>
      <w:r w:rsidRPr="00244753">
        <w:t>,</w:t>
      </w:r>
      <w:r>
        <w:t xml:space="preserve"> result in an inflation forecast of 2.50 </w:t>
      </w:r>
      <w:r w:rsidRPr="00F94DCB">
        <w:t>per cent per annum.</w:t>
      </w:r>
      <w:r>
        <w:rPr>
          <w:rStyle w:val="FootnoteReference"/>
        </w:rPr>
        <w:footnoteReference w:id="396"/>
      </w:r>
      <w:r w:rsidRPr="00F94DCB">
        <w:t xml:space="preserve"> </w:t>
      </w:r>
      <w:r>
        <w:t>We</w:t>
      </w:r>
      <w:r w:rsidRPr="00F94DCB">
        <w:t xml:space="preserve"> will again update </w:t>
      </w:r>
      <w:r>
        <w:t>the</w:t>
      </w:r>
      <w:r w:rsidRPr="00F94DCB">
        <w:t xml:space="preserve"> inflation estimate </w:t>
      </w:r>
      <w:r>
        <w:t>for</w:t>
      </w:r>
      <w:r w:rsidRPr="00F94DCB">
        <w:t xml:space="preserve"> the</w:t>
      </w:r>
      <w:r>
        <w:t xml:space="preserve"> final decision.</w:t>
      </w:r>
    </w:p>
    <w:p w:rsidR="0088341A" w:rsidRDefault="0088341A" w:rsidP="0088341A">
      <w:pPr>
        <w:pStyle w:val="Caption"/>
      </w:pPr>
      <w:bookmarkStart w:id="231" w:name="_Ref355193159"/>
      <w:r>
        <w:t xml:space="preserve">Table </w:t>
      </w:r>
      <w:fldSimple w:instr=" STYLEREF 1 \s ">
        <w:r w:rsidR="004F35AA">
          <w:rPr>
            <w:noProof/>
          </w:rPr>
          <w:t>4</w:t>
        </w:r>
      </w:fldSimple>
      <w:r w:rsidR="00C56A87">
        <w:t>.</w:t>
      </w:r>
      <w:fldSimple w:instr=" SEQ Table \* ARABIC \s 1 ">
        <w:r w:rsidR="004F35AA">
          <w:rPr>
            <w:noProof/>
          </w:rPr>
          <w:t>4</w:t>
        </w:r>
      </w:fldSimple>
      <w:bookmarkEnd w:id="231"/>
      <w:r>
        <w:tab/>
        <w:t>AER's decision on inflation forecast (per cent)</w:t>
      </w:r>
    </w:p>
    <w:tbl>
      <w:tblPr>
        <w:tblW w:w="5000" w:type="pct"/>
        <w:tblBorders>
          <w:bottom w:val="single" w:sz="4" w:space="0" w:color="365F91"/>
        </w:tblBorders>
        <w:tblLook w:val="01E0" w:firstRow="1" w:lastRow="1" w:firstColumn="1" w:lastColumn="1" w:noHBand="0" w:noVBand="0"/>
      </w:tblPr>
      <w:tblGrid>
        <w:gridCol w:w="1849"/>
        <w:gridCol w:w="1849"/>
        <w:gridCol w:w="1848"/>
        <w:gridCol w:w="1848"/>
        <w:gridCol w:w="1848"/>
      </w:tblGrid>
      <w:tr w:rsidR="0088341A" w:rsidRPr="00BC16BD" w:rsidTr="00501137">
        <w:trPr>
          <w:trHeight w:val="526"/>
        </w:trPr>
        <w:tc>
          <w:tcPr>
            <w:tcW w:w="1000" w:type="pct"/>
            <w:shd w:val="clear" w:color="auto" w:fill="365F91"/>
            <w:noWrap/>
            <w:vAlign w:val="center"/>
          </w:tcPr>
          <w:p w:rsidR="0088341A" w:rsidRPr="0056551D" w:rsidRDefault="0088341A" w:rsidP="00501137">
            <w:pPr>
              <w:spacing w:before="120"/>
              <w:rPr>
                <w:b/>
                <w:color w:val="FFFFFF"/>
                <w:sz w:val="16"/>
              </w:rPr>
            </w:pPr>
          </w:p>
        </w:tc>
        <w:tc>
          <w:tcPr>
            <w:tcW w:w="1000" w:type="pct"/>
            <w:shd w:val="clear" w:color="auto" w:fill="365F91"/>
            <w:noWrap/>
            <w:vAlign w:val="center"/>
          </w:tcPr>
          <w:p w:rsidR="0088341A" w:rsidRPr="0056551D" w:rsidRDefault="0088341A" w:rsidP="00501137">
            <w:pPr>
              <w:pStyle w:val="AERtabletextleft"/>
              <w:jc w:val="right"/>
              <w:rPr>
                <w:b/>
                <w:color w:val="FFFFFF"/>
              </w:rPr>
            </w:pPr>
            <w:r w:rsidRPr="0056551D">
              <w:rPr>
                <w:b/>
                <w:color w:val="FFFFFF"/>
              </w:rPr>
              <w:t>2014–15</w:t>
            </w:r>
          </w:p>
        </w:tc>
        <w:tc>
          <w:tcPr>
            <w:tcW w:w="1000" w:type="pct"/>
            <w:shd w:val="clear" w:color="auto" w:fill="365F91"/>
            <w:noWrap/>
            <w:vAlign w:val="center"/>
          </w:tcPr>
          <w:p w:rsidR="0088341A" w:rsidRPr="0056551D" w:rsidRDefault="0088341A" w:rsidP="00501137">
            <w:pPr>
              <w:pStyle w:val="AERtabletextleft"/>
              <w:jc w:val="right"/>
              <w:rPr>
                <w:b/>
                <w:color w:val="FFFFFF"/>
              </w:rPr>
            </w:pPr>
            <w:r w:rsidRPr="0056551D">
              <w:rPr>
                <w:b/>
                <w:color w:val="FFFFFF"/>
              </w:rPr>
              <w:t>2015–16</w:t>
            </w:r>
          </w:p>
        </w:tc>
        <w:tc>
          <w:tcPr>
            <w:tcW w:w="1000" w:type="pct"/>
            <w:shd w:val="clear" w:color="auto" w:fill="365F91"/>
            <w:noWrap/>
            <w:vAlign w:val="center"/>
          </w:tcPr>
          <w:p w:rsidR="0088341A" w:rsidRPr="0056551D" w:rsidRDefault="0088341A" w:rsidP="00501137">
            <w:pPr>
              <w:pStyle w:val="AERtabletextleft"/>
              <w:jc w:val="right"/>
              <w:rPr>
                <w:b/>
                <w:color w:val="FFFFFF"/>
              </w:rPr>
            </w:pPr>
            <w:r w:rsidRPr="0056551D">
              <w:rPr>
                <w:b/>
                <w:color w:val="FFFFFF"/>
              </w:rPr>
              <w:t>2016–17 to 2023–24</w:t>
            </w:r>
          </w:p>
        </w:tc>
        <w:tc>
          <w:tcPr>
            <w:tcW w:w="1000" w:type="pct"/>
            <w:shd w:val="clear" w:color="auto" w:fill="365F91"/>
            <w:noWrap/>
            <w:vAlign w:val="center"/>
          </w:tcPr>
          <w:p w:rsidR="0088341A" w:rsidRPr="0056551D" w:rsidRDefault="0088341A" w:rsidP="00501137">
            <w:pPr>
              <w:pStyle w:val="AERtabletextleft"/>
              <w:jc w:val="right"/>
              <w:rPr>
                <w:b/>
                <w:color w:val="FFFFFF"/>
              </w:rPr>
            </w:pPr>
            <w:r w:rsidRPr="0056551D">
              <w:rPr>
                <w:b/>
                <w:color w:val="FFFFFF"/>
              </w:rPr>
              <w:t>Geometric average</w:t>
            </w:r>
          </w:p>
        </w:tc>
      </w:tr>
      <w:tr w:rsidR="0088341A" w:rsidRPr="00BC16BD" w:rsidTr="00501137">
        <w:trPr>
          <w:trHeight w:val="526"/>
        </w:trPr>
        <w:tc>
          <w:tcPr>
            <w:tcW w:w="1000" w:type="pct"/>
            <w:noWrap/>
            <w:vAlign w:val="center"/>
          </w:tcPr>
          <w:p w:rsidR="0088341A" w:rsidRPr="00AD4BDF" w:rsidRDefault="0088341A" w:rsidP="00501137">
            <w:pPr>
              <w:pStyle w:val="AERtabletextleft"/>
            </w:pPr>
            <w:r w:rsidRPr="00F94DCB">
              <w:t>Forecast inflation</w:t>
            </w:r>
          </w:p>
        </w:tc>
        <w:tc>
          <w:tcPr>
            <w:tcW w:w="1000" w:type="pct"/>
            <w:noWrap/>
            <w:vAlign w:val="center"/>
          </w:tcPr>
          <w:p w:rsidR="0088341A" w:rsidRPr="00AD4BDF" w:rsidRDefault="0088341A" w:rsidP="00501137">
            <w:pPr>
              <w:pStyle w:val="AERtabletextright"/>
            </w:pPr>
            <w:r>
              <w:t>2.50</w:t>
            </w:r>
            <w:r w:rsidRPr="00AD4BDF">
              <w:rPr>
                <w:rStyle w:val="AERsuperscript"/>
              </w:rPr>
              <w:t>a</w:t>
            </w:r>
          </w:p>
        </w:tc>
        <w:tc>
          <w:tcPr>
            <w:tcW w:w="1000" w:type="pct"/>
            <w:noWrap/>
            <w:vAlign w:val="center"/>
          </w:tcPr>
          <w:p w:rsidR="0088341A" w:rsidRPr="00AD4BDF" w:rsidRDefault="0088341A" w:rsidP="00501137">
            <w:pPr>
              <w:pStyle w:val="AERtabletextright"/>
              <w:rPr>
                <w:rStyle w:val="AERsuperscript"/>
              </w:rPr>
            </w:pPr>
            <w:r>
              <w:t>2.50</w:t>
            </w:r>
            <w:r w:rsidRPr="00AD4BDF">
              <w:rPr>
                <w:rStyle w:val="AERsuperscript"/>
              </w:rPr>
              <w:t>b</w:t>
            </w:r>
          </w:p>
        </w:tc>
        <w:tc>
          <w:tcPr>
            <w:tcW w:w="1000" w:type="pct"/>
            <w:noWrap/>
            <w:vAlign w:val="center"/>
          </w:tcPr>
          <w:p w:rsidR="0088341A" w:rsidRPr="00AD4BDF" w:rsidRDefault="0088341A" w:rsidP="00501137">
            <w:pPr>
              <w:pStyle w:val="AERtabletextright"/>
            </w:pPr>
            <w:r w:rsidRPr="00F94DCB">
              <w:t>2.50</w:t>
            </w:r>
          </w:p>
        </w:tc>
        <w:tc>
          <w:tcPr>
            <w:tcW w:w="1000" w:type="pct"/>
            <w:noWrap/>
            <w:vAlign w:val="center"/>
          </w:tcPr>
          <w:p w:rsidR="0088341A" w:rsidRPr="00AD4BDF" w:rsidRDefault="0088341A" w:rsidP="00501137">
            <w:pPr>
              <w:pStyle w:val="AERtabletextright"/>
            </w:pPr>
            <w:r>
              <w:t>2.50</w:t>
            </w:r>
          </w:p>
        </w:tc>
      </w:tr>
    </w:tbl>
    <w:p w:rsidR="0088341A" w:rsidRPr="00AD4BDF" w:rsidRDefault="0088341A" w:rsidP="0088341A">
      <w:pPr>
        <w:pStyle w:val="AERtablesource"/>
      </w:pPr>
      <w:r w:rsidRPr="00AD4BDF">
        <w:t>Source:</w:t>
      </w:r>
      <w:r w:rsidRPr="00AD4BDF">
        <w:tab/>
        <w:t xml:space="preserve">RBA, </w:t>
      </w:r>
      <w:r w:rsidRPr="00AD4BDF">
        <w:rPr>
          <w:rStyle w:val="AERtextitalic"/>
        </w:rPr>
        <w:t>Statement on Monetary Policy</w:t>
      </w:r>
      <w:r w:rsidRPr="00AD4BDF">
        <w:t xml:space="preserve">, </w:t>
      </w:r>
      <w:r>
        <w:t>May 2013, p. 62</w:t>
      </w:r>
      <w:r w:rsidR="0077295A">
        <w:t>.</w:t>
      </w:r>
    </w:p>
    <w:p w:rsidR="0088341A" w:rsidRPr="00AD4BDF" w:rsidRDefault="00782E04" w:rsidP="00782E04">
      <w:pPr>
        <w:pStyle w:val="AERtablesource"/>
        <w:ind w:left="1440" w:hanging="1440"/>
      </w:pPr>
      <w:r>
        <w:t>Note:</w:t>
      </w:r>
      <w:r>
        <w:tab/>
        <w:t>(</w:t>
      </w:r>
      <w:r w:rsidR="0088341A" w:rsidRPr="00AD4BDF">
        <w:t>a)</w:t>
      </w:r>
      <w:r w:rsidR="0088341A" w:rsidRPr="00AD4BDF">
        <w:tab/>
      </w:r>
      <w:r w:rsidR="0088341A">
        <w:t xml:space="preserve">The RBA published a range of 2.0–3.0 per cent for its December 2014 </w:t>
      </w:r>
      <w:r w:rsidR="0088341A" w:rsidRPr="00AD4BDF">
        <w:t>inflation</w:t>
      </w:r>
      <w:r w:rsidR="0088341A">
        <w:t xml:space="preserve"> forecast</w:t>
      </w:r>
      <w:r w:rsidR="0088341A" w:rsidRPr="00AD4BDF">
        <w:t xml:space="preserve">. </w:t>
      </w:r>
      <w:r w:rsidR="0088341A">
        <w:t>We have selected the mid-point of 2.5</w:t>
      </w:r>
      <w:r w:rsidR="0088341A" w:rsidRPr="00AD4BDF">
        <w:t xml:space="preserve"> per cent for the purposes of this decision.</w:t>
      </w:r>
      <w:r w:rsidR="0088341A">
        <w:t xml:space="preserve"> </w:t>
      </w:r>
    </w:p>
    <w:p w:rsidR="0088341A" w:rsidRDefault="00782E04" w:rsidP="00782E04">
      <w:pPr>
        <w:pStyle w:val="AERtablesource"/>
        <w:ind w:left="1440" w:hanging="1440"/>
      </w:pPr>
      <w:r>
        <w:tab/>
      </w:r>
      <w:r w:rsidR="0088341A" w:rsidRPr="00AD4BDF">
        <w:t>(b)</w:t>
      </w:r>
      <w:r w:rsidR="0088341A" w:rsidRPr="00AD4BDF">
        <w:tab/>
      </w:r>
      <w:r w:rsidR="0088341A">
        <w:t>We expect</w:t>
      </w:r>
      <w:r w:rsidR="0088341A" w:rsidRPr="00AD4BDF">
        <w:t xml:space="preserve"> the RBA to publish a </w:t>
      </w:r>
      <w:r w:rsidR="0088341A">
        <w:t>December 2015</w:t>
      </w:r>
      <w:r w:rsidR="0088341A" w:rsidRPr="00AD4BDF">
        <w:t xml:space="preserve"> infla</w:t>
      </w:r>
      <w:r w:rsidR="0088341A">
        <w:t>tion forecast prior to our</w:t>
      </w:r>
      <w:r w:rsidR="0088341A" w:rsidRPr="00AD4BDF">
        <w:t xml:space="preserve"> final deci</w:t>
      </w:r>
      <w:r w:rsidR="0088341A">
        <w:t>sion and we will update this value accordingly. For this draft decision, however, we have</w:t>
      </w:r>
      <w:r w:rsidR="0088341A" w:rsidRPr="00AD4BDF">
        <w:t xml:space="preserve"> adopted the mid-point of the RBA’s inflation target. </w:t>
      </w:r>
    </w:p>
    <w:p w:rsidR="0088341A" w:rsidRDefault="0088341A" w:rsidP="0088341A">
      <w:pPr>
        <w:pStyle w:val="Heading2"/>
        <w:numPr>
          <w:ilvl w:val="2"/>
          <w:numId w:val="20"/>
        </w:numPr>
      </w:pPr>
      <w:bookmarkStart w:id="232" w:name="_Toc365283307"/>
      <w:r>
        <w:t>Revisions</w:t>
      </w:r>
      <w:bookmarkEnd w:id="232"/>
      <w:r>
        <w:t xml:space="preserve"> </w:t>
      </w:r>
    </w:p>
    <w:p w:rsidR="00C22E17" w:rsidRDefault="0088341A" w:rsidP="0088341A">
      <w:pPr>
        <w:pStyle w:val="AERrevisionbox"/>
      </w:pPr>
      <w:r w:rsidRPr="00C87760">
        <w:rPr>
          <w:rStyle w:val="AERtextbold"/>
        </w:rPr>
        <w:t xml:space="preserve">Revision </w:t>
      </w:r>
      <w:r>
        <w:rPr>
          <w:rStyle w:val="AERtextbold"/>
        </w:rPr>
        <w:t>4</w:t>
      </w:r>
      <w:r w:rsidRPr="00C87760">
        <w:rPr>
          <w:rStyle w:val="AERtextbold"/>
        </w:rPr>
        <w:t>.1:</w:t>
      </w:r>
      <w:r>
        <w:rPr>
          <w:rStyle w:val="AERtextbold"/>
        </w:rPr>
        <w:tab/>
      </w:r>
      <w:r w:rsidRPr="003E458F">
        <w:rPr>
          <w:rStyle w:val="AERtextbold"/>
          <w:b w:val="0"/>
        </w:rPr>
        <w:t>We determ</w:t>
      </w:r>
      <w:r w:rsidRPr="004071AD">
        <w:rPr>
          <w:rStyle w:val="AERtextbold"/>
          <w:b w:val="0"/>
        </w:rPr>
        <w:t xml:space="preserve">ine </w:t>
      </w:r>
      <w:r>
        <w:rPr>
          <w:rStyle w:val="AERtextbold"/>
          <w:b w:val="0"/>
        </w:rPr>
        <w:t>a WACC of</w:t>
      </w:r>
      <w:r>
        <w:rPr>
          <w:rStyle w:val="AERtextbold"/>
        </w:rPr>
        <w:t xml:space="preserve"> </w:t>
      </w:r>
      <w:r>
        <w:rPr>
          <w:rStyle w:val="AERtextbold"/>
          <w:b w:val="0"/>
        </w:rPr>
        <w:t>7.43</w:t>
      </w:r>
      <w:r>
        <w:rPr>
          <w:rStyle w:val="AERtextbold"/>
        </w:rPr>
        <w:t xml:space="preserve"> </w:t>
      </w:r>
      <w:r w:rsidRPr="003E458F">
        <w:rPr>
          <w:rStyle w:val="AERtextbold"/>
          <w:b w:val="0"/>
        </w:rPr>
        <w:t xml:space="preserve">per cent for SP AusNet, as set out in </w:t>
      </w:r>
      <w:r w:rsidRPr="003E458F">
        <w:rPr>
          <w:rStyle w:val="AERtextbold"/>
          <w:b w:val="0"/>
        </w:rPr>
        <w:fldChar w:fldCharType="begin"/>
      </w:r>
      <w:r w:rsidRPr="003E458F">
        <w:rPr>
          <w:rStyle w:val="AERtextbold"/>
          <w:b w:val="0"/>
        </w:rPr>
        <w:instrText xml:space="preserve"> REF _Ref355187690 \h </w:instrText>
      </w:r>
      <w:r>
        <w:rPr>
          <w:rStyle w:val="AERtextbold"/>
          <w:b w:val="0"/>
        </w:rPr>
        <w:instrText xml:space="preserve"> \* MERGEFORMAT </w:instrText>
      </w:r>
      <w:r w:rsidRPr="003E458F">
        <w:rPr>
          <w:rStyle w:val="AERtextbold"/>
          <w:b w:val="0"/>
        </w:rPr>
      </w:r>
      <w:r w:rsidRPr="003E458F">
        <w:rPr>
          <w:rStyle w:val="AERtextbold"/>
          <w:b w:val="0"/>
        </w:rPr>
        <w:fldChar w:fldCharType="separate"/>
      </w:r>
      <w:r w:rsidR="004F35AA">
        <w:t>Table 4.1</w:t>
      </w:r>
      <w:r w:rsidRPr="003E458F">
        <w:rPr>
          <w:rStyle w:val="AERtextbold"/>
          <w:b w:val="0"/>
        </w:rPr>
        <w:fldChar w:fldCharType="end"/>
      </w:r>
      <w:r w:rsidRPr="003E458F">
        <w:rPr>
          <w:rStyle w:val="AERtextbold"/>
          <w:b w:val="0"/>
        </w:rPr>
        <w:t xml:space="preserve">. </w:t>
      </w:r>
      <w:r w:rsidRPr="003E458F">
        <w:t xml:space="preserve"> </w:t>
      </w:r>
    </w:p>
    <w:p w:rsidR="00C22E17" w:rsidRDefault="00C22E17" w:rsidP="00C22E17">
      <w:pPr>
        <w:tabs>
          <w:tab w:val="left" w:pos="468"/>
        </w:tabs>
        <w:sectPr w:rsidR="00C22E17" w:rsidSect="00C22E17">
          <w:footerReference w:type="default" r:id="rId53"/>
          <w:type w:val="continuous"/>
          <w:pgSz w:w="11906" w:h="16838"/>
          <w:pgMar w:top="1440" w:right="1440" w:bottom="1440" w:left="1440" w:header="708" w:footer="708" w:gutter="0"/>
          <w:cols w:space="708"/>
          <w:docGrid w:linePitch="360"/>
        </w:sectPr>
      </w:pPr>
      <w:r>
        <w:tab/>
      </w:r>
    </w:p>
    <w:p w:rsidR="0088341A" w:rsidRPr="00700FC7" w:rsidRDefault="0088341A" w:rsidP="0088341A">
      <w:pPr>
        <w:pStyle w:val="Heading1"/>
        <w:numPr>
          <w:ilvl w:val="1"/>
          <w:numId w:val="20"/>
        </w:numPr>
      </w:pPr>
      <w:bookmarkStart w:id="233" w:name="_Toc365283308"/>
      <w:bookmarkStart w:id="234" w:name="_Toc365462001"/>
      <w:r w:rsidRPr="00700FC7">
        <w:lastRenderedPageBreak/>
        <w:t>Regulatory asset base</w:t>
      </w:r>
      <w:bookmarkEnd w:id="233"/>
      <w:bookmarkEnd w:id="234"/>
    </w:p>
    <w:p w:rsidR="0088341A" w:rsidRDefault="0088341A" w:rsidP="0088341A">
      <w:pPr>
        <w:pStyle w:val="AERbodytext"/>
        <w:numPr>
          <w:ilvl w:val="0"/>
          <w:numId w:val="1"/>
        </w:numPr>
      </w:pPr>
      <w:r>
        <w:t>The AER is required to determine SP AusNet's regulatory asset base (RAB) for the 2014–17 regulatory control period.</w:t>
      </w:r>
      <w:r>
        <w:rPr>
          <w:rStyle w:val="FootnoteReference"/>
        </w:rPr>
        <w:footnoteReference w:id="397"/>
      </w:r>
      <w:r>
        <w:t xml:space="preserve"> We set the RAB as the foundation for determining SP AusNet's revenue requirement, and use the opening RAB for each regulatory year to determine the return of capital (regulatory depreciation) and return on capital building block allowances. This attachment presents our draft decision on SP AusNet's opening RAB as at 1 April 2014</w:t>
      </w:r>
      <w:r w:rsidRPr="001D4DAC">
        <w:t xml:space="preserve"> </w:t>
      </w:r>
      <w:r>
        <w:t xml:space="preserve">and our forecast of its RAB for the 2014–17 regulatory control period. </w:t>
      </w:r>
    </w:p>
    <w:p w:rsidR="0088341A" w:rsidRPr="00700FC7" w:rsidRDefault="0088341A" w:rsidP="0088341A">
      <w:pPr>
        <w:pStyle w:val="Heading2"/>
        <w:numPr>
          <w:ilvl w:val="2"/>
          <w:numId w:val="20"/>
        </w:numPr>
      </w:pPr>
      <w:bookmarkStart w:id="235" w:name="_Toc365283309"/>
      <w:r w:rsidRPr="00700FC7">
        <w:t>Draft decision</w:t>
      </w:r>
      <w:bookmarkEnd w:id="235"/>
    </w:p>
    <w:p w:rsidR="0088341A" w:rsidRDefault="0088341A" w:rsidP="0088341A">
      <w:pPr>
        <w:pStyle w:val="AERbodytext"/>
        <w:numPr>
          <w:ilvl w:val="0"/>
          <w:numId w:val="0"/>
        </w:numPr>
      </w:pPr>
      <w:r>
        <w:t xml:space="preserve">We do not accept SP AusNet's proposed opening RAB of $2866 million as at </w:t>
      </w:r>
      <w:r w:rsidRPr="00EA0188">
        <w:t>1</w:t>
      </w:r>
      <w:r>
        <w:t xml:space="preserve"> April 2014 and instead determine an opening RAB of $2873 million: </w:t>
      </w:r>
    </w:p>
    <w:p w:rsidR="00C205BE" w:rsidRPr="00C205BE" w:rsidRDefault="0088341A">
      <w:pPr>
        <w:pStyle w:val="AERbulletlistfirststyle"/>
      </w:pPr>
      <w:r w:rsidRPr="00C205BE">
        <w:t xml:space="preserve">We made </w:t>
      </w:r>
      <w:r w:rsidRPr="00884063">
        <w:t>several</w:t>
      </w:r>
      <w:r w:rsidRPr="00C205BE">
        <w:t xml:space="preserve"> amendments to the inputs of SP AusNet proposed roll forward model (RFM).  These amendments reduced the proposed opening RAB as at 1 April 2014 by about $46.3 million.</w:t>
      </w:r>
    </w:p>
    <w:p w:rsidR="00884063" w:rsidRDefault="0088341A" w:rsidP="000D59B9">
      <w:pPr>
        <w:pStyle w:val="AERbulletlistfirststyle"/>
      </w:pPr>
      <w:r w:rsidRPr="00884063">
        <w:t>We included $53.4 million to SP AusNet's opening RAB for the purposes of providing an equity raising costs allowance associated with its opening RAB as at 1 January 2003 and capex incurred over the 2003</w:t>
      </w:r>
      <w:r w:rsidRPr="00884063">
        <w:rPr>
          <w:rFonts w:hint="eastAsia"/>
        </w:rPr>
        <w:t>–</w:t>
      </w:r>
      <w:r w:rsidRPr="00884063">
        <w:t>08 regulatory control period. The equity raising costs w</w:t>
      </w:r>
      <w:r w:rsidR="00782E04">
        <w:t xml:space="preserve">ere provided in the </w:t>
      </w:r>
      <w:r w:rsidRPr="00884063">
        <w:t>2002 revenue cap decision as an allowance in perpetuity for opex.</w:t>
      </w:r>
      <w:r w:rsidRPr="00433881">
        <w:rPr>
          <w:vertAlign w:val="superscript"/>
        </w:rPr>
        <w:footnoteReference w:id="398"/>
      </w:r>
      <w:r w:rsidRPr="00884063">
        <w:t xml:space="preserve"> We have converted the allowance from perpetuity to an amount for capitalisation in the RAB. This will improve transparency and aid administration</w:t>
      </w:r>
      <w:r w:rsidRPr="00C205BE">
        <w:t>.</w:t>
      </w:r>
    </w:p>
    <w:p w:rsidR="0088341A" w:rsidRDefault="00884063" w:rsidP="00DD2025">
      <w:r>
        <w:fldChar w:fldCharType="begin"/>
      </w:r>
      <w:r>
        <w:instrText xml:space="preserve"> REF _Ref361214981 \h </w:instrText>
      </w:r>
      <w:r>
        <w:fldChar w:fldCharType="separate"/>
      </w:r>
      <w:r w:rsidR="004F35AA" w:rsidRPr="007C5F76">
        <w:t xml:space="preserve">Table </w:t>
      </w:r>
      <w:r w:rsidR="004F35AA">
        <w:rPr>
          <w:noProof/>
        </w:rPr>
        <w:t>5</w:t>
      </w:r>
      <w:r w:rsidR="004F35AA">
        <w:t>.</w:t>
      </w:r>
      <w:r w:rsidR="004F35AA">
        <w:rPr>
          <w:noProof/>
        </w:rPr>
        <w:t>1</w:t>
      </w:r>
      <w:r>
        <w:fldChar w:fldCharType="end"/>
      </w:r>
      <w:r w:rsidR="000D59B9">
        <w:t xml:space="preserve"> </w:t>
      </w:r>
      <w:r w:rsidRPr="001741DF">
        <w:t>and</w:t>
      </w:r>
      <w:r>
        <w:t xml:space="preserve"> </w:t>
      </w:r>
      <w:r w:rsidRPr="001741DF">
        <w:fldChar w:fldCharType="begin"/>
      </w:r>
      <w:r w:rsidRPr="001741DF">
        <w:instrText xml:space="preserve"> REF _Ref363818003 \h </w:instrText>
      </w:r>
      <w:r>
        <w:instrText xml:space="preserve"> \* MERGEFORMAT </w:instrText>
      </w:r>
      <w:r w:rsidRPr="001741DF">
        <w:fldChar w:fldCharType="separate"/>
      </w:r>
      <w:r w:rsidR="004F35AA">
        <w:t>Table 5.2</w:t>
      </w:r>
      <w:r w:rsidRPr="001741DF">
        <w:fldChar w:fldCharType="end"/>
      </w:r>
      <w:r w:rsidRPr="001741DF">
        <w:t xml:space="preserve"> set out our draft </w:t>
      </w:r>
      <w:r w:rsidRPr="009C4620">
        <w:t>decisions</w:t>
      </w:r>
      <w:r w:rsidRPr="001741DF">
        <w:t xml:space="preserve"> on the roll forward of SP AusNet's RAB during the 2008–14 regulatory control period, and the forecast of its RAB for the 2014–17 regulatory control period respectively</w:t>
      </w:r>
      <w:bookmarkStart w:id="236" w:name="_Ref332030769"/>
      <w:bookmarkStart w:id="237" w:name="_Ref358363426"/>
      <w:r w:rsidR="00DD2025">
        <w:t>.</w:t>
      </w:r>
    </w:p>
    <w:p w:rsidR="0088341A" w:rsidRDefault="0088341A" w:rsidP="0088341A">
      <w:pPr>
        <w:pStyle w:val="Caption"/>
        <w:keepLines/>
      </w:pPr>
      <w:bookmarkStart w:id="238" w:name="_Ref363818156"/>
      <w:r>
        <w:lastRenderedPageBreak/>
        <w:t xml:space="preserve">Table </w:t>
      </w:r>
      <w:fldSimple w:instr=" STYLEREF 1 \s ">
        <w:r w:rsidR="004F35AA">
          <w:rPr>
            <w:noProof/>
          </w:rPr>
          <w:t>5</w:t>
        </w:r>
      </w:fldSimple>
      <w:r w:rsidR="00C56A87">
        <w:t>.</w:t>
      </w:r>
      <w:fldSimple w:instr=" SEQ Table \* ARABIC \s 1 ">
        <w:r w:rsidR="004F35AA">
          <w:rPr>
            <w:noProof/>
          </w:rPr>
          <w:t>1</w:t>
        </w:r>
      </w:fldSimple>
      <w:bookmarkStart w:id="239" w:name="_Ref332184276"/>
      <w:bookmarkEnd w:id="236"/>
      <w:bookmarkEnd w:id="237"/>
      <w:bookmarkEnd w:id="238"/>
      <w:r>
        <w:tab/>
        <w:t>AER's draft decision on SP AusNet's RAB for the 2008–14 regulatory control period ($ million, nominal)</w:t>
      </w:r>
      <w:bookmarkEnd w:id="239"/>
    </w:p>
    <w:tbl>
      <w:tblPr>
        <w:tblW w:w="5461" w:type="pct"/>
        <w:tblBorders>
          <w:bottom w:val="single" w:sz="4" w:space="0" w:color="365F91"/>
        </w:tblBorders>
        <w:tblLayout w:type="fixed"/>
        <w:tblLook w:val="01E0" w:firstRow="1" w:lastRow="1" w:firstColumn="1" w:lastColumn="1" w:noHBand="0" w:noVBand="0"/>
      </w:tblPr>
      <w:tblGrid>
        <w:gridCol w:w="3640"/>
        <w:gridCol w:w="866"/>
        <w:gridCol w:w="945"/>
        <w:gridCol w:w="898"/>
        <w:gridCol w:w="850"/>
        <w:gridCol w:w="989"/>
        <w:gridCol w:w="143"/>
        <w:gridCol w:w="931"/>
        <w:gridCol w:w="832"/>
      </w:tblGrid>
      <w:tr w:rsidR="0088341A" w:rsidRPr="000E463D" w:rsidTr="00501137">
        <w:trPr>
          <w:gridAfter w:val="1"/>
          <w:wAfter w:w="832" w:type="dxa"/>
          <w:trHeight w:val="526"/>
        </w:trPr>
        <w:tc>
          <w:tcPr>
            <w:tcW w:w="1803" w:type="pct"/>
            <w:shd w:val="clear" w:color="auto" w:fill="365F91"/>
            <w:vAlign w:val="center"/>
          </w:tcPr>
          <w:p w:rsidR="0088341A" w:rsidRPr="000E463D" w:rsidRDefault="0088341A" w:rsidP="00501137">
            <w:pPr>
              <w:pStyle w:val="AERtabletextright"/>
              <w:keepNext/>
              <w:keepLines/>
              <w:rPr>
                <w:b/>
                <w:color w:val="FFFFFF"/>
              </w:rPr>
            </w:pPr>
          </w:p>
        </w:tc>
        <w:tc>
          <w:tcPr>
            <w:tcW w:w="429" w:type="pct"/>
            <w:shd w:val="clear" w:color="auto" w:fill="365F91"/>
            <w:vAlign w:val="center"/>
          </w:tcPr>
          <w:p w:rsidR="0088341A" w:rsidRPr="000E463D" w:rsidRDefault="0088341A" w:rsidP="00501137">
            <w:pPr>
              <w:pStyle w:val="AERtabletextright"/>
              <w:rPr>
                <w:b/>
                <w:color w:val="FFFFFF"/>
              </w:rPr>
            </w:pPr>
            <w:r w:rsidRPr="000E463D">
              <w:rPr>
                <w:b/>
                <w:color w:val="FFFFFF"/>
              </w:rPr>
              <w:t>2008–09</w:t>
            </w:r>
          </w:p>
        </w:tc>
        <w:tc>
          <w:tcPr>
            <w:tcW w:w="468" w:type="pct"/>
            <w:shd w:val="clear" w:color="auto" w:fill="365F91"/>
            <w:vAlign w:val="center"/>
          </w:tcPr>
          <w:p w:rsidR="0088341A" w:rsidRPr="000E463D" w:rsidRDefault="0088341A" w:rsidP="00501137">
            <w:pPr>
              <w:pStyle w:val="AERtabletextright"/>
              <w:rPr>
                <w:b/>
                <w:color w:val="FFFFFF"/>
              </w:rPr>
            </w:pPr>
            <w:r w:rsidRPr="000E463D">
              <w:rPr>
                <w:b/>
                <w:color w:val="FFFFFF"/>
              </w:rPr>
              <w:t>2009–10</w:t>
            </w:r>
          </w:p>
        </w:tc>
        <w:tc>
          <w:tcPr>
            <w:tcW w:w="445" w:type="pct"/>
            <w:shd w:val="clear" w:color="auto" w:fill="365F91"/>
            <w:vAlign w:val="center"/>
          </w:tcPr>
          <w:p w:rsidR="0088341A" w:rsidRPr="000E463D" w:rsidRDefault="0088341A" w:rsidP="00501137">
            <w:pPr>
              <w:pStyle w:val="AERtabletextright"/>
              <w:rPr>
                <w:b/>
                <w:color w:val="FFFFFF"/>
              </w:rPr>
            </w:pPr>
            <w:r w:rsidRPr="000E463D">
              <w:rPr>
                <w:b/>
                <w:color w:val="FFFFFF"/>
              </w:rPr>
              <w:t>2010–11</w:t>
            </w:r>
          </w:p>
        </w:tc>
        <w:tc>
          <w:tcPr>
            <w:tcW w:w="421" w:type="pct"/>
            <w:shd w:val="clear" w:color="auto" w:fill="365F91"/>
            <w:vAlign w:val="center"/>
          </w:tcPr>
          <w:p w:rsidR="0088341A" w:rsidRPr="000E463D" w:rsidRDefault="0088341A" w:rsidP="00501137">
            <w:pPr>
              <w:pStyle w:val="AERtabletextright"/>
              <w:rPr>
                <w:rStyle w:val="AERsuperscript"/>
                <w:b/>
                <w:color w:val="FFFFFF"/>
              </w:rPr>
            </w:pPr>
            <w:r w:rsidRPr="000E463D">
              <w:rPr>
                <w:b/>
                <w:color w:val="FFFFFF"/>
              </w:rPr>
              <w:t>2011–12</w:t>
            </w:r>
          </w:p>
        </w:tc>
        <w:tc>
          <w:tcPr>
            <w:tcW w:w="490" w:type="pct"/>
            <w:shd w:val="clear" w:color="auto" w:fill="365F91"/>
            <w:vAlign w:val="center"/>
          </w:tcPr>
          <w:p w:rsidR="0088341A" w:rsidRPr="000E463D" w:rsidRDefault="0088341A" w:rsidP="00501137">
            <w:pPr>
              <w:pStyle w:val="AERtabletextright"/>
              <w:rPr>
                <w:b/>
                <w:color w:val="FFFFFF"/>
              </w:rPr>
            </w:pPr>
            <w:r w:rsidRPr="000E463D">
              <w:rPr>
                <w:b/>
                <w:color w:val="FFFFFF"/>
              </w:rPr>
              <w:t>2012–13</w:t>
            </w:r>
            <w:r w:rsidRPr="000E463D">
              <w:rPr>
                <w:rStyle w:val="AERsuperscript"/>
                <w:b/>
                <w:color w:val="FFFFFF"/>
              </w:rPr>
              <w:t>a</w:t>
            </w:r>
          </w:p>
        </w:tc>
        <w:tc>
          <w:tcPr>
            <w:tcW w:w="532" w:type="pct"/>
            <w:gridSpan w:val="2"/>
            <w:shd w:val="clear" w:color="auto" w:fill="365F91"/>
            <w:vAlign w:val="center"/>
          </w:tcPr>
          <w:p w:rsidR="0088341A" w:rsidRPr="000E463D" w:rsidRDefault="0088341A" w:rsidP="00501137">
            <w:pPr>
              <w:pStyle w:val="AERtabletextright"/>
              <w:rPr>
                <w:b/>
                <w:color w:val="FFFFFF"/>
              </w:rPr>
            </w:pPr>
            <w:r w:rsidRPr="000E463D">
              <w:rPr>
                <w:b/>
                <w:color w:val="FFFFFF"/>
              </w:rPr>
              <w:t>2013–14</w:t>
            </w:r>
            <w:r w:rsidRPr="000E463D">
              <w:rPr>
                <w:rStyle w:val="AERsuperscript"/>
                <w:b/>
                <w:color w:val="FFFFFF"/>
              </w:rPr>
              <w:t>b</w:t>
            </w:r>
          </w:p>
        </w:tc>
      </w:tr>
      <w:tr w:rsidR="0088341A" w:rsidRPr="000E463D" w:rsidTr="00501137">
        <w:trPr>
          <w:gridAfter w:val="1"/>
          <w:wAfter w:w="832" w:type="dxa"/>
          <w:trHeight w:val="526"/>
        </w:trPr>
        <w:tc>
          <w:tcPr>
            <w:tcW w:w="1803" w:type="pct"/>
            <w:shd w:val="clear" w:color="auto" w:fill="auto"/>
            <w:vAlign w:val="center"/>
          </w:tcPr>
          <w:p w:rsidR="0088341A" w:rsidRPr="0076137E" w:rsidRDefault="0088341A" w:rsidP="00501137">
            <w:pPr>
              <w:pStyle w:val="AERtabletextleft"/>
              <w:keepNext/>
              <w:keepLines/>
            </w:pPr>
            <w:r w:rsidRPr="0076137E">
              <w:t>Opening RAB</w:t>
            </w:r>
          </w:p>
        </w:tc>
        <w:tc>
          <w:tcPr>
            <w:tcW w:w="429" w:type="pct"/>
            <w:shd w:val="clear" w:color="auto" w:fill="auto"/>
            <w:vAlign w:val="center"/>
          </w:tcPr>
          <w:p w:rsidR="0088341A" w:rsidRPr="0076137E" w:rsidRDefault="0088341A" w:rsidP="00501137">
            <w:pPr>
              <w:pStyle w:val="AERtabletextright"/>
              <w:keepNext/>
              <w:keepLines/>
            </w:pPr>
            <w:r w:rsidRPr="0076137E">
              <w:t xml:space="preserve">  2191.2 </w:t>
            </w:r>
          </w:p>
        </w:tc>
        <w:tc>
          <w:tcPr>
            <w:tcW w:w="468" w:type="pct"/>
            <w:shd w:val="clear" w:color="auto" w:fill="auto"/>
            <w:vAlign w:val="center"/>
          </w:tcPr>
          <w:p w:rsidR="0088341A" w:rsidRPr="0076137E" w:rsidRDefault="0088341A" w:rsidP="00501137">
            <w:pPr>
              <w:pStyle w:val="AERtabletextright"/>
              <w:keepNext/>
              <w:keepLines/>
            </w:pPr>
            <w:r w:rsidRPr="0076137E">
              <w:t xml:space="preserve"> 2260.2 </w:t>
            </w:r>
          </w:p>
        </w:tc>
        <w:tc>
          <w:tcPr>
            <w:tcW w:w="445" w:type="pct"/>
            <w:shd w:val="clear" w:color="auto" w:fill="auto"/>
            <w:vAlign w:val="center"/>
          </w:tcPr>
          <w:p w:rsidR="0088341A" w:rsidRPr="0076137E" w:rsidRDefault="0088341A" w:rsidP="00501137">
            <w:pPr>
              <w:pStyle w:val="AERtabletextright"/>
              <w:keepNext/>
              <w:keepLines/>
            </w:pPr>
            <w:r w:rsidRPr="0076137E">
              <w:t xml:space="preserve"> 2309.8 </w:t>
            </w:r>
          </w:p>
        </w:tc>
        <w:tc>
          <w:tcPr>
            <w:tcW w:w="421" w:type="pct"/>
            <w:shd w:val="clear" w:color="auto" w:fill="auto"/>
            <w:vAlign w:val="center"/>
          </w:tcPr>
          <w:p w:rsidR="0088341A" w:rsidRPr="0076137E" w:rsidRDefault="0088341A" w:rsidP="00501137">
            <w:pPr>
              <w:pStyle w:val="AERtabletextright"/>
              <w:keepNext/>
              <w:keepLines/>
            </w:pPr>
            <w:r w:rsidRPr="0076137E">
              <w:t xml:space="preserve"> 2365.6 </w:t>
            </w:r>
          </w:p>
        </w:tc>
        <w:tc>
          <w:tcPr>
            <w:tcW w:w="561" w:type="pct"/>
            <w:gridSpan w:val="2"/>
            <w:shd w:val="clear" w:color="auto" w:fill="auto"/>
            <w:vAlign w:val="center"/>
          </w:tcPr>
          <w:p w:rsidR="0088341A" w:rsidRPr="0076137E" w:rsidRDefault="0088341A" w:rsidP="00501137">
            <w:pPr>
              <w:pStyle w:val="AERtabletextright"/>
              <w:keepNext/>
              <w:keepLines/>
            </w:pPr>
            <w:r w:rsidRPr="0076137E">
              <w:t xml:space="preserve"> 2452.1 </w:t>
            </w:r>
          </w:p>
        </w:tc>
        <w:tc>
          <w:tcPr>
            <w:tcW w:w="461" w:type="pct"/>
            <w:shd w:val="clear" w:color="auto" w:fill="auto"/>
            <w:vAlign w:val="center"/>
          </w:tcPr>
          <w:p w:rsidR="0088341A" w:rsidRPr="0076137E" w:rsidRDefault="0088341A" w:rsidP="00501137">
            <w:pPr>
              <w:pStyle w:val="AERtabletextright"/>
              <w:keepNext/>
              <w:keepLines/>
            </w:pPr>
            <w:r w:rsidRPr="0076137E">
              <w:t xml:space="preserve"> 2550.0 </w:t>
            </w:r>
          </w:p>
        </w:tc>
      </w:tr>
      <w:tr w:rsidR="0088341A" w:rsidRPr="000E463D" w:rsidTr="00501137">
        <w:trPr>
          <w:gridAfter w:val="1"/>
          <w:wAfter w:w="832" w:type="dxa"/>
          <w:trHeight w:val="526"/>
        </w:trPr>
        <w:tc>
          <w:tcPr>
            <w:tcW w:w="1803" w:type="pct"/>
            <w:shd w:val="clear" w:color="auto" w:fill="DBE5F1"/>
            <w:vAlign w:val="center"/>
          </w:tcPr>
          <w:p w:rsidR="0088341A" w:rsidRPr="0076137E" w:rsidRDefault="0088341A" w:rsidP="00501137">
            <w:pPr>
              <w:pStyle w:val="AERtabletextleft"/>
              <w:keepNext/>
              <w:keepLines/>
            </w:pPr>
            <w:r w:rsidRPr="0076137E">
              <w:t>Capital expenditure</w:t>
            </w:r>
            <w:r w:rsidRPr="0076137E">
              <w:rPr>
                <w:rStyle w:val="AERsuperscript"/>
              </w:rPr>
              <w:t>c</w:t>
            </w:r>
          </w:p>
        </w:tc>
        <w:tc>
          <w:tcPr>
            <w:tcW w:w="429" w:type="pct"/>
            <w:shd w:val="clear" w:color="auto" w:fill="DBE5F1"/>
            <w:vAlign w:val="center"/>
          </w:tcPr>
          <w:p w:rsidR="0088341A" w:rsidRPr="0076137E" w:rsidRDefault="0088341A" w:rsidP="00501137">
            <w:pPr>
              <w:pStyle w:val="AERtabletextright"/>
              <w:keepNext/>
              <w:keepLines/>
            </w:pPr>
            <w:r w:rsidRPr="0076137E">
              <w:t xml:space="preserve">       95.4 </w:t>
            </w:r>
          </w:p>
        </w:tc>
        <w:tc>
          <w:tcPr>
            <w:tcW w:w="468" w:type="pct"/>
            <w:shd w:val="clear" w:color="auto" w:fill="DBE5F1"/>
            <w:vAlign w:val="center"/>
          </w:tcPr>
          <w:p w:rsidR="0088341A" w:rsidRPr="0076137E" w:rsidRDefault="0088341A" w:rsidP="00501137">
            <w:pPr>
              <w:pStyle w:val="AERtabletextright"/>
              <w:keepNext/>
              <w:keepLines/>
            </w:pPr>
            <w:r w:rsidRPr="0076137E">
              <w:t xml:space="preserve">  114.8 </w:t>
            </w:r>
          </w:p>
        </w:tc>
        <w:tc>
          <w:tcPr>
            <w:tcW w:w="445" w:type="pct"/>
            <w:shd w:val="clear" w:color="auto" w:fill="DBE5F1"/>
            <w:vAlign w:val="center"/>
          </w:tcPr>
          <w:p w:rsidR="0088341A" w:rsidRPr="0076137E" w:rsidRDefault="0088341A" w:rsidP="00501137">
            <w:pPr>
              <w:pStyle w:val="AERtabletextright"/>
              <w:keepNext/>
              <w:keepLines/>
            </w:pPr>
            <w:r w:rsidRPr="0076137E">
              <w:t xml:space="preserve">     113.4 </w:t>
            </w:r>
          </w:p>
        </w:tc>
        <w:tc>
          <w:tcPr>
            <w:tcW w:w="421" w:type="pct"/>
            <w:shd w:val="clear" w:color="auto" w:fill="DBE5F1"/>
            <w:vAlign w:val="center"/>
          </w:tcPr>
          <w:p w:rsidR="0088341A" w:rsidRPr="0076137E" w:rsidRDefault="0088341A" w:rsidP="00501137">
            <w:pPr>
              <w:pStyle w:val="AERtabletextright"/>
              <w:keepNext/>
              <w:keepLines/>
            </w:pPr>
            <w:r w:rsidRPr="0076137E">
              <w:t xml:space="preserve">     136.9 </w:t>
            </w:r>
          </w:p>
        </w:tc>
        <w:tc>
          <w:tcPr>
            <w:tcW w:w="561" w:type="pct"/>
            <w:gridSpan w:val="2"/>
            <w:shd w:val="clear" w:color="auto" w:fill="DBE5F1"/>
            <w:vAlign w:val="center"/>
          </w:tcPr>
          <w:p w:rsidR="0088341A" w:rsidRPr="0076137E" w:rsidRDefault="0088341A" w:rsidP="00501137">
            <w:pPr>
              <w:pStyle w:val="AERtabletextright"/>
              <w:keepNext/>
              <w:keepLines/>
            </w:pPr>
            <w:r w:rsidRPr="0076137E">
              <w:t xml:space="preserve">        173.5 </w:t>
            </w:r>
          </w:p>
        </w:tc>
        <w:tc>
          <w:tcPr>
            <w:tcW w:w="461" w:type="pct"/>
            <w:shd w:val="clear" w:color="auto" w:fill="DBE5F1"/>
            <w:vAlign w:val="center"/>
          </w:tcPr>
          <w:p w:rsidR="0088341A" w:rsidRPr="0076137E" w:rsidRDefault="0088341A" w:rsidP="00501137">
            <w:pPr>
              <w:pStyle w:val="AERtabletextright"/>
              <w:keepNext/>
              <w:keepLines/>
            </w:pPr>
            <w:r w:rsidRPr="0076137E">
              <w:t xml:space="preserve">      141.2 </w:t>
            </w:r>
          </w:p>
        </w:tc>
      </w:tr>
      <w:tr w:rsidR="0088341A" w:rsidRPr="000E463D" w:rsidTr="00501137">
        <w:trPr>
          <w:gridAfter w:val="1"/>
          <w:wAfter w:w="832" w:type="dxa"/>
          <w:trHeight w:val="526"/>
        </w:trPr>
        <w:tc>
          <w:tcPr>
            <w:tcW w:w="1803" w:type="pct"/>
            <w:shd w:val="clear" w:color="auto" w:fill="auto"/>
            <w:vAlign w:val="center"/>
          </w:tcPr>
          <w:p w:rsidR="0088341A" w:rsidRPr="0076137E" w:rsidRDefault="0088341A" w:rsidP="00501137">
            <w:pPr>
              <w:pStyle w:val="AERtabletextleft"/>
              <w:keepNext/>
              <w:keepLines/>
            </w:pPr>
            <w:r w:rsidRPr="0076137E">
              <w:t>CPI indexation on opening RAB</w:t>
            </w:r>
          </w:p>
        </w:tc>
        <w:tc>
          <w:tcPr>
            <w:tcW w:w="429" w:type="pct"/>
            <w:shd w:val="clear" w:color="auto" w:fill="auto"/>
            <w:vAlign w:val="center"/>
          </w:tcPr>
          <w:p w:rsidR="0088341A" w:rsidRPr="0076137E" w:rsidRDefault="0088341A" w:rsidP="00501137">
            <w:pPr>
              <w:pStyle w:val="AERtabletextright"/>
              <w:keepNext/>
              <w:keepLines/>
            </w:pPr>
            <w:r w:rsidRPr="0076137E">
              <w:t xml:space="preserve">      80.</w:t>
            </w:r>
            <w:r>
              <w:t>8</w:t>
            </w:r>
            <w:r w:rsidRPr="0076137E">
              <w:t xml:space="preserve"> </w:t>
            </w:r>
          </w:p>
        </w:tc>
        <w:tc>
          <w:tcPr>
            <w:tcW w:w="468" w:type="pct"/>
            <w:shd w:val="clear" w:color="auto" w:fill="auto"/>
            <w:vAlign w:val="center"/>
          </w:tcPr>
          <w:p w:rsidR="0088341A" w:rsidRPr="0076137E" w:rsidRDefault="0088341A" w:rsidP="00501137">
            <w:pPr>
              <w:pStyle w:val="AERtabletextright"/>
              <w:keepNext/>
              <w:keepLines/>
            </w:pPr>
            <w:r>
              <w:t xml:space="preserve">       47</w:t>
            </w:r>
            <w:r w:rsidRPr="0076137E">
              <w:t>.</w:t>
            </w:r>
            <w:r>
              <w:t>7</w:t>
            </w:r>
            <w:r w:rsidRPr="0076137E">
              <w:t xml:space="preserve"> </w:t>
            </w:r>
          </w:p>
        </w:tc>
        <w:tc>
          <w:tcPr>
            <w:tcW w:w="445" w:type="pct"/>
            <w:shd w:val="clear" w:color="auto" w:fill="auto"/>
            <w:vAlign w:val="center"/>
          </w:tcPr>
          <w:p w:rsidR="0088341A" w:rsidRPr="0076137E" w:rsidRDefault="0088341A" w:rsidP="00501137">
            <w:pPr>
              <w:pStyle w:val="AERtabletextright"/>
              <w:keepNext/>
              <w:keepLines/>
            </w:pPr>
            <w:r>
              <w:t xml:space="preserve">       61</w:t>
            </w:r>
            <w:r w:rsidRPr="0076137E">
              <w:t>.</w:t>
            </w:r>
            <w:r>
              <w:t>3</w:t>
            </w:r>
            <w:r w:rsidRPr="0076137E">
              <w:t xml:space="preserve"> </w:t>
            </w:r>
          </w:p>
        </w:tc>
        <w:tc>
          <w:tcPr>
            <w:tcW w:w="421" w:type="pct"/>
            <w:shd w:val="clear" w:color="auto" w:fill="auto"/>
            <w:vAlign w:val="center"/>
          </w:tcPr>
          <w:p w:rsidR="0088341A" w:rsidRPr="0076137E" w:rsidRDefault="0088341A" w:rsidP="00501137">
            <w:pPr>
              <w:pStyle w:val="AERtabletextright"/>
              <w:keepNext/>
              <w:keepLines/>
            </w:pPr>
            <w:r>
              <w:t xml:space="preserve">       73</w:t>
            </w:r>
            <w:r w:rsidRPr="0076137E">
              <w:t>.</w:t>
            </w:r>
            <w:r>
              <w:t>4</w:t>
            </w:r>
            <w:r w:rsidRPr="0076137E">
              <w:t xml:space="preserve"> </w:t>
            </w:r>
          </w:p>
        </w:tc>
        <w:tc>
          <w:tcPr>
            <w:tcW w:w="561" w:type="pct"/>
            <w:gridSpan w:val="2"/>
            <w:shd w:val="clear" w:color="auto" w:fill="auto"/>
            <w:vAlign w:val="center"/>
          </w:tcPr>
          <w:p w:rsidR="0088341A" w:rsidRPr="0076137E" w:rsidRDefault="0088341A" w:rsidP="00501137">
            <w:pPr>
              <w:pStyle w:val="AERtabletextright"/>
              <w:keepNext/>
              <w:keepLines/>
            </w:pPr>
            <w:r>
              <w:t xml:space="preserve">          54</w:t>
            </w:r>
            <w:r w:rsidRPr="0076137E">
              <w:t>.</w:t>
            </w:r>
            <w:r>
              <w:t>1</w:t>
            </w:r>
            <w:r w:rsidRPr="0076137E">
              <w:t xml:space="preserve"> </w:t>
            </w:r>
          </w:p>
        </w:tc>
        <w:tc>
          <w:tcPr>
            <w:tcW w:w="461" w:type="pct"/>
            <w:shd w:val="clear" w:color="auto" w:fill="auto"/>
            <w:vAlign w:val="center"/>
          </w:tcPr>
          <w:p w:rsidR="0088341A" w:rsidRPr="0076137E" w:rsidRDefault="0088341A" w:rsidP="00501137">
            <w:pPr>
              <w:pStyle w:val="AERtabletextright"/>
              <w:keepNext/>
              <w:keepLines/>
            </w:pPr>
            <w:r>
              <w:t xml:space="preserve">        63.8</w:t>
            </w:r>
            <w:r w:rsidRPr="0076137E">
              <w:t xml:space="preserve"> </w:t>
            </w:r>
          </w:p>
        </w:tc>
      </w:tr>
      <w:tr w:rsidR="0088341A" w:rsidRPr="000E463D" w:rsidTr="00501137">
        <w:trPr>
          <w:gridAfter w:val="1"/>
          <w:wAfter w:w="832" w:type="dxa"/>
          <w:trHeight w:val="526"/>
        </w:trPr>
        <w:tc>
          <w:tcPr>
            <w:tcW w:w="1803" w:type="pct"/>
            <w:shd w:val="clear" w:color="auto" w:fill="DBE5F1"/>
            <w:vAlign w:val="center"/>
          </w:tcPr>
          <w:p w:rsidR="0088341A" w:rsidRPr="0076137E" w:rsidRDefault="0088341A" w:rsidP="00501137">
            <w:pPr>
              <w:pStyle w:val="AERtabletextleft"/>
              <w:keepNext/>
              <w:keepLines/>
            </w:pPr>
            <w:r w:rsidRPr="0076137E">
              <w:t>Straight-line depreciation</w:t>
            </w:r>
            <w:r w:rsidRPr="0076137E">
              <w:rPr>
                <w:rStyle w:val="AERsuperscript"/>
              </w:rPr>
              <w:t>d</w:t>
            </w:r>
          </w:p>
        </w:tc>
        <w:tc>
          <w:tcPr>
            <w:tcW w:w="429" w:type="pct"/>
            <w:shd w:val="clear" w:color="auto" w:fill="DBE5F1"/>
            <w:vAlign w:val="center"/>
          </w:tcPr>
          <w:p w:rsidR="0088341A" w:rsidRPr="0076137E" w:rsidRDefault="0088341A" w:rsidP="00501137">
            <w:pPr>
              <w:pStyle w:val="AERtabletextright"/>
              <w:keepNext/>
              <w:keepLines/>
            </w:pPr>
            <w:r w:rsidRPr="0076137E">
              <w:t xml:space="preserve">–107.1 </w:t>
            </w:r>
          </w:p>
        </w:tc>
        <w:tc>
          <w:tcPr>
            <w:tcW w:w="468" w:type="pct"/>
            <w:shd w:val="clear" w:color="auto" w:fill="DBE5F1"/>
            <w:vAlign w:val="center"/>
          </w:tcPr>
          <w:p w:rsidR="0088341A" w:rsidRPr="0076137E" w:rsidRDefault="0088341A" w:rsidP="00501137">
            <w:pPr>
              <w:pStyle w:val="AERtabletextright"/>
              <w:keepNext/>
              <w:keepLines/>
            </w:pPr>
            <w:r w:rsidRPr="0076137E">
              <w:t xml:space="preserve">–112.9 </w:t>
            </w:r>
          </w:p>
        </w:tc>
        <w:tc>
          <w:tcPr>
            <w:tcW w:w="445" w:type="pct"/>
            <w:shd w:val="clear" w:color="auto" w:fill="DBE5F1"/>
            <w:vAlign w:val="center"/>
          </w:tcPr>
          <w:p w:rsidR="0088341A" w:rsidRPr="0076137E" w:rsidRDefault="0088341A" w:rsidP="00501137">
            <w:pPr>
              <w:pStyle w:val="AERtabletextright"/>
              <w:keepNext/>
              <w:keepLines/>
            </w:pPr>
            <w:r w:rsidRPr="0076137E">
              <w:t xml:space="preserve">–118.9 </w:t>
            </w:r>
          </w:p>
        </w:tc>
        <w:tc>
          <w:tcPr>
            <w:tcW w:w="421" w:type="pct"/>
            <w:shd w:val="clear" w:color="auto" w:fill="DBE5F1"/>
            <w:vAlign w:val="center"/>
          </w:tcPr>
          <w:p w:rsidR="0088341A" w:rsidRPr="0076137E" w:rsidRDefault="0088341A" w:rsidP="00501137">
            <w:pPr>
              <w:pStyle w:val="AERtabletextright"/>
              <w:keepNext/>
              <w:keepLines/>
            </w:pPr>
            <w:r w:rsidRPr="0076137E">
              <w:t xml:space="preserve">–123.8 </w:t>
            </w:r>
          </w:p>
        </w:tc>
        <w:tc>
          <w:tcPr>
            <w:tcW w:w="561" w:type="pct"/>
            <w:gridSpan w:val="2"/>
            <w:shd w:val="clear" w:color="auto" w:fill="DBE5F1"/>
            <w:vAlign w:val="center"/>
          </w:tcPr>
          <w:p w:rsidR="0088341A" w:rsidRPr="0076137E" w:rsidRDefault="0088341A" w:rsidP="00501137">
            <w:pPr>
              <w:pStyle w:val="AERtabletextright"/>
              <w:keepNext/>
              <w:keepLines/>
            </w:pPr>
            <w:r w:rsidRPr="0076137E">
              <w:t xml:space="preserve">–129.7 </w:t>
            </w:r>
          </w:p>
        </w:tc>
        <w:tc>
          <w:tcPr>
            <w:tcW w:w="461" w:type="pct"/>
            <w:shd w:val="clear" w:color="auto" w:fill="DBE5F1"/>
            <w:vAlign w:val="center"/>
          </w:tcPr>
          <w:p w:rsidR="0088341A" w:rsidRPr="0076137E" w:rsidRDefault="0088341A" w:rsidP="00501137">
            <w:pPr>
              <w:pStyle w:val="AERtabletextright"/>
              <w:keepNext/>
              <w:keepLines/>
            </w:pPr>
            <w:r w:rsidRPr="0076137E">
              <w:t xml:space="preserve">–129.2 </w:t>
            </w:r>
          </w:p>
        </w:tc>
      </w:tr>
      <w:tr w:rsidR="0088341A" w:rsidRPr="000E463D" w:rsidTr="00501137">
        <w:trPr>
          <w:gridAfter w:val="1"/>
          <w:wAfter w:w="832" w:type="dxa"/>
          <w:trHeight w:val="526"/>
        </w:trPr>
        <w:tc>
          <w:tcPr>
            <w:tcW w:w="1803" w:type="pct"/>
            <w:shd w:val="clear" w:color="auto" w:fill="auto"/>
            <w:vAlign w:val="center"/>
          </w:tcPr>
          <w:p w:rsidR="0088341A" w:rsidRPr="0076137E" w:rsidRDefault="0088341A" w:rsidP="00501137">
            <w:pPr>
              <w:pStyle w:val="AERtabletextleft"/>
              <w:keepNext/>
              <w:keepLines/>
            </w:pPr>
            <w:r w:rsidRPr="0076137E">
              <w:t>Closing RAB as at 31 March</w:t>
            </w:r>
          </w:p>
        </w:tc>
        <w:tc>
          <w:tcPr>
            <w:tcW w:w="429" w:type="pct"/>
            <w:shd w:val="clear" w:color="auto" w:fill="auto"/>
            <w:vAlign w:val="center"/>
          </w:tcPr>
          <w:p w:rsidR="0088341A" w:rsidRPr="0076137E" w:rsidRDefault="0088341A" w:rsidP="00501137">
            <w:pPr>
              <w:pStyle w:val="AERtabletextright"/>
              <w:keepNext/>
              <w:keepLines/>
            </w:pPr>
            <w:r w:rsidRPr="0076137E">
              <w:t xml:space="preserve">  2260.2 </w:t>
            </w:r>
          </w:p>
        </w:tc>
        <w:tc>
          <w:tcPr>
            <w:tcW w:w="468" w:type="pct"/>
            <w:shd w:val="clear" w:color="auto" w:fill="auto"/>
            <w:vAlign w:val="center"/>
          </w:tcPr>
          <w:p w:rsidR="0088341A" w:rsidRPr="0076137E" w:rsidRDefault="0088341A" w:rsidP="00501137">
            <w:pPr>
              <w:pStyle w:val="AERtabletextright"/>
              <w:keepNext/>
              <w:keepLines/>
            </w:pPr>
            <w:r w:rsidRPr="0076137E">
              <w:t xml:space="preserve">  2309.8 </w:t>
            </w:r>
          </w:p>
        </w:tc>
        <w:tc>
          <w:tcPr>
            <w:tcW w:w="445" w:type="pct"/>
            <w:shd w:val="clear" w:color="auto" w:fill="auto"/>
            <w:vAlign w:val="center"/>
          </w:tcPr>
          <w:p w:rsidR="0088341A" w:rsidRPr="0076137E" w:rsidRDefault="0088341A" w:rsidP="00501137">
            <w:pPr>
              <w:pStyle w:val="AERtabletextright"/>
              <w:keepNext/>
              <w:keepLines/>
            </w:pPr>
            <w:r w:rsidRPr="0076137E">
              <w:t xml:space="preserve">  2365.6 </w:t>
            </w:r>
          </w:p>
        </w:tc>
        <w:tc>
          <w:tcPr>
            <w:tcW w:w="421" w:type="pct"/>
            <w:shd w:val="clear" w:color="auto" w:fill="auto"/>
            <w:vAlign w:val="center"/>
          </w:tcPr>
          <w:p w:rsidR="0088341A" w:rsidRPr="0076137E" w:rsidRDefault="0088341A" w:rsidP="00501137">
            <w:pPr>
              <w:pStyle w:val="AERtabletextright"/>
              <w:keepNext/>
              <w:keepLines/>
            </w:pPr>
            <w:r w:rsidRPr="0076137E">
              <w:t xml:space="preserve">  2452.1 </w:t>
            </w:r>
          </w:p>
        </w:tc>
        <w:tc>
          <w:tcPr>
            <w:tcW w:w="561" w:type="pct"/>
            <w:gridSpan w:val="2"/>
            <w:shd w:val="clear" w:color="auto" w:fill="auto"/>
            <w:vAlign w:val="center"/>
          </w:tcPr>
          <w:p w:rsidR="0088341A" w:rsidRPr="0076137E" w:rsidRDefault="0088341A" w:rsidP="00501137">
            <w:pPr>
              <w:pStyle w:val="AERtabletextright"/>
              <w:keepNext/>
              <w:keepLines/>
            </w:pPr>
            <w:r w:rsidRPr="0076137E">
              <w:t xml:space="preserve">     2550.0 </w:t>
            </w:r>
          </w:p>
        </w:tc>
        <w:tc>
          <w:tcPr>
            <w:tcW w:w="461" w:type="pct"/>
            <w:shd w:val="clear" w:color="auto" w:fill="auto"/>
            <w:vAlign w:val="center"/>
          </w:tcPr>
          <w:p w:rsidR="0088341A" w:rsidRPr="0076137E" w:rsidRDefault="0088341A" w:rsidP="00501137">
            <w:pPr>
              <w:pStyle w:val="AERtabletextright"/>
              <w:keepNext/>
              <w:keepLines/>
            </w:pPr>
            <w:r w:rsidRPr="0076137E">
              <w:t xml:space="preserve">    2625.7 </w:t>
            </w:r>
          </w:p>
        </w:tc>
      </w:tr>
      <w:tr w:rsidR="0088341A" w:rsidRPr="000E463D" w:rsidTr="00501137">
        <w:trPr>
          <w:gridAfter w:val="1"/>
          <w:wAfter w:w="832" w:type="dxa"/>
          <w:trHeight w:val="526"/>
        </w:trPr>
        <w:tc>
          <w:tcPr>
            <w:tcW w:w="1803" w:type="pct"/>
            <w:shd w:val="clear" w:color="auto" w:fill="DBE5F1"/>
            <w:vAlign w:val="center"/>
          </w:tcPr>
          <w:p w:rsidR="0088341A" w:rsidRPr="0076137E" w:rsidRDefault="0088341A" w:rsidP="00501137">
            <w:pPr>
              <w:pStyle w:val="AERtabletextleft"/>
              <w:keepNext/>
              <w:keepLines/>
            </w:pPr>
            <w:r w:rsidRPr="0076137E">
              <w:t xml:space="preserve">Difference between estimated and actual capex </w:t>
            </w:r>
            <w:r w:rsidRPr="0076137E">
              <w:br/>
              <w:t>(2007–08)</w:t>
            </w:r>
          </w:p>
        </w:tc>
        <w:tc>
          <w:tcPr>
            <w:tcW w:w="429" w:type="pct"/>
            <w:shd w:val="clear" w:color="auto" w:fill="DBE5F1"/>
            <w:vAlign w:val="center"/>
          </w:tcPr>
          <w:p w:rsidR="0088341A" w:rsidRPr="0076137E" w:rsidRDefault="0088341A" w:rsidP="00501137">
            <w:pPr>
              <w:pStyle w:val="AERtabletextright"/>
              <w:keepNext/>
              <w:keepLines/>
            </w:pPr>
          </w:p>
        </w:tc>
        <w:tc>
          <w:tcPr>
            <w:tcW w:w="468" w:type="pct"/>
            <w:shd w:val="clear" w:color="auto" w:fill="DBE5F1"/>
            <w:vAlign w:val="center"/>
          </w:tcPr>
          <w:p w:rsidR="0088341A" w:rsidRPr="0076137E" w:rsidRDefault="0088341A" w:rsidP="00501137">
            <w:pPr>
              <w:pStyle w:val="AERtabletextright"/>
              <w:keepNext/>
              <w:keepLines/>
            </w:pPr>
          </w:p>
        </w:tc>
        <w:tc>
          <w:tcPr>
            <w:tcW w:w="445" w:type="pct"/>
            <w:shd w:val="clear" w:color="auto" w:fill="DBE5F1"/>
            <w:vAlign w:val="center"/>
          </w:tcPr>
          <w:p w:rsidR="0088341A" w:rsidRPr="0076137E" w:rsidRDefault="0088341A" w:rsidP="00501137">
            <w:pPr>
              <w:pStyle w:val="AERtabletextright"/>
              <w:keepNext/>
              <w:keepLines/>
            </w:pPr>
          </w:p>
        </w:tc>
        <w:tc>
          <w:tcPr>
            <w:tcW w:w="421" w:type="pct"/>
            <w:shd w:val="clear" w:color="auto" w:fill="DBE5F1"/>
            <w:vAlign w:val="center"/>
          </w:tcPr>
          <w:p w:rsidR="0088341A" w:rsidRPr="0076137E" w:rsidRDefault="0088341A" w:rsidP="00501137">
            <w:pPr>
              <w:pStyle w:val="AERtabletextright"/>
              <w:keepNext/>
              <w:keepLines/>
            </w:pPr>
          </w:p>
        </w:tc>
        <w:tc>
          <w:tcPr>
            <w:tcW w:w="561" w:type="pct"/>
            <w:gridSpan w:val="2"/>
            <w:shd w:val="clear" w:color="auto" w:fill="DBE5F1"/>
            <w:vAlign w:val="center"/>
          </w:tcPr>
          <w:p w:rsidR="0088341A" w:rsidRPr="0076137E" w:rsidRDefault="0088341A" w:rsidP="00501137">
            <w:pPr>
              <w:pStyle w:val="AERtabletextright"/>
              <w:keepNext/>
              <w:keepLines/>
            </w:pPr>
          </w:p>
        </w:tc>
        <w:tc>
          <w:tcPr>
            <w:tcW w:w="461" w:type="pct"/>
            <w:shd w:val="clear" w:color="auto" w:fill="DBE5F1"/>
            <w:vAlign w:val="center"/>
          </w:tcPr>
          <w:p w:rsidR="0088341A" w:rsidRPr="0076137E" w:rsidRDefault="0088341A" w:rsidP="00501137">
            <w:pPr>
              <w:pStyle w:val="AERtabletextright"/>
              <w:keepNext/>
              <w:keepLines/>
            </w:pPr>
            <w:r>
              <w:t>5.1</w:t>
            </w:r>
          </w:p>
        </w:tc>
      </w:tr>
      <w:tr w:rsidR="0088341A" w:rsidRPr="000E463D" w:rsidTr="00501137">
        <w:trPr>
          <w:gridAfter w:val="1"/>
          <w:wAfter w:w="832" w:type="dxa"/>
          <w:trHeight w:val="526"/>
        </w:trPr>
        <w:tc>
          <w:tcPr>
            <w:tcW w:w="1803" w:type="pct"/>
            <w:shd w:val="clear" w:color="auto" w:fill="auto"/>
            <w:vAlign w:val="center"/>
          </w:tcPr>
          <w:p w:rsidR="0088341A" w:rsidRPr="0076137E" w:rsidRDefault="0088341A" w:rsidP="00501137">
            <w:pPr>
              <w:pStyle w:val="AERtabletextleft"/>
              <w:keepNext/>
              <w:keepLines/>
            </w:pPr>
            <w:r w:rsidRPr="0076137E">
              <w:t>Return on difference for 2007–08 capex</w:t>
            </w:r>
          </w:p>
        </w:tc>
        <w:tc>
          <w:tcPr>
            <w:tcW w:w="429" w:type="pct"/>
            <w:shd w:val="clear" w:color="auto" w:fill="auto"/>
            <w:vAlign w:val="center"/>
          </w:tcPr>
          <w:p w:rsidR="0088341A" w:rsidRPr="0076137E" w:rsidRDefault="0088341A" w:rsidP="00501137">
            <w:pPr>
              <w:pStyle w:val="AERtabletextright"/>
              <w:keepNext/>
              <w:keepLines/>
            </w:pPr>
          </w:p>
        </w:tc>
        <w:tc>
          <w:tcPr>
            <w:tcW w:w="468" w:type="pct"/>
            <w:shd w:val="clear" w:color="auto" w:fill="auto"/>
            <w:vAlign w:val="center"/>
          </w:tcPr>
          <w:p w:rsidR="0088341A" w:rsidRPr="0076137E" w:rsidRDefault="0088341A" w:rsidP="00501137">
            <w:pPr>
              <w:pStyle w:val="AERtabletextright"/>
              <w:keepNext/>
              <w:keepLines/>
            </w:pPr>
          </w:p>
        </w:tc>
        <w:tc>
          <w:tcPr>
            <w:tcW w:w="445" w:type="pct"/>
            <w:shd w:val="clear" w:color="auto" w:fill="auto"/>
            <w:vAlign w:val="center"/>
          </w:tcPr>
          <w:p w:rsidR="0088341A" w:rsidRPr="0076137E" w:rsidRDefault="0088341A" w:rsidP="00501137">
            <w:pPr>
              <w:pStyle w:val="AERtabletextright"/>
              <w:keepNext/>
              <w:keepLines/>
            </w:pPr>
          </w:p>
        </w:tc>
        <w:tc>
          <w:tcPr>
            <w:tcW w:w="421" w:type="pct"/>
            <w:shd w:val="clear" w:color="auto" w:fill="auto"/>
            <w:vAlign w:val="center"/>
          </w:tcPr>
          <w:p w:rsidR="0088341A" w:rsidRPr="0076137E" w:rsidRDefault="0088341A" w:rsidP="00501137">
            <w:pPr>
              <w:pStyle w:val="AERtabletextright"/>
              <w:keepNext/>
              <w:keepLines/>
            </w:pPr>
          </w:p>
        </w:tc>
        <w:tc>
          <w:tcPr>
            <w:tcW w:w="561" w:type="pct"/>
            <w:gridSpan w:val="2"/>
            <w:shd w:val="clear" w:color="auto" w:fill="auto"/>
            <w:vAlign w:val="center"/>
          </w:tcPr>
          <w:p w:rsidR="0088341A" w:rsidRPr="0076137E" w:rsidRDefault="0088341A" w:rsidP="00501137">
            <w:pPr>
              <w:pStyle w:val="AERtabletextright"/>
              <w:keepNext/>
              <w:keepLines/>
            </w:pPr>
          </w:p>
        </w:tc>
        <w:tc>
          <w:tcPr>
            <w:tcW w:w="461" w:type="pct"/>
            <w:shd w:val="clear" w:color="auto" w:fill="auto"/>
            <w:vAlign w:val="center"/>
          </w:tcPr>
          <w:p w:rsidR="0088341A" w:rsidRPr="0076137E" w:rsidRDefault="0088341A" w:rsidP="00501137">
            <w:pPr>
              <w:pStyle w:val="AERtabletextright"/>
              <w:keepNext/>
              <w:keepLines/>
            </w:pPr>
            <w:r>
              <w:t>3.9</w:t>
            </w:r>
          </w:p>
        </w:tc>
      </w:tr>
      <w:tr w:rsidR="0088341A" w:rsidRPr="000E463D" w:rsidTr="00501137">
        <w:trPr>
          <w:gridAfter w:val="1"/>
          <w:wAfter w:w="832" w:type="dxa"/>
          <w:trHeight w:val="526"/>
        </w:trPr>
        <w:tc>
          <w:tcPr>
            <w:tcW w:w="1803" w:type="pct"/>
            <w:shd w:val="clear" w:color="auto" w:fill="DBE5F1"/>
            <w:vAlign w:val="center"/>
          </w:tcPr>
          <w:p w:rsidR="0088341A" w:rsidRPr="0076137E" w:rsidRDefault="0088341A" w:rsidP="00501137">
            <w:pPr>
              <w:pStyle w:val="AERtabletextleft"/>
              <w:keepNext/>
              <w:keepLines/>
            </w:pPr>
            <w:r w:rsidRPr="0076137E">
              <w:t>Difference between estimated and actual assets under construction (2007–08)</w:t>
            </w:r>
          </w:p>
        </w:tc>
        <w:tc>
          <w:tcPr>
            <w:tcW w:w="429" w:type="pct"/>
            <w:shd w:val="clear" w:color="auto" w:fill="DBE5F1"/>
            <w:vAlign w:val="center"/>
          </w:tcPr>
          <w:p w:rsidR="0088341A" w:rsidRPr="0076137E" w:rsidRDefault="0088341A" w:rsidP="00501137">
            <w:pPr>
              <w:pStyle w:val="AERtabletextright"/>
              <w:keepNext/>
              <w:keepLines/>
            </w:pPr>
          </w:p>
        </w:tc>
        <w:tc>
          <w:tcPr>
            <w:tcW w:w="468" w:type="pct"/>
            <w:shd w:val="clear" w:color="auto" w:fill="DBE5F1"/>
            <w:vAlign w:val="center"/>
          </w:tcPr>
          <w:p w:rsidR="0088341A" w:rsidRPr="0076137E" w:rsidRDefault="0088341A" w:rsidP="00501137">
            <w:pPr>
              <w:pStyle w:val="AERtabletextright"/>
              <w:keepNext/>
              <w:keepLines/>
            </w:pPr>
          </w:p>
        </w:tc>
        <w:tc>
          <w:tcPr>
            <w:tcW w:w="445" w:type="pct"/>
            <w:shd w:val="clear" w:color="auto" w:fill="DBE5F1"/>
            <w:vAlign w:val="center"/>
          </w:tcPr>
          <w:p w:rsidR="0088341A" w:rsidRPr="0076137E" w:rsidRDefault="0088341A" w:rsidP="00501137">
            <w:pPr>
              <w:pStyle w:val="AERtabletextright"/>
              <w:keepNext/>
              <w:keepLines/>
            </w:pPr>
          </w:p>
        </w:tc>
        <w:tc>
          <w:tcPr>
            <w:tcW w:w="421" w:type="pct"/>
            <w:shd w:val="clear" w:color="auto" w:fill="DBE5F1"/>
            <w:vAlign w:val="center"/>
          </w:tcPr>
          <w:p w:rsidR="0088341A" w:rsidRPr="0076137E" w:rsidRDefault="0088341A" w:rsidP="00501137">
            <w:pPr>
              <w:pStyle w:val="AERtabletextright"/>
              <w:keepNext/>
              <w:keepLines/>
            </w:pPr>
          </w:p>
        </w:tc>
        <w:tc>
          <w:tcPr>
            <w:tcW w:w="561" w:type="pct"/>
            <w:gridSpan w:val="2"/>
            <w:shd w:val="clear" w:color="auto" w:fill="DBE5F1"/>
            <w:vAlign w:val="center"/>
          </w:tcPr>
          <w:p w:rsidR="0088341A" w:rsidRPr="0076137E" w:rsidRDefault="0088341A" w:rsidP="00501137">
            <w:pPr>
              <w:pStyle w:val="AERtabletextright"/>
              <w:keepNext/>
              <w:keepLines/>
            </w:pPr>
          </w:p>
        </w:tc>
        <w:tc>
          <w:tcPr>
            <w:tcW w:w="461" w:type="pct"/>
            <w:shd w:val="clear" w:color="auto" w:fill="DBE5F1"/>
            <w:vAlign w:val="center"/>
          </w:tcPr>
          <w:p w:rsidR="0088341A" w:rsidRPr="0076137E" w:rsidRDefault="0088341A" w:rsidP="00501137">
            <w:pPr>
              <w:pStyle w:val="AERtabletextright"/>
              <w:keepNext/>
              <w:keepLines/>
            </w:pPr>
            <w:r>
              <w:t>22.2</w:t>
            </w:r>
          </w:p>
        </w:tc>
      </w:tr>
      <w:tr w:rsidR="0088341A" w:rsidRPr="000E463D" w:rsidTr="00501137">
        <w:trPr>
          <w:gridAfter w:val="1"/>
          <w:wAfter w:w="832" w:type="dxa"/>
          <w:trHeight w:val="526"/>
        </w:trPr>
        <w:tc>
          <w:tcPr>
            <w:tcW w:w="1803" w:type="pct"/>
            <w:shd w:val="clear" w:color="auto" w:fill="auto"/>
            <w:vAlign w:val="center"/>
          </w:tcPr>
          <w:p w:rsidR="0088341A" w:rsidRPr="0076137E" w:rsidRDefault="0088341A" w:rsidP="00501137">
            <w:pPr>
              <w:pStyle w:val="AERtabletextleft"/>
              <w:keepNext/>
              <w:keepLines/>
            </w:pPr>
            <w:r w:rsidRPr="0076137E">
              <w:t>Return on difference for 2007–08 assets under construction</w:t>
            </w:r>
          </w:p>
        </w:tc>
        <w:tc>
          <w:tcPr>
            <w:tcW w:w="429" w:type="pct"/>
            <w:shd w:val="clear" w:color="auto" w:fill="auto"/>
            <w:vAlign w:val="center"/>
          </w:tcPr>
          <w:p w:rsidR="0088341A" w:rsidRPr="0076137E" w:rsidRDefault="0088341A" w:rsidP="00501137">
            <w:pPr>
              <w:pStyle w:val="AERtabletextright"/>
              <w:keepNext/>
              <w:keepLines/>
            </w:pPr>
          </w:p>
        </w:tc>
        <w:tc>
          <w:tcPr>
            <w:tcW w:w="468" w:type="pct"/>
            <w:shd w:val="clear" w:color="auto" w:fill="auto"/>
            <w:vAlign w:val="center"/>
          </w:tcPr>
          <w:p w:rsidR="0088341A" w:rsidRPr="0076137E" w:rsidRDefault="0088341A" w:rsidP="00501137">
            <w:pPr>
              <w:pStyle w:val="AERtabletextright"/>
              <w:keepNext/>
              <w:keepLines/>
            </w:pPr>
          </w:p>
        </w:tc>
        <w:tc>
          <w:tcPr>
            <w:tcW w:w="445" w:type="pct"/>
            <w:shd w:val="clear" w:color="auto" w:fill="auto"/>
            <w:vAlign w:val="center"/>
          </w:tcPr>
          <w:p w:rsidR="0088341A" w:rsidRPr="0076137E" w:rsidRDefault="0088341A" w:rsidP="00501137">
            <w:pPr>
              <w:pStyle w:val="AERtabletextright"/>
              <w:keepNext/>
              <w:keepLines/>
            </w:pPr>
          </w:p>
        </w:tc>
        <w:tc>
          <w:tcPr>
            <w:tcW w:w="421" w:type="pct"/>
            <w:shd w:val="clear" w:color="auto" w:fill="auto"/>
            <w:vAlign w:val="center"/>
          </w:tcPr>
          <w:p w:rsidR="0088341A" w:rsidRPr="0076137E" w:rsidRDefault="0088341A" w:rsidP="00501137">
            <w:pPr>
              <w:pStyle w:val="AERtabletextright"/>
              <w:keepNext/>
              <w:keepLines/>
            </w:pPr>
          </w:p>
        </w:tc>
        <w:tc>
          <w:tcPr>
            <w:tcW w:w="561" w:type="pct"/>
            <w:gridSpan w:val="2"/>
            <w:shd w:val="clear" w:color="auto" w:fill="auto"/>
            <w:vAlign w:val="center"/>
          </w:tcPr>
          <w:p w:rsidR="0088341A" w:rsidRPr="0076137E" w:rsidRDefault="0088341A" w:rsidP="00501137">
            <w:pPr>
              <w:pStyle w:val="AERtabletextright"/>
              <w:keepNext/>
              <w:keepLines/>
            </w:pPr>
          </w:p>
        </w:tc>
        <w:tc>
          <w:tcPr>
            <w:tcW w:w="461" w:type="pct"/>
            <w:shd w:val="clear" w:color="auto" w:fill="auto"/>
            <w:vAlign w:val="center"/>
          </w:tcPr>
          <w:p w:rsidR="0088341A" w:rsidRPr="0076137E" w:rsidRDefault="0088341A" w:rsidP="00501137">
            <w:pPr>
              <w:pStyle w:val="AERtabletextright"/>
              <w:keepNext/>
              <w:keepLines/>
            </w:pPr>
            <w:r>
              <w:t>16.9</w:t>
            </w:r>
          </w:p>
        </w:tc>
      </w:tr>
      <w:tr w:rsidR="0088341A" w:rsidRPr="00103A18" w:rsidTr="00501137">
        <w:trPr>
          <w:gridAfter w:val="1"/>
          <w:wAfter w:w="832" w:type="dxa"/>
          <w:trHeight w:val="526"/>
        </w:trPr>
        <w:tc>
          <w:tcPr>
            <w:tcW w:w="1803" w:type="pct"/>
            <w:shd w:val="clear" w:color="auto" w:fill="DBE5F1"/>
            <w:vAlign w:val="center"/>
          </w:tcPr>
          <w:p w:rsidR="0088341A" w:rsidRPr="0076137E" w:rsidRDefault="0088341A" w:rsidP="00501137">
            <w:pPr>
              <w:pStyle w:val="AERtabletextleft"/>
              <w:keepNext/>
              <w:keepLines/>
            </w:pPr>
            <w:r w:rsidRPr="0076137E">
              <w:t>Difference between estimated and actual Group 3 assets as at 1 April 2008</w:t>
            </w:r>
          </w:p>
        </w:tc>
        <w:tc>
          <w:tcPr>
            <w:tcW w:w="429" w:type="pct"/>
            <w:shd w:val="clear" w:color="auto" w:fill="DBE5F1"/>
            <w:vAlign w:val="center"/>
          </w:tcPr>
          <w:p w:rsidR="0088341A" w:rsidRPr="0076137E" w:rsidRDefault="0088341A" w:rsidP="00501137">
            <w:pPr>
              <w:pStyle w:val="AERtabletextright"/>
              <w:keepNext/>
              <w:keepLines/>
            </w:pPr>
          </w:p>
        </w:tc>
        <w:tc>
          <w:tcPr>
            <w:tcW w:w="468" w:type="pct"/>
            <w:shd w:val="clear" w:color="auto" w:fill="DBE5F1"/>
            <w:vAlign w:val="center"/>
          </w:tcPr>
          <w:p w:rsidR="0088341A" w:rsidRPr="0076137E" w:rsidRDefault="0088341A" w:rsidP="00501137">
            <w:pPr>
              <w:pStyle w:val="AERtabletextright"/>
              <w:keepNext/>
              <w:keepLines/>
            </w:pPr>
          </w:p>
        </w:tc>
        <w:tc>
          <w:tcPr>
            <w:tcW w:w="445" w:type="pct"/>
            <w:shd w:val="clear" w:color="auto" w:fill="DBE5F1"/>
            <w:vAlign w:val="center"/>
          </w:tcPr>
          <w:p w:rsidR="0088341A" w:rsidRPr="0076137E" w:rsidRDefault="0088341A" w:rsidP="00501137">
            <w:pPr>
              <w:pStyle w:val="AERtabletextright"/>
              <w:keepNext/>
              <w:keepLines/>
            </w:pPr>
          </w:p>
        </w:tc>
        <w:tc>
          <w:tcPr>
            <w:tcW w:w="421" w:type="pct"/>
            <w:shd w:val="clear" w:color="auto" w:fill="DBE5F1"/>
            <w:vAlign w:val="center"/>
          </w:tcPr>
          <w:p w:rsidR="0088341A" w:rsidRPr="0076137E" w:rsidRDefault="0088341A" w:rsidP="00501137">
            <w:pPr>
              <w:pStyle w:val="AERtabletextright"/>
              <w:keepNext/>
              <w:keepLines/>
            </w:pPr>
          </w:p>
        </w:tc>
        <w:tc>
          <w:tcPr>
            <w:tcW w:w="561" w:type="pct"/>
            <w:gridSpan w:val="2"/>
            <w:shd w:val="clear" w:color="auto" w:fill="DBE5F1"/>
            <w:vAlign w:val="center"/>
          </w:tcPr>
          <w:p w:rsidR="0088341A" w:rsidRPr="0076137E" w:rsidRDefault="0088341A" w:rsidP="00501137">
            <w:pPr>
              <w:pStyle w:val="AERtabletextright"/>
              <w:keepNext/>
              <w:keepLines/>
            </w:pPr>
          </w:p>
        </w:tc>
        <w:tc>
          <w:tcPr>
            <w:tcW w:w="461" w:type="pct"/>
            <w:shd w:val="clear" w:color="auto" w:fill="DBE5F1"/>
            <w:vAlign w:val="center"/>
          </w:tcPr>
          <w:p w:rsidR="0088341A" w:rsidRPr="0076137E" w:rsidRDefault="0088341A" w:rsidP="00501137">
            <w:pPr>
              <w:pStyle w:val="AERtabletextright"/>
              <w:keepNext/>
              <w:keepLines/>
            </w:pPr>
            <w:r>
              <w:t>0.7</w:t>
            </w:r>
          </w:p>
        </w:tc>
      </w:tr>
      <w:tr w:rsidR="0088341A" w:rsidRPr="00103A18" w:rsidTr="00501137">
        <w:trPr>
          <w:gridAfter w:val="1"/>
          <w:wAfter w:w="832" w:type="dxa"/>
          <w:trHeight w:val="526"/>
        </w:trPr>
        <w:tc>
          <w:tcPr>
            <w:tcW w:w="1803" w:type="pct"/>
            <w:shd w:val="clear" w:color="auto" w:fill="auto"/>
            <w:vAlign w:val="center"/>
          </w:tcPr>
          <w:p w:rsidR="0088341A" w:rsidRPr="0076137E" w:rsidRDefault="0088341A" w:rsidP="00501137">
            <w:pPr>
              <w:pStyle w:val="AERtabletextleft"/>
              <w:keepNext/>
              <w:keepLines/>
            </w:pPr>
            <w:r w:rsidRPr="0076137E">
              <w:t>Return on difference for Group 3 assets as at 1 April 2008</w:t>
            </w:r>
          </w:p>
        </w:tc>
        <w:tc>
          <w:tcPr>
            <w:tcW w:w="429" w:type="pct"/>
            <w:shd w:val="clear" w:color="auto" w:fill="auto"/>
            <w:vAlign w:val="center"/>
          </w:tcPr>
          <w:p w:rsidR="0088341A" w:rsidRPr="0076137E" w:rsidRDefault="0088341A" w:rsidP="00501137">
            <w:pPr>
              <w:pStyle w:val="AERtabletextright"/>
              <w:keepNext/>
              <w:keepLines/>
            </w:pPr>
          </w:p>
        </w:tc>
        <w:tc>
          <w:tcPr>
            <w:tcW w:w="468" w:type="pct"/>
            <w:shd w:val="clear" w:color="auto" w:fill="auto"/>
            <w:vAlign w:val="center"/>
          </w:tcPr>
          <w:p w:rsidR="0088341A" w:rsidRPr="0076137E" w:rsidRDefault="0088341A" w:rsidP="00501137">
            <w:pPr>
              <w:pStyle w:val="AERtabletextright"/>
              <w:keepNext/>
              <w:keepLines/>
            </w:pPr>
          </w:p>
        </w:tc>
        <w:tc>
          <w:tcPr>
            <w:tcW w:w="445" w:type="pct"/>
            <w:shd w:val="clear" w:color="auto" w:fill="auto"/>
            <w:vAlign w:val="center"/>
          </w:tcPr>
          <w:p w:rsidR="0088341A" w:rsidRPr="0076137E" w:rsidRDefault="0088341A" w:rsidP="00501137">
            <w:pPr>
              <w:pStyle w:val="AERtabletextright"/>
              <w:keepNext/>
              <w:keepLines/>
            </w:pPr>
          </w:p>
        </w:tc>
        <w:tc>
          <w:tcPr>
            <w:tcW w:w="421" w:type="pct"/>
            <w:shd w:val="clear" w:color="auto" w:fill="auto"/>
            <w:vAlign w:val="center"/>
          </w:tcPr>
          <w:p w:rsidR="0088341A" w:rsidRPr="0076137E" w:rsidRDefault="0088341A" w:rsidP="00501137">
            <w:pPr>
              <w:pStyle w:val="AERtabletextright"/>
              <w:keepNext/>
              <w:keepLines/>
            </w:pPr>
          </w:p>
        </w:tc>
        <w:tc>
          <w:tcPr>
            <w:tcW w:w="561" w:type="pct"/>
            <w:gridSpan w:val="2"/>
            <w:shd w:val="clear" w:color="auto" w:fill="auto"/>
            <w:vAlign w:val="center"/>
          </w:tcPr>
          <w:p w:rsidR="0088341A" w:rsidRPr="0076137E" w:rsidRDefault="0088341A" w:rsidP="00501137">
            <w:pPr>
              <w:pStyle w:val="AERtabletextright"/>
              <w:keepNext/>
              <w:keepLines/>
            </w:pPr>
          </w:p>
        </w:tc>
        <w:tc>
          <w:tcPr>
            <w:tcW w:w="461" w:type="pct"/>
            <w:shd w:val="clear" w:color="auto" w:fill="auto"/>
            <w:vAlign w:val="center"/>
          </w:tcPr>
          <w:p w:rsidR="0088341A" w:rsidRPr="0076137E" w:rsidRDefault="0088341A" w:rsidP="00501137">
            <w:pPr>
              <w:pStyle w:val="AERtabletextright"/>
              <w:keepNext/>
              <w:keepLines/>
            </w:pPr>
            <w:r>
              <w:t>0.5</w:t>
            </w:r>
          </w:p>
        </w:tc>
      </w:tr>
      <w:tr w:rsidR="0088341A" w:rsidRPr="004365DA" w:rsidTr="00501137">
        <w:trPr>
          <w:gridAfter w:val="1"/>
          <w:wAfter w:w="832" w:type="dxa"/>
          <w:trHeight w:val="526"/>
        </w:trPr>
        <w:tc>
          <w:tcPr>
            <w:tcW w:w="1803" w:type="pct"/>
            <w:shd w:val="clear" w:color="auto" w:fill="DBE5F1"/>
            <w:vAlign w:val="center"/>
          </w:tcPr>
          <w:p w:rsidR="0088341A" w:rsidRPr="0076137E" w:rsidRDefault="0088341A" w:rsidP="00501137">
            <w:pPr>
              <w:pStyle w:val="AERtabletextleft"/>
              <w:keepNext/>
              <w:keepLines/>
            </w:pPr>
            <w:r w:rsidRPr="0076137E">
              <w:t>Group 3 assets as at 1 April 2014</w:t>
            </w:r>
          </w:p>
        </w:tc>
        <w:tc>
          <w:tcPr>
            <w:tcW w:w="429" w:type="pct"/>
            <w:shd w:val="clear" w:color="auto" w:fill="DBE5F1"/>
            <w:vAlign w:val="center"/>
          </w:tcPr>
          <w:p w:rsidR="0088341A" w:rsidRPr="0076137E" w:rsidRDefault="0088341A" w:rsidP="00501137">
            <w:pPr>
              <w:pStyle w:val="AERtabletextright"/>
              <w:keepNext/>
              <w:keepLines/>
            </w:pPr>
          </w:p>
        </w:tc>
        <w:tc>
          <w:tcPr>
            <w:tcW w:w="468" w:type="pct"/>
            <w:shd w:val="clear" w:color="auto" w:fill="DBE5F1"/>
            <w:vAlign w:val="center"/>
          </w:tcPr>
          <w:p w:rsidR="0088341A" w:rsidRPr="0076137E" w:rsidRDefault="0088341A" w:rsidP="00501137">
            <w:pPr>
              <w:pStyle w:val="AERtabletextright"/>
              <w:keepNext/>
              <w:keepLines/>
            </w:pPr>
          </w:p>
        </w:tc>
        <w:tc>
          <w:tcPr>
            <w:tcW w:w="445" w:type="pct"/>
            <w:shd w:val="clear" w:color="auto" w:fill="DBE5F1"/>
            <w:vAlign w:val="center"/>
          </w:tcPr>
          <w:p w:rsidR="0088341A" w:rsidRPr="0076137E" w:rsidRDefault="0088341A" w:rsidP="00501137">
            <w:pPr>
              <w:pStyle w:val="AERtabletextright"/>
              <w:keepNext/>
              <w:keepLines/>
            </w:pPr>
          </w:p>
        </w:tc>
        <w:tc>
          <w:tcPr>
            <w:tcW w:w="421" w:type="pct"/>
            <w:shd w:val="clear" w:color="auto" w:fill="DBE5F1"/>
            <w:vAlign w:val="center"/>
          </w:tcPr>
          <w:p w:rsidR="0088341A" w:rsidRPr="0076137E" w:rsidRDefault="0088341A" w:rsidP="00501137">
            <w:pPr>
              <w:pStyle w:val="AERtabletextright"/>
              <w:keepNext/>
              <w:keepLines/>
            </w:pPr>
          </w:p>
        </w:tc>
        <w:tc>
          <w:tcPr>
            <w:tcW w:w="561" w:type="pct"/>
            <w:gridSpan w:val="2"/>
            <w:shd w:val="clear" w:color="auto" w:fill="DBE5F1"/>
            <w:vAlign w:val="center"/>
          </w:tcPr>
          <w:p w:rsidR="0088341A" w:rsidRPr="0076137E" w:rsidRDefault="0088341A" w:rsidP="00501137">
            <w:pPr>
              <w:pStyle w:val="AERtabletextright"/>
              <w:keepNext/>
              <w:keepLines/>
            </w:pPr>
          </w:p>
        </w:tc>
        <w:tc>
          <w:tcPr>
            <w:tcW w:w="461" w:type="pct"/>
            <w:shd w:val="clear" w:color="auto" w:fill="DBE5F1"/>
            <w:vAlign w:val="center"/>
          </w:tcPr>
          <w:p w:rsidR="0088341A" w:rsidRPr="0076137E" w:rsidRDefault="0088341A" w:rsidP="00501137">
            <w:pPr>
              <w:pStyle w:val="AERtabletextright"/>
              <w:keepNext/>
              <w:keepLines/>
            </w:pPr>
            <w:r w:rsidRPr="0076137E">
              <w:t>144.4</w:t>
            </w:r>
          </w:p>
        </w:tc>
      </w:tr>
      <w:tr w:rsidR="0088341A" w:rsidRPr="004365DA" w:rsidTr="00501137">
        <w:trPr>
          <w:trHeight w:val="526"/>
        </w:trPr>
        <w:tc>
          <w:tcPr>
            <w:tcW w:w="1803" w:type="pct"/>
            <w:shd w:val="clear" w:color="auto" w:fill="auto"/>
            <w:vAlign w:val="center"/>
          </w:tcPr>
          <w:p w:rsidR="0088341A" w:rsidRPr="0076137E" w:rsidRDefault="0088341A" w:rsidP="00501137">
            <w:pPr>
              <w:pStyle w:val="AERtabletextleft"/>
              <w:keepNext/>
              <w:keepLines/>
            </w:pPr>
            <w:r w:rsidRPr="0076137E">
              <w:t>Equity raising costs (2003–08)</w:t>
            </w:r>
          </w:p>
        </w:tc>
        <w:tc>
          <w:tcPr>
            <w:tcW w:w="429" w:type="pct"/>
            <w:shd w:val="clear" w:color="auto" w:fill="auto"/>
            <w:vAlign w:val="center"/>
          </w:tcPr>
          <w:p w:rsidR="0088341A" w:rsidRPr="0076137E" w:rsidRDefault="0088341A" w:rsidP="00501137">
            <w:pPr>
              <w:pStyle w:val="AERtabletextright"/>
              <w:keepNext/>
              <w:keepLines/>
            </w:pPr>
          </w:p>
        </w:tc>
        <w:tc>
          <w:tcPr>
            <w:tcW w:w="468" w:type="pct"/>
            <w:shd w:val="clear" w:color="auto" w:fill="auto"/>
            <w:vAlign w:val="center"/>
          </w:tcPr>
          <w:p w:rsidR="0088341A" w:rsidRPr="0076137E" w:rsidRDefault="0088341A" w:rsidP="00501137">
            <w:pPr>
              <w:pStyle w:val="AERtabletextright"/>
              <w:keepNext/>
              <w:keepLines/>
            </w:pPr>
          </w:p>
        </w:tc>
        <w:tc>
          <w:tcPr>
            <w:tcW w:w="445" w:type="pct"/>
            <w:shd w:val="clear" w:color="auto" w:fill="auto"/>
            <w:vAlign w:val="center"/>
          </w:tcPr>
          <w:p w:rsidR="0088341A" w:rsidRPr="0076137E" w:rsidRDefault="0088341A" w:rsidP="00501137">
            <w:pPr>
              <w:pStyle w:val="AERtabletextright"/>
              <w:keepNext/>
              <w:keepLines/>
            </w:pPr>
          </w:p>
        </w:tc>
        <w:tc>
          <w:tcPr>
            <w:tcW w:w="421" w:type="pct"/>
            <w:shd w:val="clear" w:color="auto" w:fill="auto"/>
            <w:vAlign w:val="center"/>
          </w:tcPr>
          <w:p w:rsidR="0088341A" w:rsidRPr="0076137E" w:rsidRDefault="0088341A" w:rsidP="00501137">
            <w:pPr>
              <w:pStyle w:val="AERtabletextright"/>
              <w:keepNext/>
              <w:keepLines/>
            </w:pPr>
          </w:p>
        </w:tc>
        <w:tc>
          <w:tcPr>
            <w:tcW w:w="561" w:type="pct"/>
            <w:gridSpan w:val="2"/>
            <w:shd w:val="clear" w:color="auto" w:fill="auto"/>
            <w:vAlign w:val="center"/>
          </w:tcPr>
          <w:p w:rsidR="0088341A" w:rsidRPr="0076137E" w:rsidRDefault="0088341A" w:rsidP="00501137">
            <w:pPr>
              <w:pStyle w:val="AERtabletextright"/>
              <w:keepNext/>
              <w:keepLines/>
            </w:pPr>
          </w:p>
        </w:tc>
        <w:tc>
          <w:tcPr>
            <w:tcW w:w="461" w:type="pct"/>
            <w:shd w:val="clear" w:color="auto" w:fill="auto"/>
            <w:vAlign w:val="center"/>
          </w:tcPr>
          <w:p w:rsidR="0088341A" w:rsidRPr="0076137E" w:rsidRDefault="0088341A" w:rsidP="00501137">
            <w:pPr>
              <w:pStyle w:val="AERtabletextright"/>
              <w:keepNext/>
              <w:keepLines/>
            </w:pPr>
            <w:r w:rsidRPr="0076137E">
              <w:t>53.4</w:t>
            </w:r>
          </w:p>
        </w:tc>
        <w:tc>
          <w:tcPr>
            <w:tcW w:w="412" w:type="pct"/>
            <w:shd w:val="clear" w:color="auto" w:fill="auto"/>
            <w:vAlign w:val="center"/>
          </w:tcPr>
          <w:p w:rsidR="0088341A" w:rsidRPr="000E463D" w:rsidRDefault="0088341A" w:rsidP="00501137">
            <w:pPr>
              <w:keepNext/>
              <w:keepLines/>
              <w:spacing w:before="120"/>
              <w:rPr>
                <w:sz w:val="16"/>
              </w:rPr>
            </w:pPr>
          </w:p>
        </w:tc>
      </w:tr>
      <w:tr w:rsidR="0088341A" w:rsidRPr="000E463D" w:rsidTr="00501137">
        <w:trPr>
          <w:gridAfter w:val="1"/>
          <w:wAfter w:w="832" w:type="dxa"/>
          <w:trHeight w:val="526"/>
        </w:trPr>
        <w:tc>
          <w:tcPr>
            <w:tcW w:w="1803" w:type="pct"/>
            <w:shd w:val="clear" w:color="auto" w:fill="DBE5F1"/>
            <w:vAlign w:val="center"/>
          </w:tcPr>
          <w:p w:rsidR="0088341A" w:rsidRPr="0076137E" w:rsidRDefault="0088341A" w:rsidP="00501137">
            <w:pPr>
              <w:pStyle w:val="AERtabletextleft"/>
              <w:keepNext/>
              <w:keepLines/>
            </w:pPr>
            <w:r w:rsidRPr="0076137E">
              <w:t>Opening RAB as at 1 April 2014</w:t>
            </w:r>
          </w:p>
        </w:tc>
        <w:tc>
          <w:tcPr>
            <w:tcW w:w="429" w:type="pct"/>
            <w:shd w:val="clear" w:color="auto" w:fill="DBE5F1"/>
            <w:vAlign w:val="center"/>
          </w:tcPr>
          <w:p w:rsidR="0088341A" w:rsidRPr="0076137E" w:rsidRDefault="0088341A" w:rsidP="00501137">
            <w:pPr>
              <w:pStyle w:val="AERtabletextright"/>
              <w:keepNext/>
              <w:keepLines/>
            </w:pPr>
          </w:p>
        </w:tc>
        <w:tc>
          <w:tcPr>
            <w:tcW w:w="468" w:type="pct"/>
            <w:shd w:val="clear" w:color="auto" w:fill="DBE5F1"/>
            <w:vAlign w:val="center"/>
          </w:tcPr>
          <w:p w:rsidR="0088341A" w:rsidRPr="0076137E" w:rsidRDefault="0088341A" w:rsidP="00501137">
            <w:pPr>
              <w:pStyle w:val="AERtabletextright"/>
              <w:keepNext/>
              <w:keepLines/>
            </w:pPr>
          </w:p>
        </w:tc>
        <w:tc>
          <w:tcPr>
            <w:tcW w:w="445" w:type="pct"/>
            <w:shd w:val="clear" w:color="auto" w:fill="DBE5F1"/>
            <w:vAlign w:val="center"/>
          </w:tcPr>
          <w:p w:rsidR="0088341A" w:rsidRPr="0076137E" w:rsidRDefault="0088341A" w:rsidP="00501137">
            <w:pPr>
              <w:pStyle w:val="AERtabletextright"/>
              <w:keepNext/>
              <w:keepLines/>
            </w:pPr>
          </w:p>
        </w:tc>
        <w:tc>
          <w:tcPr>
            <w:tcW w:w="421" w:type="pct"/>
            <w:shd w:val="clear" w:color="auto" w:fill="DBE5F1"/>
            <w:vAlign w:val="center"/>
          </w:tcPr>
          <w:p w:rsidR="0088341A" w:rsidRPr="0076137E" w:rsidRDefault="0088341A" w:rsidP="00501137">
            <w:pPr>
              <w:pStyle w:val="AERtabletextright"/>
              <w:keepNext/>
              <w:keepLines/>
            </w:pPr>
          </w:p>
        </w:tc>
        <w:tc>
          <w:tcPr>
            <w:tcW w:w="561" w:type="pct"/>
            <w:gridSpan w:val="2"/>
            <w:shd w:val="clear" w:color="auto" w:fill="DBE5F1"/>
            <w:vAlign w:val="center"/>
          </w:tcPr>
          <w:p w:rsidR="0088341A" w:rsidRPr="0076137E" w:rsidRDefault="0088341A" w:rsidP="00501137">
            <w:pPr>
              <w:pStyle w:val="AERtabletextright"/>
              <w:keepNext/>
              <w:keepLines/>
            </w:pPr>
          </w:p>
        </w:tc>
        <w:tc>
          <w:tcPr>
            <w:tcW w:w="461" w:type="pct"/>
            <w:shd w:val="clear" w:color="auto" w:fill="DBE5F1"/>
            <w:vAlign w:val="center"/>
          </w:tcPr>
          <w:p w:rsidR="0088341A" w:rsidRPr="0076137E" w:rsidRDefault="0088341A" w:rsidP="00501137">
            <w:pPr>
              <w:pStyle w:val="AERtabletextright"/>
              <w:keepNext/>
              <w:keepLines/>
            </w:pPr>
            <w:r>
              <w:t>2872.8</w:t>
            </w:r>
          </w:p>
        </w:tc>
      </w:tr>
    </w:tbl>
    <w:p w:rsidR="0088341A" w:rsidRPr="003273C1" w:rsidRDefault="0088341A" w:rsidP="0088341A">
      <w:pPr>
        <w:pStyle w:val="AERtablesource"/>
        <w:keepNext/>
        <w:keepLines/>
      </w:pPr>
      <w:r>
        <w:t>Source:</w:t>
      </w:r>
      <w:r>
        <w:tab/>
        <w:t>AER analysis.</w:t>
      </w:r>
    </w:p>
    <w:p w:rsidR="0088341A" w:rsidRPr="004768B6" w:rsidRDefault="00782E04" w:rsidP="00782E04">
      <w:pPr>
        <w:pStyle w:val="AERtablesource"/>
        <w:ind w:left="1440" w:hanging="1440"/>
      </w:pPr>
      <w:r>
        <w:t xml:space="preserve">Notes: </w:t>
      </w:r>
      <w:r>
        <w:tab/>
      </w:r>
      <w:r w:rsidR="0088341A" w:rsidRPr="004768B6">
        <w:t>(a)</w:t>
      </w:r>
      <w:r w:rsidR="0088341A" w:rsidRPr="004768B6">
        <w:tab/>
        <w:t xml:space="preserve">Based on estimated capex. </w:t>
      </w:r>
      <w:r w:rsidR="0088341A">
        <w:t>We will update t</w:t>
      </w:r>
      <w:r w:rsidR="0088341A" w:rsidRPr="004768B6">
        <w:t xml:space="preserve">he </w:t>
      </w:r>
      <w:r w:rsidR="0088341A">
        <w:t>RAB</w:t>
      </w:r>
      <w:r w:rsidR="0088341A" w:rsidRPr="004768B6">
        <w:t xml:space="preserve"> roll forward for actual capex at the time of </w:t>
      </w:r>
      <w:r w:rsidR="0088341A">
        <w:t>the</w:t>
      </w:r>
      <w:r w:rsidR="0088341A" w:rsidRPr="004768B6">
        <w:t xml:space="preserve"> final decision.</w:t>
      </w:r>
    </w:p>
    <w:p w:rsidR="0088341A" w:rsidRPr="004768B6" w:rsidRDefault="00782E04" w:rsidP="00782E04">
      <w:pPr>
        <w:pStyle w:val="AERtablesource"/>
        <w:ind w:left="1440" w:hanging="1440"/>
      </w:pPr>
      <w:r>
        <w:tab/>
      </w:r>
      <w:r w:rsidR="0088341A" w:rsidRPr="004768B6">
        <w:t>(b)</w:t>
      </w:r>
      <w:r w:rsidR="0088341A" w:rsidRPr="004768B6">
        <w:tab/>
        <w:t xml:space="preserve">Based on estimated capex and forecast inflation. </w:t>
      </w:r>
      <w:r w:rsidR="0088341A">
        <w:t>We will update t</w:t>
      </w:r>
      <w:r w:rsidR="0088341A" w:rsidRPr="004768B6">
        <w:t xml:space="preserve">he </w:t>
      </w:r>
      <w:r w:rsidR="0088341A">
        <w:t>RAB</w:t>
      </w:r>
      <w:r w:rsidR="0088341A" w:rsidRPr="004768B6">
        <w:t xml:space="preserve"> roll forward for actual </w:t>
      </w:r>
      <w:r w:rsidR="0088341A">
        <w:t>consumer price index (</w:t>
      </w:r>
      <w:r w:rsidR="0088341A" w:rsidRPr="004768B6">
        <w:t>CPI</w:t>
      </w:r>
      <w:r w:rsidR="0088341A">
        <w:t>)</w:t>
      </w:r>
      <w:r w:rsidR="0088341A" w:rsidRPr="004768B6">
        <w:t xml:space="preserve"> at the time of </w:t>
      </w:r>
      <w:r w:rsidR="0088341A">
        <w:t xml:space="preserve">the </w:t>
      </w:r>
      <w:r w:rsidR="0088341A" w:rsidRPr="004768B6">
        <w:t xml:space="preserve">final decision. However, </w:t>
      </w:r>
      <w:r w:rsidR="0088341A">
        <w:t>we will</w:t>
      </w:r>
      <w:r w:rsidR="0088341A" w:rsidRPr="004768B6">
        <w:t xml:space="preserve"> update for actual capex at the next reset.</w:t>
      </w:r>
    </w:p>
    <w:p w:rsidR="0088341A" w:rsidRPr="004768B6" w:rsidRDefault="00782E04" w:rsidP="000D59B9">
      <w:pPr>
        <w:pStyle w:val="AERtablesource"/>
      </w:pPr>
      <w:r>
        <w:tab/>
      </w:r>
      <w:r w:rsidR="0088341A" w:rsidRPr="004768B6">
        <w:t xml:space="preserve">(c) </w:t>
      </w:r>
      <w:r w:rsidR="0088341A" w:rsidRPr="004768B6">
        <w:tab/>
        <w:t xml:space="preserve">As incurred, net of disposals, and adjusted for actual CPI. </w:t>
      </w:r>
    </w:p>
    <w:p w:rsidR="0088341A" w:rsidRDefault="00782E04" w:rsidP="000D59B9">
      <w:pPr>
        <w:pStyle w:val="AERtablesource"/>
      </w:pPr>
      <w:r>
        <w:tab/>
      </w:r>
      <w:r w:rsidR="0088341A" w:rsidRPr="004768B6">
        <w:t>(d)</w:t>
      </w:r>
      <w:r w:rsidR="0088341A" w:rsidRPr="004768B6">
        <w:tab/>
        <w:t>Adjusted for actual CPI.</w:t>
      </w:r>
      <w:r w:rsidR="0088341A">
        <w:t xml:space="preserve"> Based on as-commissioned capex.</w:t>
      </w:r>
    </w:p>
    <w:p w:rsidR="0088341A" w:rsidRDefault="0088341A" w:rsidP="0088341A">
      <w:pPr>
        <w:pStyle w:val="Caption"/>
        <w:keepLines/>
      </w:pPr>
      <w:bookmarkStart w:id="240" w:name="_Ref363818003"/>
      <w:r>
        <w:lastRenderedPageBreak/>
        <w:t xml:space="preserve">Table </w:t>
      </w:r>
      <w:fldSimple w:instr=" STYLEREF 1 \s ">
        <w:r w:rsidR="004F35AA">
          <w:rPr>
            <w:noProof/>
          </w:rPr>
          <w:t>5</w:t>
        </w:r>
      </w:fldSimple>
      <w:r w:rsidR="00C56A87">
        <w:t>.</w:t>
      </w:r>
      <w:fldSimple w:instr=" SEQ Table \* ARABIC \s 1 ">
        <w:r w:rsidR="004F35AA">
          <w:rPr>
            <w:noProof/>
          </w:rPr>
          <w:t>2</w:t>
        </w:r>
      </w:fldSimple>
      <w:bookmarkEnd w:id="240"/>
      <w:r>
        <w:tab/>
        <w:t>AER's draft decision on SP AusNet's RAB for the 2014–17 regulatory control period ($ million, nominal)</w:t>
      </w:r>
    </w:p>
    <w:tbl>
      <w:tblPr>
        <w:tblW w:w="5000" w:type="pct"/>
        <w:tblBorders>
          <w:bottom w:val="single" w:sz="4" w:space="0" w:color="365F91"/>
        </w:tblBorders>
        <w:tblLook w:val="01E0" w:firstRow="1" w:lastRow="1" w:firstColumn="1" w:lastColumn="1" w:noHBand="0" w:noVBand="0"/>
      </w:tblPr>
      <w:tblGrid>
        <w:gridCol w:w="4819"/>
        <w:gridCol w:w="1475"/>
        <w:gridCol w:w="1475"/>
        <w:gridCol w:w="1473"/>
      </w:tblGrid>
      <w:tr w:rsidR="0088341A" w:rsidRPr="00E404D2" w:rsidTr="00501137">
        <w:trPr>
          <w:trHeight w:val="529"/>
        </w:trPr>
        <w:tc>
          <w:tcPr>
            <w:tcW w:w="2607" w:type="pct"/>
            <w:shd w:val="clear" w:color="auto" w:fill="365F91"/>
            <w:vAlign w:val="center"/>
          </w:tcPr>
          <w:p w:rsidR="0088341A" w:rsidRPr="004365DA" w:rsidRDefault="0088341A" w:rsidP="00501137">
            <w:pPr>
              <w:pStyle w:val="AERtabletextright"/>
              <w:keepNext/>
              <w:keepLines/>
              <w:rPr>
                <w:b/>
                <w:color w:val="FFFFFF"/>
              </w:rPr>
            </w:pPr>
          </w:p>
        </w:tc>
        <w:tc>
          <w:tcPr>
            <w:tcW w:w="798" w:type="pct"/>
            <w:shd w:val="clear" w:color="auto" w:fill="365F91"/>
            <w:vAlign w:val="center"/>
          </w:tcPr>
          <w:p w:rsidR="0088341A" w:rsidRPr="004365DA" w:rsidRDefault="0088341A" w:rsidP="00501137">
            <w:pPr>
              <w:pStyle w:val="AERtabletextright"/>
              <w:keepNext/>
              <w:keepLines/>
              <w:rPr>
                <w:b/>
                <w:color w:val="FFFFFF"/>
              </w:rPr>
            </w:pPr>
            <w:r w:rsidRPr="004365DA">
              <w:rPr>
                <w:b/>
                <w:color w:val="FFFFFF"/>
              </w:rPr>
              <w:t>2014–15</w:t>
            </w:r>
          </w:p>
        </w:tc>
        <w:tc>
          <w:tcPr>
            <w:tcW w:w="798" w:type="pct"/>
            <w:shd w:val="clear" w:color="auto" w:fill="365F91"/>
            <w:vAlign w:val="center"/>
          </w:tcPr>
          <w:p w:rsidR="0088341A" w:rsidRPr="004365DA" w:rsidRDefault="0088341A" w:rsidP="00501137">
            <w:pPr>
              <w:pStyle w:val="AERtabletextright"/>
              <w:keepNext/>
              <w:keepLines/>
              <w:rPr>
                <w:b/>
                <w:color w:val="FFFFFF"/>
              </w:rPr>
            </w:pPr>
            <w:r w:rsidRPr="004365DA">
              <w:rPr>
                <w:b/>
                <w:color w:val="FFFFFF"/>
              </w:rPr>
              <w:t>2015–16</w:t>
            </w:r>
          </w:p>
        </w:tc>
        <w:tc>
          <w:tcPr>
            <w:tcW w:w="797" w:type="pct"/>
            <w:shd w:val="clear" w:color="auto" w:fill="365F91"/>
            <w:vAlign w:val="center"/>
          </w:tcPr>
          <w:p w:rsidR="0088341A" w:rsidRPr="004365DA" w:rsidRDefault="0088341A" w:rsidP="00501137">
            <w:pPr>
              <w:pStyle w:val="AERtabletextright"/>
              <w:keepNext/>
              <w:keepLines/>
              <w:rPr>
                <w:b/>
                <w:color w:val="FFFFFF"/>
              </w:rPr>
            </w:pPr>
            <w:r w:rsidRPr="004365DA">
              <w:rPr>
                <w:b/>
                <w:color w:val="FFFFFF"/>
              </w:rPr>
              <w:t>2016–17</w:t>
            </w:r>
          </w:p>
        </w:tc>
      </w:tr>
      <w:tr w:rsidR="0088341A" w:rsidRPr="000B73AB" w:rsidTr="00501137">
        <w:trPr>
          <w:trHeight w:val="529"/>
        </w:trPr>
        <w:tc>
          <w:tcPr>
            <w:tcW w:w="2607" w:type="pct"/>
            <w:shd w:val="clear" w:color="auto" w:fill="auto"/>
            <w:vAlign w:val="center"/>
          </w:tcPr>
          <w:p w:rsidR="0088341A" w:rsidRPr="006C00D3" w:rsidRDefault="00782E04" w:rsidP="00501137">
            <w:pPr>
              <w:pStyle w:val="AERtabletextleft"/>
              <w:keepNext/>
              <w:keepLines/>
            </w:pPr>
            <w:r>
              <w:t xml:space="preserve">Opening RAB </w:t>
            </w:r>
            <w:r w:rsidR="0088341A" w:rsidRPr="006C00D3">
              <w:t>at 1 April 2014</w:t>
            </w:r>
          </w:p>
        </w:tc>
        <w:tc>
          <w:tcPr>
            <w:tcW w:w="798" w:type="pct"/>
            <w:shd w:val="clear" w:color="auto" w:fill="auto"/>
            <w:vAlign w:val="bottom"/>
          </w:tcPr>
          <w:p w:rsidR="0088341A" w:rsidRPr="006C00D3" w:rsidRDefault="0088341A" w:rsidP="00501137">
            <w:pPr>
              <w:pStyle w:val="AERtabletextright"/>
              <w:keepNext/>
              <w:keepLines/>
            </w:pPr>
            <w:r w:rsidRPr="006C00D3">
              <w:t xml:space="preserve">    2872.8 </w:t>
            </w:r>
          </w:p>
        </w:tc>
        <w:tc>
          <w:tcPr>
            <w:tcW w:w="798" w:type="pct"/>
            <w:shd w:val="clear" w:color="auto" w:fill="auto"/>
            <w:vAlign w:val="bottom"/>
          </w:tcPr>
          <w:p w:rsidR="0088341A" w:rsidRPr="006C00D3" w:rsidRDefault="0088341A" w:rsidP="000A6DB3">
            <w:pPr>
              <w:pStyle w:val="AERtabletextright"/>
              <w:keepNext/>
              <w:keepLines/>
              <w:rPr>
                <w:b/>
                <w:bCs/>
                <w:color w:val="E36C0A"/>
              </w:rPr>
            </w:pPr>
            <w:r w:rsidRPr="006C00D3">
              <w:t xml:space="preserve">    292</w:t>
            </w:r>
            <w:r w:rsidR="00D9570C">
              <w:t>5</w:t>
            </w:r>
            <w:r w:rsidRPr="006C00D3">
              <w:t>.</w:t>
            </w:r>
            <w:r w:rsidR="00D9570C">
              <w:t>9</w:t>
            </w:r>
            <w:r w:rsidRPr="006C00D3">
              <w:t xml:space="preserve"> </w:t>
            </w:r>
          </w:p>
        </w:tc>
        <w:tc>
          <w:tcPr>
            <w:tcW w:w="797" w:type="pct"/>
            <w:shd w:val="clear" w:color="auto" w:fill="auto"/>
            <w:vAlign w:val="bottom"/>
          </w:tcPr>
          <w:p w:rsidR="0088341A" w:rsidRPr="006C00D3" w:rsidRDefault="0088341A" w:rsidP="000A6DB3">
            <w:pPr>
              <w:pStyle w:val="AERtabletextright"/>
              <w:keepNext/>
              <w:keepLines/>
              <w:rPr>
                <w:b/>
                <w:bCs/>
                <w:color w:val="E36C0A"/>
              </w:rPr>
            </w:pPr>
            <w:r w:rsidRPr="006C00D3">
              <w:t xml:space="preserve">    29</w:t>
            </w:r>
            <w:r>
              <w:t>82.</w:t>
            </w:r>
            <w:r w:rsidR="00D9570C">
              <w:t>2</w:t>
            </w:r>
            <w:r w:rsidRPr="006C00D3">
              <w:t xml:space="preserve"> </w:t>
            </w:r>
          </w:p>
        </w:tc>
      </w:tr>
      <w:tr w:rsidR="0088341A" w:rsidRPr="000B73AB" w:rsidTr="00501137">
        <w:trPr>
          <w:trHeight w:val="529"/>
        </w:trPr>
        <w:tc>
          <w:tcPr>
            <w:tcW w:w="2607" w:type="pct"/>
            <w:shd w:val="clear" w:color="auto" w:fill="DBE5F1"/>
            <w:vAlign w:val="center"/>
          </w:tcPr>
          <w:p w:rsidR="0088341A" w:rsidRPr="006C00D3" w:rsidRDefault="0088341A" w:rsidP="00501137">
            <w:pPr>
              <w:pStyle w:val="AERtabletextleft"/>
              <w:keepNext/>
              <w:keepLines/>
            </w:pPr>
            <w:r w:rsidRPr="006C00D3">
              <w:t>Capital expenditure</w:t>
            </w:r>
            <w:r w:rsidRPr="006C00D3">
              <w:rPr>
                <w:rStyle w:val="AERsuperscript"/>
              </w:rPr>
              <w:t>a</w:t>
            </w:r>
          </w:p>
        </w:tc>
        <w:tc>
          <w:tcPr>
            <w:tcW w:w="798" w:type="pct"/>
            <w:shd w:val="clear" w:color="auto" w:fill="DBE5F1"/>
            <w:vAlign w:val="bottom"/>
          </w:tcPr>
          <w:p w:rsidR="0088341A" w:rsidRPr="006C00D3" w:rsidRDefault="0088341A" w:rsidP="000A6DB3">
            <w:pPr>
              <w:pStyle w:val="AERtabletextright"/>
              <w:keepNext/>
              <w:keepLines/>
              <w:rPr>
                <w:b/>
                <w:bCs/>
                <w:color w:val="E36C0A"/>
              </w:rPr>
            </w:pPr>
            <w:r w:rsidRPr="006C00D3">
              <w:t xml:space="preserve">       128.</w:t>
            </w:r>
            <w:r w:rsidR="00D9570C">
              <w:t>7</w:t>
            </w:r>
            <w:r w:rsidRPr="006C00D3">
              <w:t xml:space="preserve"> </w:t>
            </w:r>
          </w:p>
        </w:tc>
        <w:tc>
          <w:tcPr>
            <w:tcW w:w="798" w:type="pct"/>
            <w:shd w:val="clear" w:color="auto" w:fill="DBE5F1"/>
            <w:vAlign w:val="bottom"/>
          </w:tcPr>
          <w:p w:rsidR="0088341A" w:rsidRPr="006C00D3" w:rsidRDefault="0088341A" w:rsidP="00501137">
            <w:pPr>
              <w:pStyle w:val="AERtabletextright"/>
              <w:keepNext/>
              <w:keepLines/>
            </w:pPr>
            <w:r>
              <w:t xml:space="preserve">       136</w:t>
            </w:r>
            <w:r w:rsidRPr="006C00D3">
              <w:t>.</w:t>
            </w:r>
            <w:r w:rsidR="00D9570C">
              <w:t>3</w:t>
            </w:r>
            <w:r w:rsidRPr="006C00D3">
              <w:t xml:space="preserve"> </w:t>
            </w:r>
          </w:p>
        </w:tc>
        <w:tc>
          <w:tcPr>
            <w:tcW w:w="797" w:type="pct"/>
            <w:shd w:val="clear" w:color="auto" w:fill="DBE5F1"/>
            <w:vAlign w:val="bottom"/>
          </w:tcPr>
          <w:p w:rsidR="0088341A" w:rsidRPr="006C00D3" w:rsidRDefault="0088341A" w:rsidP="00501137">
            <w:pPr>
              <w:pStyle w:val="AERtabletextright"/>
              <w:keepNext/>
              <w:keepLines/>
            </w:pPr>
            <w:r>
              <w:t xml:space="preserve">       160.5</w:t>
            </w:r>
            <w:r w:rsidRPr="006C00D3">
              <w:t xml:space="preserve"> </w:t>
            </w:r>
          </w:p>
        </w:tc>
      </w:tr>
      <w:tr w:rsidR="0088341A" w:rsidRPr="000B73AB" w:rsidTr="00501137">
        <w:trPr>
          <w:trHeight w:val="529"/>
        </w:trPr>
        <w:tc>
          <w:tcPr>
            <w:tcW w:w="2607" w:type="pct"/>
            <w:shd w:val="clear" w:color="auto" w:fill="auto"/>
            <w:vAlign w:val="center"/>
          </w:tcPr>
          <w:p w:rsidR="0088341A" w:rsidRPr="006C00D3" w:rsidRDefault="0088341A" w:rsidP="00501137">
            <w:pPr>
              <w:pStyle w:val="AERtabletextleft"/>
              <w:keepNext/>
              <w:keepLines/>
            </w:pPr>
            <w:r w:rsidRPr="006C00D3">
              <w:t>Inflation indexation on opening RAB</w:t>
            </w:r>
          </w:p>
        </w:tc>
        <w:tc>
          <w:tcPr>
            <w:tcW w:w="798" w:type="pct"/>
            <w:shd w:val="clear" w:color="auto" w:fill="auto"/>
            <w:vAlign w:val="bottom"/>
          </w:tcPr>
          <w:p w:rsidR="0088341A" w:rsidRPr="006C00D3" w:rsidRDefault="0088341A" w:rsidP="00501137">
            <w:pPr>
              <w:pStyle w:val="AERtabletextright"/>
              <w:keepNext/>
              <w:keepLines/>
            </w:pPr>
            <w:r w:rsidRPr="006C00D3">
              <w:t xml:space="preserve">         71.8 </w:t>
            </w:r>
          </w:p>
        </w:tc>
        <w:tc>
          <w:tcPr>
            <w:tcW w:w="798" w:type="pct"/>
            <w:shd w:val="clear" w:color="auto" w:fill="auto"/>
            <w:vAlign w:val="bottom"/>
          </w:tcPr>
          <w:p w:rsidR="0088341A" w:rsidRPr="006C00D3" w:rsidRDefault="0088341A" w:rsidP="00501137">
            <w:pPr>
              <w:pStyle w:val="AERtabletextright"/>
              <w:keepNext/>
              <w:keepLines/>
            </w:pPr>
            <w:r w:rsidRPr="006C00D3">
              <w:t xml:space="preserve">         73.1 </w:t>
            </w:r>
          </w:p>
        </w:tc>
        <w:tc>
          <w:tcPr>
            <w:tcW w:w="797" w:type="pct"/>
            <w:shd w:val="clear" w:color="auto" w:fill="auto"/>
            <w:vAlign w:val="bottom"/>
          </w:tcPr>
          <w:p w:rsidR="0088341A" w:rsidRPr="006C00D3" w:rsidRDefault="0088341A" w:rsidP="00501137">
            <w:pPr>
              <w:pStyle w:val="AERtabletextright"/>
              <w:keepNext/>
              <w:keepLines/>
            </w:pPr>
            <w:r>
              <w:t xml:space="preserve">         74.6</w:t>
            </w:r>
            <w:r w:rsidRPr="006C00D3">
              <w:t xml:space="preserve"> </w:t>
            </w:r>
          </w:p>
        </w:tc>
      </w:tr>
      <w:tr w:rsidR="0088341A" w:rsidRPr="000B73AB" w:rsidTr="00501137">
        <w:trPr>
          <w:trHeight w:val="529"/>
        </w:trPr>
        <w:tc>
          <w:tcPr>
            <w:tcW w:w="2607" w:type="pct"/>
            <w:shd w:val="clear" w:color="auto" w:fill="DBE5F1"/>
            <w:vAlign w:val="center"/>
          </w:tcPr>
          <w:p w:rsidR="0088341A" w:rsidRPr="006C00D3" w:rsidRDefault="0088341A" w:rsidP="00501137">
            <w:pPr>
              <w:pStyle w:val="AERtabletextleft"/>
              <w:keepNext/>
              <w:keepLines/>
            </w:pPr>
            <w:r w:rsidRPr="006C00D3">
              <w:t>Straight-line depreciation</w:t>
            </w:r>
            <w:r w:rsidRPr="006C00D3">
              <w:rPr>
                <w:rStyle w:val="AERsuperscript"/>
              </w:rPr>
              <w:t>b</w:t>
            </w:r>
          </w:p>
        </w:tc>
        <w:tc>
          <w:tcPr>
            <w:tcW w:w="798" w:type="pct"/>
            <w:shd w:val="clear" w:color="auto" w:fill="DBE5F1"/>
            <w:vAlign w:val="bottom"/>
          </w:tcPr>
          <w:p w:rsidR="0088341A" w:rsidRPr="006C00D3" w:rsidRDefault="0088341A" w:rsidP="00501137">
            <w:pPr>
              <w:pStyle w:val="AERtabletextright"/>
              <w:keepNext/>
              <w:keepLines/>
            </w:pPr>
            <w:r w:rsidRPr="006C00D3">
              <w:t xml:space="preserve">–147.4 </w:t>
            </w:r>
          </w:p>
        </w:tc>
        <w:tc>
          <w:tcPr>
            <w:tcW w:w="798" w:type="pct"/>
            <w:shd w:val="clear" w:color="auto" w:fill="DBE5F1"/>
            <w:vAlign w:val="bottom"/>
          </w:tcPr>
          <w:p w:rsidR="0088341A" w:rsidRPr="006C00D3" w:rsidRDefault="0088341A" w:rsidP="00501137">
            <w:pPr>
              <w:pStyle w:val="AERtabletextright"/>
              <w:keepNext/>
              <w:keepLines/>
            </w:pPr>
            <w:r w:rsidRPr="006C00D3">
              <w:t xml:space="preserve">–153.2 </w:t>
            </w:r>
          </w:p>
        </w:tc>
        <w:tc>
          <w:tcPr>
            <w:tcW w:w="797" w:type="pct"/>
            <w:shd w:val="clear" w:color="auto" w:fill="DBE5F1"/>
            <w:vAlign w:val="bottom"/>
          </w:tcPr>
          <w:p w:rsidR="0088341A" w:rsidRPr="006C00D3" w:rsidRDefault="0088341A" w:rsidP="00501137">
            <w:pPr>
              <w:pStyle w:val="AERtabletextright"/>
              <w:keepNext/>
              <w:keepLines/>
            </w:pPr>
            <w:r w:rsidRPr="006C00D3">
              <w:t xml:space="preserve">–160.1 </w:t>
            </w:r>
          </w:p>
        </w:tc>
      </w:tr>
      <w:tr w:rsidR="0088341A" w:rsidRPr="000B73AB" w:rsidTr="00501137">
        <w:trPr>
          <w:trHeight w:val="529"/>
        </w:trPr>
        <w:tc>
          <w:tcPr>
            <w:tcW w:w="2607" w:type="pct"/>
            <w:shd w:val="clear" w:color="auto" w:fill="auto"/>
            <w:vAlign w:val="center"/>
          </w:tcPr>
          <w:p w:rsidR="0088341A" w:rsidRPr="006C00D3" w:rsidRDefault="0088341A" w:rsidP="00501137">
            <w:pPr>
              <w:pStyle w:val="AERtabletextleft"/>
              <w:keepNext/>
              <w:keepLines/>
            </w:pPr>
            <w:r w:rsidRPr="006C00D3">
              <w:t>Closing RAB</w:t>
            </w:r>
          </w:p>
        </w:tc>
        <w:tc>
          <w:tcPr>
            <w:tcW w:w="798" w:type="pct"/>
            <w:shd w:val="clear" w:color="auto" w:fill="auto"/>
            <w:vAlign w:val="bottom"/>
          </w:tcPr>
          <w:p w:rsidR="0088341A" w:rsidRPr="006C00D3" w:rsidRDefault="0088341A" w:rsidP="000A6DB3">
            <w:pPr>
              <w:pStyle w:val="AERtabletextright"/>
              <w:keepNext/>
              <w:keepLines/>
              <w:rPr>
                <w:b/>
                <w:bCs/>
                <w:color w:val="E36C0A"/>
              </w:rPr>
            </w:pPr>
            <w:r w:rsidRPr="006C00D3">
              <w:t xml:space="preserve">    292</w:t>
            </w:r>
            <w:r w:rsidR="00D9570C">
              <w:t>5</w:t>
            </w:r>
            <w:r w:rsidRPr="006C00D3">
              <w:t>.</w:t>
            </w:r>
            <w:r w:rsidR="00D9570C">
              <w:t>9</w:t>
            </w:r>
            <w:r w:rsidRPr="006C00D3">
              <w:t xml:space="preserve"> </w:t>
            </w:r>
          </w:p>
        </w:tc>
        <w:tc>
          <w:tcPr>
            <w:tcW w:w="798" w:type="pct"/>
            <w:shd w:val="clear" w:color="auto" w:fill="auto"/>
            <w:vAlign w:val="bottom"/>
          </w:tcPr>
          <w:p w:rsidR="0088341A" w:rsidRPr="006C00D3" w:rsidRDefault="0088341A" w:rsidP="000A6DB3">
            <w:pPr>
              <w:pStyle w:val="AERtabletextright"/>
              <w:keepNext/>
              <w:keepLines/>
              <w:rPr>
                <w:b/>
                <w:bCs/>
                <w:color w:val="E36C0A"/>
              </w:rPr>
            </w:pPr>
            <w:r w:rsidRPr="006C00D3">
              <w:t xml:space="preserve">    29</w:t>
            </w:r>
            <w:r>
              <w:t>82</w:t>
            </w:r>
            <w:r w:rsidRPr="006C00D3">
              <w:t>.</w:t>
            </w:r>
            <w:r w:rsidR="00914C00">
              <w:t>2</w:t>
            </w:r>
            <w:r w:rsidRPr="006C00D3">
              <w:t xml:space="preserve"> </w:t>
            </w:r>
          </w:p>
        </w:tc>
        <w:tc>
          <w:tcPr>
            <w:tcW w:w="797" w:type="pct"/>
            <w:shd w:val="clear" w:color="auto" w:fill="auto"/>
            <w:vAlign w:val="bottom"/>
          </w:tcPr>
          <w:p w:rsidR="0088341A" w:rsidRPr="006C00D3" w:rsidRDefault="0088341A" w:rsidP="000A6DB3">
            <w:pPr>
              <w:pStyle w:val="AERtabletextright"/>
              <w:keepNext/>
              <w:keepLines/>
              <w:rPr>
                <w:b/>
                <w:bCs/>
                <w:color w:val="E36C0A"/>
              </w:rPr>
            </w:pPr>
            <w:r w:rsidRPr="006C00D3">
              <w:t xml:space="preserve">    30</w:t>
            </w:r>
            <w:r>
              <w:t>57</w:t>
            </w:r>
            <w:r w:rsidRPr="006C00D3">
              <w:t>.</w:t>
            </w:r>
            <w:r w:rsidR="00914C00">
              <w:t>2</w:t>
            </w:r>
            <w:r w:rsidRPr="006C00D3">
              <w:t xml:space="preserve"> </w:t>
            </w:r>
          </w:p>
        </w:tc>
      </w:tr>
    </w:tbl>
    <w:p w:rsidR="0088341A" w:rsidRPr="003273C1" w:rsidRDefault="0088341A" w:rsidP="0088341A">
      <w:pPr>
        <w:pStyle w:val="AERtablesource"/>
        <w:keepNext/>
        <w:keepLines/>
      </w:pPr>
      <w:r>
        <w:t>Source:</w:t>
      </w:r>
      <w:r>
        <w:tab/>
        <w:t>AER analysis.</w:t>
      </w:r>
    </w:p>
    <w:p w:rsidR="0088341A" w:rsidRDefault="00782E04" w:rsidP="00782E04">
      <w:pPr>
        <w:pStyle w:val="AERtablesource"/>
        <w:keepNext/>
        <w:keepLines/>
        <w:ind w:left="1440" w:hanging="1440"/>
      </w:pPr>
      <w:r>
        <w:t>Notes:</w:t>
      </w:r>
      <w:r w:rsidR="0088341A" w:rsidDel="002C5A87">
        <w:t xml:space="preserve"> </w:t>
      </w:r>
      <w:r>
        <w:tab/>
      </w:r>
      <w:r w:rsidR="0088341A">
        <w:t xml:space="preserve">(a) </w:t>
      </w:r>
      <w:r w:rsidR="0088341A">
        <w:tab/>
        <w:t>As incurred, and net of disposals. In accordance with the</w:t>
      </w:r>
      <w:r>
        <w:t xml:space="preserve"> timing assumptions of the post </w:t>
      </w:r>
      <w:r w:rsidR="0088341A">
        <w:t>tax revenue model (PTRM), the capex includes a half-WACC allowance to compensate for the six month period before capex is added to the RAB for revenue modelling.</w:t>
      </w:r>
    </w:p>
    <w:p w:rsidR="0088341A" w:rsidRDefault="00782E04" w:rsidP="00DD2025">
      <w:pPr>
        <w:pStyle w:val="AERtablesource"/>
      </w:pPr>
      <w:r>
        <w:tab/>
      </w:r>
      <w:r w:rsidR="0088341A">
        <w:t>(b)</w:t>
      </w:r>
      <w:r w:rsidR="0088341A">
        <w:tab/>
        <w:t>Based on as-commissioned capex.</w:t>
      </w:r>
    </w:p>
    <w:p w:rsidR="0088341A" w:rsidRPr="00700FC7" w:rsidRDefault="0088341A" w:rsidP="0088341A">
      <w:pPr>
        <w:pStyle w:val="Heading2"/>
        <w:numPr>
          <w:ilvl w:val="2"/>
          <w:numId w:val="20"/>
        </w:numPr>
      </w:pPr>
      <w:bookmarkStart w:id="241" w:name="_Toc365283310"/>
      <w:r w:rsidRPr="00700FC7">
        <w:t>SP AusNet's proposal</w:t>
      </w:r>
      <w:bookmarkEnd w:id="241"/>
    </w:p>
    <w:p w:rsidR="0088341A" w:rsidRDefault="0088341A" w:rsidP="0088341A">
      <w:pPr>
        <w:pStyle w:val="AERbodytext"/>
        <w:numPr>
          <w:ilvl w:val="0"/>
          <w:numId w:val="1"/>
        </w:numPr>
      </w:pPr>
      <w:r>
        <w:t>SP AusNet proposed an</w:t>
      </w:r>
      <w:r w:rsidR="00782E04">
        <w:t xml:space="preserve"> opening RAB of $2191 million</w:t>
      </w:r>
      <w:r>
        <w:t xml:space="preserve"> at 1 April 2008.  To roll forward its asset base and establish its proposed opening RAB of $2866 million ($ nominal) as at 1 April 2014, it undertook the following steps: </w:t>
      </w:r>
    </w:p>
    <w:p w:rsidR="0088341A" w:rsidRPr="007E458E" w:rsidRDefault="00782E04" w:rsidP="0088341A">
      <w:pPr>
        <w:pStyle w:val="AERbulletlistfirststyle"/>
      </w:pPr>
      <w:r>
        <w:t>c</w:t>
      </w:r>
      <w:r w:rsidR="0088341A" w:rsidRPr="007E458E">
        <w:t>ommence with the nominal RAB value determined</w:t>
      </w:r>
      <w:r w:rsidR="0088341A">
        <w:t xml:space="preserve"> by </w:t>
      </w:r>
      <w:r>
        <w:t>us</w:t>
      </w:r>
      <w:r w:rsidR="0088341A">
        <w:t xml:space="preserve"> at 1 April 2008.</w:t>
      </w:r>
    </w:p>
    <w:p w:rsidR="0088341A" w:rsidRPr="007E458E" w:rsidRDefault="00782E04" w:rsidP="0088341A">
      <w:pPr>
        <w:pStyle w:val="AERbulletlistfirststyle"/>
      </w:pPr>
      <w:r>
        <w:t>a</w:t>
      </w:r>
      <w:r w:rsidR="0088341A">
        <w:t>dd a</w:t>
      </w:r>
      <w:r w:rsidR="0088341A" w:rsidRPr="007E458E">
        <w:t xml:space="preserve">n indexation adjustment to convert the nominal RAB value to </w:t>
      </w:r>
      <w:r w:rsidR="0088341A">
        <w:t>1 April</w:t>
      </w:r>
      <w:r w:rsidR="0088341A" w:rsidRPr="007E458E">
        <w:t xml:space="preserve"> 201</w:t>
      </w:r>
      <w:r w:rsidR="0088341A">
        <w:t>4.</w:t>
      </w:r>
      <w:r w:rsidR="0088341A" w:rsidRPr="007E458E">
        <w:t xml:space="preserve"> </w:t>
      </w:r>
    </w:p>
    <w:p w:rsidR="0088341A" w:rsidRPr="007E458E" w:rsidRDefault="00782E04" w:rsidP="0088341A">
      <w:pPr>
        <w:pStyle w:val="AERbulletlistfirststyle"/>
      </w:pPr>
      <w:r>
        <w:t>a</w:t>
      </w:r>
      <w:r w:rsidR="0088341A">
        <w:t>dd a</w:t>
      </w:r>
      <w:r w:rsidR="0088341A" w:rsidRPr="007E458E">
        <w:t>ctual and estimated cap</w:t>
      </w:r>
      <w:r w:rsidR="0088341A">
        <w:t>ex</w:t>
      </w:r>
      <w:r w:rsidR="0088341A" w:rsidRPr="007E458E">
        <w:t xml:space="preserve"> for each year of the </w:t>
      </w:r>
      <w:r w:rsidR="0088341A">
        <w:t>2008–14 regulatory control period.</w:t>
      </w:r>
      <w:r w:rsidR="0088341A" w:rsidRPr="007E458E">
        <w:t xml:space="preserve"> </w:t>
      </w:r>
    </w:p>
    <w:p w:rsidR="0088341A" w:rsidRPr="007E458E" w:rsidRDefault="00782E04" w:rsidP="0088341A">
      <w:pPr>
        <w:pStyle w:val="AERbulletlistfirststyle"/>
      </w:pPr>
      <w:r>
        <w:t>d</w:t>
      </w:r>
      <w:r w:rsidR="0088341A">
        <w:t>educt a</w:t>
      </w:r>
      <w:r w:rsidR="0088341A" w:rsidRPr="007E458E">
        <w:t xml:space="preserve">ctual and estimated depreciation during the </w:t>
      </w:r>
      <w:r w:rsidR="0088341A">
        <w:t xml:space="preserve">2008–14 </w:t>
      </w:r>
      <w:r w:rsidR="0088341A" w:rsidRPr="007E458E">
        <w:t>regulatory control period</w:t>
      </w:r>
      <w:r w:rsidR="0088341A">
        <w:t>.</w:t>
      </w:r>
      <w:r w:rsidR="0088341A" w:rsidRPr="007E458E">
        <w:t xml:space="preserve"> </w:t>
      </w:r>
    </w:p>
    <w:p w:rsidR="0088341A" w:rsidRPr="007E458E" w:rsidRDefault="00782E04" w:rsidP="0088341A">
      <w:pPr>
        <w:pStyle w:val="AERbulletlistfirststyle"/>
      </w:pPr>
      <w:r>
        <w:t>a</w:t>
      </w:r>
      <w:r w:rsidR="0088341A">
        <w:t xml:space="preserve">dd </w:t>
      </w:r>
      <w:r w:rsidR="0088341A" w:rsidRPr="007E458E">
        <w:t xml:space="preserve">Group 3 assets </w:t>
      </w:r>
      <w:r w:rsidR="0088341A">
        <w:t>that</w:t>
      </w:r>
      <w:r w:rsidR="0088341A" w:rsidRPr="007E458E">
        <w:t xml:space="preserve"> were completed during the </w:t>
      </w:r>
      <w:r w:rsidR="0088341A">
        <w:t xml:space="preserve">2008–14 </w:t>
      </w:r>
      <w:r w:rsidR="0088341A" w:rsidRPr="007E458E">
        <w:t>regulatory control period</w:t>
      </w:r>
      <w:r w:rsidR="0088341A">
        <w:t>.</w:t>
      </w:r>
      <w:r w:rsidR="0088341A">
        <w:rPr>
          <w:rStyle w:val="FootnoteReference"/>
        </w:rPr>
        <w:footnoteReference w:id="399"/>
      </w:r>
      <w:r w:rsidR="0088341A" w:rsidRPr="007E458E">
        <w:t xml:space="preserve"> </w:t>
      </w:r>
    </w:p>
    <w:p w:rsidR="0088341A" w:rsidRPr="007E458E" w:rsidRDefault="00782E04" w:rsidP="0088341A">
      <w:pPr>
        <w:pStyle w:val="AERbulletlistfirststyle"/>
      </w:pPr>
      <w:r>
        <w:t>d</w:t>
      </w:r>
      <w:r w:rsidR="0088341A">
        <w:t>educt a</w:t>
      </w:r>
      <w:r w:rsidR="0088341A" w:rsidRPr="007E458E">
        <w:t xml:space="preserve">ny difference between </w:t>
      </w:r>
      <w:r>
        <w:t>our</w:t>
      </w:r>
      <w:r w:rsidR="0088341A" w:rsidRPr="007E458E">
        <w:t xml:space="preserve"> </w:t>
      </w:r>
      <w:r w:rsidR="0088341A">
        <w:t>estimated</w:t>
      </w:r>
      <w:r w:rsidR="0088341A" w:rsidRPr="007E458E">
        <w:t xml:space="preserve"> </w:t>
      </w:r>
      <w:r w:rsidR="0088341A">
        <w:t>capex</w:t>
      </w:r>
      <w:r w:rsidR="0088341A" w:rsidRPr="007E458E">
        <w:t xml:space="preserve"> and depreciation in establishing the RAB as at 1 April 2008 and the actual amounts</w:t>
      </w:r>
      <w:r w:rsidR="0088341A">
        <w:t>.</w:t>
      </w:r>
      <w:r w:rsidR="0088341A" w:rsidRPr="007E458E">
        <w:t xml:space="preserve"> </w:t>
      </w:r>
    </w:p>
    <w:p w:rsidR="0088341A" w:rsidRPr="00936301" w:rsidRDefault="00782E04" w:rsidP="0088341A">
      <w:pPr>
        <w:pStyle w:val="AERbulletlistfirststyle"/>
      </w:pPr>
      <w:r>
        <w:t>a</w:t>
      </w:r>
      <w:r w:rsidR="0088341A">
        <w:t>dd t</w:t>
      </w:r>
      <w:r w:rsidR="0088341A" w:rsidRPr="007E458E">
        <w:t xml:space="preserve">he value of </w:t>
      </w:r>
      <w:r w:rsidR="0088341A">
        <w:t xml:space="preserve">assets under construction (or </w:t>
      </w:r>
      <w:r w:rsidR="0088341A" w:rsidRPr="007E458E">
        <w:t>work in progress</w:t>
      </w:r>
      <w:r w:rsidR="0088341A">
        <w:t>)</w:t>
      </w:r>
      <w:r w:rsidR="0088341A" w:rsidRPr="00936301">
        <w:t>.</w:t>
      </w:r>
      <w:r w:rsidR="0088341A">
        <w:rPr>
          <w:rStyle w:val="FootnoteReference"/>
        </w:rPr>
        <w:footnoteReference w:id="400"/>
      </w:r>
      <w:r w:rsidR="0088341A" w:rsidRPr="00936301">
        <w:t xml:space="preserve"> </w:t>
      </w:r>
    </w:p>
    <w:p w:rsidR="0088341A" w:rsidRDefault="0088341A" w:rsidP="0088341A">
      <w:pPr>
        <w:pStyle w:val="AERbodytext"/>
        <w:numPr>
          <w:ilvl w:val="0"/>
          <w:numId w:val="1"/>
        </w:numPr>
      </w:pPr>
      <w:r>
        <w:t>SP AusNet proposed a closing RAB of $3244 millio</w:t>
      </w:r>
      <w:r w:rsidR="00782E04">
        <w:t xml:space="preserve">n ($ nominal) </w:t>
      </w:r>
      <w:r>
        <w:t>at 31 March 2017, which reflects its forecast capex, inflation and depreciation over the 2014–17 regulatory control period.</w:t>
      </w:r>
      <w:r>
        <w:rPr>
          <w:rStyle w:val="FootnoteReference"/>
        </w:rPr>
        <w:footnoteReference w:id="401"/>
      </w:r>
    </w:p>
    <w:p w:rsidR="0088341A" w:rsidRDefault="0088341A" w:rsidP="0088341A">
      <w:pPr>
        <w:pStyle w:val="AERbodytext"/>
        <w:numPr>
          <w:ilvl w:val="0"/>
          <w:numId w:val="1"/>
        </w:numPr>
      </w:pPr>
      <w:r>
        <w:fldChar w:fldCharType="begin"/>
      </w:r>
      <w:r>
        <w:instrText xml:space="preserve"> REF _Ref358363604 \h </w:instrText>
      </w:r>
      <w:r>
        <w:fldChar w:fldCharType="separate"/>
      </w:r>
      <w:r w:rsidR="004F35AA">
        <w:t xml:space="preserve">Table </w:t>
      </w:r>
      <w:r w:rsidR="004F35AA">
        <w:rPr>
          <w:noProof/>
        </w:rPr>
        <w:t>5</w:t>
      </w:r>
      <w:r w:rsidR="004F35AA">
        <w:t>.</w:t>
      </w:r>
      <w:r w:rsidR="004F35AA">
        <w:rPr>
          <w:noProof/>
        </w:rPr>
        <w:t>3</w:t>
      </w:r>
      <w:r>
        <w:fldChar w:fldCharType="end"/>
      </w:r>
      <w:r>
        <w:t xml:space="preserve"> and </w:t>
      </w:r>
      <w:r>
        <w:fldChar w:fldCharType="begin"/>
      </w:r>
      <w:r>
        <w:instrText xml:space="preserve"> REF _Ref356484526 \h </w:instrText>
      </w:r>
      <w:r>
        <w:fldChar w:fldCharType="separate"/>
      </w:r>
      <w:r w:rsidR="004F35AA">
        <w:t xml:space="preserve">Table </w:t>
      </w:r>
      <w:r w:rsidR="004F35AA">
        <w:rPr>
          <w:noProof/>
        </w:rPr>
        <w:t>5</w:t>
      </w:r>
      <w:r w:rsidR="004F35AA">
        <w:t>.</w:t>
      </w:r>
      <w:r w:rsidR="004F35AA">
        <w:rPr>
          <w:noProof/>
        </w:rPr>
        <w:t>4</w:t>
      </w:r>
      <w:r>
        <w:fldChar w:fldCharType="end"/>
      </w:r>
      <w:r>
        <w:t xml:space="preserve"> present SP AusNet's proposed roll forward of the RAB during the 2008–14 regulatory control period and the 2014–17 regulatory control period respectively.</w:t>
      </w:r>
    </w:p>
    <w:p w:rsidR="0088341A" w:rsidRDefault="0088341A" w:rsidP="0088341A">
      <w:pPr>
        <w:pStyle w:val="Caption"/>
        <w:keepLines/>
      </w:pPr>
      <w:bookmarkStart w:id="242" w:name="_Ref358363604"/>
      <w:r>
        <w:lastRenderedPageBreak/>
        <w:t xml:space="preserve">Table </w:t>
      </w:r>
      <w:fldSimple w:instr=" STYLEREF 1 \s ">
        <w:r w:rsidR="004F35AA">
          <w:rPr>
            <w:noProof/>
          </w:rPr>
          <w:t>5</w:t>
        </w:r>
      </w:fldSimple>
      <w:r w:rsidR="00C56A87">
        <w:t>.</w:t>
      </w:r>
      <w:fldSimple w:instr=" SEQ Table \* ARABIC \s 1 ">
        <w:r w:rsidR="004F35AA">
          <w:rPr>
            <w:noProof/>
          </w:rPr>
          <w:t>3</w:t>
        </w:r>
      </w:fldSimple>
      <w:bookmarkEnd w:id="242"/>
      <w:r>
        <w:tab/>
        <w:t xml:space="preserve">SP AusNet's proposed RAB for the 2008–14 regulatory control period </w:t>
      </w:r>
      <w:r>
        <w:br/>
        <w:t>($ million, nominal)</w:t>
      </w:r>
    </w:p>
    <w:tbl>
      <w:tblPr>
        <w:tblW w:w="5000" w:type="pct"/>
        <w:tblBorders>
          <w:bottom w:val="single" w:sz="4" w:space="0" w:color="365F91"/>
        </w:tblBorders>
        <w:tblLook w:val="01E0" w:firstRow="1" w:lastRow="1" w:firstColumn="1" w:lastColumn="1" w:noHBand="0" w:noVBand="0"/>
      </w:tblPr>
      <w:tblGrid>
        <w:gridCol w:w="3261"/>
        <w:gridCol w:w="998"/>
        <w:gridCol w:w="998"/>
        <w:gridCol w:w="998"/>
        <w:gridCol w:w="998"/>
        <w:gridCol w:w="996"/>
        <w:gridCol w:w="993"/>
      </w:tblGrid>
      <w:tr w:rsidR="0088341A" w:rsidRPr="00200EA2" w:rsidTr="00501137">
        <w:trPr>
          <w:trHeight w:val="526"/>
        </w:trPr>
        <w:tc>
          <w:tcPr>
            <w:tcW w:w="1764" w:type="pct"/>
            <w:shd w:val="clear" w:color="auto" w:fill="365F91"/>
            <w:vAlign w:val="center"/>
          </w:tcPr>
          <w:p w:rsidR="0088341A" w:rsidRPr="00200EA2" w:rsidRDefault="0088341A" w:rsidP="00501137">
            <w:pPr>
              <w:keepNext/>
              <w:keepLines/>
              <w:spacing w:before="120"/>
              <w:rPr>
                <w:b/>
                <w:color w:val="FFFFFF"/>
                <w:sz w:val="16"/>
              </w:rPr>
            </w:pPr>
          </w:p>
        </w:tc>
        <w:tc>
          <w:tcPr>
            <w:tcW w:w="540" w:type="pct"/>
            <w:shd w:val="clear" w:color="auto" w:fill="365F91"/>
            <w:vAlign w:val="center"/>
          </w:tcPr>
          <w:p w:rsidR="0088341A" w:rsidRPr="00B3544E" w:rsidRDefault="0088341A" w:rsidP="00501137">
            <w:pPr>
              <w:pStyle w:val="AERtabletextright"/>
              <w:keepNext/>
              <w:keepLines/>
              <w:rPr>
                <w:b/>
                <w:color w:val="FFFFFF"/>
              </w:rPr>
            </w:pPr>
            <w:r w:rsidRPr="00B3544E">
              <w:rPr>
                <w:b/>
                <w:color w:val="FFFFFF"/>
              </w:rPr>
              <w:t>2008–09</w:t>
            </w:r>
          </w:p>
        </w:tc>
        <w:tc>
          <w:tcPr>
            <w:tcW w:w="540" w:type="pct"/>
            <w:shd w:val="clear" w:color="auto" w:fill="365F91"/>
            <w:vAlign w:val="center"/>
          </w:tcPr>
          <w:p w:rsidR="0088341A" w:rsidRPr="009D6979" w:rsidRDefault="0088341A" w:rsidP="00501137">
            <w:pPr>
              <w:pStyle w:val="AERtabletextright"/>
              <w:keepNext/>
              <w:keepLines/>
              <w:rPr>
                <w:b/>
                <w:color w:val="FFFFFF"/>
              </w:rPr>
            </w:pPr>
            <w:r w:rsidRPr="009D6979">
              <w:rPr>
                <w:b/>
                <w:color w:val="FFFFFF"/>
              </w:rPr>
              <w:t>2009–10</w:t>
            </w:r>
          </w:p>
        </w:tc>
        <w:tc>
          <w:tcPr>
            <w:tcW w:w="540" w:type="pct"/>
            <w:shd w:val="clear" w:color="auto" w:fill="365F91"/>
            <w:vAlign w:val="center"/>
          </w:tcPr>
          <w:p w:rsidR="0088341A" w:rsidRPr="009D6979" w:rsidRDefault="0088341A" w:rsidP="00501137">
            <w:pPr>
              <w:pStyle w:val="AERtabletextright"/>
              <w:keepNext/>
              <w:keepLines/>
              <w:rPr>
                <w:b/>
                <w:color w:val="FFFFFF"/>
              </w:rPr>
            </w:pPr>
            <w:r w:rsidRPr="009D6979">
              <w:rPr>
                <w:b/>
                <w:color w:val="FFFFFF"/>
              </w:rPr>
              <w:t>2010–11</w:t>
            </w:r>
          </w:p>
        </w:tc>
        <w:tc>
          <w:tcPr>
            <w:tcW w:w="540" w:type="pct"/>
            <w:shd w:val="clear" w:color="auto" w:fill="365F91"/>
            <w:vAlign w:val="center"/>
          </w:tcPr>
          <w:p w:rsidR="0088341A" w:rsidRPr="009D6979" w:rsidRDefault="0088341A" w:rsidP="00501137">
            <w:pPr>
              <w:pStyle w:val="AERtabletextright"/>
              <w:keepNext/>
              <w:keepLines/>
              <w:rPr>
                <w:rStyle w:val="AERsuperscript"/>
                <w:b/>
                <w:color w:val="FFFFFF"/>
              </w:rPr>
            </w:pPr>
            <w:r w:rsidRPr="009D6979">
              <w:rPr>
                <w:b/>
                <w:color w:val="FFFFFF"/>
              </w:rPr>
              <w:t>2011–12</w:t>
            </w:r>
          </w:p>
        </w:tc>
        <w:tc>
          <w:tcPr>
            <w:tcW w:w="539" w:type="pct"/>
            <w:shd w:val="clear" w:color="auto" w:fill="365F91"/>
            <w:vAlign w:val="center"/>
          </w:tcPr>
          <w:p w:rsidR="0088341A" w:rsidRPr="009D6979" w:rsidRDefault="0088341A" w:rsidP="00501137">
            <w:pPr>
              <w:pStyle w:val="AERtabletextright"/>
              <w:keepNext/>
              <w:keepLines/>
              <w:rPr>
                <w:b/>
                <w:color w:val="FFFFFF"/>
              </w:rPr>
            </w:pPr>
            <w:r w:rsidRPr="009D6979">
              <w:rPr>
                <w:b/>
                <w:color w:val="FFFFFF"/>
              </w:rPr>
              <w:t>2012–13</w:t>
            </w:r>
          </w:p>
        </w:tc>
        <w:tc>
          <w:tcPr>
            <w:tcW w:w="537" w:type="pct"/>
            <w:shd w:val="clear" w:color="auto" w:fill="365F91"/>
            <w:vAlign w:val="center"/>
          </w:tcPr>
          <w:p w:rsidR="0088341A" w:rsidRPr="009D6979" w:rsidRDefault="0088341A" w:rsidP="00501137">
            <w:pPr>
              <w:pStyle w:val="AERtabletextright"/>
              <w:keepNext/>
              <w:keepLines/>
              <w:rPr>
                <w:b/>
                <w:color w:val="FFFFFF"/>
              </w:rPr>
            </w:pPr>
            <w:r w:rsidRPr="009D6979">
              <w:rPr>
                <w:b/>
                <w:color w:val="FFFFFF"/>
              </w:rPr>
              <w:t>2013–14</w:t>
            </w:r>
          </w:p>
        </w:tc>
      </w:tr>
      <w:tr w:rsidR="0088341A" w:rsidRPr="00200EA2" w:rsidTr="00501137">
        <w:trPr>
          <w:trHeight w:val="526"/>
        </w:trPr>
        <w:tc>
          <w:tcPr>
            <w:tcW w:w="1764" w:type="pct"/>
            <w:shd w:val="clear" w:color="auto" w:fill="auto"/>
            <w:vAlign w:val="center"/>
          </w:tcPr>
          <w:p w:rsidR="0088341A" w:rsidRPr="009A6FC1" w:rsidRDefault="0088341A" w:rsidP="00501137">
            <w:pPr>
              <w:pStyle w:val="AERtabletextleft"/>
              <w:keepNext/>
              <w:keepLines/>
            </w:pPr>
            <w:r w:rsidRPr="00D36EEF">
              <w:t>Opening RAB</w:t>
            </w:r>
          </w:p>
        </w:tc>
        <w:tc>
          <w:tcPr>
            <w:tcW w:w="540" w:type="pct"/>
            <w:shd w:val="clear" w:color="auto" w:fill="auto"/>
            <w:vAlign w:val="center"/>
          </w:tcPr>
          <w:p w:rsidR="0088341A" w:rsidRPr="009A6FC1" w:rsidRDefault="0088341A" w:rsidP="00501137">
            <w:pPr>
              <w:pStyle w:val="AERtabletextright"/>
              <w:keepNext/>
              <w:keepLines/>
            </w:pPr>
            <w:r>
              <w:t>2191.2</w:t>
            </w:r>
          </w:p>
        </w:tc>
        <w:tc>
          <w:tcPr>
            <w:tcW w:w="540" w:type="pct"/>
            <w:shd w:val="clear" w:color="auto" w:fill="auto"/>
            <w:vAlign w:val="center"/>
          </w:tcPr>
          <w:p w:rsidR="0088341A" w:rsidRPr="009A6FC1" w:rsidRDefault="0088341A" w:rsidP="00501137">
            <w:pPr>
              <w:pStyle w:val="AERtabletextright"/>
              <w:keepNext/>
              <w:keepLines/>
            </w:pPr>
            <w:r>
              <w:t>2260.7</w:t>
            </w:r>
          </w:p>
        </w:tc>
        <w:tc>
          <w:tcPr>
            <w:tcW w:w="540" w:type="pct"/>
            <w:shd w:val="clear" w:color="auto" w:fill="auto"/>
            <w:vAlign w:val="center"/>
          </w:tcPr>
          <w:p w:rsidR="0088341A" w:rsidRPr="009A6FC1" w:rsidRDefault="0088341A" w:rsidP="00501137">
            <w:pPr>
              <w:pStyle w:val="AERtabletextright"/>
              <w:keepNext/>
              <w:keepLines/>
            </w:pPr>
            <w:r>
              <w:t>2310.8</w:t>
            </w:r>
          </w:p>
        </w:tc>
        <w:tc>
          <w:tcPr>
            <w:tcW w:w="540" w:type="pct"/>
            <w:shd w:val="clear" w:color="auto" w:fill="auto"/>
            <w:vAlign w:val="center"/>
          </w:tcPr>
          <w:p w:rsidR="0088341A" w:rsidRPr="009A6FC1" w:rsidRDefault="0088341A" w:rsidP="00501137">
            <w:pPr>
              <w:pStyle w:val="AERtabletextright"/>
              <w:keepNext/>
              <w:keepLines/>
            </w:pPr>
            <w:r>
              <w:t>2366.9</w:t>
            </w:r>
          </w:p>
        </w:tc>
        <w:tc>
          <w:tcPr>
            <w:tcW w:w="539" w:type="pct"/>
            <w:shd w:val="clear" w:color="auto" w:fill="auto"/>
            <w:vAlign w:val="center"/>
          </w:tcPr>
          <w:p w:rsidR="0088341A" w:rsidRPr="009A6FC1" w:rsidRDefault="0088341A" w:rsidP="00501137">
            <w:pPr>
              <w:pStyle w:val="AERtabletextright"/>
              <w:keepNext/>
              <w:keepLines/>
            </w:pPr>
            <w:r>
              <w:t>2454.0</w:t>
            </w:r>
          </w:p>
        </w:tc>
        <w:tc>
          <w:tcPr>
            <w:tcW w:w="537" w:type="pct"/>
            <w:shd w:val="clear" w:color="auto" w:fill="auto"/>
            <w:vAlign w:val="center"/>
          </w:tcPr>
          <w:p w:rsidR="0088341A" w:rsidRPr="009A6FC1" w:rsidRDefault="0088341A" w:rsidP="00501137">
            <w:pPr>
              <w:pStyle w:val="AERtabletextright"/>
              <w:keepNext/>
              <w:keepLines/>
            </w:pPr>
            <w:r>
              <w:t>2552.4</w:t>
            </w:r>
          </w:p>
        </w:tc>
      </w:tr>
      <w:tr w:rsidR="0088341A" w:rsidRPr="00200EA2" w:rsidTr="00501137">
        <w:trPr>
          <w:trHeight w:val="526"/>
        </w:trPr>
        <w:tc>
          <w:tcPr>
            <w:tcW w:w="1764" w:type="pct"/>
            <w:shd w:val="clear" w:color="auto" w:fill="DBE5F1"/>
            <w:vAlign w:val="center"/>
          </w:tcPr>
          <w:p w:rsidR="0088341A" w:rsidRPr="009A6FC1" w:rsidRDefault="0088341A" w:rsidP="00501137">
            <w:pPr>
              <w:pStyle w:val="AERtabletextleft"/>
              <w:keepNext/>
              <w:keepLines/>
            </w:pPr>
            <w:r w:rsidRPr="00D36EEF">
              <w:t>Cap</w:t>
            </w:r>
            <w:r>
              <w:t xml:space="preserve">ital </w:t>
            </w:r>
            <w:r w:rsidRPr="00D36EEF">
              <w:t>e</w:t>
            </w:r>
            <w:r>
              <w:t>xpenditure</w:t>
            </w:r>
            <w:r w:rsidRPr="009A6FC1">
              <w:rPr>
                <w:rStyle w:val="AERsuperscript"/>
              </w:rPr>
              <w:t>a</w:t>
            </w:r>
            <w:r w:rsidRPr="009A6FC1">
              <w:t xml:space="preserve"> </w:t>
            </w:r>
          </w:p>
        </w:tc>
        <w:tc>
          <w:tcPr>
            <w:tcW w:w="540" w:type="pct"/>
            <w:shd w:val="clear" w:color="auto" w:fill="DBE5F1"/>
            <w:vAlign w:val="center"/>
          </w:tcPr>
          <w:p w:rsidR="0088341A" w:rsidRPr="009A6FC1" w:rsidRDefault="0088341A" w:rsidP="00501137">
            <w:pPr>
              <w:pStyle w:val="AERtabletextright"/>
              <w:keepNext/>
              <w:keepLines/>
            </w:pPr>
            <w:r>
              <w:t>95.7</w:t>
            </w:r>
          </w:p>
        </w:tc>
        <w:tc>
          <w:tcPr>
            <w:tcW w:w="540" w:type="pct"/>
            <w:shd w:val="clear" w:color="auto" w:fill="DBE5F1"/>
            <w:vAlign w:val="center"/>
          </w:tcPr>
          <w:p w:rsidR="0088341A" w:rsidRPr="009A6FC1" w:rsidRDefault="0088341A" w:rsidP="00501137">
            <w:pPr>
              <w:pStyle w:val="AERtabletextright"/>
              <w:keepNext/>
              <w:keepLines/>
            </w:pPr>
            <w:r>
              <w:t>115.3</w:t>
            </w:r>
          </w:p>
        </w:tc>
        <w:tc>
          <w:tcPr>
            <w:tcW w:w="540" w:type="pct"/>
            <w:shd w:val="clear" w:color="auto" w:fill="DBE5F1"/>
            <w:vAlign w:val="center"/>
          </w:tcPr>
          <w:p w:rsidR="0088341A" w:rsidRPr="009A6FC1" w:rsidRDefault="0088341A" w:rsidP="00501137">
            <w:pPr>
              <w:pStyle w:val="AERtabletextright"/>
              <w:keepNext/>
              <w:keepLines/>
            </w:pPr>
            <w:r>
              <w:t>113.5</w:t>
            </w:r>
          </w:p>
        </w:tc>
        <w:tc>
          <w:tcPr>
            <w:tcW w:w="540" w:type="pct"/>
            <w:shd w:val="clear" w:color="auto" w:fill="DBE5F1"/>
            <w:vAlign w:val="center"/>
          </w:tcPr>
          <w:p w:rsidR="0088341A" w:rsidRPr="009A6FC1" w:rsidRDefault="0088341A" w:rsidP="00501137">
            <w:pPr>
              <w:pStyle w:val="AERtabletextright"/>
              <w:keepNext/>
              <w:keepLines/>
            </w:pPr>
            <w:r>
              <w:t>137.3</w:t>
            </w:r>
          </w:p>
        </w:tc>
        <w:tc>
          <w:tcPr>
            <w:tcW w:w="539" w:type="pct"/>
            <w:shd w:val="clear" w:color="auto" w:fill="DBE5F1"/>
            <w:vAlign w:val="center"/>
          </w:tcPr>
          <w:p w:rsidR="0088341A" w:rsidRPr="009A6FC1" w:rsidRDefault="0088341A" w:rsidP="00501137">
            <w:pPr>
              <w:pStyle w:val="AERtabletextright"/>
              <w:keepNext/>
              <w:keepLines/>
            </w:pPr>
            <w:r>
              <w:t>173.8</w:t>
            </w:r>
          </w:p>
        </w:tc>
        <w:tc>
          <w:tcPr>
            <w:tcW w:w="537" w:type="pct"/>
            <w:shd w:val="clear" w:color="auto" w:fill="DBE5F1"/>
            <w:vAlign w:val="center"/>
          </w:tcPr>
          <w:p w:rsidR="0088341A" w:rsidRPr="009A6FC1" w:rsidRDefault="0088341A" w:rsidP="00501137">
            <w:pPr>
              <w:pStyle w:val="AERtabletextright"/>
              <w:keepNext/>
              <w:keepLines/>
            </w:pPr>
            <w:r>
              <w:t>141.5</w:t>
            </w:r>
          </w:p>
        </w:tc>
      </w:tr>
      <w:tr w:rsidR="0088341A" w:rsidRPr="00200EA2" w:rsidTr="00501137">
        <w:trPr>
          <w:trHeight w:val="526"/>
        </w:trPr>
        <w:tc>
          <w:tcPr>
            <w:tcW w:w="1764" w:type="pct"/>
            <w:shd w:val="clear" w:color="auto" w:fill="auto"/>
            <w:vAlign w:val="center"/>
          </w:tcPr>
          <w:p w:rsidR="0088341A" w:rsidRPr="009A6FC1" w:rsidRDefault="0088341A" w:rsidP="00501137">
            <w:pPr>
              <w:pStyle w:val="AERtabletextleft"/>
              <w:keepNext/>
              <w:keepLines/>
            </w:pPr>
            <w:r w:rsidRPr="00D36EEF">
              <w:t>CPI indexation on opening RAB</w:t>
            </w:r>
          </w:p>
        </w:tc>
        <w:tc>
          <w:tcPr>
            <w:tcW w:w="540" w:type="pct"/>
            <w:shd w:val="clear" w:color="auto" w:fill="auto"/>
            <w:vAlign w:val="center"/>
          </w:tcPr>
          <w:p w:rsidR="0088341A" w:rsidRPr="009A6FC1" w:rsidRDefault="0088341A" w:rsidP="00501137">
            <w:pPr>
              <w:pStyle w:val="AERtabletextright"/>
              <w:keepNext/>
              <w:keepLines/>
            </w:pPr>
            <w:r>
              <w:t>80.8</w:t>
            </w:r>
          </w:p>
        </w:tc>
        <w:tc>
          <w:tcPr>
            <w:tcW w:w="540" w:type="pct"/>
            <w:shd w:val="clear" w:color="auto" w:fill="auto"/>
            <w:vAlign w:val="center"/>
          </w:tcPr>
          <w:p w:rsidR="0088341A" w:rsidRPr="009A6FC1" w:rsidRDefault="0088341A" w:rsidP="00501137">
            <w:pPr>
              <w:pStyle w:val="AERtabletextright"/>
              <w:keepNext/>
              <w:keepLines/>
            </w:pPr>
            <w:r>
              <w:t>47.7</w:t>
            </w:r>
          </w:p>
        </w:tc>
        <w:tc>
          <w:tcPr>
            <w:tcW w:w="540" w:type="pct"/>
            <w:shd w:val="clear" w:color="auto" w:fill="auto"/>
            <w:vAlign w:val="center"/>
          </w:tcPr>
          <w:p w:rsidR="0088341A" w:rsidRPr="009A6FC1" w:rsidRDefault="0088341A" w:rsidP="00501137">
            <w:pPr>
              <w:pStyle w:val="AERtabletextright"/>
              <w:keepNext/>
              <w:keepLines/>
            </w:pPr>
            <w:r>
              <w:t>61.3</w:t>
            </w:r>
          </w:p>
        </w:tc>
        <w:tc>
          <w:tcPr>
            <w:tcW w:w="540" w:type="pct"/>
            <w:shd w:val="clear" w:color="auto" w:fill="auto"/>
            <w:vAlign w:val="center"/>
          </w:tcPr>
          <w:p w:rsidR="0088341A" w:rsidRPr="009A6FC1" w:rsidRDefault="0088341A" w:rsidP="00501137">
            <w:pPr>
              <w:pStyle w:val="AERtabletextright"/>
              <w:keepNext/>
              <w:keepLines/>
            </w:pPr>
            <w:r>
              <w:t>73.5</w:t>
            </w:r>
          </w:p>
        </w:tc>
        <w:tc>
          <w:tcPr>
            <w:tcW w:w="539" w:type="pct"/>
            <w:shd w:val="clear" w:color="auto" w:fill="auto"/>
            <w:vAlign w:val="center"/>
          </w:tcPr>
          <w:p w:rsidR="0088341A" w:rsidRPr="009A6FC1" w:rsidRDefault="0088341A" w:rsidP="00501137">
            <w:pPr>
              <w:pStyle w:val="AERtabletextright"/>
              <w:keepNext/>
              <w:keepLines/>
            </w:pPr>
            <w:r>
              <w:t>54.1</w:t>
            </w:r>
          </w:p>
        </w:tc>
        <w:tc>
          <w:tcPr>
            <w:tcW w:w="537" w:type="pct"/>
            <w:shd w:val="clear" w:color="auto" w:fill="auto"/>
            <w:vAlign w:val="center"/>
          </w:tcPr>
          <w:p w:rsidR="0088341A" w:rsidRPr="009A6FC1" w:rsidRDefault="0088341A" w:rsidP="00501137">
            <w:pPr>
              <w:pStyle w:val="AERtabletextright"/>
              <w:keepNext/>
              <w:keepLines/>
            </w:pPr>
            <w:r>
              <w:t>63.8</w:t>
            </w:r>
          </w:p>
        </w:tc>
      </w:tr>
      <w:tr w:rsidR="0088341A" w:rsidRPr="00200EA2" w:rsidTr="00501137">
        <w:trPr>
          <w:trHeight w:val="526"/>
        </w:trPr>
        <w:tc>
          <w:tcPr>
            <w:tcW w:w="1764" w:type="pct"/>
            <w:shd w:val="clear" w:color="auto" w:fill="DBE5F1"/>
            <w:vAlign w:val="center"/>
          </w:tcPr>
          <w:p w:rsidR="0088341A" w:rsidRPr="009A6FC1" w:rsidRDefault="0088341A" w:rsidP="00501137">
            <w:pPr>
              <w:pStyle w:val="AERtabletextleft"/>
              <w:keepNext/>
              <w:keepLines/>
            </w:pPr>
            <w:r w:rsidRPr="00D36EEF">
              <w:t>Straight-line depreciation</w:t>
            </w:r>
            <w:r w:rsidRPr="009A6FC1">
              <w:rPr>
                <w:rStyle w:val="AERsuperscript"/>
              </w:rPr>
              <w:t>b</w:t>
            </w:r>
          </w:p>
        </w:tc>
        <w:tc>
          <w:tcPr>
            <w:tcW w:w="540" w:type="pct"/>
            <w:shd w:val="clear" w:color="auto" w:fill="DBE5F1"/>
            <w:vAlign w:val="center"/>
          </w:tcPr>
          <w:p w:rsidR="0088341A" w:rsidRPr="009A6FC1" w:rsidRDefault="0088341A" w:rsidP="00501137">
            <w:pPr>
              <w:pStyle w:val="AERtabletextright"/>
              <w:keepNext/>
              <w:keepLines/>
            </w:pPr>
            <w:r>
              <w:t>–107.0</w:t>
            </w:r>
          </w:p>
        </w:tc>
        <w:tc>
          <w:tcPr>
            <w:tcW w:w="540" w:type="pct"/>
            <w:shd w:val="clear" w:color="auto" w:fill="DBE5F1"/>
            <w:vAlign w:val="center"/>
          </w:tcPr>
          <w:p w:rsidR="0088341A" w:rsidRPr="009A6FC1" w:rsidRDefault="0088341A" w:rsidP="00501137">
            <w:pPr>
              <w:pStyle w:val="AERtabletextright"/>
              <w:keepNext/>
              <w:keepLines/>
            </w:pPr>
            <w:r>
              <w:t>–112.8</w:t>
            </w:r>
          </w:p>
        </w:tc>
        <w:tc>
          <w:tcPr>
            <w:tcW w:w="540" w:type="pct"/>
            <w:shd w:val="clear" w:color="auto" w:fill="DBE5F1"/>
            <w:vAlign w:val="center"/>
          </w:tcPr>
          <w:p w:rsidR="0088341A" w:rsidRPr="009A6FC1" w:rsidRDefault="0088341A" w:rsidP="00501137">
            <w:pPr>
              <w:pStyle w:val="AERtabletextright"/>
              <w:keepNext/>
              <w:keepLines/>
            </w:pPr>
            <w:r>
              <w:t>–118.8</w:t>
            </w:r>
          </w:p>
        </w:tc>
        <w:tc>
          <w:tcPr>
            <w:tcW w:w="540" w:type="pct"/>
            <w:shd w:val="clear" w:color="auto" w:fill="DBE5F1"/>
            <w:vAlign w:val="center"/>
          </w:tcPr>
          <w:p w:rsidR="0088341A" w:rsidRPr="009A6FC1" w:rsidRDefault="0088341A" w:rsidP="00501137">
            <w:pPr>
              <w:pStyle w:val="AERtabletextright"/>
              <w:keepNext/>
              <w:keepLines/>
            </w:pPr>
            <w:r>
              <w:t>–123.7</w:t>
            </w:r>
          </w:p>
        </w:tc>
        <w:tc>
          <w:tcPr>
            <w:tcW w:w="539" w:type="pct"/>
            <w:shd w:val="clear" w:color="auto" w:fill="DBE5F1"/>
            <w:vAlign w:val="center"/>
          </w:tcPr>
          <w:p w:rsidR="0088341A" w:rsidRPr="009A6FC1" w:rsidRDefault="0088341A" w:rsidP="00501137">
            <w:pPr>
              <w:pStyle w:val="AERtabletextright"/>
              <w:keepNext/>
              <w:keepLines/>
            </w:pPr>
            <w:r>
              <w:t>–129.5</w:t>
            </w:r>
          </w:p>
        </w:tc>
        <w:tc>
          <w:tcPr>
            <w:tcW w:w="537" w:type="pct"/>
            <w:shd w:val="clear" w:color="auto" w:fill="DBE5F1"/>
            <w:vAlign w:val="center"/>
          </w:tcPr>
          <w:p w:rsidR="0088341A" w:rsidRPr="009A6FC1" w:rsidRDefault="0088341A" w:rsidP="00501137">
            <w:pPr>
              <w:pStyle w:val="AERtabletextright"/>
              <w:keepNext/>
              <w:keepLines/>
            </w:pPr>
            <w:r>
              <w:t>–129.2</w:t>
            </w:r>
          </w:p>
        </w:tc>
      </w:tr>
      <w:tr w:rsidR="0088341A" w:rsidRPr="00200EA2" w:rsidTr="00501137">
        <w:trPr>
          <w:trHeight w:val="526"/>
        </w:trPr>
        <w:tc>
          <w:tcPr>
            <w:tcW w:w="1764" w:type="pct"/>
            <w:shd w:val="clear" w:color="auto" w:fill="auto"/>
            <w:vAlign w:val="center"/>
          </w:tcPr>
          <w:p w:rsidR="0088341A" w:rsidRPr="009A6FC1" w:rsidRDefault="0088341A" w:rsidP="00501137">
            <w:pPr>
              <w:pStyle w:val="AERtabletextleft"/>
              <w:keepNext/>
              <w:keepLines/>
            </w:pPr>
            <w:r w:rsidRPr="00D36EEF">
              <w:t>Closing RAB</w:t>
            </w:r>
          </w:p>
        </w:tc>
        <w:tc>
          <w:tcPr>
            <w:tcW w:w="540" w:type="pct"/>
            <w:shd w:val="clear" w:color="auto" w:fill="auto"/>
            <w:vAlign w:val="center"/>
          </w:tcPr>
          <w:p w:rsidR="0088341A" w:rsidRPr="009A6FC1" w:rsidRDefault="0088341A" w:rsidP="00501137">
            <w:pPr>
              <w:pStyle w:val="AERtabletextright"/>
              <w:keepNext/>
              <w:keepLines/>
            </w:pPr>
            <w:r>
              <w:t>2260.7</w:t>
            </w:r>
          </w:p>
        </w:tc>
        <w:tc>
          <w:tcPr>
            <w:tcW w:w="540" w:type="pct"/>
            <w:shd w:val="clear" w:color="auto" w:fill="auto"/>
            <w:vAlign w:val="center"/>
          </w:tcPr>
          <w:p w:rsidR="0088341A" w:rsidRPr="009A6FC1" w:rsidRDefault="0088341A" w:rsidP="00501137">
            <w:pPr>
              <w:pStyle w:val="AERtabletextright"/>
              <w:keepNext/>
              <w:keepLines/>
            </w:pPr>
            <w:r>
              <w:t>2310.8</w:t>
            </w:r>
          </w:p>
        </w:tc>
        <w:tc>
          <w:tcPr>
            <w:tcW w:w="540" w:type="pct"/>
            <w:shd w:val="clear" w:color="auto" w:fill="auto"/>
            <w:vAlign w:val="center"/>
          </w:tcPr>
          <w:p w:rsidR="0088341A" w:rsidRPr="009A6FC1" w:rsidRDefault="0088341A" w:rsidP="00501137">
            <w:pPr>
              <w:pStyle w:val="AERtabletextright"/>
              <w:keepNext/>
              <w:keepLines/>
            </w:pPr>
            <w:r>
              <w:t>2366.9</w:t>
            </w:r>
          </w:p>
        </w:tc>
        <w:tc>
          <w:tcPr>
            <w:tcW w:w="540" w:type="pct"/>
            <w:shd w:val="clear" w:color="auto" w:fill="auto"/>
            <w:vAlign w:val="center"/>
          </w:tcPr>
          <w:p w:rsidR="0088341A" w:rsidRPr="009A6FC1" w:rsidRDefault="0088341A" w:rsidP="00501137">
            <w:pPr>
              <w:pStyle w:val="AERtabletextright"/>
              <w:keepNext/>
              <w:keepLines/>
            </w:pPr>
            <w:r>
              <w:t>2454.0</w:t>
            </w:r>
          </w:p>
        </w:tc>
        <w:tc>
          <w:tcPr>
            <w:tcW w:w="539" w:type="pct"/>
            <w:shd w:val="clear" w:color="auto" w:fill="auto"/>
            <w:vAlign w:val="center"/>
          </w:tcPr>
          <w:p w:rsidR="0088341A" w:rsidRPr="009A6FC1" w:rsidRDefault="0088341A" w:rsidP="00501137">
            <w:pPr>
              <w:pStyle w:val="AERtabletextright"/>
              <w:keepNext/>
              <w:keepLines/>
            </w:pPr>
            <w:r>
              <w:t>2552.4</w:t>
            </w:r>
          </w:p>
        </w:tc>
        <w:tc>
          <w:tcPr>
            <w:tcW w:w="537" w:type="pct"/>
            <w:shd w:val="clear" w:color="auto" w:fill="auto"/>
            <w:vAlign w:val="center"/>
          </w:tcPr>
          <w:p w:rsidR="0088341A" w:rsidRPr="009A6FC1" w:rsidRDefault="0088341A" w:rsidP="00501137">
            <w:pPr>
              <w:pStyle w:val="AERtabletextright"/>
              <w:keepNext/>
              <w:keepLines/>
            </w:pPr>
            <w:r>
              <w:t>2628.5</w:t>
            </w:r>
          </w:p>
        </w:tc>
      </w:tr>
      <w:tr w:rsidR="0088341A" w:rsidRPr="00200EA2" w:rsidTr="00501137">
        <w:trPr>
          <w:trHeight w:val="526"/>
        </w:trPr>
        <w:tc>
          <w:tcPr>
            <w:tcW w:w="1764" w:type="pct"/>
            <w:shd w:val="clear" w:color="auto" w:fill="DBE5F1"/>
            <w:vAlign w:val="center"/>
          </w:tcPr>
          <w:p w:rsidR="0088341A" w:rsidRPr="009A6FC1" w:rsidRDefault="0088341A" w:rsidP="00501137">
            <w:pPr>
              <w:pStyle w:val="AERtabletextleft"/>
              <w:keepNext/>
              <w:keepLines/>
            </w:pPr>
            <w:r w:rsidRPr="00D36EEF">
              <w:t xml:space="preserve">Difference between </w:t>
            </w:r>
            <w:r>
              <w:t>estimated</w:t>
            </w:r>
            <w:r w:rsidRPr="009A6FC1">
              <w:t xml:space="preserve"> and actual capex (</w:t>
            </w:r>
            <w:r>
              <w:t>1 April 2007 to 3</w:t>
            </w:r>
            <w:r w:rsidR="00C04552">
              <w:t>1</w:t>
            </w:r>
            <w:r>
              <w:t xml:space="preserve"> March 2008)</w:t>
            </w:r>
          </w:p>
        </w:tc>
        <w:tc>
          <w:tcPr>
            <w:tcW w:w="540" w:type="pct"/>
            <w:shd w:val="clear" w:color="auto" w:fill="DBE5F1"/>
            <w:vAlign w:val="center"/>
          </w:tcPr>
          <w:p w:rsidR="0088341A" w:rsidRPr="00AE77F4" w:rsidRDefault="0088341A" w:rsidP="00501137">
            <w:pPr>
              <w:pStyle w:val="AERtabletextright"/>
              <w:keepNext/>
              <w:keepLines/>
            </w:pPr>
          </w:p>
        </w:tc>
        <w:tc>
          <w:tcPr>
            <w:tcW w:w="540" w:type="pct"/>
            <w:shd w:val="clear" w:color="auto" w:fill="DBE5F1"/>
            <w:vAlign w:val="center"/>
          </w:tcPr>
          <w:p w:rsidR="0088341A" w:rsidRPr="00AE77F4" w:rsidRDefault="0088341A" w:rsidP="00501137">
            <w:pPr>
              <w:pStyle w:val="AERtabletextright"/>
              <w:keepNext/>
              <w:keepLines/>
            </w:pPr>
          </w:p>
        </w:tc>
        <w:tc>
          <w:tcPr>
            <w:tcW w:w="540" w:type="pct"/>
            <w:shd w:val="clear" w:color="auto" w:fill="DBE5F1"/>
            <w:vAlign w:val="center"/>
          </w:tcPr>
          <w:p w:rsidR="0088341A" w:rsidRPr="00AE77F4" w:rsidRDefault="0088341A" w:rsidP="00501137">
            <w:pPr>
              <w:pStyle w:val="AERtabletextright"/>
              <w:keepNext/>
              <w:keepLines/>
            </w:pPr>
          </w:p>
        </w:tc>
        <w:tc>
          <w:tcPr>
            <w:tcW w:w="540" w:type="pct"/>
            <w:shd w:val="clear" w:color="auto" w:fill="DBE5F1"/>
            <w:vAlign w:val="center"/>
          </w:tcPr>
          <w:p w:rsidR="0088341A" w:rsidRPr="00AE77F4" w:rsidRDefault="0088341A" w:rsidP="00501137">
            <w:pPr>
              <w:pStyle w:val="AERtabletextright"/>
              <w:keepNext/>
              <w:keepLines/>
            </w:pPr>
          </w:p>
        </w:tc>
        <w:tc>
          <w:tcPr>
            <w:tcW w:w="539" w:type="pct"/>
            <w:shd w:val="clear" w:color="auto" w:fill="DBE5F1"/>
            <w:vAlign w:val="center"/>
          </w:tcPr>
          <w:p w:rsidR="0088341A" w:rsidRPr="009A6FC1" w:rsidRDefault="0088341A" w:rsidP="00501137">
            <w:pPr>
              <w:pStyle w:val="AERtabletextright"/>
              <w:keepNext/>
              <w:keepLines/>
            </w:pPr>
          </w:p>
        </w:tc>
        <w:tc>
          <w:tcPr>
            <w:tcW w:w="537" w:type="pct"/>
            <w:shd w:val="clear" w:color="auto" w:fill="DBE5F1"/>
            <w:vAlign w:val="center"/>
          </w:tcPr>
          <w:p w:rsidR="0088341A" w:rsidRPr="009A6FC1" w:rsidRDefault="0088341A" w:rsidP="00501137">
            <w:pPr>
              <w:pStyle w:val="AERtabletextright"/>
              <w:keepNext/>
              <w:keepLines/>
            </w:pPr>
            <w:r>
              <w:t>29.8</w:t>
            </w:r>
          </w:p>
        </w:tc>
      </w:tr>
      <w:tr w:rsidR="0088341A" w:rsidRPr="00200EA2" w:rsidTr="00501137">
        <w:trPr>
          <w:trHeight w:val="526"/>
        </w:trPr>
        <w:tc>
          <w:tcPr>
            <w:tcW w:w="1764" w:type="pct"/>
            <w:shd w:val="clear" w:color="auto" w:fill="auto"/>
            <w:vAlign w:val="center"/>
          </w:tcPr>
          <w:p w:rsidR="0088341A" w:rsidRPr="009A6FC1" w:rsidRDefault="0088341A" w:rsidP="00501137">
            <w:pPr>
              <w:pStyle w:val="AERtabletextleft"/>
              <w:keepNext/>
              <w:keepLines/>
            </w:pPr>
            <w:r>
              <w:t>Return on difference for 2007–08</w:t>
            </w:r>
            <w:r w:rsidRPr="009A6FC1">
              <w:t xml:space="preserve"> capex</w:t>
            </w:r>
          </w:p>
        </w:tc>
        <w:tc>
          <w:tcPr>
            <w:tcW w:w="540" w:type="pct"/>
            <w:shd w:val="clear" w:color="auto" w:fill="auto"/>
            <w:vAlign w:val="center"/>
          </w:tcPr>
          <w:p w:rsidR="0088341A" w:rsidRPr="00AE77F4" w:rsidRDefault="0088341A" w:rsidP="00501137">
            <w:pPr>
              <w:pStyle w:val="AERtabletextright"/>
              <w:keepNext/>
              <w:keepLines/>
            </w:pPr>
          </w:p>
        </w:tc>
        <w:tc>
          <w:tcPr>
            <w:tcW w:w="540" w:type="pct"/>
            <w:shd w:val="clear" w:color="auto" w:fill="auto"/>
            <w:vAlign w:val="center"/>
          </w:tcPr>
          <w:p w:rsidR="0088341A" w:rsidRPr="00AE77F4" w:rsidRDefault="0088341A" w:rsidP="00501137">
            <w:pPr>
              <w:pStyle w:val="AERtabletextright"/>
              <w:keepNext/>
              <w:keepLines/>
            </w:pPr>
          </w:p>
        </w:tc>
        <w:tc>
          <w:tcPr>
            <w:tcW w:w="540" w:type="pct"/>
            <w:shd w:val="clear" w:color="auto" w:fill="auto"/>
            <w:vAlign w:val="center"/>
          </w:tcPr>
          <w:p w:rsidR="0088341A" w:rsidRPr="00AE77F4" w:rsidRDefault="0088341A" w:rsidP="00501137">
            <w:pPr>
              <w:pStyle w:val="AERtabletextright"/>
              <w:keepNext/>
              <w:keepLines/>
            </w:pPr>
          </w:p>
        </w:tc>
        <w:tc>
          <w:tcPr>
            <w:tcW w:w="540" w:type="pct"/>
            <w:shd w:val="clear" w:color="auto" w:fill="auto"/>
            <w:vAlign w:val="center"/>
          </w:tcPr>
          <w:p w:rsidR="0088341A" w:rsidRPr="00AE77F4" w:rsidRDefault="0088341A" w:rsidP="00501137">
            <w:pPr>
              <w:pStyle w:val="AERtabletextright"/>
              <w:keepNext/>
              <w:keepLines/>
            </w:pPr>
          </w:p>
        </w:tc>
        <w:tc>
          <w:tcPr>
            <w:tcW w:w="539" w:type="pct"/>
            <w:shd w:val="clear" w:color="auto" w:fill="auto"/>
            <w:vAlign w:val="center"/>
          </w:tcPr>
          <w:p w:rsidR="0088341A" w:rsidRPr="009A6FC1" w:rsidRDefault="0088341A" w:rsidP="00501137">
            <w:pPr>
              <w:pStyle w:val="AERtabletextright"/>
              <w:keepNext/>
              <w:keepLines/>
            </w:pPr>
          </w:p>
        </w:tc>
        <w:tc>
          <w:tcPr>
            <w:tcW w:w="537" w:type="pct"/>
            <w:shd w:val="clear" w:color="auto" w:fill="auto"/>
            <w:vAlign w:val="center"/>
          </w:tcPr>
          <w:p w:rsidR="0088341A" w:rsidRPr="009A6FC1" w:rsidRDefault="0088341A" w:rsidP="00501137">
            <w:pPr>
              <w:pStyle w:val="AERtabletextright"/>
              <w:keepNext/>
              <w:keepLines/>
            </w:pPr>
            <w:r>
              <w:t>22.7</w:t>
            </w:r>
          </w:p>
        </w:tc>
      </w:tr>
      <w:tr w:rsidR="0088341A" w:rsidRPr="00200EA2" w:rsidTr="00501137">
        <w:trPr>
          <w:trHeight w:val="526"/>
        </w:trPr>
        <w:tc>
          <w:tcPr>
            <w:tcW w:w="1764" w:type="pct"/>
            <w:shd w:val="clear" w:color="auto" w:fill="DBE5F1"/>
            <w:vAlign w:val="center"/>
          </w:tcPr>
          <w:p w:rsidR="0088341A" w:rsidRPr="009A6FC1" w:rsidRDefault="0088341A" w:rsidP="00501137">
            <w:pPr>
              <w:pStyle w:val="AERtabletextleft"/>
              <w:keepNext/>
              <w:keepLines/>
            </w:pPr>
            <w:r w:rsidRPr="00D36EEF">
              <w:t xml:space="preserve">Difference between </w:t>
            </w:r>
            <w:r>
              <w:t>estimated</w:t>
            </w:r>
            <w:r w:rsidRPr="00D36EEF">
              <w:t xml:space="preserve"> and actu</w:t>
            </w:r>
            <w:r w:rsidRPr="009A6FC1">
              <w:t xml:space="preserve">al assets </w:t>
            </w:r>
            <w:r>
              <w:t>under construction as at 31 March 2008</w:t>
            </w:r>
          </w:p>
        </w:tc>
        <w:tc>
          <w:tcPr>
            <w:tcW w:w="540" w:type="pct"/>
            <w:shd w:val="clear" w:color="auto" w:fill="DBE5F1"/>
            <w:vAlign w:val="center"/>
          </w:tcPr>
          <w:p w:rsidR="0088341A" w:rsidRPr="00AE77F4" w:rsidRDefault="0088341A" w:rsidP="00501137">
            <w:pPr>
              <w:pStyle w:val="AERtabletextright"/>
              <w:keepNext/>
              <w:keepLines/>
            </w:pPr>
          </w:p>
        </w:tc>
        <w:tc>
          <w:tcPr>
            <w:tcW w:w="540" w:type="pct"/>
            <w:shd w:val="clear" w:color="auto" w:fill="DBE5F1"/>
            <w:vAlign w:val="center"/>
          </w:tcPr>
          <w:p w:rsidR="0088341A" w:rsidRPr="00AE77F4" w:rsidRDefault="0088341A" w:rsidP="00501137">
            <w:pPr>
              <w:pStyle w:val="AERtabletextright"/>
              <w:keepNext/>
              <w:keepLines/>
            </w:pPr>
          </w:p>
        </w:tc>
        <w:tc>
          <w:tcPr>
            <w:tcW w:w="540" w:type="pct"/>
            <w:shd w:val="clear" w:color="auto" w:fill="DBE5F1"/>
            <w:vAlign w:val="center"/>
          </w:tcPr>
          <w:p w:rsidR="0088341A" w:rsidRPr="00AE77F4" w:rsidRDefault="0088341A" w:rsidP="00501137">
            <w:pPr>
              <w:pStyle w:val="AERtabletextright"/>
              <w:keepNext/>
              <w:keepLines/>
            </w:pPr>
          </w:p>
        </w:tc>
        <w:tc>
          <w:tcPr>
            <w:tcW w:w="540" w:type="pct"/>
            <w:shd w:val="clear" w:color="auto" w:fill="DBE5F1"/>
            <w:vAlign w:val="center"/>
          </w:tcPr>
          <w:p w:rsidR="0088341A" w:rsidRPr="00AE77F4" w:rsidRDefault="0088341A" w:rsidP="00501137">
            <w:pPr>
              <w:pStyle w:val="AERtabletextright"/>
              <w:keepNext/>
              <w:keepLines/>
            </w:pPr>
          </w:p>
        </w:tc>
        <w:tc>
          <w:tcPr>
            <w:tcW w:w="539" w:type="pct"/>
            <w:shd w:val="clear" w:color="auto" w:fill="DBE5F1"/>
            <w:vAlign w:val="center"/>
          </w:tcPr>
          <w:p w:rsidR="0088341A" w:rsidRPr="009A6FC1" w:rsidRDefault="0088341A" w:rsidP="00501137">
            <w:pPr>
              <w:pStyle w:val="AERtabletextright"/>
              <w:keepNext/>
              <w:keepLines/>
            </w:pPr>
          </w:p>
        </w:tc>
        <w:tc>
          <w:tcPr>
            <w:tcW w:w="537" w:type="pct"/>
            <w:shd w:val="clear" w:color="auto" w:fill="DBE5F1"/>
            <w:vAlign w:val="center"/>
          </w:tcPr>
          <w:p w:rsidR="0088341A" w:rsidRPr="009A6FC1" w:rsidRDefault="0088341A" w:rsidP="00501137">
            <w:pPr>
              <w:pStyle w:val="AERtabletextright"/>
              <w:keepNext/>
              <w:keepLines/>
            </w:pPr>
            <w:r>
              <w:t>22.2</w:t>
            </w:r>
          </w:p>
        </w:tc>
      </w:tr>
      <w:tr w:rsidR="0088341A" w:rsidRPr="00200EA2" w:rsidTr="00501137">
        <w:trPr>
          <w:trHeight w:val="526"/>
        </w:trPr>
        <w:tc>
          <w:tcPr>
            <w:tcW w:w="1764" w:type="pct"/>
            <w:shd w:val="clear" w:color="auto" w:fill="auto"/>
            <w:vAlign w:val="center"/>
          </w:tcPr>
          <w:p w:rsidR="0088341A" w:rsidRPr="009A6FC1" w:rsidRDefault="0088341A" w:rsidP="00501137">
            <w:pPr>
              <w:pStyle w:val="AERtabletextleft"/>
              <w:keepNext/>
              <w:keepLines/>
            </w:pPr>
            <w:r w:rsidRPr="00D36EEF">
              <w:t xml:space="preserve">Return on difference </w:t>
            </w:r>
            <w:r>
              <w:t>(</w:t>
            </w:r>
            <w:r w:rsidRPr="009A6FC1">
              <w:t>assets under construction</w:t>
            </w:r>
            <w:r>
              <w:t xml:space="preserve"> as at 31 March 2008)</w:t>
            </w:r>
          </w:p>
        </w:tc>
        <w:tc>
          <w:tcPr>
            <w:tcW w:w="540" w:type="pct"/>
            <w:shd w:val="clear" w:color="auto" w:fill="auto"/>
            <w:vAlign w:val="center"/>
          </w:tcPr>
          <w:p w:rsidR="0088341A" w:rsidRPr="00AE77F4" w:rsidRDefault="0088341A" w:rsidP="00501137">
            <w:pPr>
              <w:pStyle w:val="AERtabletextright"/>
              <w:keepNext/>
              <w:keepLines/>
            </w:pPr>
          </w:p>
        </w:tc>
        <w:tc>
          <w:tcPr>
            <w:tcW w:w="540" w:type="pct"/>
            <w:shd w:val="clear" w:color="auto" w:fill="auto"/>
            <w:vAlign w:val="center"/>
          </w:tcPr>
          <w:p w:rsidR="0088341A" w:rsidRPr="00AE77F4" w:rsidRDefault="0088341A" w:rsidP="00501137">
            <w:pPr>
              <w:pStyle w:val="AERtabletextright"/>
              <w:keepNext/>
              <w:keepLines/>
            </w:pPr>
          </w:p>
        </w:tc>
        <w:tc>
          <w:tcPr>
            <w:tcW w:w="540" w:type="pct"/>
            <w:shd w:val="clear" w:color="auto" w:fill="auto"/>
            <w:vAlign w:val="center"/>
          </w:tcPr>
          <w:p w:rsidR="0088341A" w:rsidRPr="00AE77F4" w:rsidRDefault="0088341A" w:rsidP="00501137">
            <w:pPr>
              <w:pStyle w:val="AERtabletextright"/>
              <w:keepNext/>
              <w:keepLines/>
            </w:pPr>
          </w:p>
        </w:tc>
        <w:tc>
          <w:tcPr>
            <w:tcW w:w="540" w:type="pct"/>
            <w:shd w:val="clear" w:color="auto" w:fill="auto"/>
            <w:vAlign w:val="center"/>
          </w:tcPr>
          <w:p w:rsidR="0088341A" w:rsidRPr="00AE77F4" w:rsidRDefault="0088341A" w:rsidP="00501137">
            <w:pPr>
              <w:pStyle w:val="AERtabletextright"/>
              <w:keepNext/>
              <w:keepLines/>
            </w:pPr>
          </w:p>
        </w:tc>
        <w:tc>
          <w:tcPr>
            <w:tcW w:w="539" w:type="pct"/>
            <w:shd w:val="clear" w:color="auto" w:fill="auto"/>
            <w:vAlign w:val="center"/>
          </w:tcPr>
          <w:p w:rsidR="0088341A" w:rsidRPr="009A6FC1" w:rsidRDefault="0088341A" w:rsidP="00501137">
            <w:pPr>
              <w:pStyle w:val="AERtabletextright"/>
              <w:keepNext/>
              <w:keepLines/>
            </w:pPr>
          </w:p>
        </w:tc>
        <w:tc>
          <w:tcPr>
            <w:tcW w:w="537" w:type="pct"/>
            <w:shd w:val="clear" w:color="auto" w:fill="auto"/>
            <w:vAlign w:val="center"/>
          </w:tcPr>
          <w:p w:rsidR="0088341A" w:rsidRPr="009A6FC1" w:rsidRDefault="0088341A" w:rsidP="00501137">
            <w:pPr>
              <w:pStyle w:val="AERtabletextright"/>
              <w:keepNext/>
              <w:keepLines/>
            </w:pPr>
            <w:r>
              <w:t>16.9</w:t>
            </w:r>
          </w:p>
        </w:tc>
      </w:tr>
      <w:tr w:rsidR="0088341A" w:rsidRPr="00D36EEF" w:rsidTr="00501137">
        <w:trPr>
          <w:trHeight w:val="526"/>
        </w:trPr>
        <w:tc>
          <w:tcPr>
            <w:tcW w:w="1764" w:type="pct"/>
            <w:shd w:val="clear" w:color="auto" w:fill="DBE5F1"/>
            <w:vAlign w:val="center"/>
          </w:tcPr>
          <w:p w:rsidR="0088341A" w:rsidRPr="00D36EEF" w:rsidRDefault="0088341A" w:rsidP="00501137">
            <w:pPr>
              <w:pStyle w:val="AERtabletextleft"/>
              <w:keepNext/>
              <w:keepLines/>
            </w:pPr>
            <w:r>
              <w:t>Difference between estimated and actual Group 3 assets as at 1 April 2008</w:t>
            </w:r>
          </w:p>
        </w:tc>
        <w:tc>
          <w:tcPr>
            <w:tcW w:w="540" w:type="pct"/>
            <w:shd w:val="clear" w:color="auto" w:fill="DBE5F1"/>
            <w:vAlign w:val="center"/>
          </w:tcPr>
          <w:p w:rsidR="0088341A" w:rsidRPr="00AE77F4" w:rsidRDefault="0088341A" w:rsidP="00501137">
            <w:pPr>
              <w:pStyle w:val="AERtabletextright"/>
              <w:keepNext/>
              <w:keepLines/>
            </w:pPr>
          </w:p>
        </w:tc>
        <w:tc>
          <w:tcPr>
            <w:tcW w:w="540" w:type="pct"/>
            <w:shd w:val="clear" w:color="auto" w:fill="DBE5F1"/>
            <w:vAlign w:val="center"/>
          </w:tcPr>
          <w:p w:rsidR="0088341A" w:rsidRPr="00AE77F4" w:rsidRDefault="0088341A" w:rsidP="00501137">
            <w:pPr>
              <w:pStyle w:val="AERtabletextright"/>
              <w:keepNext/>
              <w:keepLines/>
            </w:pPr>
          </w:p>
        </w:tc>
        <w:tc>
          <w:tcPr>
            <w:tcW w:w="540" w:type="pct"/>
            <w:shd w:val="clear" w:color="auto" w:fill="DBE5F1"/>
            <w:vAlign w:val="center"/>
          </w:tcPr>
          <w:p w:rsidR="0088341A" w:rsidRPr="00AE77F4" w:rsidRDefault="0088341A" w:rsidP="00501137">
            <w:pPr>
              <w:pStyle w:val="AERtabletextright"/>
              <w:keepNext/>
              <w:keepLines/>
            </w:pPr>
          </w:p>
        </w:tc>
        <w:tc>
          <w:tcPr>
            <w:tcW w:w="540" w:type="pct"/>
            <w:shd w:val="clear" w:color="auto" w:fill="DBE5F1"/>
            <w:vAlign w:val="center"/>
          </w:tcPr>
          <w:p w:rsidR="0088341A" w:rsidRPr="00AE77F4" w:rsidRDefault="0088341A" w:rsidP="00501137">
            <w:pPr>
              <w:pStyle w:val="AERtabletextright"/>
              <w:keepNext/>
              <w:keepLines/>
            </w:pPr>
          </w:p>
        </w:tc>
        <w:tc>
          <w:tcPr>
            <w:tcW w:w="539" w:type="pct"/>
            <w:shd w:val="clear" w:color="auto" w:fill="DBE5F1"/>
            <w:vAlign w:val="center"/>
          </w:tcPr>
          <w:p w:rsidR="0088341A" w:rsidRPr="009A6FC1" w:rsidRDefault="0088341A" w:rsidP="00501137">
            <w:pPr>
              <w:pStyle w:val="AERtabletextright"/>
              <w:keepNext/>
              <w:keepLines/>
            </w:pPr>
          </w:p>
        </w:tc>
        <w:tc>
          <w:tcPr>
            <w:tcW w:w="537" w:type="pct"/>
            <w:shd w:val="clear" w:color="auto" w:fill="DBE5F1"/>
            <w:vAlign w:val="center"/>
          </w:tcPr>
          <w:p w:rsidR="0088341A" w:rsidRDefault="0088341A" w:rsidP="00501137">
            <w:pPr>
              <w:pStyle w:val="AERtabletextright"/>
              <w:keepNext/>
              <w:keepLines/>
            </w:pPr>
            <w:r>
              <w:t>0.7</w:t>
            </w:r>
          </w:p>
        </w:tc>
      </w:tr>
      <w:tr w:rsidR="0088341A" w:rsidRPr="00D36EEF" w:rsidTr="00501137">
        <w:trPr>
          <w:trHeight w:val="526"/>
        </w:trPr>
        <w:tc>
          <w:tcPr>
            <w:tcW w:w="1764" w:type="pct"/>
            <w:shd w:val="clear" w:color="auto" w:fill="auto"/>
            <w:vAlign w:val="center"/>
          </w:tcPr>
          <w:p w:rsidR="0088341A" w:rsidRPr="00D36EEF" w:rsidRDefault="0088341A" w:rsidP="00501137">
            <w:pPr>
              <w:pStyle w:val="AERtabletextleft"/>
              <w:keepNext/>
              <w:keepLines/>
            </w:pPr>
            <w:r>
              <w:t>Return on difference for Group 3 assets as at 1 April 2008</w:t>
            </w:r>
          </w:p>
        </w:tc>
        <w:tc>
          <w:tcPr>
            <w:tcW w:w="540" w:type="pct"/>
            <w:shd w:val="clear" w:color="auto" w:fill="auto"/>
            <w:vAlign w:val="center"/>
          </w:tcPr>
          <w:p w:rsidR="0088341A" w:rsidRPr="00AE77F4" w:rsidRDefault="0088341A" w:rsidP="00501137">
            <w:pPr>
              <w:pStyle w:val="AERtabletextright"/>
              <w:keepNext/>
              <w:keepLines/>
            </w:pPr>
          </w:p>
        </w:tc>
        <w:tc>
          <w:tcPr>
            <w:tcW w:w="540" w:type="pct"/>
            <w:shd w:val="clear" w:color="auto" w:fill="auto"/>
            <w:vAlign w:val="center"/>
          </w:tcPr>
          <w:p w:rsidR="0088341A" w:rsidRPr="00AE77F4" w:rsidRDefault="0088341A" w:rsidP="00501137">
            <w:pPr>
              <w:pStyle w:val="AERtabletextright"/>
              <w:keepNext/>
              <w:keepLines/>
            </w:pPr>
          </w:p>
        </w:tc>
        <w:tc>
          <w:tcPr>
            <w:tcW w:w="540" w:type="pct"/>
            <w:shd w:val="clear" w:color="auto" w:fill="auto"/>
            <w:vAlign w:val="center"/>
          </w:tcPr>
          <w:p w:rsidR="0088341A" w:rsidRPr="00AE77F4" w:rsidRDefault="0088341A" w:rsidP="00501137">
            <w:pPr>
              <w:pStyle w:val="AERtabletextright"/>
              <w:keepNext/>
              <w:keepLines/>
            </w:pPr>
          </w:p>
        </w:tc>
        <w:tc>
          <w:tcPr>
            <w:tcW w:w="540" w:type="pct"/>
            <w:shd w:val="clear" w:color="auto" w:fill="auto"/>
            <w:vAlign w:val="center"/>
          </w:tcPr>
          <w:p w:rsidR="0088341A" w:rsidRPr="00AE77F4" w:rsidRDefault="0088341A" w:rsidP="00501137">
            <w:pPr>
              <w:pStyle w:val="AERtabletextright"/>
              <w:keepNext/>
              <w:keepLines/>
            </w:pPr>
          </w:p>
        </w:tc>
        <w:tc>
          <w:tcPr>
            <w:tcW w:w="539" w:type="pct"/>
            <w:shd w:val="clear" w:color="auto" w:fill="auto"/>
            <w:vAlign w:val="center"/>
          </w:tcPr>
          <w:p w:rsidR="0088341A" w:rsidRPr="009A6FC1" w:rsidRDefault="0088341A" w:rsidP="00501137">
            <w:pPr>
              <w:pStyle w:val="AERtabletextright"/>
              <w:keepNext/>
              <w:keepLines/>
            </w:pPr>
          </w:p>
        </w:tc>
        <w:tc>
          <w:tcPr>
            <w:tcW w:w="537" w:type="pct"/>
            <w:shd w:val="clear" w:color="auto" w:fill="auto"/>
            <w:vAlign w:val="center"/>
          </w:tcPr>
          <w:p w:rsidR="0088341A" w:rsidRDefault="0088341A" w:rsidP="00501137">
            <w:pPr>
              <w:pStyle w:val="AERtabletextright"/>
              <w:keepNext/>
              <w:keepLines/>
            </w:pPr>
            <w:r>
              <w:t>0.5</w:t>
            </w:r>
          </w:p>
        </w:tc>
      </w:tr>
      <w:tr w:rsidR="0088341A" w:rsidRPr="00103A18" w:rsidTr="00501137">
        <w:trPr>
          <w:trHeight w:val="526"/>
        </w:trPr>
        <w:tc>
          <w:tcPr>
            <w:tcW w:w="1764" w:type="pct"/>
            <w:shd w:val="clear" w:color="auto" w:fill="DBE5F1"/>
            <w:vAlign w:val="center"/>
          </w:tcPr>
          <w:p w:rsidR="0088341A" w:rsidRDefault="0088341A" w:rsidP="00501137">
            <w:pPr>
              <w:pStyle w:val="AERtabletextleft"/>
              <w:keepNext/>
              <w:keepLines/>
            </w:pPr>
            <w:r>
              <w:t>Group 3 assets as at 1 April 2014</w:t>
            </w:r>
          </w:p>
        </w:tc>
        <w:tc>
          <w:tcPr>
            <w:tcW w:w="540" w:type="pct"/>
            <w:shd w:val="clear" w:color="auto" w:fill="DBE5F1"/>
            <w:vAlign w:val="center"/>
          </w:tcPr>
          <w:p w:rsidR="0088341A" w:rsidRPr="00AE77F4" w:rsidRDefault="0088341A" w:rsidP="00501137">
            <w:pPr>
              <w:pStyle w:val="AERtabletextright"/>
              <w:keepNext/>
              <w:keepLines/>
            </w:pPr>
          </w:p>
        </w:tc>
        <w:tc>
          <w:tcPr>
            <w:tcW w:w="540" w:type="pct"/>
            <w:shd w:val="clear" w:color="auto" w:fill="DBE5F1"/>
            <w:vAlign w:val="center"/>
          </w:tcPr>
          <w:p w:rsidR="0088341A" w:rsidRPr="00AE77F4" w:rsidRDefault="0088341A" w:rsidP="00501137">
            <w:pPr>
              <w:pStyle w:val="AERtabletextright"/>
              <w:keepNext/>
              <w:keepLines/>
            </w:pPr>
          </w:p>
        </w:tc>
        <w:tc>
          <w:tcPr>
            <w:tcW w:w="540" w:type="pct"/>
            <w:shd w:val="clear" w:color="auto" w:fill="DBE5F1"/>
            <w:vAlign w:val="center"/>
          </w:tcPr>
          <w:p w:rsidR="0088341A" w:rsidRPr="00AE77F4" w:rsidRDefault="0088341A" w:rsidP="00501137">
            <w:pPr>
              <w:pStyle w:val="AERtabletextright"/>
              <w:keepNext/>
              <w:keepLines/>
            </w:pPr>
          </w:p>
        </w:tc>
        <w:tc>
          <w:tcPr>
            <w:tcW w:w="540" w:type="pct"/>
            <w:shd w:val="clear" w:color="auto" w:fill="DBE5F1"/>
            <w:vAlign w:val="center"/>
          </w:tcPr>
          <w:p w:rsidR="0088341A" w:rsidRPr="00AE77F4" w:rsidRDefault="0088341A" w:rsidP="00501137">
            <w:pPr>
              <w:pStyle w:val="AERtabletextright"/>
              <w:keepNext/>
              <w:keepLines/>
            </w:pPr>
          </w:p>
        </w:tc>
        <w:tc>
          <w:tcPr>
            <w:tcW w:w="539" w:type="pct"/>
            <w:shd w:val="clear" w:color="auto" w:fill="DBE5F1"/>
            <w:vAlign w:val="center"/>
          </w:tcPr>
          <w:p w:rsidR="0088341A" w:rsidRPr="009A6FC1" w:rsidRDefault="0088341A" w:rsidP="00501137">
            <w:pPr>
              <w:pStyle w:val="AERtabletextright"/>
              <w:keepNext/>
              <w:keepLines/>
            </w:pPr>
          </w:p>
        </w:tc>
        <w:tc>
          <w:tcPr>
            <w:tcW w:w="537" w:type="pct"/>
            <w:shd w:val="clear" w:color="auto" w:fill="DBE5F1"/>
            <w:vAlign w:val="center"/>
          </w:tcPr>
          <w:p w:rsidR="0088341A" w:rsidRDefault="0088341A" w:rsidP="00501137">
            <w:pPr>
              <w:pStyle w:val="AERtabletextright"/>
              <w:keepNext/>
              <w:keepLines/>
            </w:pPr>
            <w:r>
              <w:t>144.4</w:t>
            </w:r>
          </w:p>
        </w:tc>
      </w:tr>
      <w:tr w:rsidR="0088341A" w:rsidRPr="00200EA2" w:rsidTr="00501137">
        <w:trPr>
          <w:trHeight w:val="526"/>
        </w:trPr>
        <w:tc>
          <w:tcPr>
            <w:tcW w:w="1764" w:type="pct"/>
            <w:shd w:val="clear" w:color="auto" w:fill="auto"/>
            <w:vAlign w:val="center"/>
          </w:tcPr>
          <w:p w:rsidR="0088341A" w:rsidRPr="009A6FC1" w:rsidRDefault="0088341A" w:rsidP="00501137">
            <w:pPr>
              <w:pStyle w:val="AERtabletextleft"/>
              <w:keepNext/>
              <w:keepLines/>
            </w:pPr>
            <w:r>
              <w:t>Opening RAB as at 1 April 2014</w:t>
            </w:r>
          </w:p>
        </w:tc>
        <w:tc>
          <w:tcPr>
            <w:tcW w:w="540" w:type="pct"/>
            <w:shd w:val="clear" w:color="auto" w:fill="auto"/>
            <w:vAlign w:val="center"/>
          </w:tcPr>
          <w:p w:rsidR="0088341A" w:rsidRPr="00AE77F4" w:rsidRDefault="0088341A" w:rsidP="00501137">
            <w:pPr>
              <w:pStyle w:val="AERtabletextright"/>
              <w:keepNext/>
              <w:keepLines/>
            </w:pPr>
          </w:p>
        </w:tc>
        <w:tc>
          <w:tcPr>
            <w:tcW w:w="540" w:type="pct"/>
            <w:shd w:val="clear" w:color="auto" w:fill="auto"/>
            <w:vAlign w:val="center"/>
          </w:tcPr>
          <w:p w:rsidR="0088341A" w:rsidRPr="00AE77F4" w:rsidRDefault="0088341A" w:rsidP="00501137">
            <w:pPr>
              <w:pStyle w:val="AERtabletextright"/>
              <w:keepNext/>
              <w:keepLines/>
            </w:pPr>
          </w:p>
        </w:tc>
        <w:tc>
          <w:tcPr>
            <w:tcW w:w="540" w:type="pct"/>
            <w:shd w:val="clear" w:color="auto" w:fill="auto"/>
            <w:vAlign w:val="center"/>
          </w:tcPr>
          <w:p w:rsidR="0088341A" w:rsidRPr="00AE77F4" w:rsidRDefault="0088341A" w:rsidP="00501137">
            <w:pPr>
              <w:pStyle w:val="AERtabletextright"/>
              <w:keepNext/>
              <w:keepLines/>
            </w:pPr>
          </w:p>
        </w:tc>
        <w:tc>
          <w:tcPr>
            <w:tcW w:w="540" w:type="pct"/>
            <w:shd w:val="clear" w:color="auto" w:fill="auto"/>
            <w:vAlign w:val="center"/>
          </w:tcPr>
          <w:p w:rsidR="0088341A" w:rsidRPr="00AE77F4" w:rsidRDefault="0088341A" w:rsidP="00501137">
            <w:pPr>
              <w:pStyle w:val="AERtabletextright"/>
              <w:keepNext/>
              <w:keepLines/>
            </w:pPr>
          </w:p>
        </w:tc>
        <w:tc>
          <w:tcPr>
            <w:tcW w:w="539" w:type="pct"/>
            <w:shd w:val="clear" w:color="auto" w:fill="auto"/>
            <w:vAlign w:val="center"/>
          </w:tcPr>
          <w:p w:rsidR="0088341A" w:rsidRPr="009A6FC1" w:rsidRDefault="0088341A" w:rsidP="00501137">
            <w:pPr>
              <w:pStyle w:val="AERtabletextright"/>
              <w:keepNext/>
              <w:keepLines/>
            </w:pPr>
          </w:p>
        </w:tc>
        <w:tc>
          <w:tcPr>
            <w:tcW w:w="537" w:type="pct"/>
            <w:shd w:val="clear" w:color="auto" w:fill="auto"/>
            <w:vAlign w:val="center"/>
          </w:tcPr>
          <w:p w:rsidR="0088341A" w:rsidRPr="009A6FC1" w:rsidRDefault="0088341A" w:rsidP="00501137">
            <w:pPr>
              <w:pStyle w:val="AERtabletextright"/>
              <w:keepNext/>
              <w:keepLines/>
            </w:pPr>
            <w:r>
              <w:t>2865.7</w:t>
            </w:r>
          </w:p>
        </w:tc>
      </w:tr>
    </w:tbl>
    <w:p w:rsidR="0088341A" w:rsidRDefault="0088341A" w:rsidP="0088341A">
      <w:pPr>
        <w:pStyle w:val="AERtablesource"/>
        <w:keepNext/>
        <w:keepLines/>
      </w:pPr>
      <w:r>
        <w:t>Source:</w:t>
      </w:r>
      <w:r>
        <w:tab/>
        <w:t xml:space="preserve">SP AusNet, </w:t>
      </w:r>
      <w:r w:rsidRPr="00067C99">
        <w:rPr>
          <w:rStyle w:val="AERtextitalic"/>
        </w:rPr>
        <w:t>Roll forward model</w:t>
      </w:r>
      <w:r>
        <w:t>, February 2013.</w:t>
      </w:r>
    </w:p>
    <w:p w:rsidR="0088341A" w:rsidRDefault="0088341A" w:rsidP="00DD2025">
      <w:pPr>
        <w:pStyle w:val="AERtablesource"/>
      </w:pPr>
      <w:r>
        <w:t xml:space="preserve">(a) </w:t>
      </w:r>
      <w:r>
        <w:tab/>
        <w:t>As incurred, net of disposals, and adjusted for actual CPI.</w:t>
      </w:r>
    </w:p>
    <w:p w:rsidR="0088341A" w:rsidRPr="0016149B" w:rsidRDefault="0088341A" w:rsidP="00DD2025">
      <w:pPr>
        <w:pStyle w:val="AERtablesource"/>
      </w:pPr>
      <w:r>
        <w:t>(b)</w:t>
      </w:r>
      <w:r>
        <w:tab/>
        <w:t xml:space="preserve">Adjusted for actual CPI. </w:t>
      </w:r>
      <w:r w:rsidR="00DD2025">
        <w:t>Based on as-commissioned capex.</w:t>
      </w:r>
    </w:p>
    <w:p w:rsidR="0088341A" w:rsidRDefault="0088341A" w:rsidP="0088341A">
      <w:pPr>
        <w:pStyle w:val="Caption"/>
        <w:keepLines/>
      </w:pPr>
      <w:bookmarkStart w:id="243" w:name="_Ref332106706"/>
      <w:bookmarkStart w:id="244" w:name="_Ref356484526"/>
      <w:r>
        <w:lastRenderedPageBreak/>
        <w:t xml:space="preserve">Table </w:t>
      </w:r>
      <w:fldSimple w:instr=" STYLEREF 1 \s ">
        <w:r w:rsidR="004F35AA">
          <w:rPr>
            <w:noProof/>
          </w:rPr>
          <w:t>5</w:t>
        </w:r>
      </w:fldSimple>
      <w:r w:rsidR="00C56A87">
        <w:t>.</w:t>
      </w:r>
      <w:fldSimple w:instr=" SEQ Table \* ARABIC \s 1 ">
        <w:r w:rsidR="004F35AA">
          <w:rPr>
            <w:noProof/>
          </w:rPr>
          <w:t>4</w:t>
        </w:r>
      </w:fldSimple>
      <w:bookmarkEnd w:id="243"/>
      <w:bookmarkEnd w:id="244"/>
      <w:r>
        <w:tab/>
        <w:t xml:space="preserve">SP AusNet's proposed RAB for the 2014–17 regulatory control period </w:t>
      </w:r>
      <w:r>
        <w:br/>
        <w:t>($ million, nominal)</w:t>
      </w:r>
    </w:p>
    <w:tbl>
      <w:tblPr>
        <w:tblW w:w="4991" w:type="pct"/>
        <w:tblBorders>
          <w:bottom w:val="single" w:sz="4" w:space="0" w:color="365F91"/>
        </w:tblBorders>
        <w:tblLook w:val="01E0" w:firstRow="1" w:lastRow="1" w:firstColumn="1" w:lastColumn="1" w:noHBand="0" w:noVBand="0"/>
      </w:tblPr>
      <w:tblGrid>
        <w:gridCol w:w="4812"/>
        <w:gridCol w:w="1472"/>
        <w:gridCol w:w="1472"/>
        <w:gridCol w:w="1469"/>
      </w:tblGrid>
      <w:tr w:rsidR="0088341A" w:rsidRPr="00092AED" w:rsidTr="00501137">
        <w:trPr>
          <w:trHeight w:val="534"/>
        </w:trPr>
        <w:tc>
          <w:tcPr>
            <w:tcW w:w="2608" w:type="pct"/>
            <w:shd w:val="clear" w:color="auto" w:fill="365F91"/>
            <w:vAlign w:val="center"/>
          </w:tcPr>
          <w:p w:rsidR="0088341A" w:rsidRPr="00103A18" w:rsidRDefault="0088341A" w:rsidP="00501137">
            <w:pPr>
              <w:keepNext/>
              <w:keepLines/>
              <w:spacing w:before="120"/>
              <w:rPr>
                <w:b/>
                <w:color w:val="FFFFFF"/>
                <w:sz w:val="16"/>
              </w:rPr>
            </w:pPr>
          </w:p>
        </w:tc>
        <w:tc>
          <w:tcPr>
            <w:tcW w:w="798" w:type="pct"/>
            <w:shd w:val="clear" w:color="auto" w:fill="365F91"/>
            <w:vAlign w:val="center"/>
          </w:tcPr>
          <w:p w:rsidR="0088341A" w:rsidRPr="00103A18" w:rsidRDefault="0088341A" w:rsidP="00501137">
            <w:pPr>
              <w:pStyle w:val="AERtabletextright"/>
              <w:keepNext/>
              <w:keepLines/>
              <w:rPr>
                <w:b/>
                <w:color w:val="FFFFFF"/>
              </w:rPr>
            </w:pPr>
            <w:r w:rsidRPr="00103A18">
              <w:rPr>
                <w:b/>
                <w:color w:val="FFFFFF"/>
              </w:rPr>
              <w:t>2014–15</w:t>
            </w:r>
          </w:p>
        </w:tc>
        <w:tc>
          <w:tcPr>
            <w:tcW w:w="798" w:type="pct"/>
            <w:shd w:val="clear" w:color="auto" w:fill="365F91"/>
            <w:vAlign w:val="center"/>
          </w:tcPr>
          <w:p w:rsidR="0088341A" w:rsidRPr="00103A18" w:rsidRDefault="0088341A" w:rsidP="00501137">
            <w:pPr>
              <w:pStyle w:val="AERtabletextright"/>
              <w:keepNext/>
              <w:keepLines/>
              <w:rPr>
                <w:b/>
                <w:color w:val="FFFFFF"/>
              </w:rPr>
            </w:pPr>
            <w:r w:rsidRPr="00103A18">
              <w:rPr>
                <w:b/>
                <w:color w:val="FFFFFF"/>
              </w:rPr>
              <w:t>2015–16</w:t>
            </w:r>
          </w:p>
        </w:tc>
        <w:tc>
          <w:tcPr>
            <w:tcW w:w="796" w:type="pct"/>
            <w:shd w:val="clear" w:color="auto" w:fill="365F91"/>
            <w:vAlign w:val="center"/>
          </w:tcPr>
          <w:p w:rsidR="0088341A" w:rsidRPr="00103A18" w:rsidRDefault="0088341A" w:rsidP="00501137">
            <w:pPr>
              <w:pStyle w:val="AERtabletextright"/>
              <w:keepNext/>
              <w:keepLines/>
              <w:rPr>
                <w:b/>
                <w:color w:val="FFFFFF"/>
              </w:rPr>
            </w:pPr>
            <w:r w:rsidRPr="00103A18">
              <w:rPr>
                <w:b/>
                <w:color w:val="FFFFFF"/>
              </w:rPr>
              <w:t>2016–17</w:t>
            </w:r>
          </w:p>
        </w:tc>
      </w:tr>
      <w:tr w:rsidR="0088341A" w:rsidRPr="00D36EEF" w:rsidTr="00501137">
        <w:trPr>
          <w:trHeight w:val="534"/>
        </w:trPr>
        <w:tc>
          <w:tcPr>
            <w:tcW w:w="2608" w:type="pct"/>
            <w:vAlign w:val="center"/>
          </w:tcPr>
          <w:p w:rsidR="0088341A" w:rsidRPr="00D36EEF" w:rsidRDefault="0088341A" w:rsidP="00501137">
            <w:pPr>
              <w:pStyle w:val="AERtabletextleft"/>
              <w:keepNext/>
              <w:keepLines/>
            </w:pPr>
            <w:r w:rsidRPr="00D36EEF">
              <w:t>Opening RAB</w:t>
            </w:r>
            <w:r>
              <w:t xml:space="preserve"> as at 1 April 2014</w:t>
            </w:r>
          </w:p>
        </w:tc>
        <w:tc>
          <w:tcPr>
            <w:tcW w:w="798" w:type="pct"/>
            <w:vAlign w:val="center"/>
          </w:tcPr>
          <w:p w:rsidR="0088341A" w:rsidRPr="009A6FC1" w:rsidRDefault="0088341A" w:rsidP="00501137">
            <w:pPr>
              <w:pStyle w:val="AERtabletextright"/>
              <w:keepNext/>
              <w:keepLines/>
            </w:pPr>
            <w:r>
              <w:t>2865.7</w:t>
            </w:r>
          </w:p>
        </w:tc>
        <w:tc>
          <w:tcPr>
            <w:tcW w:w="798" w:type="pct"/>
            <w:vAlign w:val="center"/>
          </w:tcPr>
          <w:p w:rsidR="0088341A" w:rsidRPr="009A6FC1" w:rsidRDefault="0088341A" w:rsidP="00501137">
            <w:pPr>
              <w:pStyle w:val="AERtabletextright"/>
              <w:keepNext/>
              <w:keepLines/>
            </w:pPr>
            <w:r>
              <w:t>2978.5</w:t>
            </w:r>
          </w:p>
        </w:tc>
        <w:tc>
          <w:tcPr>
            <w:tcW w:w="796" w:type="pct"/>
            <w:vAlign w:val="center"/>
          </w:tcPr>
          <w:p w:rsidR="0088341A" w:rsidRPr="009A6FC1" w:rsidRDefault="0088341A" w:rsidP="00501137">
            <w:pPr>
              <w:pStyle w:val="AERtabletextright"/>
              <w:keepNext/>
              <w:keepLines/>
            </w:pPr>
            <w:r>
              <w:t>3096.4</w:t>
            </w:r>
          </w:p>
        </w:tc>
      </w:tr>
      <w:tr w:rsidR="0088341A" w:rsidRPr="00D36EEF" w:rsidTr="00501137">
        <w:trPr>
          <w:trHeight w:val="534"/>
        </w:trPr>
        <w:tc>
          <w:tcPr>
            <w:tcW w:w="2608" w:type="pct"/>
            <w:shd w:val="clear" w:color="auto" w:fill="DBE5F1"/>
            <w:vAlign w:val="center"/>
          </w:tcPr>
          <w:p w:rsidR="0088341A" w:rsidRPr="009A6FC1" w:rsidRDefault="0088341A" w:rsidP="00501137">
            <w:pPr>
              <w:pStyle w:val="AERtabletextleft"/>
              <w:keepNext/>
              <w:keepLines/>
            </w:pPr>
            <w:r w:rsidRPr="00D36EEF">
              <w:t>Capital expenditure</w:t>
            </w:r>
            <w:r w:rsidRPr="009A6FC1">
              <w:rPr>
                <w:rStyle w:val="AERsuperscript"/>
              </w:rPr>
              <w:t>a</w:t>
            </w:r>
            <w:r w:rsidRPr="009A6FC1">
              <w:t xml:space="preserve"> </w:t>
            </w:r>
          </w:p>
        </w:tc>
        <w:tc>
          <w:tcPr>
            <w:tcW w:w="798" w:type="pct"/>
            <w:shd w:val="clear" w:color="auto" w:fill="DBE5F1"/>
            <w:vAlign w:val="center"/>
          </w:tcPr>
          <w:p w:rsidR="0088341A" w:rsidRPr="009A6FC1" w:rsidRDefault="0088341A" w:rsidP="00501137">
            <w:pPr>
              <w:pStyle w:val="AERtabletextright"/>
              <w:keepNext/>
              <w:keepLines/>
            </w:pPr>
            <w:r>
              <w:t>186.6</w:t>
            </w:r>
          </w:p>
        </w:tc>
        <w:tc>
          <w:tcPr>
            <w:tcW w:w="798" w:type="pct"/>
            <w:shd w:val="clear" w:color="auto" w:fill="DBE5F1"/>
            <w:vAlign w:val="center"/>
          </w:tcPr>
          <w:p w:rsidR="0088341A" w:rsidRPr="009A6FC1" w:rsidRDefault="0088341A" w:rsidP="00501137">
            <w:pPr>
              <w:pStyle w:val="AERtabletextright"/>
              <w:keepNext/>
              <w:keepLines/>
            </w:pPr>
            <w:r>
              <w:t>197.1</w:t>
            </w:r>
          </w:p>
        </w:tc>
        <w:tc>
          <w:tcPr>
            <w:tcW w:w="796" w:type="pct"/>
            <w:shd w:val="clear" w:color="auto" w:fill="DBE5F1"/>
            <w:vAlign w:val="center"/>
          </w:tcPr>
          <w:p w:rsidR="0088341A" w:rsidRPr="009A6FC1" w:rsidRDefault="0088341A" w:rsidP="00501137">
            <w:pPr>
              <w:pStyle w:val="AERtabletextright"/>
              <w:keepNext/>
              <w:keepLines/>
            </w:pPr>
            <w:r>
              <w:t>233.8</w:t>
            </w:r>
          </w:p>
        </w:tc>
      </w:tr>
      <w:tr w:rsidR="0088341A" w:rsidRPr="00D36EEF" w:rsidTr="00501137">
        <w:trPr>
          <w:trHeight w:val="534"/>
        </w:trPr>
        <w:tc>
          <w:tcPr>
            <w:tcW w:w="2608" w:type="pct"/>
            <w:vAlign w:val="center"/>
          </w:tcPr>
          <w:p w:rsidR="0088341A" w:rsidRPr="009A6FC1" w:rsidRDefault="0088341A" w:rsidP="00501137">
            <w:pPr>
              <w:pStyle w:val="AERtabletextleft"/>
              <w:keepNext/>
              <w:keepLines/>
            </w:pPr>
            <w:r w:rsidRPr="00D36EEF">
              <w:t>Inflation indexation on opening RAB</w:t>
            </w:r>
          </w:p>
        </w:tc>
        <w:tc>
          <w:tcPr>
            <w:tcW w:w="798" w:type="pct"/>
            <w:vAlign w:val="center"/>
          </w:tcPr>
          <w:p w:rsidR="0088341A" w:rsidRPr="009A6FC1" w:rsidRDefault="0088341A" w:rsidP="00501137">
            <w:pPr>
              <w:pStyle w:val="AERtabletextright"/>
              <w:keepNext/>
              <w:keepLines/>
            </w:pPr>
            <w:r>
              <w:t>71.6</w:t>
            </w:r>
          </w:p>
        </w:tc>
        <w:tc>
          <w:tcPr>
            <w:tcW w:w="798" w:type="pct"/>
            <w:vAlign w:val="center"/>
          </w:tcPr>
          <w:p w:rsidR="0088341A" w:rsidRPr="009A6FC1" w:rsidRDefault="0088341A" w:rsidP="00501137">
            <w:pPr>
              <w:pStyle w:val="AERtabletextright"/>
              <w:keepNext/>
              <w:keepLines/>
            </w:pPr>
            <w:r>
              <w:t>74.5</w:t>
            </w:r>
          </w:p>
        </w:tc>
        <w:tc>
          <w:tcPr>
            <w:tcW w:w="796" w:type="pct"/>
            <w:vAlign w:val="center"/>
          </w:tcPr>
          <w:p w:rsidR="0088341A" w:rsidRPr="009A6FC1" w:rsidRDefault="0088341A" w:rsidP="00501137">
            <w:pPr>
              <w:pStyle w:val="AERtabletextright"/>
              <w:keepNext/>
              <w:keepLines/>
            </w:pPr>
            <w:r>
              <w:t>77.4</w:t>
            </w:r>
          </w:p>
        </w:tc>
      </w:tr>
      <w:tr w:rsidR="0088341A" w:rsidRPr="00D36EEF" w:rsidTr="00501137">
        <w:trPr>
          <w:trHeight w:val="534"/>
        </w:trPr>
        <w:tc>
          <w:tcPr>
            <w:tcW w:w="2608" w:type="pct"/>
            <w:shd w:val="clear" w:color="auto" w:fill="DBE5F1"/>
            <w:vAlign w:val="center"/>
          </w:tcPr>
          <w:p w:rsidR="0088341A" w:rsidRPr="009A6FC1" w:rsidRDefault="0088341A" w:rsidP="00501137">
            <w:pPr>
              <w:pStyle w:val="AERtabletextleft"/>
              <w:keepNext/>
              <w:keepLines/>
            </w:pPr>
            <w:r w:rsidRPr="00D36EEF">
              <w:t>Straight-line depreciation</w:t>
            </w:r>
            <w:r w:rsidRPr="009A6FC1">
              <w:rPr>
                <w:rStyle w:val="AERsuperscript"/>
              </w:rPr>
              <w:t>b</w:t>
            </w:r>
          </w:p>
        </w:tc>
        <w:tc>
          <w:tcPr>
            <w:tcW w:w="798" w:type="pct"/>
            <w:shd w:val="clear" w:color="auto" w:fill="DBE5F1"/>
            <w:vAlign w:val="center"/>
          </w:tcPr>
          <w:p w:rsidR="0088341A" w:rsidRPr="009A6FC1" w:rsidRDefault="0088341A" w:rsidP="00501137">
            <w:pPr>
              <w:pStyle w:val="AERtabletextright"/>
              <w:keepNext/>
              <w:keepLines/>
            </w:pPr>
            <w:r>
              <w:t>–145.5</w:t>
            </w:r>
          </w:p>
        </w:tc>
        <w:tc>
          <w:tcPr>
            <w:tcW w:w="798" w:type="pct"/>
            <w:shd w:val="clear" w:color="auto" w:fill="DBE5F1"/>
            <w:vAlign w:val="center"/>
          </w:tcPr>
          <w:p w:rsidR="0088341A" w:rsidRPr="009A6FC1" w:rsidRDefault="0088341A" w:rsidP="00501137">
            <w:pPr>
              <w:pStyle w:val="AERtabletextright"/>
              <w:keepNext/>
              <w:keepLines/>
            </w:pPr>
            <w:r>
              <w:t>–153.8</w:t>
            </w:r>
          </w:p>
        </w:tc>
        <w:tc>
          <w:tcPr>
            <w:tcW w:w="796" w:type="pct"/>
            <w:shd w:val="clear" w:color="auto" w:fill="DBE5F1"/>
            <w:vAlign w:val="center"/>
          </w:tcPr>
          <w:p w:rsidR="0088341A" w:rsidRPr="009A6FC1" w:rsidRDefault="0088341A" w:rsidP="00501137">
            <w:pPr>
              <w:pStyle w:val="AERtabletextright"/>
              <w:keepNext/>
              <w:keepLines/>
            </w:pPr>
            <w:r>
              <w:t>–163.3</w:t>
            </w:r>
          </w:p>
        </w:tc>
      </w:tr>
      <w:tr w:rsidR="0088341A" w:rsidRPr="00D36EEF" w:rsidTr="00501137">
        <w:trPr>
          <w:trHeight w:val="534"/>
        </w:trPr>
        <w:tc>
          <w:tcPr>
            <w:tcW w:w="2608" w:type="pct"/>
            <w:vAlign w:val="center"/>
          </w:tcPr>
          <w:p w:rsidR="0088341A" w:rsidRPr="009A6FC1" w:rsidRDefault="0088341A" w:rsidP="00501137">
            <w:pPr>
              <w:pStyle w:val="AERtabletextleft"/>
              <w:keepNext/>
              <w:keepLines/>
            </w:pPr>
            <w:r w:rsidRPr="00D36EEF">
              <w:t>Closing RAB</w:t>
            </w:r>
            <w:r>
              <w:t xml:space="preserve"> as at 31 March 2017</w:t>
            </w:r>
          </w:p>
        </w:tc>
        <w:tc>
          <w:tcPr>
            <w:tcW w:w="798" w:type="pct"/>
            <w:vAlign w:val="center"/>
          </w:tcPr>
          <w:p w:rsidR="0088341A" w:rsidRPr="009A6FC1" w:rsidRDefault="0088341A" w:rsidP="00501137">
            <w:pPr>
              <w:pStyle w:val="AERtabletextright"/>
              <w:keepNext/>
              <w:keepLines/>
            </w:pPr>
            <w:r>
              <w:t>2978.5</w:t>
            </w:r>
          </w:p>
        </w:tc>
        <w:tc>
          <w:tcPr>
            <w:tcW w:w="798" w:type="pct"/>
            <w:vAlign w:val="center"/>
          </w:tcPr>
          <w:p w:rsidR="0088341A" w:rsidRPr="009A6FC1" w:rsidRDefault="0088341A" w:rsidP="00501137">
            <w:pPr>
              <w:pStyle w:val="AERtabletextright"/>
              <w:keepNext/>
              <w:keepLines/>
            </w:pPr>
            <w:r>
              <w:t>3096.4</w:t>
            </w:r>
          </w:p>
        </w:tc>
        <w:tc>
          <w:tcPr>
            <w:tcW w:w="796" w:type="pct"/>
            <w:vAlign w:val="center"/>
          </w:tcPr>
          <w:p w:rsidR="0088341A" w:rsidRPr="009A6FC1" w:rsidRDefault="0088341A" w:rsidP="00501137">
            <w:pPr>
              <w:pStyle w:val="AERtabletextright"/>
              <w:keepNext/>
              <w:keepLines/>
            </w:pPr>
            <w:r>
              <w:t>3244.2</w:t>
            </w:r>
          </w:p>
        </w:tc>
      </w:tr>
    </w:tbl>
    <w:p w:rsidR="0088341A" w:rsidRDefault="0088341A" w:rsidP="0088341A">
      <w:pPr>
        <w:pStyle w:val="AERtablesource"/>
        <w:keepNext/>
        <w:keepLines/>
      </w:pPr>
      <w:r>
        <w:t xml:space="preserve">Source: </w:t>
      </w:r>
      <w:r>
        <w:tab/>
        <w:t xml:space="preserve">SP AusNet, </w:t>
      </w:r>
      <w:r w:rsidRPr="0087288F">
        <w:rPr>
          <w:rStyle w:val="AERtextitalic"/>
        </w:rPr>
        <w:t>Post-tax revenue model</w:t>
      </w:r>
      <w:r>
        <w:t>, February 2013.</w:t>
      </w:r>
    </w:p>
    <w:p w:rsidR="0088341A" w:rsidRDefault="0088341A" w:rsidP="00DD2025">
      <w:pPr>
        <w:pStyle w:val="AERtablesource"/>
      </w:pPr>
      <w:r>
        <w:t>(a)</w:t>
      </w:r>
      <w:r>
        <w:tab/>
        <w:t>As incurred, and net of disposals.</w:t>
      </w:r>
    </w:p>
    <w:p w:rsidR="0088341A" w:rsidRPr="00EA0188" w:rsidRDefault="0088341A" w:rsidP="00DD2025">
      <w:pPr>
        <w:pStyle w:val="AERtablesource"/>
      </w:pPr>
      <w:r>
        <w:t>(b)</w:t>
      </w:r>
      <w:r>
        <w:tab/>
        <w:t>Based on as-commissioned capex.</w:t>
      </w:r>
    </w:p>
    <w:p w:rsidR="0088341A" w:rsidRPr="00700FC7" w:rsidRDefault="0088341A" w:rsidP="0088341A">
      <w:pPr>
        <w:pStyle w:val="Heading2"/>
        <w:numPr>
          <w:ilvl w:val="2"/>
          <w:numId w:val="20"/>
        </w:numPr>
      </w:pPr>
      <w:bookmarkStart w:id="245" w:name="_Toc365283311"/>
      <w:r w:rsidRPr="00700FC7">
        <w:t>Assessment approach</w:t>
      </w:r>
      <w:bookmarkEnd w:id="245"/>
    </w:p>
    <w:p w:rsidR="0088341A" w:rsidRDefault="0088341A" w:rsidP="0088341A">
      <w:pPr>
        <w:pStyle w:val="AERbodytext"/>
        <w:numPr>
          <w:ilvl w:val="0"/>
          <w:numId w:val="1"/>
        </w:numPr>
      </w:pPr>
      <w:r>
        <w:t>We are required to r</w:t>
      </w:r>
      <w:r w:rsidR="00782E04">
        <w:t>oll forward a TNSP’s</w:t>
      </w:r>
      <w:r>
        <w:t xml:space="preserve"> RAB during the current regulatory control period to establish an opening RAB for the next regulatory control period.</w:t>
      </w:r>
      <w:r>
        <w:rPr>
          <w:rStyle w:val="FootnoteReference"/>
        </w:rPr>
        <w:footnoteReference w:id="402"/>
      </w:r>
      <w:r>
        <w:t xml:space="preserve"> The RAB value can be adjusted for any differences in the forecast and actual capex and disposals. It may be adjusted to also reflect any changes in the use of the assets, because the RAB must include only assets used to provide prescribed transmission services.</w:t>
      </w:r>
      <w:r>
        <w:rPr>
          <w:rStyle w:val="FootnoteReference"/>
        </w:rPr>
        <w:footnoteReference w:id="403"/>
      </w:r>
    </w:p>
    <w:p w:rsidR="0088341A" w:rsidRDefault="0088341A" w:rsidP="0088341A">
      <w:pPr>
        <w:pStyle w:val="AERbodytext"/>
        <w:numPr>
          <w:ilvl w:val="0"/>
          <w:numId w:val="1"/>
        </w:numPr>
      </w:pPr>
      <w:r w:rsidRPr="00C546DC">
        <w:t xml:space="preserve">To determine the opening RAB </w:t>
      </w:r>
      <w:r>
        <w:t>for a transmission determination, we developed</w:t>
      </w:r>
      <w:r w:rsidRPr="00C546DC">
        <w:t xml:space="preserve"> an asset base RFM</w:t>
      </w:r>
      <w:r>
        <w:t xml:space="preserve"> in accordance with the requirements of the National Electricity Rules (NER)</w:t>
      </w:r>
      <w:r w:rsidRPr="00C546DC">
        <w:t>.</w:t>
      </w:r>
      <w:r>
        <w:rPr>
          <w:rStyle w:val="FootnoteReference"/>
        </w:rPr>
        <w:footnoteReference w:id="404"/>
      </w:r>
      <w:r>
        <w:t xml:space="preserve"> A TNSP must use our RFM in preparing its revenue proposal. The RFM rolls forward the TNSP's RAB from</w:t>
      </w:r>
      <w:r w:rsidRPr="00E807C7">
        <w:t xml:space="preserve"> </w:t>
      </w:r>
      <w:r>
        <w:t>the beginning of the final year of the previous regulatory control period, through the current regulatory control period, to the beginning of the next regulatory control period. The roll forward occurs for each regulatory year by:</w:t>
      </w:r>
    </w:p>
    <w:p w:rsidR="0088341A" w:rsidRPr="007A6C9D" w:rsidRDefault="00782E04" w:rsidP="0088341A">
      <w:pPr>
        <w:pStyle w:val="AERbulletlistfirststyle"/>
      </w:pPr>
      <w:r>
        <w:t>a</w:t>
      </w:r>
      <w:r w:rsidR="0088341A">
        <w:t>dding an inflation (indexation) adjustment for the relevant year. This adjustment must be consistent with the inflation factor used in the annual indexation of the maximum allowed revenue (MAR).</w:t>
      </w:r>
      <w:r w:rsidR="0088341A" w:rsidRPr="007A6C9D">
        <w:rPr>
          <w:rStyle w:val="FootnoteReference"/>
        </w:rPr>
        <w:footnoteReference w:id="405"/>
      </w:r>
    </w:p>
    <w:p w:rsidR="0088341A" w:rsidRDefault="00782E04" w:rsidP="0088341A">
      <w:pPr>
        <w:pStyle w:val="AERbulletlistfirststyle"/>
      </w:pPr>
      <w:r>
        <w:t>a</w:t>
      </w:r>
      <w:r w:rsidR="0088341A">
        <w:t>dding capex incurred for the relevant year.</w:t>
      </w:r>
      <w:r w:rsidR="0088341A" w:rsidRPr="007A6C9D">
        <w:rPr>
          <w:rStyle w:val="FootnoteReference"/>
        </w:rPr>
        <w:footnoteReference w:id="406"/>
      </w:r>
      <w:r w:rsidR="0088341A" w:rsidRPr="007A6C9D">
        <w:t xml:space="preserve"> Actual </w:t>
      </w:r>
      <w:r w:rsidR="0088341A">
        <w:t>as-incurred</w:t>
      </w:r>
      <w:r w:rsidR="0088341A" w:rsidRPr="007A6C9D">
        <w:t xml:space="preserve"> capex</w:t>
      </w:r>
      <w:r w:rsidR="0088341A">
        <w:t xml:space="preserve"> </w:t>
      </w:r>
      <w:r w:rsidR="0088341A" w:rsidRPr="007A6C9D">
        <w:t>must be used whe</w:t>
      </w:r>
      <w:r w:rsidR="0088341A">
        <w:t>n</w:t>
      </w:r>
      <w:r w:rsidR="0088341A" w:rsidRPr="007A6C9D">
        <w:t xml:space="preserve"> available. However, </w:t>
      </w:r>
      <w:r w:rsidR="0088341A">
        <w:t>an estimated capex</w:t>
      </w:r>
      <w:r w:rsidR="0088341A" w:rsidRPr="007A6C9D">
        <w:t xml:space="preserve"> </w:t>
      </w:r>
      <w:r w:rsidR="0088341A">
        <w:t>is</w:t>
      </w:r>
      <w:r w:rsidR="0088341A" w:rsidRPr="007A6C9D">
        <w:t xml:space="preserve"> typically required for the final year of the regulatory control period. </w:t>
      </w:r>
      <w:r w:rsidR="0088341A">
        <w:t>We then update this estimated capex</w:t>
      </w:r>
      <w:r w:rsidR="0088341A" w:rsidRPr="007A6C9D">
        <w:t xml:space="preserve"> </w:t>
      </w:r>
      <w:r w:rsidR="0088341A">
        <w:t>with</w:t>
      </w:r>
      <w:r w:rsidR="0088341A" w:rsidRPr="007A6C9D">
        <w:t xml:space="preserve"> actual </w:t>
      </w:r>
      <w:r w:rsidR="0088341A">
        <w:t>capex</w:t>
      </w:r>
      <w:r w:rsidR="0088341A" w:rsidRPr="007A6C9D">
        <w:t xml:space="preserve"> at the next determination. </w:t>
      </w:r>
      <w:r w:rsidR="0088341A">
        <w:t>We</w:t>
      </w:r>
      <w:r w:rsidR="0088341A" w:rsidRPr="007A6C9D">
        <w:t xml:space="preserve"> check actual capex amounts against </w:t>
      </w:r>
      <w:r w:rsidR="0088341A">
        <w:t xml:space="preserve">audited </w:t>
      </w:r>
      <w:r w:rsidR="0088341A" w:rsidRPr="007A6C9D">
        <w:t>regulatory accounts data</w:t>
      </w:r>
      <w:r w:rsidR="0088341A">
        <w:t xml:space="preserve">. </w:t>
      </w:r>
    </w:p>
    <w:p w:rsidR="0088341A" w:rsidRPr="007A6C9D" w:rsidRDefault="00782E04" w:rsidP="0088341A">
      <w:pPr>
        <w:pStyle w:val="AERbulletlistfirststyle"/>
      </w:pPr>
      <w:r>
        <w:t>s</w:t>
      </w:r>
      <w:r w:rsidR="0088341A">
        <w:t>ubtracting depreciation for the relevant year. Depreciation based on actual capex is used to roll forward the RAB.</w:t>
      </w:r>
      <w:r w:rsidR="0088341A" w:rsidRPr="007A6C9D">
        <w:rPr>
          <w:rStyle w:val="FootnoteReference"/>
        </w:rPr>
        <w:footnoteReference w:id="407"/>
      </w:r>
      <w:r w:rsidR="0088341A" w:rsidRPr="007A6C9D">
        <w:t xml:space="preserve"> </w:t>
      </w:r>
    </w:p>
    <w:p w:rsidR="0088341A" w:rsidRPr="007A6C9D" w:rsidRDefault="00782E04" w:rsidP="0088341A">
      <w:pPr>
        <w:pStyle w:val="AERbulletlistfirststyle"/>
      </w:pPr>
      <w:r>
        <w:t>s</w:t>
      </w:r>
      <w:r w:rsidR="0088341A">
        <w:t>ubtracting any disposals for the relevant year, by way of netting from capex to be added to the RAB.</w:t>
      </w:r>
      <w:r w:rsidR="0088341A" w:rsidRPr="007A6C9D">
        <w:rPr>
          <w:rStyle w:val="FootnoteReference"/>
        </w:rPr>
        <w:footnoteReference w:id="408"/>
      </w:r>
      <w:r w:rsidR="0088341A" w:rsidRPr="007A6C9D">
        <w:t xml:space="preserve"> </w:t>
      </w:r>
      <w:r w:rsidR="0088341A">
        <w:t>We</w:t>
      </w:r>
      <w:r w:rsidR="0088341A" w:rsidRPr="007A6C9D">
        <w:t xml:space="preserve"> check these amounts against </w:t>
      </w:r>
      <w:r w:rsidR="0088341A">
        <w:t xml:space="preserve">audited </w:t>
      </w:r>
      <w:r w:rsidR="0088341A" w:rsidRPr="007A6C9D">
        <w:t>regulatory accounts data.</w:t>
      </w:r>
    </w:p>
    <w:p w:rsidR="0088341A" w:rsidRDefault="0088341A" w:rsidP="0088341A">
      <w:pPr>
        <w:pStyle w:val="AERbodytext"/>
        <w:numPr>
          <w:ilvl w:val="0"/>
          <w:numId w:val="1"/>
        </w:numPr>
      </w:pPr>
      <w:r>
        <w:lastRenderedPageBreak/>
        <w:t xml:space="preserve">These annual adjustments give the closing RAB for a particular regulatory year, which then becomes the opening RAB for the subsequent regulatory year. Through this process, the RFM rolls forward the RAB to the end of the current regulatory control period. The post-tax revenue model (PTRM) for the next regulatory control period generally adopts the same roll forward approach for establishing the forecast RAB, although the adjustments to the RAB are based on forecasts rather than actual amounts. </w:t>
      </w:r>
    </w:p>
    <w:p w:rsidR="0088341A" w:rsidRPr="00700FC7" w:rsidRDefault="0088341A" w:rsidP="0088341A">
      <w:pPr>
        <w:pStyle w:val="Heading2"/>
        <w:numPr>
          <w:ilvl w:val="2"/>
          <w:numId w:val="20"/>
        </w:numPr>
      </w:pPr>
      <w:bookmarkStart w:id="246" w:name="_Toc365283312"/>
      <w:r w:rsidRPr="00700FC7">
        <w:t>Reasons for draft decision</w:t>
      </w:r>
      <w:bookmarkEnd w:id="246"/>
      <w:r w:rsidRPr="00700FC7">
        <w:t xml:space="preserve"> </w:t>
      </w:r>
    </w:p>
    <w:p w:rsidR="0088341A" w:rsidRDefault="0088341A" w:rsidP="0088341A">
      <w:pPr>
        <w:pStyle w:val="AERbodytext"/>
        <w:numPr>
          <w:ilvl w:val="0"/>
          <w:numId w:val="1"/>
        </w:numPr>
      </w:pPr>
      <w:r>
        <w:t xml:space="preserve">We do not accept SP AusNet's proposed opening RAB as at 1 April 2014 of $2866 million. We increased it by $7.1 million (or 0.2 per cent), for the following reasons:  </w:t>
      </w:r>
    </w:p>
    <w:p w:rsidR="0088341A" w:rsidRDefault="00782E04" w:rsidP="0088341A">
      <w:pPr>
        <w:pStyle w:val="AERbulletlistfirststyle"/>
      </w:pPr>
      <w:r>
        <w:t>w</w:t>
      </w:r>
      <w:r w:rsidR="0088341A">
        <w:t xml:space="preserve">e reduced SP AusNet's proposed adjustment for the difference between the estimated and actual capex for 2007–08 by </w:t>
      </w:r>
      <w:r w:rsidR="0088341A" w:rsidRPr="00AF5BA8">
        <w:t>$4</w:t>
      </w:r>
      <w:r w:rsidR="0088341A">
        <w:t>3</w:t>
      </w:r>
      <w:r w:rsidR="0088341A" w:rsidRPr="00AF5BA8">
        <w:t>.</w:t>
      </w:r>
      <w:r w:rsidR="0088341A">
        <w:t>5 </w:t>
      </w:r>
      <w:r w:rsidR="0088341A" w:rsidRPr="00AF5BA8">
        <w:t>million (or 8</w:t>
      </w:r>
      <w:r w:rsidR="0088341A">
        <w:t>2</w:t>
      </w:r>
      <w:r w:rsidR="0088341A" w:rsidRPr="00AF5BA8">
        <w:t>.</w:t>
      </w:r>
      <w:r w:rsidR="0088341A">
        <w:t xml:space="preserve">9 </w:t>
      </w:r>
      <w:r w:rsidR="0088341A" w:rsidRPr="00AF5BA8">
        <w:t>per cent)</w:t>
      </w:r>
      <w:r w:rsidR="0088341A">
        <w:t>.</w:t>
      </w:r>
    </w:p>
    <w:p w:rsidR="0088341A" w:rsidRDefault="00782E04" w:rsidP="0088341A">
      <w:pPr>
        <w:pStyle w:val="AERbulletlistfirststyle"/>
      </w:pPr>
      <w:r>
        <w:t>w</w:t>
      </w:r>
      <w:r w:rsidR="0088341A">
        <w:t>e adjusted the actual capex to reverse the movements in provisions for</w:t>
      </w:r>
      <w:r w:rsidR="0088341A" w:rsidRPr="004E07AF">
        <w:t xml:space="preserve"> 2007–14</w:t>
      </w:r>
      <w:r w:rsidR="0088341A">
        <w:t>.</w:t>
      </w:r>
      <w:r w:rsidR="0088341A" w:rsidRPr="00406AA9">
        <w:t xml:space="preserve"> </w:t>
      </w:r>
      <w:r w:rsidR="0088341A">
        <w:t xml:space="preserve">This adjustment </w:t>
      </w:r>
      <w:r w:rsidR="0088341A" w:rsidRPr="00371255">
        <w:rPr>
          <w:rStyle w:val="AERbody"/>
        </w:rPr>
        <w:t xml:space="preserve">decreased the </w:t>
      </w:r>
      <w:r w:rsidR="0088341A">
        <w:rPr>
          <w:rStyle w:val="AERbody"/>
        </w:rPr>
        <w:t xml:space="preserve">proposed </w:t>
      </w:r>
      <w:r w:rsidR="0088341A" w:rsidRPr="00371255">
        <w:rPr>
          <w:rStyle w:val="AERbody"/>
        </w:rPr>
        <w:t>opening RAB at 1 April 2014 by $</w:t>
      </w:r>
      <w:r w:rsidR="0088341A">
        <w:rPr>
          <w:rStyle w:val="AERbody"/>
        </w:rPr>
        <w:t>2.4 million</w:t>
      </w:r>
    </w:p>
    <w:p w:rsidR="0088341A" w:rsidRDefault="00782E04" w:rsidP="0088341A">
      <w:pPr>
        <w:pStyle w:val="AERbulletlistfirststyle"/>
      </w:pPr>
      <w:r>
        <w:t>w</w:t>
      </w:r>
      <w:r w:rsidR="0088341A">
        <w:t>e increased the proposed actual straight-line depreciation value by $0.6 million.</w:t>
      </w:r>
    </w:p>
    <w:p w:rsidR="0088341A" w:rsidRDefault="00782E04" w:rsidP="0088341A">
      <w:pPr>
        <w:pStyle w:val="AERbulletlistfirststyle"/>
      </w:pPr>
      <w:r>
        <w:t>w</w:t>
      </w:r>
      <w:r w:rsidR="0088341A">
        <w:t xml:space="preserve">e corrected inputs for the previously approved forecast inflation and weighted average cost of capital (WACC) in the RFM. </w:t>
      </w:r>
    </w:p>
    <w:p w:rsidR="0088341A" w:rsidRDefault="00782E04" w:rsidP="0088341A">
      <w:pPr>
        <w:pStyle w:val="AERbulletlistfirststyle"/>
      </w:pPr>
      <w:r>
        <w:rPr>
          <w:rStyle w:val="AERbody"/>
        </w:rPr>
        <w:t>w</w:t>
      </w:r>
      <w:r w:rsidR="0088341A">
        <w:rPr>
          <w:rStyle w:val="AERbody"/>
        </w:rPr>
        <w:t xml:space="preserve">e </w:t>
      </w:r>
      <w:r w:rsidR="0088341A">
        <w:t>included $53.4 million to SP AusNet's opening RAB for providing an equity raising costs allowance associated with its opening RAB as at 1 January 2003 and capex incurred over the 2003–08 regulatory control period.</w:t>
      </w:r>
    </w:p>
    <w:p w:rsidR="0088341A" w:rsidRDefault="0088341A" w:rsidP="0088341A">
      <w:pPr>
        <w:pStyle w:val="AERbodytext"/>
        <w:numPr>
          <w:ilvl w:val="0"/>
          <w:numId w:val="1"/>
        </w:numPr>
      </w:pPr>
      <w:r>
        <w:t xml:space="preserve">We forecast SP AusNet's closing RAB will be $3057.3 million at </w:t>
      </w:r>
      <w:r w:rsidRPr="0072793E">
        <w:t>3</w:t>
      </w:r>
      <w:r>
        <w:t>1</w:t>
      </w:r>
      <w:r w:rsidRPr="0072793E">
        <w:t xml:space="preserve"> March 2017</w:t>
      </w:r>
      <w:r>
        <w:t>, which represents a 5.8 per cent reduction on the proposed amount. The main reasons for this reduction are our adjustments to:</w:t>
      </w:r>
    </w:p>
    <w:p w:rsidR="0088341A" w:rsidRDefault="0088341A" w:rsidP="0088341A">
      <w:pPr>
        <w:pStyle w:val="AERbulletlistfirststyle"/>
      </w:pPr>
      <w:r>
        <w:t xml:space="preserve">the opening RAB as at 1 April 2014 (section </w:t>
      </w:r>
      <w:r>
        <w:fldChar w:fldCharType="begin"/>
      </w:r>
      <w:r>
        <w:instrText xml:space="preserve"> REF _Ref360174216 \r \h </w:instrText>
      </w:r>
      <w:r>
        <w:fldChar w:fldCharType="separate"/>
      </w:r>
      <w:r w:rsidR="004F35AA">
        <w:t>5.4.1</w:t>
      </w:r>
      <w:r>
        <w:fldChar w:fldCharType="end"/>
      </w:r>
      <w:r>
        <w:t>)</w:t>
      </w:r>
    </w:p>
    <w:p w:rsidR="0088341A" w:rsidRDefault="0088341A" w:rsidP="0088341A">
      <w:pPr>
        <w:pStyle w:val="AERbulletlistfirststyle"/>
      </w:pPr>
      <w:r>
        <w:t>forecast capex (attachment 2)</w:t>
      </w:r>
    </w:p>
    <w:p w:rsidR="0088341A" w:rsidRDefault="0088341A" w:rsidP="0088341A">
      <w:pPr>
        <w:pStyle w:val="AERbulletlistfirststyle"/>
      </w:pPr>
      <w:r>
        <w:t>forecast depreciation (attachment 6).</w:t>
      </w:r>
    </w:p>
    <w:p w:rsidR="0088341A" w:rsidRPr="00A907E9" w:rsidRDefault="0088341A" w:rsidP="0088341A">
      <w:pPr>
        <w:pStyle w:val="Heading3"/>
        <w:numPr>
          <w:ilvl w:val="3"/>
          <w:numId w:val="20"/>
        </w:numPr>
      </w:pPr>
      <w:bookmarkStart w:id="247" w:name="_Ref360174216"/>
      <w:r w:rsidRPr="00A907E9">
        <w:t>Opening RAB as at 1 April 2014</w:t>
      </w:r>
      <w:bookmarkEnd w:id="247"/>
    </w:p>
    <w:p w:rsidR="0088341A" w:rsidRDefault="0088341A" w:rsidP="0088341A">
      <w:pPr>
        <w:pStyle w:val="AERbodytext"/>
        <w:numPr>
          <w:ilvl w:val="0"/>
          <w:numId w:val="1"/>
        </w:numPr>
      </w:pPr>
      <w:r w:rsidRPr="00FD117F">
        <w:rPr>
          <w:rStyle w:val="AERbody"/>
        </w:rPr>
        <w:t>We do not accept S</w:t>
      </w:r>
      <w:r>
        <w:rPr>
          <w:rStyle w:val="AERbody"/>
        </w:rPr>
        <w:t xml:space="preserve">P AusNet's proposed opening RAB as at </w:t>
      </w:r>
      <w:r w:rsidRPr="00EA0188">
        <w:t xml:space="preserve">1 </w:t>
      </w:r>
      <w:r>
        <w:t xml:space="preserve">April 2014 of $2866 million, and increased it by $7.1 million (or 0.2 per cent). </w:t>
      </w:r>
    </w:p>
    <w:p w:rsidR="0088341A" w:rsidRDefault="0088341A" w:rsidP="0088341A">
      <w:pPr>
        <w:pStyle w:val="AERbodytext"/>
        <w:numPr>
          <w:ilvl w:val="0"/>
          <w:numId w:val="1"/>
        </w:numPr>
      </w:pPr>
      <w:r w:rsidRPr="0056376E">
        <w:t xml:space="preserve">We accept SP AusNet's proposed Group 3 assets roll-in of $144.4 million </w:t>
      </w:r>
      <w:r>
        <w:t xml:space="preserve">as </w:t>
      </w:r>
      <w:r w:rsidRPr="0056376E">
        <w:t xml:space="preserve">at 1 April 2014. We selected five </w:t>
      </w:r>
      <w:r>
        <w:t xml:space="preserve">projects </w:t>
      </w:r>
      <w:r w:rsidRPr="0056376E">
        <w:t xml:space="preserve">of the proposed Group 3 assets and reviewed </w:t>
      </w:r>
      <w:r>
        <w:t>SP AusNet's calculation of the</w:t>
      </w:r>
      <w:r w:rsidRPr="0056376E">
        <w:t xml:space="preserve"> roll-in value for these projects. The</w:t>
      </w:r>
      <w:r>
        <w:t xml:space="preserve"> </w:t>
      </w:r>
      <w:r w:rsidRPr="0056376E">
        <w:t>contracts</w:t>
      </w:r>
      <w:r>
        <w:t xml:space="preserve"> for these five projects</w:t>
      </w:r>
      <w:r w:rsidRPr="0056376E">
        <w:t xml:space="preserve"> represent about 60 per cent of the total proposed roll-in value. We consider the method applied by SP AusNet to calculate the roll-in values </w:t>
      </w:r>
      <w:r>
        <w:t>is consistent</w:t>
      </w:r>
      <w:r w:rsidRPr="0056376E">
        <w:t xml:space="preserve"> with the NER.</w:t>
      </w:r>
      <w:r w:rsidRPr="0056376E">
        <w:rPr>
          <w:rStyle w:val="AERsuperscript"/>
        </w:rPr>
        <w:footnoteReference w:id="409"/>
      </w:r>
      <w:r w:rsidRPr="0056376E">
        <w:t xml:space="preserve"> </w:t>
      </w:r>
    </w:p>
    <w:p w:rsidR="0088341A" w:rsidRPr="0056376E" w:rsidRDefault="0088341A" w:rsidP="0088341A">
      <w:pPr>
        <w:pStyle w:val="AERbodytext"/>
        <w:numPr>
          <w:ilvl w:val="0"/>
          <w:numId w:val="1"/>
        </w:numPr>
      </w:pPr>
      <w:r w:rsidRPr="0056376E">
        <w:t>However</w:t>
      </w:r>
      <w:r>
        <w:t>,</w:t>
      </w:r>
      <w:r w:rsidRPr="0056376E">
        <w:t xml:space="preserve"> we made the following amendments to the proposed opening RAB</w:t>
      </w:r>
      <w:r>
        <w:t xml:space="preserve"> </w:t>
      </w:r>
      <w:r>
        <w:rPr>
          <w:rStyle w:val="AERbody"/>
        </w:rPr>
        <w:t xml:space="preserve">as at </w:t>
      </w:r>
      <w:r w:rsidRPr="00EA0188">
        <w:t xml:space="preserve">1 </w:t>
      </w:r>
      <w:r>
        <w:t>April 2014</w:t>
      </w:r>
      <w:r w:rsidRPr="0056376E">
        <w:t>:</w:t>
      </w:r>
    </w:p>
    <w:p w:rsidR="0088341A" w:rsidRDefault="00782E04" w:rsidP="0088341A">
      <w:pPr>
        <w:pStyle w:val="AERbulletlistfirststyle"/>
      </w:pPr>
      <w:r>
        <w:t>w</w:t>
      </w:r>
      <w:r w:rsidR="0088341A">
        <w:t xml:space="preserve">e reduced the proposed adjustment for the difference between the estimated and actual capex for 2007–08 by </w:t>
      </w:r>
      <w:r w:rsidR="0088341A" w:rsidRPr="00AF5BA8">
        <w:t>$4</w:t>
      </w:r>
      <w:r w:rsidR="0088341A">
        <w:t>3</w:t>
      </w:r>
      <w:r w:rsidR="0088341A" w:rsidRPr="00AF5BA8">
        <w:t>.</w:t>
      </w:r>
      <w:r w:rsidR="0088341A">
        <w:t>5 million.</w:t>
      </w:r>
      <w:r w:rsidR="0088341A" w:rsidRPr="00AF5BA8">
        <w:t xml:space="preserve"> </w:t>
      </w:r>
    </w:p>
    <w:p w:rsidR="0088341A" w:rsidRDefault="00782E04" w:rsidP="0088341A">
      <w:pPr>
        <w:pStyle w:val="AERbulletlistfirststyle"/>
        <w:rPr>
          <w:rStyle w:val="AERbody"/>
        </w:rPr>
      </w:pPr>
      <w:r>
        <w:lastRenderedPageBreak/>
        <w:t>w</w:t>
      </w:r>
      <w:r w:rsidR="0088341A">
        <w:t xml:space="preserve">e adjusted SP AusNet's actual capex for </w:t>
      </w:r>
      <w:r w:rsidR="0088341A">
        <w:rPr>
          <w:rStyle w:val="AERbody"/>
        </w:rPr>
        <w:t>2007–08 to 2013–</w:t>
      </w:r>
      <w:r w:rsidR="0088341A" w:rsidRPr="00371255">
        <w:rPr>
          <w:rStyle w:val="AERbody"/>
        </w:rPr>
        <w:t>14</w:t>
      </w:r>
      <w:r w:rsidR="0088341A">
        <w:rPr>
          <w:rStyle w:val="AERbody"/>
        </w:rPr>
        <w:t xml:space="preserve"> for movements in provisions.</w:t>
      </w:r>
    </w:p>
    <w:p w:rsidR="0088341A" w:rsidRDefault="00782E04" w:rsidP="0088341A">
      <w:pPr>
        <w:pStyle w:val="AERbulletlistfirststyle"/>
        <w:rPr>
          <w:rStyle w:val="AERbody"/>
        </w:rPr>
      </w:pPr>
      <w:r>
        <w:t>w</w:t>
      </w:r>
      <w:r w:rsidR="0088341A">
        <w:t>e increased the proposed actual straight-line depreciation value by $0.6 million.</w:t>
      </w:r>
    </w:p>
    <w:p w:rsidR="0088341A" w:rsidRDefault="00782E04" w:rsidP="0088341A">
      <w:pPr>
        <w:pStyle w:val="AERbulletlistfirststyle"/>
        <w:rPr>
          <w:rStyle w:val="AERbody"/>
        </w:rPr>
      </w:pPr>
      <w:r>
        <w:rPr>
          <w:rStyle w:val="AERbody"/>
        </w:rPr>
        <w:t>w</w:t>
      </w:r>
      <w:r w:rsidR="0088341A">
        <w:rPr>
          <w:rStyle w:val="AERbody"/>
        </w:rPr>
        <w:t xml:space="preserve">e corrected two minor input errors in the proposed RFM. </w:t>
      </w:r>
    </w:p>
    <w:p w:rsidR="0088341A" w:rsidRDefault="00782E04" w:rsidP="0088341A">
      <w:pPr>
        <w:pStyle w:val="AERbulletlistfirststyle"/>
        <w:rPr>
          <w:rStyle w:val="AERbody"/>
        </w:rPr>
      </w:pPr>
      <w:r>
        <w:rPr>
          <w:rStyle w:val="AERbody"/>
        </w:rPr>
        <w:t>w</w:t>
      </w:r>
      <w:r w:rsidR="0088341A">
        <w:rPr>
          <w:rStyle w:val="AERbody"/>
        </w:rPr>
        <w:t xml:space="preserve">e </w:t>
      </w:r>
      <w:r w:rsidR="0088341A">
        <w:t xml:space="preserve">included $53.4 million to SP AusNet's opening RAB for providing an equity raising costs allowance associated with its opening RAB as at 1 January 2003 and capex incurred over the 2003–08 regulatory control period. This offsets the reductions we made to the proposed opening RAB. </w:t>
      </w:r>
    </w:p>
    <w:p w:rsidR="0088341A" w:rsidRPr="00FD117F" w:rsidRDefault="0088341A" w:rsidP="0088341A">
      <w:pPr>
        <w:pStyle w:val="AERbodytext"/>
        <w:numPr>
          <w:ilvl w:val="0"/>
          <w:numId w:val="1"/>
        </w:numPr>
        <w:rPr>
          <w:rStyle w:val="AERbody"/>
        </w:rPr>
      </w:pPr>
      <w:r>
        <w:t xml:space="preserve">This section outlines the reasons for our amendments. </w:t>
      </w:r>
    </w:p>
    <w:p w:rsidR="0088341A" w:rsidRPr="0016149B" w:rsidRDefault="0088341A" w:rsidP="0088341A">
      <w:pPr>
        <w:pStyle w:val="HeadingBoldBlue"/>
        <w:rPr>
          <w:rStyle w:val="AERtextorange"/>
          <w:rFonts w:eastAsia="Calibri"/>
          <w:color w:val="365F91"/>
        </w:rPr>
      </w:pPr>
      <w:r w:rsidRPr="0016149B">
        <w:rPr>
          <w:rStyle w:val="AERtextorange"/>
          <w:rFonts w:eastAsia="Calibri"/>
          <w:color w:val="365F91"/>
        </w:rPr>
        <w:t xml:space="preserve">Adjustment for the difference </w:t>
      </w:r>
      <w:r w:rsidRPr="0016149B">
        <w:t>between</w:t>
      </w:r>
      <w:r w:rsidRPr="0016149B">
        <w:rPr>
          <w:rStyle w:val="AERtextorange"/>
          <w:rFonts w:eastAsia="Calibri"/>
          <w:color w:val="365F91"/>
        </w:rPr>
        <w:t xml:space="preserve"> the estimated and actual capex for 2007–08</w:t>
      </w:r>
    </w:p>
    <w:p w:rsidR="0088341A" w:rsidRDefault="0088341A" w:rsidP="0088341A">
      <w:pPr>
        <w:pStyle w:val="AERbodytext"/>
        <w:numPr>
          <w:ilvl w:val="0"/>
          <w:numId w:val="1"/>
        </w:numPr>
      </w:pPr>
      <w:r>
        <w:t>We accept SP AusNet's proposed adjustments for:</w:t>
      </w:r>
    </w:p>
    <w:p w:rsidR="0088341A" w:rsidRDefault="0088341A" w:rsidP="0088341A">
      <w:pPr>
        <w:pStyle w:val="AERbulletlistfirststyle"/>
      </w:pPr>
      <w:r>
        <w:t xml:space="preserve">the difference between the estimated actual </w:t>
      </w:r>
      <w:r w:rsidRPr="00DE016F">
        <w:t>assets under construction as at 3</w:t>
      </w:r>
      <w:r>
        <w:t>1</w:t>
      </w:r>
      <w:r w:rsidRPr="00DE016F">
        <w:t xml:space="preserve"> March 2008</w:t>
      </w:r>
    </w:p>
    <w:p w:rsidR="0088341A" w:rsidRDefault="0088341A" w:rsidP="0088341A">
      <w:pPr>
        <w:pStyle w:val="AERbulletlistfirststyle"/>
      </w:pPr>
      <w:r>
        <w:t xml:space="preserve">the difference between the estimated </w:t>
      </w:r>
      <w:r w:rsidRPr="00DE016F">
        <w:t>Group 3 assets as at 3</w:t>
      </w:r>
      <w:r>
        <w:t>1</w:t>
      </w:r>
      <w:r w:rsidRPr="00DE016F">
        <w:t xml:space="preserve"> March 2008</w:t>
      </w:r>
      <w:r>
        <w:t xml:space="preserve">. </w:t>
      </w:r>
    </w:p>
    <w:p w:rsidR="0088341A" w:rsidRDefault="0088341A" w:rsidP="0088341A">
      <w:pPr>
        <w:pStyle w:val="AERbodytext"/>
        <w:numPr>
          <w:ilvl w:val="0"/>
          <w:numId w:val="1"/>
        </w:numPr>
      </w:pPr>
      <w:r>
        <w:t>However, we do not accept the proposed adjustment of $52.5 </w:t>
      </w:r>
      <w:r w:rsidRPr="00650C22">
        <w:t xml:space="preserve">million </w:t>
      </w:r>
      <w:r>
        <w:t xml:space="preserve">for the difference between </w:t>
      </w:r>
      <w:r w:rsidRPr="004D55A5">
        <w:t xml:space="preserve">the estimated and actual </w:t>
      </w:r>
      <w:r>
        <w:t xml:space="preserve">capex for 2007–08. </w:t>
      </w:r>
      <w:r w:rsidRPr="00B4701D">
        <w:t xml:space="preserve">We reduced the proposed </w:t>
      </w:r>
      <w:r>
        <w:t>adjustment</w:t>
      </w:r>
      <w:r w:rsidRPr="00B4701D">
        <w:t xml:space="preserve"> by $4</w:t>
      </w:r>
      <w:r>
        <w:t>3</w:t>
      </w:r>
      <w:r w:rsidRPr="00B4701D">
        <w:t>.</w:t>
      </w:r>
      <w:r>
        <w:t>5</w:t>
      </w:r>
      <w:r w:rsidRPr="00B4701D">
        <w:t xml:space="preserve"> million (or 8</w:t>
      </w:r>
      <w:r>
        <w:t>2</w:t>
      </w:r>
      <w:r w:rsidRPr="00B4701D">
        <w:t>.</w:t>
      </w:r>
      <w:r>
        <w:t>9 </w:t>
      </w:r>
      <w:r w:rsidRPr="00B4701D">
        <w:t xml:space="preserve">per cent) </w:t>
      </w:r>
      <w:r>
        <w:t xml:space="preserve">as set out in </w:t>
      </w:r>
      <w:r>
        <w:fldChar w:fldCharType="begin"/>
      </w:r>
      <w:r>
        <w:instrText xml:space="preserve"> REF _Ref358280728 \h </w:instrText>
      </w:r>
      <w:r>
        <w:fldChar w:fldCharType="separate"/>
      </w:r>
      <w:r w:rsidR="004F35AA">
        <w:t xml:space="preserve">Table </w:t>
      </w:r>
      <w:r w:rsidR="004F35AA">
        <w:rPr>
          <w:noProof/>
        </w:rPr>
        <w:t>5</w:t>
      </w:r>
      <w:r w:rsidR="004F35AA">
        <w:t>.</w:t>
      </w:r>
      <w:r w:rsidR="004F35AA">
        <w:rPr>
          <w:noProof/>
        </w:rPr>
        <w:t>5</w:t>
      </w:r>
      <w:r>
        <w:fldChar w:fldCharType="end"/>
      </w:r>
      <w:r>
        <w:t>, for the following reasons:</w:t>
      </w:r>
    </w:p>
    <w:p w:rsidR="0088341A" w:rsidRDefault="00782E04" w:rsidP="0088341A">
      <w:pPr>
        <w:pStyle w:val="AERbulletlistfirststyle"/>
      </w:pPr>
      <w:r>
        <w:t>w</w:t>
      </w:r>
      <w:r w:rsidR="0088341A">
        <w:t>e reduced the proposed d</w:t>
      </w:r>
      <w:r w:rsidR="0088341A" w:rsidRPr="00B7784F">
        <w:t xml:space="preserve">ifference between </w:t>
      </w:r>
      <w:r w:rsidR="0088341A">
        <w:t>the estimated</w:t>
      </w:r>
      <w:r w:rsidR="0088341A" w:rsidRPr="00B7784F">
        <w:t xml:space="preserve"> and actual capex</w:t>
      </w:r>
      <w:r w:rsidR="0088341A">
        <w:t xml:space="preserve"> for 2007–08 by $24.7 million. We made the reduction because we </w:t>
      </w:r>
      <w:r w:rsidR="0088341A" w:rsidRPr="00611909">
        <w:t xml:space="preserve">corrected the 2007–08 forecast net capex inputs in the </w:t>
      </w:r>
      <w:r w:rsidR="0088341A">
        <w:t xml:space="preserve">proposed </w:t>
      </w:r>
      <w:r w:rsidR="0088341A" w:rsidRPr="00611909">
        <w:t xml:space="preserve">RFM to reflect the </w:t>
      </w:r>
      <w:r w:rsidR="0088341A">
        <w:t>approved 2007–08</w:t>
      </w:r>
      <w:r w:rsidR="0088341A" w:rsidRPr="00611909">
        <w:t xml:space="preserve"> net capex values </w:t>
      </w:r>
      <w:r w:rsidR="0088341A">
        <w:t>that were</w:t>
      </w:r>
      <w:r w:rsidR="0088341A" w:rsidRPr="00611909">
        <w:t xml:space="preserve"> added to the RAB in the </w:t>
      </w:r>
      <w:r w:rsidR="0088341A">
        <w:t>our</w:t>
      </w:r>
      <w:r w:rsidR="0088341A" w:rsidRPr="00611909">
        <w:t xml:space="preserve"> 2008 decision.</w:t>
      </w:r>
      <w:r w:rsidR="0088341A">
        <w:rPr>
          <w:rStyle w:val="FootnoteReference"/>
        </w:rPr>
        <w:footnoteReference w:id="410"/>
      </w:r>
      <w:r w:rsidR="0088341A" w:rsidRPr="00D1081F">
        <w:t xml:space="preserve"> </w:t>
      </w:r>
      <w:r w:rsidR="0088341A" w:rsidRPr="00611909">
        <w:t xml:space="preserve"> </w:t>
      </w:r>
    </w:p>
    <w:p w:rsidR="0088341A" w:rsidRDefault="00782E04" w:rsidP="0088341A">
      <w:pPr>
        <w:pStyle w:val="AERbulletlistfirststyle"/>
      </w:pPr>
      <w:r>
        <w:t>w</w:t>
      </w:r>
      <w:r w:rsidR="0088341A">
        <w:t xml:space="preserve">e also amended the </w:t>
      </w:r>
      <w:r w:rsidR="0088341A" w:rsidRPr="00D1081F">
        <w:t>‘Prudent additional capex allowance’</w:t>
      </w:r>
      <w:r w:rsidR="0088341A">
        <w:t xml:space="preserve"> input in the RFM to $57.6 million from the proposed </w:t>
      </w:r>
      <w:r w:rsidR="0088341A" w:rsidRPr="00D1081F">
        <w:t>$81.4</w:t>
      </w:r>
      <w:r w:rsidR="0088341A">
        <w:t> </w:t>
      </w:r>
      <w:r w:rsidR="0088341A" w:rsidRPr="00D1081F">
        <w:t>million</w:t>
      </w:r>
      <w:r w:rsidR="0088341A">
        <w:t>. We did so</w:t>
      </w:r>
      <w:r w:rsidR="0088341A" w:rsidRPr="00D1081F">
        <w:t xml:space="preserve"> because the 2007–08 prudent</w:t>
      </w:r>
      <w:r w:rsidR="0088341A">
        <w:t xml:space="preserve"> additional</w:t>
      </w:r>
      <w:r w:rsidR="0088341A" w:rsidRPr="00D1081F">
        <w:t xml:space="preserve"> capex rolled into RAB</w:t>
      </w:r>
      <w:r w:rsidR="0088341A">
        <w:t xml:space="preserve"> was already included in the </w:t>
      </w:r>
      <w:r w:rsidR="0088341A" w:rsidRPr="004E10B3">
        <w:t>2007–08</w:t>
      </w:r>
      <w:r w:rsidR="0088341A">
        <w:t xml:space="preserve"> f</w:t>
      </w:r>
      <w:r w:rsidR="0088341A" w:rsidRPr="00D1081F">
        <w:t>orecast net capex of $109.1</w:t>
      </w:r>
      <w:r w:rsidR="0088341A">
        <w:t> </w:t>
      </w:r>
      <w:r w:rsidR="0088341A" w:rsidRPr="00D1081F">
        <w:t xml:space="preserve">million. </w:t>
      </w:r>
    </w:p>
    <w:p w:rsidR="0088341A" w:rsidRDefault="00782E04" w:rsidP="0088341A">
      <w:pPr>
        <w:pStyle w:val="AERbulletlistfirststyle"/>
      </w:pPr>
      <w:r>
        <w:t>w</w:t>
      </w:r>
      <w:r w:rsidR="0088341A" w:rsidRPr="00891EEE">
        <w:t xml:space="preserve">e </w:t>
      </w:r>
      <w:r w:rsidR="0088341A">
        <w:t>reduced the proposed</w:t>
      </w:r>
      <w:r w:rsidR="0088341A" w:rsidRPr="00891EEE">
        <w:t xml:space="preserve"> return on the difference for 2007–08 actual and estimated capex by $18.</w:t>
      </w:r>
      <w:r w:rsidR="0088341A">
        <w:t>8</w:t>
      </w:r>
      <w:r w:rsidR="0088341A" w:rsidRPr="00891EEE">
        <w:t xml:space="preserve"> million, given the lower difference determined. </w:t>
      </w:r>
    </w:p>
    <w:p w:rsidR="0088341A" w:rsidRDefault="0088341A" w:rsidP="0088341A">
      <w:pPr>
        <w:pStyle w:val="AERbulletlistfirststyle"/>
        <w:numPr>
          <w:ilvl w:val="0"/>
          <w:numId w:val="0"/>
        </w:numPr>
      </w:pPr>
      <w:r>
        <w:t>We clarified these RFM input adjustments with SP AusNet in our information request dated 5 June 2013. SP AusNet agreed with us that these corrections are appropriate.</w:t>
      </w:r>
      <w:r>
        <w:rPr>
          <w:rStyle w:val="FootnoteReference"/>
        </w:rPr>
        <w:footnoteReference w:id="411"/>
      </w:r>
    </w:p>
    <w:p w:rsidR="0088341A" w:rsidRDefault="0088341A" w:rsidP="00DD2025">
      <w:pPr>
        <w:pStyle w:val="Caption"/>
        <w:keepLines/>
      </w:pPr>
      <w:bookmarkStart w:id="248" w:name="_Ref358280728"/>
      <w:bookmarkStart w:id="249" w:name="_Ref358280721"/>
      <w:r>
        <w:lastRenderedPageBreak/>
        <w:t xml:space="preserve">Table </w:t>
      </w:r>
      <w:fldSimple w:instr=" STYLEREF 1 \s ">
        <w:r w:rsidR="004F35AA">
          <w:rPr>
            <w:noProof/>
          </w:rPr>
          <w:t>5</w:t>
        </w:r>
      </w:fldSimple>
      <w:r w:rsidR="00C56A87">
        <w:t>.</w:t>
      </w:r>
      <w:fldSimple w:instr=" SEQ Table \* ARABIC \s 1 ">
        <w:r w:rsidR="004F35AA">
          <w:rPr>
            <w:noProof/>
          </w:rPr>
          <w:t>5</w:t>
        </w:r>
      </w:fldSimple>
      <w:bookmarkEnd w:id="248"/>
      <w:r>
        <w:tab/>
        <w:t>SP AusNet's proposed and AER's draft decision on the adjustment for the difference between estimated and actual capex for 2007–08 ($ million, nominal)</w:t>
      </w:r>
      <w:bookmarkEnd w:id="249"/>
    </w:p>
    <w:tbl>
      <w:tblPr>
        <w:tblStyle w:val="AERtable-numbers"/>
        <w:tblW w:w="5000" w:type="pct"/>
        <w:tblLook w:val="01E0" w:firstRow="1" w:lastRow="1" w:firstColumn="1" w:lastColumn="1" w:noHBand="0" w:noVBand="0"/>
      </w:tblPr>
      <w:tblGrid>
        <w:gridCol w:w="3509"/>
        <w:gridCol w:w="2554"/>
        <w:gridCol w:w="1843"/>
        <w:gridCol w:w="1336"/>
      </w:tblGrid>
      <w:tr w:rsidR="0088341A" w:rsidRPr="00DD2025" w:rsidTr="00DD2025">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898" w:type="pct"/>
          </w:tcPr>
          <w:p w:rsidR="0088341A" w:rsidRPr="00DD2025" w:rsidRDefault="0088341A" w:rsidP="00DD2025">
            <w:pPr>
              <w:pStyle w:val="AERtabletextleft"/>
              <w:keepNext/>
              <w:keepLines/>
            </w:pPr>
          </w:p>
        </w:tc>
        <w:tc>
          <w:tcPr>
            <w:tcW w:w="1382" w:type="pct"/>
          </w:tcPr>
          <w:p w:rsidR="0088341A" w:rsidRPr="00DD2025" w:rsidRDefault="0088341A" w:rsidP="00DD2025">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DD2025">
              <w:t>SP AusNet's proposal</w:t>
            </w:r>
          </w:p>
        </w:tc>
        <w:tc>
          <w:tcPr>
            <w:tcW w:w="997" w:type="pct"/>
          </w:tcPr>
          <w:p w:rsidR="0088341A" w:rsidRPr="00DD2025" w:rsidRDefault="0088341A" w:rsidP="00DD2025">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DD2025">
              <w:t>AER's draft decision</w:t>
            </w:r>
          </w:p>
        </w:tc>
        <w:tc>
          <w:tcPr>
            <w:tcW w:w="723" w:type="pct"/>
          </w:tcPr>
          <w:p w:rsidR="0088341A" w:rsidRPr="00DD2025" w:rsidRDefault="0088341A" w:rsidP="00DD2025">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DD2025">
              <w:t>Difference</w:t>
            </w:r>
          </w:p>
        </w:tc>
      </w:tr>
      <w:tr w:rsidR="0088341A" w:rsidRPr="00DD2025" w:rsidTr="00DD2025">
        <w:trPr>
          <w:trHeight w:val="578"/>
        </w:trPr>
        <w:tc>
          <w:tcPr>
            <w:cnfStyle w:val="001000000000" w:firstRow="0" w:lastRow="0" w:firstColumn="1" w:lastColumn="0" w:oddVBand="0" w:evenVBand="0" w:oddHBand="0" w:evenHBand="0" w:firstRowFirstColumn="0" w:firstRowLastColumn="0" w:lastRowFirstColumn="0" w:lastRowLastColumn="0"/>
            <w:tcW w:w="1898" w:type="pct"/>
          </w:tcPr>
          <w:p w:rsidR="0088341A" w:rsidRPr="00DD2025" w:rsidRDefault="0088341A" w:rsidP="00DD2025">
            <w:pPr>
              <w:pStyle w:val="AERtabletextleft"/>
              <w:keepNext/>
              <w:keepLines/>
            </w:pPr>
            <w:r w:rsidRPr="00DD2025">
              <w:t>Difference between forecast and actual capex (1 July 2006 to 30 June 2007)</w:t>
            </w:r>
          </w:p>
        </w:tc>
        <w:tc>
          <w:tcPr>
            <w:tcW w:w="1382" w:type="pct"/>
          </w:tcPr>
          <w:p w:rsidR="0088341A" w:rsidRPr="00DD2025" w:rsidRDefault="0088341A" w:rsidP="00DD2025">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DD2025">
              <w:t>29.8</w:t>
            </w:r>
          </w:p>
        </w:tc>
        <w:tc>
          <w:tcPr>
            <w:tcW w:w="997" w:type="pct"/>
          </w:tcPr>
          <w:p w:rsidR="0088341A" w:rsidRPr="00DD2025" w:rsidRDefault="0088341A" w:rsidP="00DD2025">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DD2025">
              <w:t>5.1</w:t>
            </w:r>
          </w:p>
        </w:tc>
        <w:tc>
          <w:tcPr>
            <w:tcW w:w="723" w:type="pct"/>
          </w:tcPr>
          <w:p w:rsidR="0088341A" w:rsidRPr="00DD2025" w:rsidRDefault="0088341A" w:rsidP="00DD2025">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DD2025">
              <w:t>–24.7</w:t>
            </w:r>
          </w:p>
        </w:tc>
      </w:tr>
      <w:tr w:rsidR="0088341A" w:rsidRPr="00DD2025" w:rsidTr="00DD2025">
        <w:trPr>
          <w:cnfStyle w:val="000000010000" w:firstRow="0" w:lastRow="0" w:firstColumn="0" w:lastColumn="0" w:oddVBand="0" w:evenVBand="0" w:oddHBand="0" w:evenHBand="1"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898" w:type="pct"/>
          </w:tcPr>
          <w:p w:rsidR="0088341A" w:rsidRPr="00DD2025" w:rsidRDefault="0088341A" w:rsidP="00DD2025">
            <w:pPr>
              <w:pStyle w:val="AERtabletextleft"/>
              <w:keepNext/>
              <w:keepLines/>
            </w:pPr>
            <w:r w:rsidRPr="00DD2025">
              <w:t>Return on difference for 2007–08 capex</w:t>
            </w:r>
          </w:p>
        </w:tc>
        <w:tc>
          <w:tcPr>
            <w:tcW w:w="1382" w:type="pct"/>
          </w:tcPr>
          <w:p w:rsidR="0088341A" w:rsidRPr="00DD2025" w:rsidRDefault="0088341A" w:rsidP="00DD2025">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DD2025">
              <w:t>22.7</w:t>
            </w:r>
          </w:p>
        </w:tc>
        <w:tc>
          <w:tcPr>
            <w:tcW w:w="997" w:type="pct"/>
          </w:tcPr>
          <w:p w:rsidR="0088341A" w:rsidRPr="00DD2025" w:rsidRDefault="0088341A" w:rsidP="00DD2025">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DD2025">
              <w:t>3.9</w:t>
            </w:r>
          </w:p>
        </w:tc>
        <w:tc>
          <w:tcPr>
            <w:tcW w:w="723" w:type="pct"/>
          </w:tcPr>
          <w:p w:rsidR="0088341A" w:rsidRPr="00DD2025" w:rsidRDefault="0088341A" w:rsidP="00DD2025">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DD2025">
              <w:t>–18.8</w:t>
            </w:r>
          </w:p>
        </w:tc>
      </w:tr>
      <w:tr w:rsidR="0088341A" w:rsidRPr="00DD2025" w:rsidTr="00DD2025">
        <w:trPr>
          <w:trHeight w:val="578"/>
        </w:trPr>
        <w:tc>
          <w:tcPr>
            <w:cnfStyle w:val="001000000000" w:firstRow="0" w:lastRow="0" w:firstColumn="1" w:lastColumn="0" w:oddVBand="0" w:evenVBand="0" w:oddHBand="0" w:evenHBand="0" w:firstRowFirstColumn="0" w:firstRowLastColumn="0" w:lastRowFirstColumn="0" w:lastRowLastColumn="0"/>
            <w:tcW w:w="1898" w:type="pct"/>
          </w:tcPr>
          <w:p w:rsidR="0088341A" w:rsidRPr="00DD2025" w:rsidRDefault="0088341A" w:rsidP="00DD2025">
            <w:pPr>
              <w:pStyle w:val="AERtabletextleft"/>
              <w:keepNext/>
              <w:keepLines/>
            </w:pPr>
            <w:r w:rsidRPr="00DD2025">
              <w:t>Total</w:t>
            </w:r>
          </w:p>
        </w:tc>
        <w:tc>
          <w:tcPr>
            <w:tcW w:w="1382" w:type="pct"/>
          </w:tcPr>
          <w:p w:rsidR="0088341A" w:rsidRPr="00DD2025" w:rsidRDefault="0088341A" w:rsidP="00DD2025">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DD2025">
              <w:t>52.5</w:t>
            </w:r>
          </w:p>
        </w:tc>
        <w:tc>
          <w:tcPr>
            <w:tcW w:w="997" w:type="pct"/>
          </w:tcPr>
          <w:p w:rsidR="0088341A" w:rsidRPr="00DD2025" w:rsidRDefault="0088341A" w:rsidP="00DD2025">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DD2025">
              <w:t>9.0</w:t>
            </w:r>
          </w:p>
        </w:tc>
        <w:tc>
          <w:tcPr>
            <w:tcW w:w="723" w:type="pct"/>
          </w:tcPr>
          <w:p w:rsidR="0088341A" w:rsidRPr="00DD2025" w:rsidRDefault="0088341A" w:rsidP="00DD2025">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DD2025">
              <w:t>–43.5</w:t>
            </w:r>
          </w:p>
        </w:tc>
      </w:tr>
    </w:tbl>
    <w:p w:rsidR="0088341A" w:rsidRDefault="0088341A" w:rsidP="00DD2025">
      <w:pPr>
        <w:pStyle w:val="AERtablesource"/>
      </w:pPr>
      <w:r>
        <w:t>Source:</w:t>
      </w:r>
      <w:r>
        <w:tab/>
        <w:t xml:space="preserve">SP AusNet, </w:t>
      </w:r>
      <w:r w:rsidRPr="0050360F">
        <w:rPr>
          <w:rStyle w:val="AERtextitalic"/>
        </w:rPr>
        <w:t>P</w:t>
      </w:r>
      <w:r>
        <w:rPr>
          <w:rStyle w:val="AERtextitalic"/>
        </w:rPr>
        <w:t>ost-tax revenue model,</w:t>
      </w:r>
      <w:r>
        <w:t xml:space="preserve"> February 2013; AER analysis.</w:t>
      </w:r>
    </w:p>
    <w:p w:rsidR="0088341A" w:rsidRPr="0016149B" w:rsidRDefault="0088341A" w:rsidP="0088341A">
      <w:pPr>
        <w:pStyle w:val="HeadingBoldBlue"/>
      </w:pPr>
      <w:r w:rsidRPr="0016149B">
        <w:t xml:space="preserve">Reversal of movements in provisions </w:t>
      </w:r>
    </w:p>
    <w:p w:rsidR="0088341A" w:rsidRDefault="0088341A" w:rsidP="0088341A">
      <w:pPr>
        <w:pStyle w:val="AERbodytext"/>
        <w:numPr>
          <w:ilvl w:val="0"/>
          <w:numId w:val="1"/>
        </w:numPr>
        <w:rPr>
          <w:rStyle w:val="AERbody"/>
        </w:rPr>
      </w:pPr>
      <w:r>
        <w:rPr>
          <w:rStyle w:val="AERbody"/>
        </w:rPr>
        <w:t>SP AusNet's proposed actual capex for 2007–08 to 2013–</w:t>
      </w:r>
      <w:r w:rsidRPr="00371255">
        <w:rPr>
          <w:rStyle w:val="AERbody"/>
        </w:rPr>
        <w:t>14</w:t>
      </w:r>
      <w:r>
        <w:rPr>
          <w:rStyle w:val="AERbody"/>
        </w:rPr>
        <w:t xml:space="preserve"> included capitalised provisions. Provisions are expenditures that SP AusNet anticipates but has not yet paid (incurred). Examples of provisions include</w:t>
      </w:r>
      <w:r w:rsidRPr="00371255">
        <w:t xml:space="preserve"> environme</w:t>
      </w:r>
      <w:r>
        <w:t xml:space="preserve">ntal provisions, superannuation and other employment entitlements such as annual leave and long service leave. </w:t>
      </w:r>
      <w:r>
        <w:rPr>
          <w:rStyle w:val="AERbody"/>
        </w:rPr>
        <w:t>The NER requires SP AusNet's opening RAB at 1 April 2008 to be increased by the amount of all capex incurred during the 2008–14 regulatory control period.</w:t>
      </w:r>
      <w:r>
        <w:rPr>
          <w:rStyle w:val="FootnoteReference"/>
        </w:rPr>
        <w:footnoteReference w:id="412"/>
      </w:r>
      <w:r>
        <w:rPr>
          <w:rStyle w:val="AERbody"/>
        </w:rPr>
        <w:t xml:space="preserve"> We consider the RAB should not include capitalised provisions as capex, because SP AusNet has not yet paid out (incurred) the expenses to which the provisions relate, for the following reasons:</w:t>
      </w:r>
    </w:p>
    <w:p w:rsidR="0088341A" w:rsidRPr="00516EEC" w:rsidRDefault="00782E04" w:rsidP="0088341A">
      <w:pPr>
        <w:pStyle w:val="AERbulletlistfirststyle"/>
      </w:pPr>
      <w:r>
        <w:t>t</w:t>
      </w:r>
      <w:r w:rsidR="0088341A" w:rsidRPr="00516EEC">
        <w:t xml:space="preserve">he </w:t>
      </w:r>
      <w:r w:rsidR="0088341A" w:rsidRPr="00001772">
        <w:rPr>
          <w:rStyle w:val="AERtextitalic"/>
        </w:rPr>
        <w:t>Income Tax Assessment Act 1997</w:t>
      </w:r>
      <w:r w:rsidR="0088341A" w:rsidRPr="00516EEC">
        <w:t xml:space="preserve"> (ITAA97) provides that provisions such as long service leave, annual leave, sick leave </w:t>
      </w:r>
      <w:r w:rsidR="0088341A">
        <w:t>and</w:t>
      </w:r>
      <w:r w:rsidR="0088341A" w:rsidRPr="00516EEC">
        <w:t xml:space="preserve"> other leave are not subject to a tax deduction until the employer pays </w:t>
      </w:r>
      <w:r w:rsidR="0088341A">
        <w:t xml:space="preserve">out </w:t>
      </w:r>
      <w:r w:rsidR="0088341A" w:rsidRPr="00516EEC">
        <w:t>those provisions to the employee to whom the leave relates.</w:t>
      </w:r>
      <w:r w:rsidR="0088341A" w:rsidRPr="00516EEC">
        <w:rPr>
          <w:rStyle w:val="FootnoteReference"/>
        </w:rPr>
        <w:footnoteReference w:id="413"/>
      </w:r>
      <w:r w:rsidR="0088341A" w:rsidRPr="00516EEC">
        <w:t xml:space="preserve"> </w:t>
      </w:r>
      <w:r w:rsidR="0088341A">
        <w:t>P</w:t>
      </w:r>
      <w:r w:rsidR="0088341A" w:rsidRPr="00516EEC">
        <w:t>rovisions for employee leave are not 'incurred'</w:t>
      </w:r>
      <w:r w:rsidR="0088341A">
        <w:t>, therefore,</w:t>
      </w:r>
      <w:r w:rsidR="0088341A" w:rsidRPr="00516EEC">
        <w:t xml:space="preserve"> until they are paid out to the individual employees.</w:t>
      </w:r>
      <w:r w:rsidR="0088341A">
        <w:t xml:space="preserve"> </w:t>
      </w:r>
    </w:p>
    <w:p w:rsidR="0088341A" w:rsidRPr="00516EEC" w:rsidRDefault="00782E04" w:rsidP="0088341A">
      <w:pPr>
        <w:pStyle w:val="AERbulletlistfirststyle"/>
      </w:pPr>
      <w:r>
        <w:t>t</w:t>
      </w:r>
      <w:r w:rsidR="0088341A" w:rsidRPr="00516EEC">
        <w:t xml:space="preserve">he High Court decision in </w:t>
      </w:r>
      <w:r w:rsidR="0088341A" w:rsidRPr="00516EEC">
        <w:rPr>
          <w:rStyle w:val="AERtextitalic"/>
        </w:rPr>
        <w:t>Nilsen Development Laboratories Pty Ltd</w:t>
      </w:r>
      <w:r w:rsidR="0088341A" w:rsidRPr="00516EEC">
        <w:t xml:space="preserve"> </w:t>
      </w:r>
      <w:r w:rsidR="0088341A" w:rsidRPr="00516EEC">
        <w:rPr>
          <w:rStyle w:val="AERtextitalic"/>
        </w:rPr>
        <w:t>and Others v Federal Commissioner of Taxation</w:t>
      </w:r>
      <w:r w:rsidR="0088341A" w:rsidRPr="00516EEC">
        <w:t xml:space="preserve"> (</w:t>
      </w:r>
      <w:r w:rsidR="0088341A" w:rsidRPr="00516EEC">
        <w:rPr>
          <w:rStyle w:val="AERtextitalic"/>
        </w:rPr>
        <w:t>Nilsen</w:t>
      </w:r>
      <w:r w:rsidR="0088341A" w:rsidRPr="00516EEC">
        <w:t>) confirm</w:t>
      </w:r>
      <w:r w:rsidR="0088341A">
        <w:t>ed</w:t>
      </w:r>
      <w:r w:rsidR="0088341A" w:rsidRPr="00516EEC">
        <w:t xml:space="preserve"> provisions for long service leave and annual leave are not incurred until the </w:t>
      </w:r>
      <w:r w:rsidR="0088341A">
        <w:t xml:space="preserve">employee takes the </w:t>
      </w:r>
      <w:r w:rsidR="0088341A" w:rsidRPr="00516EEC">
        <w:t>leave.</w:t>
      </w:r>
      <w:r w:rsidR="0088341A" w:rsidRPr="00516EEC">
        <w:rPr>
          <w:rStyle w:val="FootnoteReference"/>
        </w:rPr>
        <w:footnoteReference w:id="414"/>
      </w:r>
      <w:r w:rsidR="0088341A" w:rsidRPr="00516EEC">
        <w:t xml:space="preserve"> </w:t>
      </w:r>
    </w:p>
    <w:p w:rsidR="0088341A" w:rsidRDefault="0088341A" w:rsidP="0088341A">
      <w:pPr>
        <w:pStyle w:val="AERbodytext"/>
        <w:numPr>
          <w:ilvl w:val="0"/>
          <w:numId w:val="1"/>
        </w:numPr>
        <w:rPr>
          <w:rStyle w:val="AERbody"/>
        </w:rPr>
      </w:pPr>
      <w:r>
        <w:t>W</w:t>
      </w:r>
      <w:r w:rsidRPr="00371255">
        <w:rPr>
          <w:rStyle w:val="AERbody"/>
        </w:rPr>
        <w:t xml:space="preserve">e </w:t>
      </w:r>
      <w:r>
        <w:rPr>
          <w:rStyle w:val="AERbody"/>
        </w:rPr>
        <w:t xml:space="preserve">therefore </w:t>
      </w:r>
      <w:r w:rsidRPr="00371255">
        <w:rPr>
          <w:rStyle w:val="AERbody"/>
        </w:rPr>
        <w:t>adjusted SP</w:t>
      </w:r>
      <w:r>
        <w:rPr>
          <w:rStyle w:val="AERbody"/>
        </w:rPr>
        <w:t xml:space="preserve"> AusNet's actual capex for 2007–08 to 2013–</w:t>
      </w:r>
      <w:r w:rsidRPr="00371255">
        <w:rPr>
          <w:rStyle w:val="AERbody"/>
        </w:rPr>
        <w:t>14 in the RFM to reverse the movements in provisions during the 200</w:t>
      </w:r>
      <w:r>
        <w:rPr>
          <w:rStyle w:val="AERbody"/>
        </w:rPr>
        <w:t>8–</w:t>
      </w:r>
      <w:r w:rsidRPr="00371255">
        <w:rPr>
          <w:rStyle w:val="AERbody"/>
        </w:rPr>
        <w:t xml:space="preserve">14 regulatory control period. </w:t>
      </w:r>
      <w:r>
        <w:t>To do so, we subtracted</w:t>
      </w:r>
      <w:r w:rsidRPr="00CF66AF">
        <w:t xml:space="preserve"> the accrued provisions (an increase in the provisions account) from the actual capex for a particular year, and add</w:t>
      </w:r>
      <w:r>
        <w:t>ed</w:t>
      </w:r>
      <w:r w:rsidRPr="00CF66AF">
        <w:t xml:space="preserve"> back any cash paid out for provisions (a decrease in the provisions accounts) for that year. </w:t>
      </w:r>
      <w:r w:rsidRPr="00371255">
        <w:rPr>
          <w:rStyle w:val="AERbody"/>
        </w:rPr>
        <w:t xml:space="preserve">This adjustment decreased the </w:t>
      </w:r>
      <w:r>
        <w:rPr>
          <w:rStyle w:val="AERbody"/>
        </w:rPr>
        <w:t xml:space="preserve">proposed </w:t>
      </w:r>
      <w:r w:rsidRPr="00371255">
        <w:rPr>
          <w:rStyle w:val="AERbody"/>
        </w:rPr>
        <w:t>opening RAB at 1 April 2014 by $</w:t>
      </w:r>
      <w:r>
        <w:rPr>
          <w:rStyle w:val="AERbody"/>
        </w:rPr>
        <w:t>2.4 million</w:t>
      </w:r>
      <w:r w:rsidRPr="00371255">
        <w:rPr>
          <w:rStyle w:val="AERbody"/>
        </w:rPr>
        <w:t xml:space="preserve">. </w:t>
      </w:r>
    </w:p>
    <w:p w:rsidR="0088341A" w:rsidRPr="00DF24A5" w:rsidRDefault="0088341A" w:rsidP="0088341A">
      <w:pPr>
        <w:pStyle w:val="HeadingBoldBlue"/>
        <w:rPr>
          <w:rStyle w:val="AERbody"/>
          <w:color w:val="365F91"/>
          <w:sz w:val="22"/>
        </w:rPr>
      </w:pPr>
      <w:r w:rsidRPr="00DF24A5">
        <w:rPr>
          <w:rStyle w:val="AERbody"/>
          <w:color w:val="365F91"/>
          <w:sz w:val="22"/>
        </w:rPr>
        <w:t xml:space="preserve">Actual straight-line depreciation </w:t>
      </w:r>
    </w:p>
    <w:p w:rsidR="0088341A" w:rsidRDefault="0088341A" w:rsidP="0088341A">
      <w:pPr>
        <w:pStyle w:val="AERbodytext"/>
        <w:numPr>
          <w:ilvl w:val="0"/>
          <w:numId w:val="1"/>
        </w:numPr>
      </w:pPr>
      <w:r>
        <w:t>We do not accept the proposed amount of actual straight-line depreciation removed from the RAB for the purposes of the roll forward. We</w:t>
      </w:r>
      <w:r w:rsidRPr="001D2197">
        <w:t xml:space="preserve"> </w:t>
      </w:r>
      <w:r>
        <w:t>increased</w:t>
      </w:r>
      <w:r w:rsidRPr="001D2197">
        <w:t xml:space="preserve"> the proposed amount by $0.6 million.</w:t>
      </w:r>
      <w:r>
        <w:t xml:space="preserve"> SP AusNet used a separate model to calculate the </w:t>
      </w:r>
      <w:r w:rsidRPr="003070F3">
        <w:t>actual straight-line depreciation for the RAB roll forward</w:t>
      </w:r>
      <w:r>
        <w:t xml:space="preserve">. We consider SP AusNet's depreciation method </w:t>
      </w:r>
      <w:r w:rsidRPr="006D62D0">
        <w:t xml:space="preserve">for the purposes of RAB roll forward </w:t>
      </w:r>
      <w:r>
        <w:t>is consistent with the NER and that approved for its previous determinations.</w:t>
      </w:r>
      <w:r>
        <w:rPr>
          <w:rStyle w:val="FootnoteReference"/>
        </w:rPr>
        <w:footnoteReference w:id="415"/>
      </w:r>
      <w:r>
        <w:t xml:space="preserve"> However, we made two adjustments in SP AusNet's depreciation model to ensure the use of relevant inputs are consistent with those in the RFM:</w:t>
      </w:r>
    </w:p>
    <w:p w:rsidR="0088341A" w:rsidRDefault="0088341A" w:rsidP="0088341A">
      <w:pPr>
        <w:pStyle w:val="AERbulletlistfirststyle"/>
      </w:pPr>
      <w:r>
        <w:lastRenderedPageBreak/>
        <w:t xml:space="preserve">We changed </w:t>
      </w:r>
      <w:r w:rsidRPr="00BB13BB">
        <w:t xml:space="preserve">the 2007–08 forecast capex </w:t>
      </w:r>
      <w:r>
        <w:t>inputs in SP AusNet's depreciation model to reflect t</w:t>
      </w:r>
      <w:r w:rsidRPr="00FA6F73">
        <w:t xml:space="preserve">he actual </w:t>
      </w:r>
      <w:r>
        <w:t>CPI</w:t>
      </w:r>
      <w:r w:rsidRPr="00FA6F73">
        <w:t xml:space="preserve"> adjusted </w:t>
      </w:r>
      <w:r w:rsidRPr="00BB13BB">
        <w:t xml:space="preserve">2007–08 forecast capex </w:t>
      </w:r>
      <w:r>
        <w:t xml:space="preserve">values as shown in the approved </w:t>
      </w:r>
      <w:r w:rsidRPr="00FA6F73">
        <w:t>RFM</w:t>
      </w:r>
      <w:r>
        <w:t xml:space="preserve"> for the previous 2009 determination. </w:t>
      </w:r>
    </w:p>
    <w:p w:rsidR="0088341A" w:rsidRPr="00BE0855" w:rsidRDefault="0088341A" w:rsidP="0088341A">
      <w:pPr>
        <w:pStyle w:val="AERbulletlistfirststyle"/>
      </w:pPr>
      <w:r>
        <w:t>We changed the CPI adjusted WACC values in SP AusNet's depreciation model to be consistent with those used in the RFM for this determination.</w:t>
      </w:r>
    </w:p>
    <w:p w:rsidR="0088341A" w:rsidRPr="00892076" w:rsidRDefault="0088341A" w:rsidP="0088341A">
      <w:pPr>
        <w:pStyle w:val="HeadingBoldBlue"/>
        <w:rPr>
          <w:rStyle w:val="AERtextorange"/>
          <w:rFonts w:eastAsia="Calibri"/>
          <w:color w:val="365F91"/>
        </w:rPr>
      </w:pPr>
      <w:r w:rsidRPr="00892076">
        <w:rPr>
          <w:rStyle w:val="AERtextorange"/>
          <w:rFonts w:eastAsia="Calibri"/>
          <w:color w:val="365F91"/>
        </w:rPr>
        <w:t xml:space="preserve">Other minor input errors in the </w:t>
      </w:r>
      <w:r w:rsidRPr="00E97F35">
        <w:rPr>
          <w:rStyle w:val="AERtextorange"/>
          <w:rFonts w:eastAsia="Calibri"/>
          <w:color w:val="365F91"/>
        </w:rPr>
        <w:t>roll forward model</w:t>
      </w:r>
    </w:p>
    <w:p w:rsidR="0088341A" w:rsidRDefault="0088341A" w:rsidP="0088341A">
      <w:pPr>
        <w:pStyle w:val="AERbodytext"/>
        <w:numPr>
          <w:ilvl w:val="0"/>
          <w:numId w:val="1"/>
        </w:numPr>
      </w:pPr>
      <w:r>
        <w:t>We identified and corrected the following input errors in the proposed RFM:</w:t>
      </w:r>
    </w:p>
    <w:p w:rsidR="0088341A" w:rsidRDefault="0088341A" w:rsidP="0088341A">
      <w:pPr>
        <w:pStyle w:val="AERbulletlistfirststyle"/>
      </w:pPr>
      <w:r>
        <w:t>SP AusNet's 2007–</w:t>
      </w:r>
      <w:r w:rsidRPr="00B61D54">
        <w:t xml:space="preserve">08 forecast inflation input </w:t>
      </w:r>
      <w:r>
        <w:t xml:space="preserve">of 2.6 per cent </w:t>
      </w:r>
      <w:r w:rsidRPr="00B61D54">
        <w:t xml:space="preserve">is not correct. The correct forecast inflation </w:t>
      </w:r>
      <w:r>
        <w:t xml:space="preserve">input for that year </w:t>
      </w:r>
      <w:r w:rsidRPr="00B61D54">
        <w:t>is 2.04</w:t>
      </w:r>
      <w:r>
        <w:t xml:space="preserve"> per cent</w:t>
      </w:r>
      <w:r w:rsidRPr="00B61D54">
        <w:t>.</w:t>
      </w:r>
      <w:r>
        <w:rPr>
          <w:rStyle w:val="FootnoteReference"/>
        </w:rPr>
        <w:footnoteReference w:id="416"/>
      </w:r>
      <w:r w:rsidRPr="00B61D54">
        <w:t xml:space="preserve"> </w:t>
      </w:r>
    </w:p>
    <w:p w:rsidR="0088341A" w:rsidRDefault="0088341A" w:rsidP="0088341A">
      <w:pPr>
        <w:pStyle w:val="AERbulletlistfirststyle"/>
      </w:pPr>
      <w:r w:rsidRPr="00B61D54">
        <w:t xml:space="preserve">SP AusNet's </w:t>
      </w:r>
      <w:r>
        <w:t xml:space="preserve">nominal vanilla WACC </w:t>
      </w:r>
      <w:r w:rsidRPr="00B61D54">
        <w:t>input</w:t>
      </w:r>
      <w:r>
        <w:t xml:space="preserve"> of 9.52 per cent applying to 2007–08 is not correct. </w:t>
      </w:r>
      <w:r w:rsidRPr="00B61D54">
        <w:t xml:space="preserve">The </w:t>
      </w:r>
      <w:r>
        <w:t>n</w:t>
      </w:r>
      <w:r w:rsidRPr="00B61D54">
        <w:t>ominal vanilla WACC</w:t>
      </w:r>
      <w:r>
        <w:t xml:space="preserve"> input for that year</w:t>
      </w:r>
      <w:r w:rsidRPr="00B61D54">
        <w:t xml:space="preserve"> </w:t>
      </w:r>
      <w:r>
        <w:t xml:space="preserve">approved </w:t>
      </w:r>
      <w:r w:rsidR="00782E04">
        <w:t>in the</w:t>
      </w:r>
      <w:r>
        <w:t xml:space="preserve"> 2002 decision is 8.23 per cent</w:t>
      </w:r>
      <w:r w:rsidRPr="00B61D54">
        <w:t>.</w:t>
      </w:r>
      <w:r>
        <w:rPr>
          <w:rStyle w:val="FootnoteReference"/>
        </w:rPr>
        <w:footnoteReference w:id="417"/>
      </w:r>
      <w:r w:rsidRPr="00B61D54">
        <w:t xml:space="preserve"> </w:t>
      </w:r>
    </w:p>
    <w:p w:rsidR="0088341A" w:rsidRPr="00CB293E" w:rsidRDefault="0088341A" w:rsidP="0088341A">
      <w:pPr>
        <w:pStyle w:val="HeadingBoldBlue"/>
        <w:rPr>
          <w:rStyle w:val="AERtextorange"/>
          <w:rFonts w:eastAsia="Calibri"/>
          <w:color w:val="365F91"/>
        </w:rPr>
      </w:pPr>
      <w:r w:rsidRPr="00CB293E">
        <w:rPr>
          <w:rStyle w:val="AERtextorange"/>
          <w:rFonts w:eastAsia="Calibri"/>
          <w:color w:val="365F91"/>
        </w:rPr>
        <w:t>Equity raising costs—2002 decision on regulatory asset base</w:t>
      </w:r>
    </w:p>
    <w:p w:rsidR="0088341A" w:rsidRDefault="0088341A" w:rsidP="0088341A">
      <w:pPr>
        <w:pStyle w:val="AERbodytext"/>
        <w:numPr>
          <w:ilvl w:val="0"/>
          <w:numId w:val="1"/>
        </w:numPr>
      </w:pPr>
      <w:r>
        <w:t>In its 2002 revenue cap decision, the ACCC provided a perpetuity allowance for equity raising costs in SP AusNet's opex building block.</w:t>
      </w:r>
      <w:r>
        <w:rPr>
          <w:rStyle w:val="FootnoteReference"/>
        </w:rPr>
        <w:footnoteReference w:id="418"/>
      </w:r>
      <w:r>
        <w:t xml:space="preserve"> Consistent with the ACCC's decision, SP AusNet proposed $3.4 million of equity raising costs in its proposed total opex for the 2014–17 regulatory control period.</w:t>
      </w:r>
      <w:r>
        <w:rPr>
          <w:rStyle w:val="FootnoteReference"/>
        </w:rPr>
        <w:footnoteReference w:id="419"/>
      </w:r>
      <w:r>
        <w:t xml:space="preserve"> </w:t>
      </w:r>
    </w:p>
    <w:p w:rsidR="0088341A" w:rsidRDefault="0088341A" w:rsidP="0088341A">
      <w:pPr>
        <w:pStyle w:val="AERbodytext"/>
        <w:numPr>
          <w:ilvl w:val="0"/>
          <w:numId w:val="1"/>
        </w:numPr>
      </w:pPr>
      <w:r>
        <w:t>While the ACCC provided the equity raising cost allowance in opex, based on the perpetuity method, we consider that there is merit in treating this allowance as a part of SP AusNet's RAB—that is, to capitalise the allowance. This approach would improve transparency, given that the nature of the allowance is associated with the opening RAB. It also ensures that future revenue resets for SP AusNet would be administratively simpler in the provision of such an allowance. We applied the same approach in the 2008 final decision for ElectraNet.</w:t>
      </w:r>
      <w:r>
        <w:rPr>
          <w:rStyle w:val="FootnoteReference"/>
        </w:rPr>
        <w:footnoteReference w:id="420"/>
      </w:r>
      <w:r>
        <w:t xml:space="preserve"> We discussed with SP AusNet about capitalising these costs.  SP AusNet agreed with our approach.</w:t>
      </w:r>
      <w:r>
        <w:rPr>
          <w:rStyle w:val="FootnoteReference"/>
        </w:rPr>
        <w:footnoteReference w:id="421"/>
      </w:r>
      <w:r>
        <w:t xml:space="preserve"> </w:t>
      </w:r>
    </w:p>
    <w:p w:rsidR="0088341A" w:rsidRDefault="00782E04" w:rsidP="0088341A">
      <w:pPr>
        <w:pStyle w:val="AERbodytext"/>
        <w:numPr>
          <w:ilvl w:val="0"/>
          <w:numId w:val="1"/>
        </w:numPr>
      </w:pPr>
      <w:r>
        <w:t>T</w:t>
      </w:r>
      <w:r w:rsidR="0088341A">
        <w:t>reating the equity raising cost allowance in perpetuity or in the RAB is net present value (NPV) neutral. In converting the allowance from a perpetuity approach to a capitalisation approach, we took the following steps:</w:t>
      </w:r>
    </w:p>
    <w:p w:rsidR="0088341A" w:rsidRPr="00B20886" w:rsidRDefault="0088341A" w:rsidP="0088341A">
      <w:pPr>
        <w:pStyle w:val="AERnumberedlistfirststyle"/>
        <w:numPr>
          <w:ilvl w:val="1"/>
          <w:numId w:val="1"/>
        </w:numPr>
      </w:pPr>
      <w:r w:rsidRPr="00B20886">
        <w:t xml:space="preserve">We applied the benchmark equity raising transaction cost of 3.55 per cent approved in the ACCC 2002 revenue cap decision to the equity component of SP AusNet's 2003 opening RAB and capex incurred over the 2003–08 regulatory control period. </w:t>
      </w:r>
    </w:p>
    <w:p w:rsidR="0088341A" w:rsidRDefault="0088341A" w:rsidP="0088341A">
      <w:pPr>
        <w:pStyle w:val="AERnumberedlistfirststyle"/>
        <w:numPr>
          <w:ilvl w:val="1"/>
          <w:numId w:val="1"/>
        </w:numPr>
      </w:pPr>
      <w:r>
        <w:t xml:space="preserve">We adjusted the sum of the amounts calculated in step 1 for the perpetuity allowances received over previous regulatory control periods and the foregone returns as at 1 April 2014 if the equity raising costs were instead capitalised. </w:t>
      </w:r>
    </w:p>
    <w:p w:rsidR="0088341A" w:rsidRDefault="0088341A" w:rsidP="0088341A">
      <w:pPr>
        <w:pStyle w:val="AERbodytext"/>
        <w:numPr>
          <w:ilvl w:val="0"/>
          <w:numId w:val="0"/>
        </w:numPr>
      </w:pPr>
      <w:r>
        <w:t xml:space="preserve">We determine that an amount of $53.4 million ($2013–14) should be added to SP AusNet's opening RAB as at 1 April 2014 to ensure there is no difference in NPV terms between the two approaches. This amount will be amortised over the life of SP AusNet's RAB for the purpose of providing the equity </w:t>
      </w:r>
      <w:r>
        <w:lastRenderedPageBreak/>
        <w:t>raising cost allowance associated with SP AusNet's 2003 opening RAB and capex incurred over the 2003–08 regulatory control period.</w:t>
      </w:r>
      <w:r>
        <w:rPr>
          <w:rStyle w:val="FootnoteReference"/>
        </w:rPr>
        <w:footnoteReference w:id="422"/>
      </w:r>
      <w:r>
        <w:t xml:space="preserve"> </w:t>
      </w:r>
    </w:p>
    <w:p w:rsidR="0088341A" w:rsidRPr="00A907E9" w:rsidRDefault="0088341A" w:rsidP="0088341A">
      <w:pPr>
        <w:pStyle w:val="Heading3"/>
        <w:numPr>
          <w:ilvl w:val="3"/>
          <w:numId w:val="20"/>
        </w:numPr>
      </w:pPr>
      <w:r w:rsidRPr="00A907E9">
        <w:t>Forecast closing RAB as at 31 March 2017</w:t>
      </w:r>
    </w:p>
    <w:p w:rsidR="0088341A" w:rsidRDefault="0088341A" w:rsidP="0088341A">
      <w:pPr>
        <w:pStyle w:val="AERbodytext"/>
        <w:numPr>
          <w:ilvl w:val="0"/>
          <w:numId w:val="1"/>
        </w:numPr>
      </w:pPr>
      <w:r>
        <w:t>We forecast</w:t>
      </w:r>
      <w:r w:rsidRPr="0016062B">
        <w:t xml:space="preserve"> </w:t>
      </w:r>
      <w:r>
        <w:t>SP AusNet's</w:t>
      </w:r>
      <w:r w:rsidRPr="0016062B">
        <w:t xml:space="preserve"> closing RAB will be $</w:t>
      </w:r>
      <w:r>
        <w:t>3057.3</w:t>
      </w:r>
      <w:r w:rsidRPr="0016062B">
        <w:t xml:space="preserve"> million by 31 March 2017, which represents a </w:t>
      </w:r>
      <w:r>
        <w:t>5.8</w:t>
      </w:r>
      <w:r w:rsidRPr="0016062B">
        <w:t xml:space="preserve"> per cent reduction on </w:t>
      </w:r>
      <w:r>
        <w:t>SP AusNet's</w:t>
      </w:r>
      <w:r w:rsidRPr="0016062B">
        <w:t xml:space="preserve"> proposal.</w:t>
      </w:r>
      <w:r>
        <w:rPr>
          <w:rStyle w:val="FootnoteReference"/>
        </w:rPr>
        <w:footnoteReference w:id="423"/>
      </w:r>
      <w:r w:rsidRPr="0016062B">
        <w:t xml:space="preserve"> This reduction reflects </w:t>
      </w:r>
      <w:r>
        <w:t>our</w:t>
      </w:r>
      <w:r w:rsidRPr="0016062B">
        <w:t xml:space="preserve"> draft decision on the inputs for determining the forecast RAB in the PTRM. </w:t>
      </w:r>
    </w:p>
    <w:p w:rsidR="0088341A" w:rsidRPr="0016062B" w:rsidRDefault="0088341A" w:rsidP="0088341A">
      <w:pPr>
        <w:pStyle w:val="AERbodytext"/>
        <w:numPr>
          <w:ilvl w:val="0"/>
          <w:numId w:val="1"/>
        </w:numPr>
      </w:pPr>
      <w:r>
        <w:t>Our</w:t>
      </w:r>
      <w:r w:rsidRPr="0016062B">
        <w:t xml:space="preserve"> draft decision on the forecast RAB reflects those aspects of the draft decision that relate the value of RAB. To determine the forecast RAB value for </w:t>
      </w:r>
      <w:r>
        <w:t>SP AusNet</w:t>
      </w:r>
      <w:r w:rsidRPr="0016062B">
        <w:t xml:space="preserve">, </w:t>
      </w:r>
      <w:r>
        <w:t>we</w:t>
      </w:r>
      <w:r w:rsidRPr="0016062B">
        <w:t xml:space="preserve"> amended the following PTRM inputs:</w:t>
      </w:r>
    </w:p>
    <w:p w:rsidR="0088341A" w:rsidRPr="0016062B" w:rsidRDefault="0088341A" w:rsidP="0088341A">
      <w:pPr>
        <w:pStyle w:val="AERbulletlistfirststyle"/>
      </w:pPr>
      <w:r>
        <w:t>We</w:t>
      </w:r>
      <w:r w:rsidRPr="0016062B">
        <w:t xml:space="preserve"> </w:t>
      </w:r>
      <w:r>
        <w:t>increased</w:t>
      </w:r>
      <w:r w:rsidRPr="0016062B">
        <w:t xml:space="preserve"> </w:t>
      </w:r>
      <w:r>
        <w:t>SP AusNet's</w:t>
      </w:r>
      <w:r w:rsidRPr="0016062B">
        <w:t xml:space="preserve"> proposed opening RAB as at 1 </w:t>
      </w:r>
      <w:r>
        <w:t>April</w:t>
      </w:r>
      <w:r w:rsidRPr="0016062B">
        <w:t xml:space="preserve"> </w:t>
      </w:r>
      <w:r>
        <w:t>2014</w:t>
      </w:r>
      <w:r w:rsidRPr="0016062B">
        <w:t xml:space="preserve"> by $</w:t>
      </w:r>
      <w:r>
        <w:t>7.1</w:t>
      </w:r>
      <w:r w:rsidRPr="0016062B">
        <w:t xml:space="preserve"> million or </w:t>
      </w:r>
      <w:r>
        <w:t>0.2</w:t>
      </w:r>
      <w:r w:rsidRPr="0016062B">
        <w:t xml:space="preserve"> per cent (section </w:t>
      </w:r>
      <w:r>
        <w:fldChar w:fldCharType="begin"/>
      </w:r>
      <w:r>
        <w:instrText xml:space="preserve"> REF _Ref360174216 \r \h </w:instrText>
      </w:r>
      <w:r>
        <w:fldChar w:fldCharType="separate"/>
      </w:r>
      <w:r w:rsidR="004F35AA">
        <w:t>5.4.1</w:t>
      </w:r>
      <w:r>
        <w:fldChar w:fldCharType="end"/>
      </w:r>
      <w:r w:rsidRPr="0016062B">
        <w:t>).</w:t>
      </w:r>
    </w:p>
    <w:p w:rsidR="0088341A" w:rsidRPr="0016062B" w:rsidRDefault="0088341A" w:rsidP="0088341A">
      <w:pPr>
        <w:pStyle w:val="AERbulletlistfirststyle"/>
      </w:pPr>
      <w:r>
        <w:t>We</w:t>
      </w:r>
      <w:r w:rsidRPr="0016062B">
        <w:t xml:space="preserve"> reduced SP A</w:t>
      </w:r>
      <w:r>
        <w:t xml:space="preserve">usNet's proposed forecast capex for the 2014–17 regulatory control period </w:t>
      </w:r>
      <w:r w:rsidRPr="0016062B">
        <w:t>by</w:t>
      </w:r>
      <w:r>
        <w:t xml:space="preserve"> </w:t>
      </w:r>
      <w:r w:rsidRPr="0016062B">
        <w:t>$</w:t>
      </w:r>
      <w:r>
        <w:t>16</w:t>
      </w:r>
      <w:r w:rsidR="00533EFF">
        <w:t>8</w:t>
      </w:r>
      <w:r>
        <w:t>.</w:t>
      </w:r>
      <w:r w:rsidR="00533EFF">
        <w:t>0</w:t>
      </w:r>
      <w:r w:rsidR="00782E04">
        <w:t>million</w:t>
      </w:r>
      <w:r>
        <w:t xml:space="preserve"> </w:t>
      </w:r>
      <w:r w:rsidRPr="0016062B">
        <w:t xml:space="preserve">or </w:t>
      </w:r>
      <w:r>
        <w:t>30</w:t>
      </w:r>
      <w:r w:rsidRPr="0016062B">
        <w:t xml:space="preserve"> </w:t>
      </w:r>
      <w:r>
        <w:t>per cent (attachment 2</w:t>
      </w:r>
      <w:r w:rsidRPr="0016062B">
        <w:t>).</w:t>
      </w:r>
    </w:p>
    <w:p w:rsidR="0088341A" w:rsidRPr="0016062B" w:rsidRDefault="0088341A" w:rsidP="0088341A">
      <w:pPr>
        <w:pStyle w:val="AERbulletlistfirststyle"/>
      </w:pPr>
      <w:r>
        <w:t>We</w:t>
      </w:r>
      <w:r w:rsidRPr="0016062B">
        <w:t xml:space="preserve"> </w:t>
      </w:r>
      <w:r>
        <w:t>increased</w:t>
      </w:r>
      <w:r w:rsidRPr="0016062B">
        <w:t xml:space="preserve"> </w:t>
      </w:r>
      <w:r>
        <w:t>SP AusNet's</w:t>
      </w:r>
      <w:r w:rsidRPr="0016062B">
        <w:t xml:space="preserve"> proposed forecast regulatory depreciation allowance by $</w:t>
      </w:r>
      <w:r>
        <w:t>2.</w:t>
      </w:r>
      <w:r w:rsidR="00533EFF">
        <w:t>1</w:t>
      </w:r>
      <w:r w:rsidRPr="0016062B">
        <w:t xml:space="preserve"> milli</w:t>
      </w:r>
      <w:r>
        <w:t>on or 0.9 per cent (attachment 6</w:t>
      </w:r>
      <w:r w:rsidRPr="0016062B">
        <w:t>).</w:t>
      </w:r>
    </w:p>
    <w:p w:rsidR="0088341A" w:rsidRPr="00700FC7" w:rsidRDefault="0088341A" w:rsidP="0088341A">
      <w:pPr>
        <w:pStyle w:val="Heading2"/>
        <w:numPr>
          <w:ilvl w:val="2"/>
          <w:numId w:val="20"/>
        </w:numPr>
      </w:pPr>
      <w:bookmarkStart w:id="250" w:name="_Toc365283313"/>
      <w:r w:rsidRPr="00700FC7">
        <w:t>Revisions</w:t>
      </w:r>
      <w:bookmarkEnd w:id="250"/>
      <w:r w:rsidRPr="00700FC7">
        <w:t xml:space="preserve"> </w:t>
      </w:r>
    </w:p>
    <w:p w:rsidR="0088341A" w:rsidRPr="00D54ADF" w:rsidRDefault="0088341A" w:rsidP="0088341A">
      <w:pPr>
        <w:pStyle w:val="AERrevisionbox"/>
      </w:pPr>
      <w:r>
        <w:rPr>
          <w:rStyle w:val="AERtextbold"/>
        </w:rPr>
        <w:t>Revision 5.1</w:t>
      </w:r>
      <w:r>
        <w:t xml:space="preserve">: </w:t>
      </w:r>
      <w:r w:rsidR="003A099A">
        <w:tab/>
      </w:r>
      <w:r>
        <w:t>We</w:t>
      </w:r>
      <w:r w:rsidRPr="00D54ADF">
        <w:t xml:space="preserve"> determine </w:t>
      </w:r>
      <w:r>
        <w:t xml:space="preserve">that SP AusNet's </w:t>
      </w:r>
      <w:r w:rsidRPr="00D54ADF">
        <w:t xml:space="preserve">opening RAB </w:t>
      </w:r>
      <w:r>
        <w:t xml:space="preserve">as </w:t>
      </w:r>
      <w:r w:rsidRPr="00D54ADF">
        <w:t xml:space="preserve">at 1 </w:t>
      </w:r>
      <w:r>
        <w:t>April 2014</w:t>
      </w:r>
      <w:r w:rsidRPr="00D54ADF">
        <w:t xml:space="preserve"> </w:t>
      </w:r>
      <w:r>
        <w:t>is</w:t>
      </w:r>
      <w:r w:rsidRPr="00D54ADF">
        <w:t xml:space="preserve"> $</w:t>
      </w:r>
      <w:r w:rsidRPr="00300370">
        <w:t>2873</w:t>
      </w:r>
      <w:r>
        <w:t xml:space="preserve"> </w:t>
      </w:r>
      <w:r w:rsidRPr="00D54ADF">
        <w:t xml:space="preserve">million as set out in </w:t>
      </w:r>
      <w:r>
        <w:fldChar w:fldCharType="begin"/>
      </w:r>
      <w:r>
        <w:instrText xml:space="preserve"> REF _Ref363818156 \h </w:instrText>
      </w:r>
      <w:r>
        <w:fldChar w:fldCharType="separate"/>
      </w:r>
      <w:r w:rsidR="004F35AA">
        <w:t xml:space="preserve">Table </w:t>
      </w:r>
      <w:r w:rsidR="004F35AA">
        <w:rPr>
          <w:noProof/>
        </w:rPr>
        <w:t>5</w:t>
      </w:r>
      <w:r w:rsidR="004F35AA">
        <w:t>.</w:t>
      </w:r>
      <w:r w:rsidR="004F35AA">
        <w:rPr>
          <w:noProof/>
        </w:rPr>
        <w:t>1</w:t>
      </w:r>
      <w:r>
        <w:fldChar w:fldCharType="end"/>
      </w:r>
      <w:r>
        <w:t xml:space="preserve">. </w:t>
      </w:r>
    </w:p>
    <w:p w:rsidR="0088341A" w:rsidRDefault="0088341A" w:rsidP="0088341A">
      <w:pPr>
        <w:pStyle w:val="AERrevisionbox"/>
      </w:pPr>
      <w:r>
        <w:rPr>
          <w:rStyle w:val="AERtextbold"/>
        </w:rPr>
        <w:t>Revision 5</w:t>
      </w:r>
      <w:r w:rsidRPr="00EA2B3D">
        <w:rPr>
          <w:rStyle w:val="AERtextbold"/>
        </w:rPr>
        <w:t>.2</w:t>
      </w:r>
      <w:r>
        <w:t xml:space="preserve">: </w:t>
      </w:r>
      <w:r w:rsidR="003A099A">
        <w:tab/>
      </w:r>
      <w:r>
        <w:t xml:space="preserve">We </w:t>
      </w:r>
      <w:r w:rsidRPr="00D54ADF">
        <w:t>determine</w:t>
      </w:r>
      <w:r>
        <w:t xml:space="preserve"> that</w:t>
      </w:r>
      <w:r w:rsidRPr="00D54ADF">
        <w:t xml:space="preserve"> </w:t>
      </w:r>
      <w:r>
        <w:t>SP AusNet's</w:t>
      </w:r>
      <w:r w:rsidRPr="00D54ADF">
        <w:t xml:space="preserve"> forecast opening RAB for each year of the </w:t>
      </w:r>
      <w:r>
        <w:br/>
        <w:t xml:space="preserve">2014–17 </w:t>
      </w:r>
      <w:r w:rsidRPr="00D54ADF">
        <w:t>regulatory control</w:t>
      </w:r>
      <w:r>
        <w:t xml:space="preserve"> is as set out in </w:t>
      </w:r>
      <w:r>
        <w:fldChar w:fldCharType="begin"/>
      </w:r>
      <w:r>
        <w:instrText xml:space="preserve"> REF _Ref363818003 \h </w:instrText>
      </w:r>
      <w:r>
        <w:fldChar w:fldCharType="separate"/>
      </w:r>
      <w:r w:rsidR="004F35AA">
        <w:t xml:space="preserve">Table </w:t>
      </w:r>
      <w:r w:rsidR="004F35AA">
        <w:rPr>
          <w:noProof/>
        </w:rPr>
        <w:t>5</w:t>
      </w:r>
      <w:r w:rsidR="004F35AA">
        <w:t>.</w:t>
      </w:r>
      <w:r w:rsidR="004F35AA">
        <w:rPr>
          <w:noProof/>
        </w:rPr>
        <w:t>2</w:t>
      </w:r>
      <w:r>
        <w:fldChar w:fldCharType="end"/>
      </w:r>
      <w:r>
        <w:t>.</w:t>
      </w:r>
    </w:p>
    <w:p w:rsidR="0088341A" w:rsidRDefault="0088341A" w:rsidP="0088341A">
      <w:pPr>
        <w:pStyle w:val="AERbodytext"/>
        <w:numPr>
          <w:ilvl w:val="0"/>
          <w:numId w:val="1"/>
        </w:numPr>
        <w:rPr>
          <w:rStyle w:val="AERbody"/>
        </w:rPr>
        <w:sectPr w:rsidR="0088341A" w:rsidSect="00C22E17">
          <w:footerReference w:type="default" r:id="rId54"/>
          <w:pgSz w:w="11906" w:h="16838"/>
          <w:pgMar w:top="1440" w:right="1440" w:bottom="1440" w:left="1440" w:header="708" w:footer="708" w:gutter="0"/>
          <w:cols w:space="708"/>
          <w:docGrid w:linePitch="360"/>
        </w:sectPr>
      </w:pPr>
    </w:p>
    <w:p w:rsidR="0088341A" w:rsidRPr="00344723" w:rsidRDefault="0088341A" w:rsidP="0088341A">
      <w:pPr>
        <w:pStyle w:val="Heading1"/>
        <w:numPr>
          <w:ilvl w:val="1"/>
          <w:numId w:val="20"/>
        </w:numPr>
      </w:pPr>
      <w:bookmarkStart w:id="251" w:name="_Toc365283314"/>
      <w:bookmarkStart w:id="252" w:name="_Toc365462002"/>
      <w:r w:rsidRPr="00344723">
        <w:lastRenderedPageBreak/>
        <w:t>Regulatory depreciation</w:t>
      </w:r>
      <w:bookmarkEnd w:id="251"/>
      <w:bookmarkEnd w:id="252"/>
    </w:p>
    <w:p w:rsidR="0088341A" w:rsidRDefault="0088341A" w:rsidP="0088341A">
      <w:pPr>
        <w:pStyle w:val="AERbodytext"/>
        <w:numPr>
          <w:ilvl w:val="0"/>
          <w:numId w:val="1"/>
        </w:numPr>
      </w:pPr>
      <w:r>
        <w:t xml:space="preserve">The AER is required to decide on SP AusNet's indexation of the </w:t>
      </w:r>
      <w:r w:rsidRPr="00E974CC">
        <w:t xml:space="preserve">regulatory asset base (RAB) </w:t>
      </w:r>
      <w:r>
        <w:t xml:space="preserve">and </w:t>
      </w:r>
      <w:r w:rsidRPr="00E974CC">
        <w:t>depreciation</w:t>
      </w:r>
      <w:r w:rsidRPr="00875E28">
        <w:t xml:space="preserve"> </w:t>
      </w:r>
      <w:r w:rsidRPr="00B8480E">
        <w:t>building blocks</w:t>
      </w:r>
      <w:r>
        <w:t xml:space="preserve"> for the 2014–17</w:t>
      </w:r>
      <w:r w:rsidRPr="00E974CC">
        <w:t xml:space="preserve"> regulatory control period</w:t>
      </w:r>
      <w:r w:rsidRPr="00875E28">
        <w:t>.</w:t>
      </w:r>
      <w:r>
        <w:rPr>
          <w:rStyle w:val="FootnoteReference"/>
        </w:rPr>
        <w:footnoteReference w:id="424"/>
      </w:r>
      <w:r>
        <w:t xml:space="preserve"> The r</w:t>
      </w:r>
      <w:r w:rsidRPr="00446E00">
        <w:t xml:space="preserve">egulatory depreciation </w:t>
      </w:r>
      <w:r>
        <w:t xml:space="preserve">allowance (or return of capital) is </w:t>
      </w:r>
      <w:r w:rsidRPr="00446E00">
        <w:t xml:space="preserve">the </w:t>
      </w:r>
      <w:r>
        <w:t>net total</w:t>
      </w:r>
      <w:r w:rsidRPr="00446E00">
        <w:t xml:space="preserve"> of the </w:t>
      </w:r>
      <w:r>
        <w:t xml:space="preserve">straight-line </w:t>
      </w:r>
      <w:r w:rsidRPr="00446E00">
        <w:t>depreciation</w:t>
      </w:r>
      <w:r>
        <w:t xml:space="preserve"> </w:t>
      </w:r>
      <w:r w:rsidRPr="00446E00">
        <w:t>(</w:t>
      </w:r>
      <w:r>
        <w:t>negative</w:t>
      </w:r>
      <w:r w:rsidRPr="00446E00">
        <w:t xml:space="preserve">) and the indexation </w:t>
      </w:r>
      <w:r>
        <w:t>of</w:t>
      </w:r>
      <w:r w:rsidRPr="00446E00">
        <w:t xml:space="preserve"> the </w:t>
      </w:r>
      <w:r>
        <w:t xml:space="preserve">RAB </w:t>
      </w:r>
      <w:r w:rsidRPr="00446E00">
        <w:t>(</w:t>
      </w:r>
      <w:r>
        <w:t>positive</w:t>
      </w:r>
      <w:r w:rsidRPr="00446E00">
        <w:t>)</w:t>
      </w:r>
      <w:r>
        <w:t>. It comprises about 15 per cent of SP AusNet's proposed total revenue.</w:t>
      </w:r>
      <w:r>
        <w:rPr>
          <w:rStyle w:val="FootnoteReference"/>
        </w:rPr>
        <w:footnoteReference w:id="425"/>
      </w:r>
      <w:r w:rsidRPr="00446E00">
        <w:t xml:space="preserve"> </w:t>
      </w:r>
    </w:p>
    <w:p w:rsidR="0088341A" w:rsidRPr="00446E00" w:rsidRDefault="0088341A" w:rsidP="0088341A">
      <w:pPr>
        <w:pStyle w:val="AERbodytext"/>
        <w:numPr>
          <w:ilvl w:val="0"/>
          <w:numId w:val="1"/>
        </w:numPr>
      </w:pPr>
      <w:r w:rsidRPr="00446E00">
        <w:t xml:space="preserve">This </w:t>
      </w:r>
      <w:r>
        <w:t>attachment</w:t>
      </w:r>
      <w:r w:rsidRPr="00446E00">
        <w:t xml:space="preserve"> sets out </w:t>
      </w:r>
      <w:r>
        <w:t>our draft decision on SP AusNet's</w:t>
      </w:r>
      <w:r w:rsidRPr="00446E00">
        <w:t xml:space="preserve"> regulatory depreciation</w:t>
      </w:r>
      <w:r>
        <w:t xml:space="preserve"> allowance</w:t>
      </w:r>
      <w:r w:rsidRPr="00446E00">
        <w:t xml:space="preserve">. </w:t>
      </w:r>
      <w:r>
        <w:t>It</w:t>
      </w:r>
      <w:r w:rsidRPr="00446E00">
        <w:t xml:space="preserve"> also </w:t>
      </w:r>
      <w:r>
        <w:t>presents our draft decision on</w:t>
      </w:r>
      <w:r w:rsidRPr="00446E00">
        <w:t xml:space="preserve"> </w:t>
      </w:r>
      <w:r>
        <w:t>the</w:t>
      </w:r>
      <w:r w:rsidRPr="00446E00">
        <w:t xml:space="preserve"> proposed depreciation schedule, including an assessment of the standard and remaining asset lives </w:t>
      </w:r>
      <w:r>
        <w:t xml:space="preserve">to be </w:t>
      </w:r>
      <w:r w:rsidRPr="00446E00">
        <w:t xml:space="preserve">used for depreciation over the </w:t>
      </w:r>
      <w:r>
        <w:t xml:space="preserve">2014–17 </w:t>
      </w:r>
      <w:r w:rsidRPr="00446E00">
        <w:t>regulatory control period.</w:t>
      </w:r>
    </w:p>
    <w:p w:rsidR="0088341A" w:rsidRPr="003800E4" w:rsidRDefault="0088341A" w:rsidP="0088341A">
      <w:pPr>
        <w:pStyle w:val="Heading2"/>
        <w:numPr>
          <w:ilvl w:val="2"/>
          <w:numId w:val="20"/>
        </w:numPr>
      </w:pPr>
      <w:bookmarkStart w:id="253" w:name="_Toc365283315"/>
      <w:r>
        <w:t>Draft decision</w:t>
      </w:r>
      <w:bookmarkEnd w:id="253"/>
    </w:p>
    <w:p w:rsidR="0088341A" w:rsidRDefault="0088341A" w:rsidP="0088341A">
      <w:pPr>
        <w:pStyle w:val="AERbodytext"/>
        <w:numPr>
          <w:ilvl w:val="0"/>
          <w:numId w:val="1"/>
        </w:numPr>
      </w:pPr>
      <w:r>
        <w:t>We do</w:t>
      </w:r>
      <w:r w:rsidRPr="001C0783">
        <w:t xml:space="preserve"> not accept </w:t>
      </w:r>
      <w:r>
        <w:t>SP AusNet's</w:t>
      </w:r>
      <w:r w:rsidRPr="001C0783">
        <w:t xml:space="preserve"> proposed </w:t>
      </w:r>
      <w:r>
        <w:t xml:space="preserve">regulatory </w:t>
      </w:r>
      <w:r w:rsidRPr="001C0783">
        <w:t>depreciation allowance of $</w:t>
      </w:r>
      <w:r>
        <w:t>239.1 </w:t>
      </w:r>
      <w:r w:rsidRPr="001C0783">
        <w:t xml:space="preserve">million </w:t>
      </w:r>
      <w:r>
        <w:br/>
      </w:r>
      <w:r w:rsidRPr="001C0783">
        <w:t>(</w:t>
      </w:r>
      <w:r>
        <w:t>$ nominal) for the 2014–17 regulatory control period. Instead, we determine a regulatory depreciation allowance of $241.2 million ($ nominal). Our draft decision represents an increase of $2.</w:t>
      </w:r>
      <w:r w:rsidR="00CA0C55">
        <w:t>1</w:t>
      </w:r>
      <w:r>
        <w:t> million (or 0.9 per cent) to the proposal. The change reflects our</w:t>
      </w:r>
      <w:r w:rsidRPr="001C0783">
        <w:t xml:space="preserve"> </w:t>
      </w:r>
      <w:r>
        <w:t>determinations on other components of SP AusNet's</w:t>
      </w:r>
      <w:r w:rsidRPr="001C0783">
        <w:t xml:space="preserve"> </w:t>
      </w:r>
      <w:r>
        <w:t xml:space="preserve">proposal that affect the regulatory depreciation allowance—for example, the </w:t>
      </w:r>
      <w:r w:rsidRPr="001C0783">
        <w:t xml:space="preserve">forecast </w:t>
      </w:r>
      <w:r>
        <w:t>capital expenditure (cap</w:t>
      </w:r>
      <w:r w:rsidRPr="001C0783">
        <w:t>ex</w:t>
      </w:r>
      <w:r>
        <w:t>) (attachment 2) and the</w:t>
      </w:r>
      <w:r w:rsidRPr="001C0783">
        <w:t xml:space="preserve"> opening </w:t>
      </w:r>
      <w:r>
        <w:t>RAB as at 1 April 2014 (attachment 5).</w:t>
      </w:r>
      <w:r>
        <w:rPr>
          <w:rStyle w:val="FootnoteReference"/>
        </w:rPr>
        <w:footnoteReference w:id="426"/>
      </w:r>
      <w:r>
        <w:t xml:space="preserve"> </w:t>
      </w:r>
      <w:r w:rsidR="003A099A">
        <w:br/>
      </w:r>
      <w:r>
        <w:fldChar w:fldCharType="begin"/>
      </w:r>
      <w:r>
        <w:instrText xml:space="preserve"> REF _Ref363746795 \h </w:instrText>
      </w:r>
      <w:r>
        <w:fldChar w:fldCharType="separate"/>
      </w:r>
      <w:r w:rsidR="004F35AA">
        <w:t xml:space="preserve">Table </w:t>
      </w:r>
      <w:r w:rsidR="004F35AA">
        <w:rPr>
          <w:noProof/>
        </w:rPr>
        <w:t>6</w:t>
      </w:r>
      <w:r w:rsidR="004F35AA">
        <w:t>.</w:t>
      </w:r>
      <w:r w:rsidR="004F35AA">
        <w:rPr>
          <w:noProof/>
        </w:rPr>
        <w:t>1</w:t>
      </w:r>
      <w:r>
        <w:fldChar w:fldCharType="end"/>
      </w:r>
      <w:r>
        <w:t xml:space="preserve"> sets out our draft decision on SP AusNet's annual regulatory depreciation allowance for the </w:t>
      </w:r>
      <w:r w:rsidR="00433881">
        <w:br/>
      </w:r>
      <w:r>
        <w:t>2014–17 regulatory control period.</w:t>
      </w:r>
    </w:p>
    <w:p w:rsidR="0088341A" w:rsidRDefault="0088341A" w:rsidP="0088341A">
      <w:pPr>
        <w:pStyle w:val="Caption"/>
      </w:pPr>
      <w:bookmarkStart w:id="254" w:name="_Ref363746795"/>
      <w:r>
        <w:t xml:space="preserve">Table </w:t>
      </w:r>
      <w:fldSimple w:instr=" STYLEREF 1 \s ">
        <w:r w:rsidR="004F35AA">
          <w:rPr>
            <w:noProof/>
          </w:rPr>
          <w:t>6</w:t>
        </w:r>
      </w:fldSimple>
      <w:r w:rsidR="00C56A87">
        <w:t>.</w:t>
      </w:r>
      <w:fldSimple w:instr=" SEQ Table \* ARABIC \s 1 ">
        <w:r w:rsidR="004F35AA">
          <w:rPr>
            <w:noProof/>
          </w:rPr>
          <w:t>1</w:t>
        </w:r>
      </w:fldSimple>
      <w:bookmarkEnd w:id="254"/>
      <w:r>
        <w:tab/>
        <w:t xml:space="preserve">AER's draft </w:t>
      </w:r>
      <w:r w:rsidRPr="005E709D">
        <w:t xml:space="preserve">decision on </w:t>
      </w:r>
      <w:r>
        <w:t>SP AusNet's</w:t>
      </w:r>
      <w:r w:rsidRPr="005E709D">
        <w:t xml:space="preserve"> depreciation</w:t>
      </w:r>
      <w:r>
        <w:t xml:space="preserve"> allowance, 2014–17 regulatory control</w:t>
      </w:r>
      <w:r w:rsidRPr="005E709D">
        <w:t xml:space="preserve"> period ($</w:t>
      </w:r>
      <w:r>
        <w:t> </w:t>
      </w:r>
      <w:r w:rsidRPr="005E709D">
        <w:t>million, nominal)</w:t>
      </w:r>
    </w:p>
    <w:tbl>
      <w:tblPr>
        <w:tblW w:w="9260" w:type="dxa"/>
        <w:tblBorders>
          <w:bottom w:val="single" w:sz="4" w:space="0" w:color="365F91"/>
        </w:tblBorders>
        <w:tblLayout w:type="fixed"/>
        <w:tblLook w:val="01E0" w:firstRow="1" w:lastRow="1" w:firstColumn="1" w:lastColumn="1" w:noHBand="0" w:noVBand="0"/>
      </w:tblPr>
      <w:tblGrid>
        <w:gridCol w:w="3517"/>
        <w:gridCol w:w="1525"/>
        <w:gridCol w:w="1333"/>
        <w:gridCol w:w="1333"/>
        <w:gridCol w:w="1552"/>
      </w:tblGrid>
      <w:tr w:rsidR="0088341A" w:rsidRPr="005E709D" w:rsidTr="00501137">
        <w:trPr>
          <w:trHeight w:val="537"/>
        </w:trPr>
        <w:tc>
          <w:tcPr>
            <w:tcW w:w="3517" w:type="dxa"/>
            <w:shd w:val="clear" w:color="auto" w:fill="365F91"/>
            <w:vAlign w:val="center"/>
          </w:tcPr>
          <w:p w:rsidR="0088341A" w:rsidRPr="00AA1364" w:rsidRDefault="0088341A" w:rsidP="00501137">
            <w:pPr>
              <w:spacing w:before="120"/>
              <w:rPr>
                <w:b/>
                <w:color w:val="FFFFFF"/>
                <w:sz w:val="16"/>
              </w:rPr>
            </w:pPr>
          </w:p>
        </w:tc>
        <w:tc>
          <w:tcPr>
            <w:tcW w:w="1525" w:type="dxa"/>
            <w:shd w:val="clear" w:color="auto" w:fill="365F91"/>
            <w:vAlign w:val="center"/>
          </w:tcPr>
          <w:p w:rsidR="0088341A" w:rsidRPr="00AA1364" w:rsidRDefault="0088341A" w:rsidP="00501137">
            <w:pPr>
              <w:pStyle w:val="AERtabletextright"/>
              <w:rPr>
                <w:b/>
                <w:color w:val="FFFFFF"/>
              </w:rPr>
            </w:pPr>
            <w:r w:rsidRPr="00AA1364">
              <w:rPr>
                <w:b/>
                <w:color w:val="FFFFFF"/>
              </w:rPr>
              <w:t>2014–15</w:t>
            </w:r>
          </w:p>
        </w:tc>
        <w:tc>
          <w:tcPr>
            <w:tcW w:w="1333" w:type="dxa"/>
            <w:shd w:val="clear" w:color="auto" w:fill="365F91"/>
            <w:vAlign w:val="center"/>
          </w:tcPr>
          <w:p w:rsidR="0088341A" w:rsidRPr="00AA1364" w:rsidRDefault="0088341A" w:rsidP="00501137">
            <w:pPr>
              <w:pStyle w:val="AERtabletextright"/>
              <w:rPr>
                <w:b/>
                <w:color w:val="FFFFFF"/>
              </w:rPr>
            </w:pPr>
            <w:r w:rsidRPr="00AA1364">
              <w:rPr>
                <w:b/>
                <w:color w:val="FFFFFF"/>
              </w:rPr>
              <w:t>2015–16</w:t>
            </w:r>
          </w:p>
        </w:tc>
        <w:tc>
          <w:tcPr>
            <w:tcW w:w="1333" w:type="dxa"/>
            <w:shd w:val="clear" w:color="auto" w:fill="365F91"/>
            <w:vAlign w:val="center"/>
          </w:tcPr>
          <w:p w:rsidR="0088341A" w:rsidRPr="00AA1364" w:rsidRDefault="0088341A" w:rsidP="00501137">
            <w:pPr>
              <w:pStyle w:val="AERtabletextright"/>
              <w:rPr>
                <w:b/>
                <w:color w:val="FFFFFF"/>
              </w:rPr>
            </w:pPr>
            <w:r w:rsidRPr="00AA1364">
              <w:rPr>
                <w:b/>
                <w:color w:val="FFFFFF"/>
              </w:rPr>
              <w:t>2016–17</w:t>
            </w:r>
          </w:p>
        </w:tc>
        <w:tc>
          <w:tcPr>
            <w:tcW w:w="1552" w:type="dxa"/>
            <w:shd w:val="clear" w:color="auto" w:fill="365F91"/>
            <w:vAlign w:val="center"/>
          </w:tcPr>
          <w:p w:rsidR="0088341A" w:rsidRPr="00AA1364" w:rsidRDefault="0088341A" w:rsidP="00501137">
            <w:pPr>
              <w:pStyle w:val="AERtabletextright"/>
              <w:rPr>
                <w:b/>
                <w:color w:val="FFFFFF"/>
              </w:rPr>
            </w:pPr>
            <w:r w:rsidRPr="00AA1364">
              <w:rPr>
                <w:b/>
                <w:color w:val="FFFFFF"/>
              </w:rPr>
              <w:t>Total</w:t>
            </w:r>
          </w:p>
        </w:tc>
      </w:tr>
      <w:tr w:rsidR="0088341A" w:rsidRPr="005E709D" w:rsidTr="00501137">
        <w:trPr>
          <w:trHeight w:val="437"/>
        </w:trPr>
        <w:tc>
          <w:tcPr>
            <w:tcW w:w="3517" w:type="dxa"/>
            <w:vAlign w:val="center"/>
          </w:tcPr>
          <w:p w:rsidR="0088341A" w:rsidRPr="00E363D3" w:rsidRDefault="0088341A" w:rsidP="00501137">
            <w:pPr>
              <w:pStyle w:val="AERtabletextleft"/>
            </w:pPr>
            <w:r w:rsidRPr="00CC73F9">
              <w:t>Straight-line depreciation</w:t>
            </w:r>
          </w:p>
        </w:tc>
        <w:tc>
          <w:tcPr>
            <w:tcW w:w="1525" w:type="dxa"/>
            <w:vAlign w:val="center"/>
          </w:tcPr>
          <w:p w:rsidR="0088341A" w:rsidRPr="00E363D3" w:rsidRDefault="0088341A" w:rsidP="00501137">
            <w:pPr>
              <w:pStyle w:val="AERtabletextright"/>
            </w:pPr>
            <w:r>
              <w:t>147.4</w:t>
            </w:r>
          </w:p>
        </w:tc>
        <w:tc>
          <w:tcPr>
            <w:tcW w:w="1333" w:type="dxa"/>
            <w:vAlign w:val="center"/>
          </w:tcPr>
          <w:p w:rsidR="0088341A" w:rsidRPr="00E363D3" w:rsidRDefault="0088341A" w:rsidP="00501137">
            <w:pPr>
              <w:pStyle w:val="AERtabletextright"/>
            </w:pPr>
            <w:r>
              <w:t>153.2</w:t>
            </w:r>
          </w:p>
        </w:tc>
        <w:tc>
          <w:tcPr>
            <w:tcW w:w="1333" w:type="dxa"/>
            <w:vAlign w:val="center"/>
          </w:tcPr>
          <w:p w:rsidR="0088341A" w:rsidRPr="00E363D3" w:rsidRDefault="0088341A" w:rsidP="00501137">
            <w:pPr>
              <w:pStyle w:val="AERtabletextright"/>
            </w:pPr>
            <w:r>
              <w:t>160.1</w:t>
            </w:r>
          </w:p>
        </w:tc>
        <w:tc>
          <w:tcPr>
            <w:tcW w:w="1552" w:type="dxa"/>
            <w:vAlign w:val="center"/>
          </w:tcPr>
          <w:p w:rsidR="0088341A" w:rsidRPr="00E363D3" w:rsidRDefault="0088341A" w:rsidP="00501137">
            <w:pPr>
              <w:pStyle w:val="AERtabletextright"/>
            </w:pPr>
            <w:r>
              <w:t>460.7</w:t>
            </w:r>
          </w:p>
        </w:tc>
      </w:tr>
      <w:tr w:rsidR="0088341A" w:rsidRPr="005E709D" w:rsidTr="00501137">
        <w:trPr>
          <w:trHeight w:val="672"/>
        </w:trPr>
        <w:tc>
          <w:tcPr>
            <w:tcW w:w="3517" w:type="dxa"/>
            <w:shd w:val="clear" w:color="auto" w:fill="DBE5F1"/>
            <w:vAlign w:val="center"/>
          </w:tcPr>
          <w:p w:rsidR="0088341A" w:rsidRPr="00E363D3" w:rsidRDefault="0088341A" w:rsidP="00501137">
            <w:pPr>
              <w:pStyle w:val="AERtabletextleft"/>
            </w:pPr>
            <w:r w:rsidRPr="00CC73F9">
              <w:rPr>
                <w:rStyle w:val="AERtextitalic"/>
              </w:rPr>
              <w:t>Less</w:t>
            </w:r>
            <w:r w:rsidRPr="00E363D3">
              <w:t>: inflation indexation on opening RAB</w:t>
            </w:r>
          </w:p>
        </w:tc>
        <w:tc>
          <w:tcPr>
            <w:tcW w:w="1525" w:type="dxa"/>
            <w:shd w:val="clear" w:color="auto" w:fill="DBE5F1"/>
            <w:vAlign w:val="center"/>
          </w:tcPr>
          <w:p w:rsidR="0088341A" w:rsidRPr="00E363D3" w:rsidRDefault="0088341A" w:rsidP="00501137">
            <w:pPr>
              <w:pStyle w:val="AERtabletextright"/>
            </w:pPr>
            <w:r>
              <w:t>71.8</w:t>
            </w:r>
          </w:p>
        </w:tc>
        <w:tc>
          <w:tcPr>
            <w:tcW w:w="1333" w:type="dxa"/>
            <w:shd w:val="clear" w:color="auto" w:fill="DBE5F1"/>
            <w:vAlign w:val="center"/>
          </w:tcPr>
          <w:p w:rsidR="0088341A" w:rsidRPr="00E363D3" w:rsidRDefault="0088341A" w:rsidP="00501137">
            <w:pPr>
              <w:pStyle w:val="AERtabletextright"/>
            </w:pPr>
            <w:r>
              <w:t>73.1</w:t>
            </w:r>
          </w:p>
        </w:tc>
        <w:tc>
          <w:tcPr>
            <w:tcW w:w="1333" w:type="dxa"/>
            <w:shd w:val="clear" w:color="auto" w:fill="DBE5F1"/>
            <w:vAlign w:val="center"/>
          </w:tcPr>
          <w:p w:rsidR="0088341A" w:rsidRPr="00E363D3" w:rsidRDefault="0088341A" w:rsidP="00501137">
            <w:pPr>
              <w:pStyle w:val="AERtabletextright"/>
            </w:pPr>
            <w:r>
              <w:t>74.6</w:t>
            </w:r>
          </w:p>
        </w:tc>
        <w:tc>
          <w:tcPr>
            <w:tcW w:w="1552" w:type="dxa"/>
            <w:shd w:val="clear" w:color="auto" w:fill="DBE5F1"/>
            <w:vAlign w:val="center"/>
          </w:tcPr>
          <w:p w:rsidR="0088341A" w:rsidRPr="00E363D3" w:rsidRDefault="0088341A" w:rsidP="00501137">
            <w:pPr>
              <w:pStyle w:val="AERtabletextright"/>
            </w:pPr>
            <w:r>
              <w:t>219.5</w:t>
            </w:r>
          </w:p>
        </w:tc>
      </w:tr>
      <w:tr w:rsidR="0088341A" w:rsidRPr="005E709D" w:rsidTr="00501137">
        <w:trPr>
          <w:trHeight w:val="448"/>
        </w:trPr>
        <w:tc>
          <w:tcPr>
            <w:tcW w:w="3517" w:type="dxa"/>
            <w:vAlign w:val="center"/>
          </w:tcPr>
          <w:p w:rsidR="0088341A" w:rsidRPr="00E363D3" w:rsidRDefault="0088341A" w:rsidP="00501137">
            <w:pPr>
              <w:pStyle w:val="AERtabletextleft"/>
            </w:pPr>
            <w:r w:rsidRPr="00CC73F9">
              <w:t>Regulatory depreciation</w:t>
            </w:r>
          </w:p>
        </w:tc>
        <w:tc>
          <w:tcPr>
            <w:tcW w:w="1525" w:type="dxa"/>
            <w:vAlign w:val="center"/>
          </w:tcPr>
          <w:p w:rsidR="0088341A" w:rsidRPr="00E363D3" w:rsidRDefault="0088341A" w:rsidP="00501137">
            <w:pPr>
              <w:pStyle w:val="AERtabletextright"/>
            </w:pPr>
            <w:r>
              <w:t>75.6</w:t>
            </w:r>
          </w:p>
        </w:tc>
        <w:tc>
          <w:tcPr>
            <w:tcW w:w="1333" w:type="dxa"/>
            <w:vAlign w:val="center"/>
          </w:tcPr>
          <w:p w:rsidR="0088341A" w:rsidRPr="00E363D3" w:rsidRDefault="0088341A" w:rsidP="00501137">
            <w:pPr>
              <w:pStyle w:val="AERtabletextright"/>
            </w:pPr>
            <w:r>
              <w:t>80.0</w:t>
            </w:r>
          </w:p>
        </w:tc>
        <w:tc>
          <w:tcPr>
            <w:tcW w:w="1333" w:type="dxa"/>
            <w:vAlign w:val="center"/>
          </w:tcPr>
          <w:p w:rsidR="0088341A" w:rsidRPr="00E363D3" w:rsidRDefault="0088341A" w:rsidP="00501137">
            <w:pPr>
              <w:pStyle w:val="AERtabletextright"/>
            </w:pPr>
            <w:r>
              <w:t>85.5</w:t>
            </w:r>
          </w:p>
        </w:tc>
        <w:tc>
          <w:tcPr>
            <w:tcW w:w="1552" w:type="dxa"/>
            <w:vAlign w:val="center"/>
          </w:tcPr>
          <w:p w:rsidR="0088341A" w:rsidRPr="00E363D3" w:rsidRDefault="0088341A" w:rsidP="00501137">
            <w:pPr>
              <w:pStyle w:val="AERtabletextright"/>
            </w:pPr>
            <w:r>
              <w:t>241.2</w:t>
            </w:r>
          </w:p>
        </w:tc>
      </w:tr>
    </w:tbl>
    <w:p w:rsidR="0088341A" w:rsidRPr="005E06AC" w:rsidRDefault="0088341A" w:rsidP="0088341A">
      <w:pPr>
        <w:pStyle w:val="AERtablesource"/>
      </w:pPr>
      <w:r w:rsidRPr="005E06AC">
        <w:t>Source:</w:t>
      </w:r>
      <w:r w:rsidRPr="005E06AC">
        <w:tab/>
      </w:r>
      <w:r>
        <w:t>AER analysis.</w:t>
      </w:r>
    </w:p>
    <w:p w:rsidR="0088341A" w:rsidRDefault="0088341A" w:rsidP="0088341A">
      <w:pPr>
        <w:pStyle w:val="Heading2"/>
        <w:numPr>
          <w:ilvl w:val="2"/>
          <w:numId w:val="20"/>
        </w:numPr>
      </w:pPr>
      <w:bookmarkStart w:id="255" w:name="_Ref360695635"/>
      <w:bookmarkStart w:id="256" w:name="_Toc365283316"/>
      <w:r>
        <w:t>SP AusNet's proposal</w:t>
      </w:r>
      <w:bookmarkEnd w:id="255"/>
      <w:bookmarkEnd w:id="256"/>
    </w:p>
    <w:p w:rsidR="0088341A" w:rsidRPr="0034177C" w:rsidRDefault="0088341A" w:rsidP="0088341A">
      <w:pPr>
        <w:pStyle w:val="AERbodytext"/>
        <w:numPr>
          <w:ilvl w:val="0"/>
          <w:numId w:val="1"/>
        </w:numPr>
      </w:pPr>
      <w:bookmarkStart w:id="257" w:name="_Ref341359274"/>
      <w:r>
        <w:t>SP AusNet proposed a forecast regulatory depreciation allowance of $</w:t>
      </w:r>
      <w:r w:rsidRPr="00FA5BDD">
        <w:t>239.1 million ($ nominal) over the 2014–17 regulatory control period (</w:t>
      </w:r>
      <w:r>
        <w:fldChar w:fldCharType="begin"/>
      </w:r>
      <w:r>
        <w:instrText xml:space="preserve"> REF _Ref363746834 \h </w:instrText>
      </w:r>
      <w:r>
        <w:fldChar w:fldCharType="separate"/>
      </w:r>
      <w:r w:rsidR="004F35AA">
        <w:t xml:space="preserve">Table </w:t>
      </w:r>
      <w:r w:rsidR="004F35AA">
        <w:rPr>
          <w:noProof/>
        </w:rPr>
        <w:t>6</w:t>
      </w:r>
      <w:r w:rsidR="004F35AA">
        <w:t>.</w:t>
      </w:r>
      <w:r w:rsidR="004F35AA">
        <w:rPr>
          <w:noProof/>
        </w:rPr>
        <w:t>2</w:t>
      </w:r>
      <w:r>
        <w:fldChar w:fldCharType="end"/>
      </w:r>
      <w:r>
        <w:t>). The calculations were</w:t>
      </w:r>
      <w:r w:rsidRPr="00FA5BDD">
        <w:t xml:space="preserve"> based on straight-line depreciation and standard asset lives for each regulatory asset class.</w:t>
      </w:r>
      <w:r w:rsidRPr="00FA5BDD">
        <w:rPr>
          <w:rStyle w:val="FootnoteReference"/>
        </w:rPr>
        <w:footnoteReference w:id="427"/>
      </w:r>
      <w:r w:rsidRPr="00FA5BDD">
        <w:t xml:space="preserve"> </w:t>
      </w:r>
      <w:r>
        <w:t xml:space="preserve"> To calculate the depreciation allowance, SP AusNet proposed:</w:t>
      </w:r>
    </w:p>
    <w:p w:rsidR="0088341A" w:rsidRDefault="0088341A" w:rsidP="0088341A">
      <w:pPr>
        <w:pStyle w:val="AERbulletlistfirststyle"/>
      </w:pPr>
      <w:r>
        <w:t xml:space="preserve">standard asset lives for depreciating new assets associated with forecast capex for the </w:t>
      </w:r>
      <w:r w:rsidR="00433881">
        <w:br/>
      </w:r>
      <w:r>
        <w:t xml:space="preserve">2014–17 regulatory control period. SP AusNet did not propose any change to its standard </w:t>
      </w:r>
      <w:r>
        <w:lastRenderedPageBreak/>
        <w:t>asset lives approved in the 2009 transmission determination. It also did not propose any new asset classes for the 2014–17 regulatory control period</w:t>
      </w:r>
    </w:p>
    <w:p w:rsidR="0088341A" w:rsidRDefault="0088341A" w:rsidP="0088341A">
      <w:pPr>
        <w:pStyle w:val="AERbulletlistfirststyle"/>
      </w:pPr>
      <w:r>
        <w:t xml:space="preserve">to depreciate the opening RAB value established in 2003 (when first regulated) and the actual capex for 2003–14 using the asset lives approved for the respective regulatory control periods in the 2003 and 2008 transmission determinations. SP AusNet's depreciation approach </w:t>
      </w:r>
      <w:r w:rsidRPr="00AB52A8">
        <w:t>account</w:t>
      </w:r>
      <w:r>
        <w:t>ed</w:t>
      </w:r>
      <w:r w:rsidRPr="00AB52A8">
        <w:t xml:space="preserve"> for the remaining asset lives for each year's capex within each asset class separately. </w:t>
      </w:r>
      <w:r>
        <w:t>Therefore, under this approach, SP AusNet did not propose any remaining economic lives for each asset class as at 1 April 2014 for depreciating existing assets in the opening RAB.</w:t>
      </w:r>
    </w:p>
    <w:p w:rsidR="0088341A" w:rsidRDefault="0088341A" w:rsidP="0088341A">
      <w:pPr>
        <w:pStyle w:val="Caption"/>
      </w:pPr>
      <w:bookmarkStart w:id="258" w:name="_Ref363746834"/>
      <w:bookmarkEnd w:id="257"/>
      <w:r>
        <w:t xml:space="preserve">Table </w:t>
      </w:r>
      <w:fldSimple w:instr=" STYLEREF 1 \s ">
        <w:r w:rsidR="004F35AA">
          <w:rPr>
            <w:noProof/>
          </w:rPr>
          <w:t>6</w:t>
        </w:r>
      </w:fldSimple>
      <w:r w:rsidR="00C56A87">
        <w:t>.</w:t>
      </w:r>
      <w:fldSimple w:instr=" SEQ Table \* ARABIC \s 1 ">
        <w:r w:rsidR="004F35AA">
          <w:rPr>
            <w:noProof/>
          </w:rPr>
          <w:t>2</w:t>
        </w:r>
      </w:fldSimple>
      <w:bookmarkEnd w:id="258"/>
      <w:r>
        <w:tab/>
        <w:t>SP AusNet's</w:t>
      </w:r>
      <w:r w:rsidRPr="00BF37B8">
        <w:t xml:space="preserve"> proposed depreciation allowance</w:t>
      </w:r>
      <w:r>
        <w:t>, 2014–17 regulatory control period</w:t>
      </w:r>
      <w:r w:rsidRPr="00BF37B8">
        <w:t xml:space="preserve"> ($</w:t>
      </w:r>
      <w:r>
        <w:t> </w:t>
      </w:r>
      <w:r w:rsidRPr="00BF37B8">
        <w:t>million, nominal)</w:t>
      </w:r>
    </w:p>
    <w:tbl>
      <w:tblPr>
        <w:tblW w:w="9265" w:type="dxa"/>
        <w:tblBorders>
          <w:bottom w:val="single" w:sz="4" w:space="0" w:color="365F91"/>
        </w:tblBorders>
        <w:tblLook w:val="04A0" w:firstRow="1" w:lastRow="0" w:firstColumn="1" w:lastColumn="0" w:noHBand="0" w:noVBand="1"/>
      </w:tblPr>
      <w:tblGrid>
        <w:gridCol w:w="3497"/>
        <w:gridCol w:w="1442"/>
        <w:gridCol w:w="1442"/>
        <w:gridCol w:w="1442"/>
        <w:gridCol w:w="1442"/>
      </w:tblGrid>
      <w:tr w:rsidR="0088341A" w:rsidTr="00501137">
        <w:trPr>
          <w:trHeight w:val="402"/>
        </w:trPr>
        <w:tc>
          <w:tcPr>
            <w:tcW w:w="3497" w:type="dxa"/>
            <w:shd w:val="clear" w:color="auto" w:fill="365F91"/>
            <w:vAlign w:val="center"/>
          </w:tcPr>
          <w:p w:rsidR="0088341A" w:rsidRPr="008C6492" w:rsidRDefault="0088341A" w:rsidP="00501137">
            <w:pPr>
              <w:pStyle w:val="AERbodytext"/>
              <w:numPr>
                <w:ilvl w:val="0"/>
                <w:numId w:val="1"/>
              </w:numPr>
              <w:spacing w:before="120"/>
              <w:rPr>
                <w:b/>
                <w:color w:val="FFFFFF"/>
                <w:sz w:val="16"/>
              </w:rPr>
            </w:pPr>
          </w:p>
        </w:tc>
        <w:tc>
          <w:tcPr>
            <w:tcW w:w="1442" w:type="dxa"/>
            <w:shd w:val="clear" w:color="auto" w:fill="365F91"/>
            <w:vAlign w:val="center"/>
          </w:tcPr>
          <w:p w:rsidR="0088341A" w:rsidRPr="008C6492" w:rsidRDefault="0088341A" w:rsidP="00501137">
            <w:pPr>
              <w:pStyle w:val="AERtabletextright"/>
              <w:rPr>
                <w:b/>
                <w:color w:val="FFFFFF"/>
              </w:rPr>
            </w:pPr>
            <w:r w:rsidRPr="008C6492">
              <w:rPr>
                <w:b/>
                <w:color w:val="FFFFFF"/>
              </w:rPr>
              <w:t>2014–15</w:t>
            </w:r>
          </w:p>
        </w:tc>
        <w:tc>
          <w:tcPr>
            <w:tcW w:w="1442" w:type="dxa"/>
            <w:shd w:val="clear" w:color="auto" w:fill="365F91"/>
            <w:vAlign w:val="center"/>
          </w:tcPr>
          <w:p w:rsidR="0088341A" w:rsidRPr="008C6492" w:rsidRDefault="0088341A" w:rsidP="00501137">
            <w:pPr>
              <w:pStyle w:val="AERtabletextright"/>
              <w:rPr>
                <w:b/>
                <w:color w:val="FFFFFF"/>
              </w:rPr>
            </w:pPr>
            <w:r w:rsidRPr="008C6492">
              <w:rPr>
                <w:b/>
                <w:color w:val="FFFFFF"/>
              </w:rPr>
              <w:t>2015–16</w:t>
            </w:r>
          </w:p>
        </w:tc>
        <w:tc>
          <w:tcPr>
            <w:tcW w:w="1442" w:type="dxa"/>
            <w:shd w:val="clear" w:color="auto" w:fill="365F91"/>
            <w:vAlign w:val="center"/>
          </w:tcPr>
          <w:p w:rsidR="0088341A" w:rsidRPr="008C6492" w:rsidRDefault="0088341A" w:rsidP="00501137">
            <w:pPr>
              <w:pStyle w:val="AERtabletextright"/>
              <w:rPr>
                <w:b/>
                <w:color w:val="FFFFFF"/>
              </w:rPr>
            </w:pPr>
            <w:r w:rsidRPr="008C6492">
              <w:rPr>
                <w:b/>
                <w:color w:val="FFFFFF"/>
              </w:rPr>
              <w:t>2016–17</w:t>
            </w:r>
          </w:p>
        </w:tc>
        <w:tc>
          <w:tcPr>
            <w:tcW w:w="1442" w:type="dxa"/>
            <w:shd w:val="clear" w:color="auto" w:fill="365F91"/>
            <w:vAlign w:val="center"/>
          </w:tcPr>
          <w:p w:rsidR="0088341A" w:rsidRPr="008C6492" w:rsidRDefault="0088341A" w:rsidP="00501137">
            <w:pPr>
              <w:pStyle w:val="AERtabletextright"/>
              <w:rPr>
                <w:b/>
                <w:color w:val="FFFFFF"/>
              </w:rPr>
            </w:pPr>
            <w:r w:rsidRPr="008C6492">
              <w:rPr>
                <w:b/>
                <w:color w:val="FFFFFF"/>
              </w:rPr>
              <w:t>Total</w:t>
            </w:r>
          </w:p>
        </w:tc>
      </w:tr>
      <w:tr w:rsidR="0088341A" w:rsidTr="00501137">
        <w:trPr>
          <w:trHeight w:val="396"/>
        </w:trPr>
        <w:tc>
          <w:tcPr>
            <w:tcW w:w="3497" w:type="dxa"/>
            <w:vAlign w:val="center"/>
          </w:tcPr>
          <w:p w:rsidR="0088341A" w:rsidRPr="0022461D" w:rsidRDefault="0088341A" w:rsidP="00501137">
            <w:pPr>
              <w:pStyle w:val="AERtabletextleft"/>
            </w:pPr>
            <w:r>
              <w:t>Straight-line depreciation</w:t>
            </w:r>
          </w:p>
        </w:tc>
        <w:tc>
          <w:tcPr>
            <w:tcW w:w="1442" w:type="dxa"/>
            <w:vAlign w:val="center"/>
          </w:tcPr>
          <w:p w:rsidR="0088341A" w:rsidRPr="0022461D" w:rsidRDefault="0088341A" w:rsidP="00501137">
            <w:pPr>
              <w:pStyle w:val="AERtabletextright"/>
            </w:pPr>
            <w:r>
              <w:t>145.5</w:t>
            </w:r>
          </w:p>
        </w:tc>
        <w:tc>
          <w:tcPr>
            <w:tcW w:w="1442" w:type="dxa"/>
            <w:vAlign w:val="center"/>
          </w:tcPr>
          <w:p w:rsidR="0088341A" w:rsidRPr="0022461D" w:rsidRDefault="0088341A" w:rsidP="00501137">
            <w:pPr>
              <w:pStyle w:val="AERtabletextright"/>
            </w:pPr>
            <w:r>
              <w:t>153.8</w:t>
            </w:r>
          </w:p>
        </w:tc>
        <w:tc>
          <w:tcPr>
            <w:tcW w:w="1442" w:type="dxa"/>
            <w:vAlign w:val="center"/>
          </w:tcPr>
          <w:p w:rsidR="0088341A" w:rsidRPr="0022461D" w:rsidRDefault="0088341A" w:rsidP="00501137">
            <w:pPr>
              <w:pStyle w:val="AERtabletextright"/>
            </w:pPr>
            <w:r>
              <w:t>163.3</w:t>
            </w:r>
          </w:p>
        </w:tc>
        <w:tc>
          <w:tcPr>
            <w:tcW w:w="1442" w:type="dxa"/>
            <w:vAlign w:val="center"/>
          </w:tcPr>
          <w:p w:rsidR="0088341A" w:rsidRPr="0022461D" w:rsidRDefault="0088341A" w:rsidP="00501137">
            <w:pPr>
              <w:pStyle w:val="AERtabletextright"/>
            </w:pPr>
            <w:r>
              <w:t>462.6</w:t>
            </w:r>
          </w:p>
        </w:tc>
      </w:tr>
      <w:tr w:rsidR="0088341A" w:rsidTr="00501137">
        <w:trPr>
          <w:trHeight w:val="242"/>
        </w:trPr>
        <w:tc>
          <w:tcPr>
            <w:tcW w:w="3497" w:type="dxa"/>
            <w:shd w:val="clear" w:color="auto" w:fill="DBE5F1"/>
            <w:vAlign w:val="center"/>
          </w:tcPr>
          <w:p w:rsidR="0088341A" w:rsidRPr="0022461D" w:rsidRDefault="0088341A" w:rsidP="00501137">
            <w:pPr>
              <w:pStyle w:val="AERtabletextleft"/>
            </w:pPr>
            <w:r w:rsidRPr="004C4041">
              <w:rPr>
                <w:rStyle w:val="AERtextitalic"/>
              </w:rPr>
              <w:t>Less</w:t>
            </w:r>
            <w:r w:rsidRPr="0022461D">
              <w:t>: inflation indexation on opening RAB</w:t>
            </w:r>
          </w:p>
        </w:tc>
        <w:tc>
          <w:tcPr>
            <w:tcW w:w="1442" w:type="dxa"/>
            <w:shd w:val="clear" w:color="auto" w:fill="DBE5F1"/>
            <w:vAlign w:val="center"/>
          </w:tcPr>
          <w:p w:rsidR="0088341A" w:rsidRPr="0022461D" w:rsidRDefault="0088341A" w:rsidP="00501137">
            <w:pPr>
              <w:pStyle w:val="AERtabletextright"/>
            </w:pPr>
            <w:r>
              <w:t>71.6</w:t>
            </w:r>
          </w:p>
        </w:tc>
        <w:tc>
          <w:tcPr>
            <w:tcW w:w="1442" w:type="dxa"/>
            <w:shd w:val="clear" w:color="auto" w:fill="DBE5F1"/>
            <w:vAlign w:val="center"/>
          </w:tcPr>
          <w:p w:rsidR="0088341A" w:rsidRPr="0022461D" w:rsidRDefault="0088341A" w:rsidP="00501137">
            <w:pPr>
              <w:pStyle w:val="AERtabletextright"/>
            </w:pPr>
            <w:r>
              <w:t>74.5</w:t>
            </w:r>
          </w:p>
        </w:tc>
        <w:tc>
          <w:tcPr>
            <w:tcW w:w="1442" w:type="dxa"/>
            <w:shd w:val="clear" w:color="auto" w:fill="DBE5F1"/>
            <w:vAlign w:val="center"/>
          </w:tcPr>
          <w:p w:rsidR="0088341A" w:rsidRPr="0022461D" w:rsidRDefault="0088341A" w:rsidP="00501137">
            <w:pPr>
              <w:pStyle w:val="AERtabletextright"/>
            </w:pPr>
            <w:r>
              <w:t>77.4</w:t>
            </w:r>
          </w:p>
        </w:tc>
        <w:tc>
          <w:tcPr>
            <w:tcW w:w="1442" w:type="dxa"/>
            <w:shd w:val="clear" w:color="auto" w:fill="DBE5F1"/>
            <w:vAlign w:val="center"/>
          </w:tcPr>
          <w:p w:rsidR="0088341A" w:rsidRPr="0022461D" w:rsidRDefault="0088341A" w:rsidP="00501137">
            <w:pPr>
              <w:pStyle w:val="AERtabletextright"/>
            </w:pPr>
            <w:r>
              <w:t>223.5</w:t>
            </w:r>
          </w:p>
        </w:tc>
      </w:tr>
      <w:tr w:rsidR="0088341A" w:rsidTr="00501137">
        <w:trPr>
          <w:trHeight w:val="242"/>
        </w:trPr>
        <w:tc>
          <w:tcPr>
            <w:tcW w:w="3497" w:type="dxa"/>
            <w:vAlign w:val="center"/>
          </w:tcPr>
          <w:p w:rsidR="0088341A" w:rsidRPr="0022461D" w:rsidRDefault="0088341A" w:rsidP="00501137">
            <w:pPr>
              <w:pStyle w:val="AERtabletextleft"/>
            </w:pPr>
            <w:r>
              <w:t>Regulatory</w:t>
            </w:r>
            <w:r w:rsidRPr="0022461D">
              <w:t xml:space="preserve"> depreciation</w:t>
            </w:r>
          </w:p>
        </w:tc>
        <w:tc>
          <w:tcPr>
            <w:tcW w:w="1442" w:type="dxa"/>
            <w:vAlign w:val="center"/>
          </w:tcPr>
          <w:p w:rsidR="0088341A" w:rsidRPr="0022461D" w:rsidRDefault="0088341A" w:rsidP="00501137">
            <w:pPr>
              <w:pStyle w:val="AERtabletextright"/>
            </w:pPr>
            <w:r>
              <w:t>73.9</w:t>
            </w:r>
          </w:p>
        </w:tc>
        <w:tc>
          <w:tcPr>
            <w:tcW w:w="1442" w:type="dxa"/>
            <w:vAlign w:val="center"/>
          </w:tcPr>
          <w:p w:rsidR="0088341A" w:rsidRPr="0022461D" w:rsidRDefault="0088341A" w:rsidP="00501137">
            <w:pPr>
              <w:pStyle w:val="AERtabletextright"/>
            </w:pPr>
            <w:r>
              <w:t>79.3</w:t>
            </w:r>
          </w:p>
        </w:tc>
        <w:tc>
          <w:tcPr>
            <w:tcW w:w="1442" w:type="dxa"/>
            <w:vAlign w:val="center"/>
          </w:tcPr>
          <w:p w:rsidR="0088341A" w:rsidRPr="0022461D" w:rsidRDefault="0088341A" w:rsidP="00501137">
            <w:pPr>
              <w:pStyle w:val="AERtabletextright"/>
            </w:pPr>
            <w:r>
              <w:t>85.9</w:t>
            </w:r>
          </w:p>
        </w:tc>
        <w:tc>
          <w:tcPr>
            <w:tcW w:w="1442" w:type="dxa"/>
            <w:vAlign w:val="center"/>
          </w:tcPr>
          <w:p w:rsidR="0088341A" w:rsidRPr="0022461D" w:rsidRDefault="0088341A" w:rsidP="00501137">
            <w:pPr>
              <w:pStyle w:val="AERtabletextright"/>
            </w:pPr>
            <w:r>
              <w:t>239.1</w:t>
            </w:r>
          </w:p>
        </w:tc>
      </w:tr>
    </w:tbl>
    <w:p w:rsidR="0088341A" w:rsidRPr="0022461D" w:rsidRDefault="0088341A" w:rsidP="0088341A">
      <w:pPr>
        <w:pStyle w:val="AERtablesource"/>
      </w:pPr>
      <w:r>
        <w:t>Source:</w:t>
      </w:r>
      <w:r>
        <w:tab/>
        <w:t xml:space="preserve">SP AusNet, </w:t>
      </w:r>
      <w:r w:rsidRPr="00F86888">
        <w:rPr>
          <w:rStyle w:val="AERtextitalic"/>
        </w:rPr>
        <w:t>Revenue proposal</w:t>
      </w:r>
      <w:r w:rsidRPr="0022461D">
        <w:t xml:space="preserve">, p. </w:t>
      </w:r>
      <w:r>
        <w:t>170</w:t>
      </w:r>
      <w:r w:rsidRPr="0022461D">
        <w:t>.</w:t>
      </w:r>
    </w:p>
    <w:p w:rsidR="0088341A" w:rsidRDefault="0088341A" w:rsidP="0088341A">
      <w:pPr>
        <w:pStyle w:val="Heading2"/>
        <w:numPr>
          <w:ilvl w:val="2"/>
          <w:numId w:val="20"/>
        </w:numPr>
      </w:pPr>
      <w:bookmarkStart w:id="259" w:name="_Ref363741019"/>
      <w:bookmarkStart w:id="260" w:name="_Toc365283317"/>
      <w:r>
        <w:t>Assessment approach</w:t>
      </w:r>
      <w:bookmarkEnd w:id="259"/>
      <w:bookmarkEnd w:id="260"/>
    </w:p>
    <w:p w:rsidR="0088341A" w:rsidRDefault="0088341A" w:rsidP="0088341A">
      <w:pPr>
        <w:pStyle w:val="AERbodytext"/>
        <w:numPr>
          <w:ilvl w:val="0"/>
          <w:numId w:val="1"/>
        </w:numPr>
      </w:pPr>
      <w:r>
        <w:t>We are</w:t>
      </w:r>
      <w:r w:rsidRPr="00980E3E">
        <w:t xml:space="preserve"> required to determine the regulatory depreciation allowance as a part of a </w:t>
      </w:r>
      <w:r>
        <w:t>T</w:t>
      </w:r>
      <w:r w:rsidRPr="00980E3E">
        <w:t>NSP</w:t>
      </w:r>
      <w:r>
        <w:t>’</w:t>
      </w:r>
      <w:r w:rsidRPr="00980E3E">
        <w:t xml:space="preserve">s annual </w:t>
      </w:r>
      <w:r>
        <w:t xml:space="preserve">building block </w:t>
      </w:r>
      <w:r w:rsidRPr="00980E3E">
        <w:t>revenue requirement.</w:t>
      </w:r>
      <w:r>
        <w:rPr>
          <w:rStyle w:val="FootnoteReference"/>
        </w:rPr>
        <w:footnoteReference w:id="428"/>
      </w:r>
      <w:r w:rsidRPr="00980E3E">
        <w:t xml:space="preserve"> </w:t>
      </w:r>
      <w:r>
        <w:t>Our</w:t>
      </w:r>
      <w:r w:rsidRPr="00FF3B13">
        <w:t xml:space="preserve"> calculation of </w:t>
      </w:r>
      <w:r>
        <w:t>SP AusNet's</w:t>
      </w:r>
      <w:r w:rsidRPr="00FF3B13">
        <w:t xml:space="preserve"> regulatory depreciation building block is </w:t>
      </w:r>
      <w:r>
        <w:t>made in</w:t>
      </w:r>
      <w:r w:rsidRPr="00FF3B13">
        <w:t xml:space="preserve"> the </w:t>
      </w:r>
      <w:r>
        <w:t>post-tax revenue model (</w:t>
      </w:r>
      <w:r w:rsidRPr="00FF3B13">
        <w:t>PTRM</w:t>
      </w:r>
      <w:r>
        <w:t>)</w:t>
      </w:r>
      <w:r w:rsidRPr="00FF3B13">
        <w:t xml:space="preserve"> and depends on</w:t>
      </w:r>
      <w:r>
        <w:t xml:space="preserve"> several components. </w:t>
      </w:r>
      <w:r w:rsidRPr="00980E3E">
        <w:t xml:space="preserve">The calculation of depreciation in each year is governed by the value of assets included in the RAB at the beginning of the regulatory year and the depreciation schedules. </w:t>
      </w:r>
    </w:p>
    <w:p w:rsidR="0088341A" w:rsidRPr="00980E3E" w:rsidRDefault="0088341A" w:rsidP="0088341A">
      <w:pPr>
        <w:pStyle w:val="AERbodytext"/>
        <w:numPr>
          <w:ilvl w:val="0"/>
          <w:numId w:val="1"/>
        </w:numPr>
      </w:pPr>
      <w:r>
        <w:t>Our</w:t>
      </w:r>
      <w:r w:rsidRPr="00980E3E">
        <w:t xml:space="preserve"> standard approach to calculating depreciation is to employ the straight-line method as set out in the PTRM. </w:t>
      </w:r>
      <w:r>
        <w:t>We consider</w:t>
      </w:r>
      <w:r w:rsidRPr="00980E3E">
        <w:t xml:space="preserve"> that the straight-line method of depreciation satisfies the </w:t>
      </w:r>
      <w:r>
        <w:t>National Electricity Rules (</w:t>
      </w:r>
      <w:r w:rsidRPr="00980E3E">
        <w:t>NER</w:t>
      </w:r>
      <w:r>
        <w:t xml:space="preserve">) </w:t>
      </w:r>
      <w:r w:rsidRPr="00980E3E">
        <w:t>requirements in clause 6</w:t>
      </w:r>
      <w:r>
        <w:t>A</w:t>
      </w:r>
      <w:r w:rsidRPr="00980E3E">
        <w:t>.</w:t>
      </w:r>
      <w:r>
        <w:t>6</w:t>
      </w:r>
      <w:r w:rsidRPr="00980E3E">
        <w:t>.</w:t>
      </w:r>
      <w:r>
        <w:t>3</w:t>
      </w:r>
      <w:r w:rsidRPr="00980E3E">
        <w:t>(b)</w:t>
      </w:r>
      <w:r>
        <w:t>.</w:t>
      </w:r>
      <w:r w:rsidRPr="00980E3E">
        <w:t xml:space="preserve"> </w:t>
      </w:r>
      <w:r>
        <w:t xml:space="preserve">It </w:t>
      </w:r>
      <w:r w:rsidRPr="00980E3E">
        <w:t>provid</w:t>
      </w:r>
      <w:r>
        <w:t>es</w:t>
      </w:r>
      <w:r w:rsidRPr="00980E3E">
        <w:t xml:space="preserve"> an expenditure profile that reflects the nature of the assets over their economic life.</w:t>
      </w:r>
      <w:r>
        <w:rPr>
          <w:rStyle w:val="FootnoteReference"/>
        </w:rPr>
        <w:footnoteReference w:id="429"/>
      </w:r>
      <w:r>
        <w:t xml:space="preserve"> Regulatory practice has been to assign a standard asset life to each category of assets that represents the economic or technical life of the asset or asset class. We</w:t>
      </w:r>
      <w:r w:rsidRPr="00980E3E">
        <w:t xml:space="preserve"> must consider </w:t>
      </w:r>
      <w:r>
        <w:t>whether</w:t>
      </w:r>
      <w:r w:rsidRPr="00980E3E">
        <w:t xml:space="preserve"> the proposed depreciation schedules conform to the following requirements: </w:t>
      </w:r>
    </w:p>
    <w:p w:rsidR="0088341A" w:rsidRPr="004C0D40" w:rsidRDefault="0088341A" w:rsidP="0088341A">
      <w:pPr>
        <w:pStyle w:val="AERbulletlistfirststyle"/>
      </w:pPr>
      <w:r>
        <w:t>T</w:t>
      </w:r>
      <w:r w:rsidRPr="00322D86">
        <w:t>he schedules depreciate using a profile that reflects the nature of the assets or category of assets over the economic life of that asset or category of assets.</w:t>
      </w:r>
      <w:r w:rsidRPr="004C0D40">
        <w:rPr>
          <w:rStyle w:val="FootnoteReference"/>
        </w:rPr>
        <w:footnoteReference w:id="430"/>
      </w:r>
      <w:r w:rsidRPr="004C0D40">
        <w:t xml:space="preserve"> </w:t>
      </w:r>
    </w:p>
    <w:p w:rsidR="0088341A" w:rsidRPr="004C0D40" w:rsidRDefault="0088341A" w:rsidP="0088341A">
      <w:pPr>
        <w:pStyle w:val="AERbulletlistfirststyle"/>
      </w:pPr>
      <w:r>
        <w:t>T</w:t>
      </w:r>
      <w:r w:rsidRPr="00322D86">
        <w:t>h</w:t>
      </w:r>
      <w:r w:rsidRPr="004C0D40">
        <w:t>e sum of the real value of the depreciation attributable to any asset o</w:t>
      </w:r>
      <w:r>
        <w:t>r</w:t>
      </w:r>
      <w:r w:rsidRPr="004C0D40">
        <w:t xml:space="preserve"> category of assets must be equivalent to the value at which that asset or category of assets was first included in the RAB for the relevant transmission system.</w:t>
      </w:r>
      <w:r w:rsidRPr="004C0D40">
        <w:rPr>
          <w:rStyle w:val="FootnoteReference"/>
        </w:rPr>
        <w:footnoteReference w:id="431"/>
      </w:r>
    </w:p>
    <w:p w:rsidR="0088341A" w:rsidRPr="00980E3E" w:rsidRDefault="0088341A" w:rsidP="0088341A">
      <w:pPr>
        <w:pStyle w:val="AERbodytext"/>
        <w:numPr>
          <w:ilvl w:val="0"/>
          <w:numId w:val="1"/>
        </w:numPr>
      </w:pPr>
      <w:r>
        <w:t>To the extent that a T</w:t>
      </w:r>
      <w:r w:rsidRPr="00980E3E">
        <w:t>NSP</w:t>
      </w:r>
      <w:r>
        <w:t>’</w:t>
      </w:r>
      <w:r w:rsidRPr="00980E3E">
        <w:t xml:space="preserve">s </w:t>
      </w:r>
      <w:r>
        <w:t xml:space="preserve">revenue </w:t>
      </w:r>
      <w:r w:rsidRPr="00980E3E">
        <w:t>proposal does not comply with the above requirements</w:t>
      </w:r>
      <w:r>
        <w:t>,</w:t>
      </w:r>
      <w:r w:rsidRPr="00980E3E">
        <w:t xml:space="preserve"> </w:t>
      </w:r>
      <w:r>
        <w:t>we</w:t>
      </w:r>
      <w:r w:rsidRPr="00980E3E">
        <w:t xml:space="preserve"> must determine the depreciation schedules for calculating the depreciation for each regulatory year.</w:t>
      </w:r>
      <w:r>
        <w:rPr>
          <w:rStyle w:val="FootnoteReference"/>
        </w:rPr>
        <w:footnoteReference w:id="432"/>
      </w:r>
      <w:r w:rsidRPr="00980E3E">
        <w:t xml:space="preserve"> </w:t>
      </w:r>
    </w:p>
    <w:p w:rsidR="0088341A" w:rsidRPr="00980E3E" w:rsidRDefault="0088341A" w:rsidP="0088341A">
      <w:pPr>
        <w:pStyle w:val="AERbodytext"/>
        <w:numPr>
          <w:ilvl w:val="0"/>
          <w:numId w:val="1"/>
        </w:numPr>
      </w:pPr>
      <w:r w:rsidRPr="00980E3E">
        <w:lastRenderedPageBreak/>
        <w:t xml:space="preserve">The regulatory depreciation </w:t>
      </w:r>
      <w:r>
        <w:t xml:space="preserve">allowance </w:t>
      </w:r>
      <w:r w:rsidRPr="00980E3E">
        <w:t xml:space="preserve">is an output of the PTRM. </w:t>
      </w:r>
      <w:r>
        <w:t>We</w:t>
      </w:r>
      <w:r w:rsidRPr="00980E3E">
        <w:t xml:space="preserve"> </w:t>
      </w:r>
      <w:r>
        <w:t xml:space="preserve">therefore have assessed SP AusNet's proposed </w:t>
      </w:r>
      <w:r w:rsidRPr="00980E3E">
        <w:t xml:space="preserve">regulatory depreciation </w:t>
      </w:r>
      <w:r>
        <w:t>allowance by analysing the proposed inputs to the PTRM for calculating the regulatory depreciation allowance. These inputs include</w:t>
      </w:r>
      <w:r w:rsidRPr="00980E3E">
        <w:t>:</w:t>
      </w:r>
    </w:p>
    <w:p w:rsidR="0088341A" w:rsidRDefault="0088341A" w:rsidP="0088341A">
      <w:pPr>
        <w:pStyle w:val="AERbulletlistfirststyle"/>
      </w:pPr>
      <w:r>
        <w:t>the opening RAB as at 1 April 2014</w:t>
      </w:r>
    </w:p>
    <w:p w:rsidR="0088341A" w:rsidRDefault="0088341A" w:rsidP="0088341A">
      <w:pPr>
        <w:pStyle w:val="AERbulletlistfirststyle"/>
      </w:pPr>
      <w:r>
        <w:t>the forecast net capex in the 2014–17 regulatory control period</w:t>
      </w:r>
    </w:p>
    <w:p w:rsidR="0088341A" w:rsidRDefault="0088341A" w:rsidP="0088341A">
      <w:pPr>
        <w:pStyle w:val="AERbulletlistfirststyle"/>
      </w:pPr>
      <w:r>
        <w:t>the forecast inflation rate for the 2014–17 regulatory control period</w:t>
      </w:r>
    </w:p>
    <w:p w:rsidR="0088341A" w:rsidRDefault="0088341A" w:rsidP="0088341A">
      <w:pPr>
        <w:pStyle w:val="AERbulletlistfirststyle"/>
      </w:pPr>
      <w:r>
        <w:t>the standard asset life for each asset class—used for calculating the depreciation of new assets associated with forecast net capex in the 2014–17 regulatory control period</w:t>
      </w:r>
    </w:p>
    <w:p w:rsidR="0088341A" w:rsidRDefault="0088341A" w:rsidP="0088341A">
      <w:pPr>
        <w:pStyle w:val="AERbulletlistfirststyle"/>
      </w:pPr>
      <w:r>
        <w:t>the remaining asset life for each asset class</w:t>
      </w:r>
      <w:r>
        <w:rPr>
          <w:rStyle w:val="FootnoteReference"/>
        </w:rPr>
        <w:footnoteReference w:id="433"/>
      </w:r>
      <w:r>
        <w:t xml:space="preserve">—used for calculating the depreciation of existing assets associated with the opening RAB as at 1 April 2014. </w:t>
      </w:r>
    </w:p>
    <w:p w:rsidR="0088341A" w:rsidRDefault="0088341A" w:rsidP="0088341A">
      <w:pPr>
        <w:pStyle w:val="AERbodytext"/>
        <w:numPr>
          <w:ilvl w:val="0"/>
          <w:numId w:val="1"/>
        </w:numPr>
      </w:pPr>
      <w:r>
        <w:t xml:space="preserve">Our draft </w:t>
      </w:r>
      <w:r w:rsidRPr="0075522F">
        <w:t xml:space="preserve">decision on </w:t>
      </w:r>
      <w:r>
        <w:t>SP AusNet's</w:t>
      </w:r>
      <w:r w:rsidRPr="0075522F">
        <w:t xml:space="preserve"> regulatory depreciation allowance reflects </w:t>
      </w:r>
      <w:r>
        <w:t>our</w:t>
      </w:r>
      <w:r w:rsidRPr="0075522F">
        <w:t xml:space="preserve"> determinations on </w:t>
      </w:r>
      <w:r>
        <w:t>the forecast capex, forecast inflation and opening RAB as at 1 April 2014</w:t>
      </w:r>
      <w:r w:rsidRPr="0075522F">
        <w:t xml:space="preserve"> building block components</w:t>
      </w:r>
      <w:r>
        <w:t xml:space="preserve"> (the first three inputs in the above list). Our determinations on these components of SP AusNet's</w:t>
      </w:r>
      <w:r w:rsidRPr="001C0783">
        <w:t xml:space="preserve"> </w:t>
      </w:r>
      <w:r>
        <w:t>proposal are discussed in attachment 5, attachment 2 and attachment 4 respectively.</w:t>
      </w:r>
    </w:p>
    <w:p w:rsidR="0088341A" w:rsidRDefault="0088341A" w:rsidP="0088341A">
      <w:pPr>
        <w:pStyle w:val="AERbodytext"/>
        <w:numPr>
          <w:ilvl w:val="0"/>
          <w:numId w:val="1"/>
        </w:numPr>
      </w:pPr>
      <w:r>
        <w:t>In this attachment, we assessed</w:t>
      </w:r>
      <w:r w:rsidRPr="007B52F7">
        <w:t xml:space="preserve"> </w:t>
      </w:r>
      <w:r>
        <w:t>SP AusNet's</w:t>
      </w:r>
      <w:r w:rsidRPr="007B52F7">
        <w:t xml:space="preserve"> proposed standard asset lives against</w:t>
      </w:r>
      <w:r>
        <w:t>:</w:t>
      </w:r>
    </w:p>
    <w:p w:rsidR="0088341A" w:rsidRDefault="0088341A" w:rsidP="0088341A">
      <w:pPr>
        <w:pStyle w:val="AERbulletlistfirststyle"/>
      </w:pPr>
      <w:r>
        <w:t xml:space="preserve">the </w:t>
      </w:r>
      <w:r w:rsidRPr="007B52F7">
        <w:t>appro</w:t>
      </w:r>
      <w:r>
        <w:t xml:space="preserve">ved standard asset lives in our transmission determination for SP AusNet for the </w:t>
      </w:r>
      <w:r>
        <w:br/>
        <w:t>2008–14</w:t>
      </w:r>
      <w:r w:rsidRPr="007B52F7">
        <w:t xml:space="preserve"> regulatory control period</w:t>
      </w:r>
    </w:p>
    <w:p w:rsidR="0088341A" w:rsidRDefault="0088341A" w:rsidP="0088341A">
      <w:pPr>
        <w:pStyle w:val="AERbulletlistfirststyle"/>
      </w:pPr>
      <w:r>
        <w:t>the approved standard asset lives of comparable asset classes in our recent transmission determinations for other TNSPs.</w:t>
      </w:r>
    </w:p>
    <w:p w:rsidR="0088341A" w:rsidRPr="003A447F" w:rsidRDefault="0088341A" w:rsidP="0088341A">
      <w:r>
        <w:t>The PTRM's</w:t>
      </w:r>
      <w:r w:rsidRPr="00980E3E">
        <w:t xml:space="preserve"> </w:t>
      </w:r>
      <w:r>
        <w:t>standard approach for depreciating a TNSP's existing assets is to use the remaining asset lives at the start of a regulatory control period</w:t>
      </w:r>
      <w:r w:rsidRPr="0068123B">
        <w:t xml:space="preserve"> </w:t>
      </w:r>
      <w:r>
        <w:t xml:space="preserve">as determined in the roll forward model (RFM). Our RFM uses </w:t>
      </w:r>
      <w:r w:rsidRPr="00980E3E">
        <w:t>the weighted average method</w:t>
      </w:r>
      <w:r>
        <w:t xml:space="preserve"> to establish a</w:t>
      </w:r>
      <w:r w:rsidRPr="00980E3E">
        <w:t xml:space="preserve"> remaining asset li</w:t>
      </w:r>
      <w:r>
        <w:t>fe for each asset class</w:t>
      </w:r>
      <w:r w:rsidRPr="00980E3E">
        <w:t>.</w:t>
      </w:r>
      <w:r w:rsidRPr="00F96E3D">
        <w:t xml:space="preserve"> </w:t>
      </w:r>
      <w:r w:rsidRPr="003A447F">
        <w:t xml:space="preserve">The weighted average method </w:t>
      </w:r>
      <w:r>
        <w:t>rolls forward the remaining asset life for an asset class from the beginning of the current regulatory control period. This approach</w:t>
      </w:r>
      <w:r w:rsidRPr="00334ADF">
        <w:t xml:space="preserve"> reflect</w:t>
      </w:r>
      <w:r>
        <w:t>s</w:t>
      </w:r>
      <w:r w:rsidRPr="00334ADF">
        <w:t xml:space="preserve"> the mix of assets within that asset class, when they were acquired over that period (or if they were existing asset</w:t>
      </w:r>
      <w:r>
        <w:t>s</w:t>
      </w:r>
      <w:r w:rsidRPr="00334ADF">
        <w:t xml:space="preserve">), and the remaining value of those assets (used as a weight) at the end of the period. </w:t>
      </w:r>
      <w:r>
        <w:t xml:space="preserve">SP AusNet did not propose </w:t>
      </w:r>
      <w:r w:rsidRPr="00A667E4">
        <w:t xml:space="preserve">remaining </w:t>
      </w:r>
      <w:r>
        <w:t>asset</w:t>
      </w:r>
      <w:r w:rsidRPr="00A667E4">
        <w:t xml:space="preserve"> li</w:t>
      </w:r>
      <w:r>
        <w:t>ves</w:t>
      </w:r>
      <w:r w:rsidRPr="00A667E4">
        <w:t xml:space="preserve"> at 1 April 2014 </w:t>
      </w:r>
      <w:r>
        <w:t>because it used an alternative approach to</w:t>
      </w:r>
      <w:r w:rsidRPr="00A667E4">
        <w:t xml:space="preserve"> </w:t>
      </w:r>
      <w:r>
        <w:t>model</w:t>
      </w:r>
      <w:r w:rsidRPr="00A667E4">
        <w:t xml:space="preserve"> the forecast straight-line depreciation </w:t>
      </w:r>
      <w:r>
        <w:t>of</w:t>
      </w:r>
      <w:r w:rsidRPr="00A667E4">
        <w:t xml:space="preserve"> </w:t>
      </w:r>
      <w:r>
        <w:t xml:space="preserve">its </w:t>
      </w:r>
      <w:r w:rsidRPr="00A667E4">
        <w:t xml:space="preserve">existing </w:t>
      </w:r>
      <w:r>
        <w:t xml:space="preserve">assets </w:t>
      </w:r>
      <w:r w:rsidRPr="00A667E4">
        <w:t xml:space="preserve">and new assets. </w:t>
      </w:r>
      <w:r>
        <w:t>We</w:t>
      </w:r>
      <w:r w:rsidRPr="00334ADF">
        <w:t xml:space="preserve"> </w:t>
      </w:r>
      <w:r>
        <w:t xml:space="preserve">therefore </w:t>
      </w:r>
      <w:r w:rsidRPr="00334ADF">
        <w:t>assess</w:t>
      </w:r>
      <w:r>
        <w:t xml:space="preserve">ed SP AusNet's depreciation approach against the requirements of the NER. </w:t>
      </w:r>
    </w:p>
    <w:p w:rsidR="0088341A" w:rsidRDefault="0088341A" w:rsidP="0088341A">
      <w:pPr>
        <w:pStyle w:val="Heading2"/>
        <w:numPr>
          <w:ilvl w:val="2"/>
          <w:numId w:val="20"/>
        </w:numPr>
      </w:pPr>
      <w:bookmarkStart w:id="261" w:name="_Toc365283318"/>
      <w:r>
        <w:t>Reasons for draft decision</w:t>
      </w:r>
      <w:bookmarkEnd w:id="261"/>
      <w:r>
        <w:t xml:space="preserve"> </w:t>
      </w:r>
    </w:p>
    <w:p w:rsidR="0088341A" w:rsidRDefault="0088341A" w:rsidP="0088341A">
      <w:pPr>
        <w:pStyle w:val="AERbodytext"/>
        <w:numPr>
          <w:ilvl w:val="0"/>
          <w:numId w:val="1"/>
        </w:numPr>
      </w:pPr>
      <w:r>
        <w:t>We accept SP AusNet's proposed straight-line depreciation method for calculating the regulatory depreciation allowance. However, we increased SP AusNet's proposed regulatory depreciation allowance by $2.2 million ($ nominal), or 0.9 per cent, for the following reasons:</w:t>
      </w:r>
    </w:p>
    <w:p w:rsidR="0088341A" w:rsidRDefault="0088341A" w:rsidP="0088341A">
      <w:pPr>
        <w:pStyle w:val="AERbulletlistfirststyle"/>
      </w:pPr>
      <w:r>
        <w:t>Our determination on other components of SP AusNet's revenue proposal—for example, the forecast capex (attachment 2</w:t>
      </w:r>
      <w:r w:rsidRPr="00A52A7B">
        <w:t>)</w:t>
      </w:r>
      <w:r>
        <w:t xml:space="preserve"> and </w:t>
      </w:r>
      <w:r w:rsidRPr="00322D86">
        <w:t>the opening RAB</w:t>
      </w:r>
      <w:r>
        <w:t xml:space="preserve"> as at 1 April 2014</w:t>
      </w:r>
      <w:r w:rsidRPr="00A52A7B">
        <w:t xml:space="preserve"> (attachment</w:t>
      </w:r>
      <w:r>
        <w:t xml:space="preserve"> 5</w:t>
      </w:r>
      <w:r w:rsidRPr="00A52A7B">
        <w:t>)</w:t>
      </w:r>
      <w:r>
        <w:t>—affect the forecast regulatory depreciation allowance.</w:t>
      </w:r>
    </w:p>
    <w:p w:rsidR="0088341A" w:rsidRDefault="0088341A" w:rsidP="0088341A">
      <w:pPr>
        <w:pStyle w:val="AERbulletlistfirststyle"/>
      </w:pPr>
      <w:r>
        <w:lastRenderedPageBreak/>
        <w:t>We established a standard asset life of 28 years for amortising SP AusNet's equity raising costs allowance associated with the ACCC's revenue cap decision for the 2003–08 regulatory control period as discussed in attachment 5.</w:t>
      </w:r>
    </w:p>
    <w:p w:rsidR="0088341A" w:rsidRPr="00BE0855" w:rsidRDefault="0088341A" w:rsidP="0088341A">
      <w:pPr>
        <w:pStyle w:val="AERbulletlistfirststyle"/>
      </w:pPr>
      <w:r>
        <w:t>We made minor adjustments to the CPI adjusted WACC values in SP AusNet's depreciation model.</w:t>
      </w:r>
    </w:p>
    <w:p w:rsidR="0088341A" w:rsidRPr="00A907E9" w:rsidRDefault="0088341A" w:rsidP="0088341A">
      <w:pPr>
        <w:pStyle w:val="Heading3"/>
        <w:numPr>
          <w:ilvl w:val="3"/>
          <w:numId w:val="20"/>
        </w:numPr>
      </w:pPr>
      <w:r w:rsidRPr="00A907E9">
        <w:t>Standard asset lives</w:t>
      </w:r>
    </w:p>
    <w:p w:rsidR="0088341A" w:rsidRDefault="0088341A" w:rsidP="0088341A">
      <w:pPr>
        <w:pStyle w:val="AERbodytext"/>
        <w:numPr>
          <w:ilvl w:val="0"/>
          <w:numId w:val="1"/>
        </w:numPr>
      </w:pPr>
      <w:r>
        <w:t>We accept SP AusNet's proposed standard asset lives, because they are:</w:t>
      </w:r>
    </w:p>
    <w:p w:rsidR="0088341A" w:rsidRDefault="0088341A" w:rsidP="0088341A">
      <w:pPr>
        <w:pStyle w:val="AERbulletlistfirststyle"/>
      </w:pPr>
      <w:r>
        <w:t>consistent with our approved standard asset lives for SP AusNet's 2008–14 regulatory control period</w:t>
      </w:r>
    </w:p>
    <w:p w:rsidR="0088341A" w:rsidRDefault="0088341A" w:rsidP="0088341A">
      <w:pPr>
        <w:pStyle w:val="AERbulletlistfirststyle"/>
      </w:pPr>
      <w:r>
        <w:t>comparable with the standard asset lives approved in our recent transmission determinations for other TNSPs.</w:t>
      </w:r>
    </w:p>
    <w:p w:rsidR="0088341A" w:rsidRPr="00DD2025" w:rsidRDefault="0088341A" w:rsidP="00DD2025">
      <w:pPr>
        <w:pStyle w:val="AERbodytext"/>
      </w:pPr>
      <w:r w:rsidRPr="00DD2025">
        <w:t>Also, we determined a standard asset life of 28 years for amortising SP AusNet's equity raising costs allowance associated with the revenue cap decision for the 2003–08 regulatory control period. As discussed in attachment 5, we decided to convert the allowance from a perpetuity approach to a capitalisation approach by establishing a new asset class for these equity raising costs. In doing so, we calculate a standard asset life of 28 years for amortisation purposes. This life reflects the weighted average of SP AusNet’s remaining asset lives for the opening RAB as at 1 January 2003 and the standard asset lives for the 2003–08 forecast capex.</w:t>
      </w:r>
      <w:r w:rsidR="00433881">
        <w:t xml:space="preserve"> Our draft decision on SP AusNet’s standard asset lives is set out in </w:t>
      </w:r>
      <w:r w:rsidR="00433881">
        <w:fldChar w:fldCharType="begin"/>
      </w:r>
      <w:r w:rsidR="00433881">
        <w:instrText xml:space="preserve"> REF _Ref363747468 \h </w:instrText>
      </w:r>
      <w:r w:rsidR="00433881">
        <w:fldChar w:fldCharType="separate"/>
      </w:r>
      <w:r w:rsidR="004F35AA">
        <w:t xml:space="preserve">Table </w:t>
      </w:r>
      <w:r w:rsidR="004F35AA">
        <w:rPr>
          <w:noProof/>
        </w:rPr>
        <w:t>6</w:t>
      </w:r>
      <w:r w:rsidR="004F35AA">
        <w:t>.</w:t>
      </w:r>
      <w:r w:rsidR="004F35AA">
        <w:rPr>
          <w:noProof/>
        </w:rPr>
        <w:t>3</w:t>
      </w:r>
      <w:r w:rsidR="00433881">
        <w:fldChar w:fldCharType="end"/>
      </w:r>
      <w:r w:rsidR="00433881">
        <w:t>.</w:t>
      </w:r>
    </w:p>
    <w:p w:rsidR="0088341A" w:rsidRPr="00DD2025" w:rsidRDefault="0088341A" w:rsidP="00DD2025">
      <w:pPr>
        <w:pStyle w:val="AERbodytext"/>
      </w:pPr>
      <w:r w:rsidRPr="00DD2025">
        <w:t>The EUCV submitted that SP AusNet has the incentive to replace assets as soon as they are fully depreciated.</w:t>
      </w:r>
      <w:r w:rsidRPr="00433881">
        <w:rPr>
          <w:vertAlign w:val="superscript"/>
        </w:rPr>
        <w:footnoteReference w:id="434"/>
      </w:r>
      <w:r w:rsidRPr="00DD2025">
        <w:t xml:space="preserve"> As discussed in section </w:t>
      </w:r>
      <w:r w:rsidRPr="00DD2025">
        <w:fldChar w:fldCharType="begin"/>
      </w:r>
      <w:r w:rsidRPr="00DD2025">
        <w:instrText xml:space="preserve"> REF _Ref363741019 \r \h </w:instrText>
      </w:r>
      <w:r w:rsidR="00DD2025" w:rsidRPr="00DD2025">
        <w:instrText xml:space="preserve"> \* MERGEFORMAT </w:instrText>
      </w:r>
      <w:r w:rsidRPr="00DD2025">
        <w:fldChar w:fldCharType="separate"/>
      </w:r>
      <w:r w:rsidR="004F35AA">
        <w:t>6.3</w:t>
      </w:r>
      <w:r w:rsidRPr="00DD2025">
        <w:fldChar w:fldCharType="end"/>
      </w:r>
      <w:r w:rsidRPr="00DD2025">
        <w:t>, we assessed SP AusNet's proposed depreciation schedule against the requirements of the NER. Our approved standard asset lives generally reflect the technical useful lives of SP AusNet's transmission assets. We note that the age of an asset is not the sole factor for decising whether it should be replaced, and SP AusNet adoptes an asset condition based approach for determining its replacement programs. This approach may result in assets being replaced earlier or later than the end of the approved standard asset lives.  Attachment 2 sets out our assessment of SP AusNet's proposed replacement capex for the 2014–17 regulatory control period.</w:t>
      </w:r>
    </w:p>
    <w:p w:rsidR="0088341A" w:rsidRPr="00A277EE" w:rsidRDefault="0088341A" w:rsidP="0088341A">
      <w:pPr>
        <w:pStyle w:val="Caption"/>
        <w:keepLines/>
      </w:pPr>
      <w:bookmarkStart w:id="262" w:name="_Ref363747468"/>
      <w:r>
        <w:lastRenderedPageBreak/>
        <w:t xml:space="preserve">Table </w:t>
      </w:r>
      <w:fldSimple w:instr=" STYLEREF 1 \s ">
        <w:r w:rsidR="004F35AA">
          <w:rPr>
            <w:noProof/>
          </w:rPr>
          <w:t>6</w:t>
        </w:r>
      </w:fldSimple>
      <w:r w:rsidR="00C56A87">
        <w:t>.</w:t>
      </w:r>
      <w:fldSimple w:instr=" SEQ Table \* ARABIC \s 1 ">
        <w:r w:rsidR="004F35AA">
          <w:rPr>
            <w:noProof/>
          </w:rPr>
          <w:t>3</w:t>
        </w:r>
      </w:fldSimple>
      <w:bookmarkEnd w:id="262"/>
      <w:r>
        <w:tab/>
      </w:r>
      <w:r w:rsidRPr="00A277EE">
        <w:t xml:space="preserve">AER's draft decision on </w:t>
      </w:r>
      <w:r>
        <w:t>SP AusNet's</w:t>
      </w:r>
      <w:r w:rsidRPr="00A277EE">
        <w:t xml:space="preserve"> standard asset lives </w:t>
      </w:r>
    </w:p>
    <w:tbl>
      <w:tblPr>
        <w:tblW w:w="6623" w:type="dxa"/>
        <w:tblBorders>
          <w:bottom w:val="single" w:sz="4" w:space="0" w:color="365F91"/>
        </w:tblBorders>
        <w:tblLook w:val="01E0" w:firstRow="1" w:lastRow="1" w:firstColumn="1" w:lastColumn="1" w:noHBand="0" w:noVBand="0"/>
      </w:tblPr>
      <w:tblGrid>
        <w:gridCol w:w="3034"/>
        <w:gridCol w:w="3589"/>
      </w:tblGrid>
      <w:tr w:rsidR="0088341A" w:rsidRPr="00257BC0" w:rsidTr="00501137">
        <w:trPr>
          <w:trHeight w:hRule="exact" w:val="731"/>
        </w:trPr>
        <w:tc>
          <w:tcPr>
            <w:tcW w:w="3034" w:type="dxa"/>
            <w:shd w:val="clear" w:color="auto" w:fill="365F91"/>
            <w:vAlign w:val="center"/>
          </w:tcPr>
          <w:p w:rsidR="0088341A" w:rsidRPr="0030350C" w:rsidRDefault="0088341A" w:rsidP="00501137">
            <w:pPr>
              <w:pStyle w:val="AERtabletextleft"/>
              <w:keepNext/>
              <w:keepLines/>
              <w:rPr>
                <w:b/>
                <w:color w:val="FFFFFF"/>
              </w:rPr>
            </w:pPr>
            <w:r w:rsidRPr="0030350C">
              <w:rPr>
                <w:b/>
                <w:color w:val="FFFFFF"/>
              </w:rPr>
              <w:t>Asset class</w:t>
            </w:r>
          </w:p>
        </w:tc>
        <w:tc>
          <w:tcPr>
            <w:tcW w:w="3589" w:type="dxa"/>
            <w:shd w:val="clear" w:color="auto" w:fill="365F91"/>
            <w:vAlign w:val="center"/>
          </w:tcPr>
          <w:p w:rsidR="0088341A" w:rsidRPr="0030350C" w:rsidRDefault="0088341A" w:rsidP="00501137">
            <w:pPr>
              <w:pStyle w:val="AERtabletextright"/>
              <w:keepNext/>
              <w:keepLines/>
              <w:rPr>
                <w:b/>
                <w:color w:val="FFFFFF"/>
              </w:rPr>
            </w:pPr>
            <w:r w:rsidRPr="0030350C">
              <w:rPr>
                <w:b/>
                <w:color w:val="FFFFFF"/>
              </w:rPr>
              <w:t>Standard asset life (years)</w:t>
            </w:r>
          </w:p>
        </w:tc>
      </w:tr>
      <w:tr w:rsidR="0088341A" w:rsidRPr="00257BC0" w:rsidTr="00501137">
        <w:trPr>
          <w:trHeight w:hRule="exact" w:val="369"/>
        </w:trPr>
        <w:tc>
          <w:tcPr>
            <w:tcW w:w="3034" w:type="dxa"/>
            <w:shd w:val="clear" w:color="auto" w:fill="auto"/>
            <w:vAlign w:val="center"/>
          </w:tcPr>
          <w:p w:rsidR="0088341A" w:rsidRPr="0030350C" w:rsidRDefault="0088341A" w:rsidP="00501137">
            <w:pPr>
              <w:keepNext/>
              <w:keepLines/>
              <w:spacing w:before="120"/>
              <w:rPr>
                <w:sz w:val="16"/>
              </w:rPr>
            </w:pPr>
            <w:bookmarkStart w:id="263" w:name="RANGE!G7"/>
            <w:r w:rsidRPr="0030350C">
              <w:rPr>
                <w:sz w:val="16"/>
              </w:rPr>
              <w:t>Secondary</w:t>
            </w:r>
            <w:bookmarkEnd w:id="263"/>
          </w:p>
        </w:tc>
        <w:tc>
          <w:tcPr>
            <w:tcW w:w="3589" w:type="dxa"/>
            <w:shd w:val="clear" w:color="auto" w:fill="auto"/>
            <w:vAlign w:val="center"/>
          </w:tcPr>
          <w:p w:rsidR="0088341A" w:rsidRPr="00E15DB5" w:rsidRDefault="0088341A" w:rsidP="00DD2025">
            <w:pPr>
              <w:pStyle w:val="AERtabletextright"/>
              <w:keepNext/>
              <w:keepLines/>
              <w:rPr>
                <w:b/>
                <w:bCs/>
                <w:color w:val="E36C0A"/>
              </w:rPr>
            </w:pPr>
            <w:bookmarkStart w:id="264" w:name="RANGE!M7"/>
            <w:r w:rsidRPr="00E15DB5">
              <w:t>15</w:t>
            </w:r>
            <w:bookmarkEnd w:id="264"/>
          </w:p>
        </w:tc>
      </w:tr>
      <w:tr w:rsidR="0088341A" w:rsidRPr="00257BC0" w:rsidTr="00501137">
        <w:trPr>
          <w:trHeight w:hRule="exact" w:val="369"/>
        </w:trPr>
        <w:tc>
          <w:tcPr>
            <w:tcW w:w="3034" w:type="dxa"/>
            <w:shd w:val="clear" w:color="auto" w:fill="DBE5F1"/>
            <w:vAlign w:val="center"/>
          </w:tcPr>
          <w:p w:rsidR="0088341A" w:rsidRPr="0030350C" w:rsidRDefault="0088341A" w:rsidP="00501137">
            <w:pPr>
              <w:keepNext/>
              <w:keepLines/>
              <w:spacing w:before="120"/>
              <w:rPr>
                <w:sz w:val="16"/>
              </w:rPr>
            </w:pPr>
            <w:bookmarkStart w:id="265" w:name="RANGE!G8"/>
            <w:r w:rsidRPr="0030350C">
              <w:rPr>
                <w:sz w:val="16"/>
              </w:rPr>
              <w:t>Switchgear</w:t>
            </w:r>
            <w:bookmarkEnd w:id="265"/>
          </w:p>
        </w:tc>
        <w:tc>
          <w:tcPr>
            <w:tcW w:w="3589" w:type="dxa"/>
            <w:shd w:val="clear" w:color="auto" w:fill="DBE5F1"/>
            <w:vAlign w:val="center"/>
          </w:tcPr>
          <w:p w:rsidR="0088341A" w:rsidRPr="00E15DB5" w:rsidRDefault="0088341A" w:rsidP="00501137">
            <w:pPr>
              <w:pStyle w:val="AERtabletextright"/>
              <w:keepNext/>
              <w:keepLines/>
            </w:pPr>
            <w:bookmarkStart w:id="266" w:name="RANGE!M8"/>
            <w:r w:rsidRPr="00E15DB5">
              <w:t>45</w:t>
            </w:r>
            <w:bookmarkEnd w:id="266"/>
          </w:p>
        </w:tc>
      </w:tr>
      <w:tr w:rsidR="0088341A" w:rsidRPr="00257BC0" w:rsidTr="00501137">
        <w:trPr>
          <w:trHeight w:hRule="exact" w:val="369"/>
        </w:trPr>
        <w:tc>
          <w:tcPr>
            <w:tcW w:w="3034" w:type="dxa"/>
            <w:shd w:val="clear" w:color="auto" w:fill="auto"/>
            <w:vAlign w:val="center"/>
          </w:tcPr>
          <w:p w:rsidR="0088341A" w:rsidRPr="0030350C" w:rsidRDefault="0088341A" w:rsidP="00501137">
            <w:pPr>
              <w:keepNext/>
              <w:keepLines/>
              <w:spacing w:before="120"/>
              <w:rPr>
                <w:sz w:val="16"/>
              </w:rPr>
            </w:pPr>
            <w:bookmarkStart w:id="267" w:name="RANGE!G9"/>
            <w:r w:rsidRPr="0030350C">
              <w:rPr>
                <w:sz w:val="16"/>
              </w:rPr>
              <w:t>Transformers</w:t>
            </w:r>
            <w:bookmarkEnd w:id="267"/>
          </w:p>
        </w:tc>
        <w:tc>
          <w:tcPr>
            <w:tcW w:w="3589" w:type="dxa"/>
            <w:shd w:val="clear" w:color="auto" w:fill="auto"/>
            <w:vAlign w:val="center"/>
          </w:tcPr>
          <w:p w:rsidR="0088341A" w:rsidRPr="00E15DB5" w:rsidRDefault="0088341A" w:rsidP="00501137">
            <w:pPr>
              <w:pStyle w:val="AERtabletextright"/>
              <w:keepNext/>
              <w:keepLines/>
            </w:pPr>
            <w:bookmarkStart w:id="268" w:name="RANGE!M9"/>
            <w:r w:rsidRPr="00E15DB5">
              <w:t>45</w:t>
            </w:r>
            <w:bookmarkEnd w:id="268"/>
          </w:p>
        </w:tc>
      </w:tr>
      <w:tr w:rsidR="0088341A" w:rsidRPr="00257BC0" w:rsidTr="00501137">
        <w:trPr>
          <w:trHeight w:hRule="exact" w:val="445"/>
        </w:trPr>
        <w:tc>
          <w:tcPr>
            <w:tcW w:w="3034" w:type="dxa"/>
            <w:shd w:val="clear" w:color="auto" w:fill="DBE5F1"/>
            <w:vAlign w:val="center"/>
          </w:tcPr>
          <w:p w:rsidR="0088341A" w:rsidRPr="0030350C" w:rsidRDefault="0088341A" w:rsidP="00501137">
            <w:pPr>
              <w:keepNext/>
              <w:keepLines/>
              <w:spacing w:before="120"/>
              <w:rPr>
                <w:sz w:val="16"/>
              </w:rPr>
            </w:pPr>
            <w:bookmarkStart w:id="269" w:name="RANGE!G10"/>
            <w:r w:rsidRPr="0030350C">
              <w:rPr>
                <w:sz w:val="16"/>
              </w:rPr>
              <w:t>Reactive</w:t>
            </w:r>
            <w:bookmarkEnd w:id="269"/>
          </w:p>
        </w:tc>
        <w:tc>
          <w:tcPr>
            <w:tcW w:w="3589" w:type="dxa"/>
            <w:shd w:val="clear" w:color="auto" w:fill="DBE5F1"/>
            <w:vAlign w:val="center"/>
          </w:tcPr>
          <w:p w:rsidR="0088341A" w:rsidRPr="00E15DB5" w:rsidRDefault="0088341A" w:rsidP="00501137">
            <w:pPr>
              <w:pStyle w:val="AERtabletextright"/>
              <w:keepNext/>
              <w:keepLines/>
            </w:pPr>
            <w:bookmarkStart w:id="270" w:name="RANGE!M10"/>
            <w:r w:rsidRPr="00E15DB5">
              <w:t>40</w:t>
            </w:r>
            <w:bookmarkEnd w:id="270"/>
          </w:p>
        </w:tc>
      </w:tr>
      <w:tr w:rsidR="0088341A" w:rsidRPr="00257BC0" w:rsidTr="00501137">
        <w:trPr>
          <w:trHeight w:hRule="exact" w:val="369"/>
        </w:trPr>
        <w:tc>
          <w:tcPr>
            <w:tcW w:w="3034" w:type="dxa"/>
            <w:shd w:val="clear" w:color="auto" w:fill="auto"/>
            <w:vAlign w:val="center"/>
          </w:tcPr>
          <w:p w:rsidR="0088341A" w:rsidRPr="0030350C" w:rsidRDefault="0088341A" w:rsidP="00501137">
            <w:pPr>
              <w:keepNext/>
              <w:keepLines/>
              <w:spacing w:before="120"/>
              <w:rPr>
                <w:sz w:val="16"/>
              </w:rPr>
            </w:pPr>
            <w:bookmarkStart w:id="271" w:name="RANGE!G11"/>
            <w:r w:rsidRPr="0030350C">
              <w:rPr>
                <w:sz w:val="16"/>
              </w:rPr>
              <w:t>Towers and Conductor</w:t>
            </w:r>
            <w:bookmarkEnd w:id="271"/>
          </w:p>
        </w:tc>
        <w:tc>
          <w:tcPr>
            <w:tcW w:w="3589" w:type="dxa"/>
            <w:shd w:val="clear" w:color="auto" w:fill="auto"/>
            <w:vAlign w:val="center"/>
          </w:tcPr>
          <w:p w:rsidR="0088341A" w:rsidRPr="00E15DB5" w:rsidRDefault="0088341A" w:rsidP="00501137">
            <w:pPr>
              <w:pStyle w:val="AERtabletextright"/>
              <w:keepNext/>
              <w:keepLines/>
            </w:pPr>
            <w:bookmarkStart w:id="272" w:name="RANGE!M11"/>
            <w:r w:rsidRPr="00E15DB5">
              <w:t>60</w:t>
            </w:r>
            <w:bookmarkEnd w:id="272"/>
          </w:p>
        </w:tc>
      </w:tr>
      <w:tr w:rsidR="0088341A" w:rsidRPr="00257BC0" w:rsidTr="00501137">
        <w:trPr>
          <w:trHeight w:hRule="exact" w:val="369"/>
        </w:trPr>
        <w:tc>
          <w:tcPr>
            <w:tcW w:w="3034" w:type="dxa"/>
            <w:shd w:val="clear" w:color="auto" w:fill="DBE5F1"/>
            <w:vAlign w:val="center"/>
          </w:tcPr>
          <w:p w:rsidR="0088341A" w:rsidRPr="0030350C" w:rsidRDefault="0088341A" w:rsidP="00501137">
            <w:pPr>
              <w:keepNext/>
              <w:keepLines/>
              <w:spacing w:before="120"/>
              <w:rPr>
                <w:sz w:val="16"/>
              </w:rPr>
            </w:pPr>
            <w:bookmarkStart w:id="273" w:name="RANGE!G12"/>
            <w:r w:rsidRPr="0030350C">
              <w:rPr>
                <w:sz w:val="16"/>
              </w:rPr>
              <w:t>Establishment</w:t>
            </w:r>
            <w:bookmarkEnd w:id="273"/>
          </w:p>
        </w:tc>
        <w:tc>
          <w:tcPr>
            <w:tcW w:w="3589" w:type="dxa"/>
            <w:shd w:val="clear" w:color="auto" w:fill="DBE5F1"/>
            <w:vAlign w:val="center"/>
          </w:tcPr>
          <w:p w:rsidR="0088341A" w:rsidRPr="00E15DB5" w:rsidRDefault="0088341A" w:rsidP="00501137">
            <w:pPr>
              <w:pStyle w:val="AERtabletextright"/>
              <w:keepNext/>
              <w:keepLines/>
            </w:pPr>
            <w:bookmarkStart w:id="274" w:name="RANGE!M12"/>
            <w:r w:rsidRPr="00E15DB5">
              <w:t>45</w:t>
            </w:r>
            <w:bookmarkEnd w:id="274"/>
          </w:p>
        </w:tc>
      </w:tr>
      <w:tr w:rsidR="0088341A" w:rsidRPr="00257BC0" w:rsidTr="00501137">
        <w:trPr>
          <w:trHeight w:hRule="exact" w:val="369"/>
        </w:trPr>
        <w:tc>
          <w:tcPr>
            <w:tcW w:w="3034" w:type="dxa"/>
            <w:shd w:val="clear" w:color="auto" w:fill="auto"/>
            <w:vAlign w:val="center"/>
          </w:tcPr>
          <w:p w:rsidR="0088341A" w:rsidRPr="0030350C" w:rsidRDefault="0088341A" w:rsidP="00501137">
            <w:pPr>
              <w:keepNext/>
              <w:keepLines/>
              <w:spacing w:before="120"/>
              <w:rPr>
                <w:sz w:val="16"/>
              </w:rPr>
            </w:pPr>
            <w:bookmarkStart w:id="275" w:name="RANGE!G13"/>
            <w:r w:rsidRPr="0030350C">
              <w:rPr>
                <w:sz w:val="16"/>
              </w:rPr>
              <w:t>Communications</w:t>
            </w:r>
            <w:bookmarkEnd w:id="275"/>
          </w:p>
        </w:tc>
        <w:tc>
          <w:tcPr>
            <w:tcW w:w="3589" w:type="dxa"/>
            <w:shd w:val="clear" w:color="auto" w:fill="auto"/>
            <w:vAlign w:val="center"/>
          </w:tcPr>
          <w:p w:rsidR="0088341A" w:rsidRPr="00E15DB5" w:rsidRDefault="0088341A" w:rsidP="00501137">
            <w:pPr>
              <w:pStyle w:val="AERtabletextright"/>
              <w:keepNext/>
              <w:keepLines/>
            </w:pPr>
            <w:bookmarkStart w:id="276" w:name="RANGE!M13"/>
            <w:r w:rsidRPr="00E15DB5">
              <w:t>15</w:t>
            </w:r>
            <w:bookmarkEnd w:id="276"/>
          </w:p>
        </w:tc>
      </w:tr>
      <w:tr w:rsidR="0088341A" w:rsidRPr="00257BC0" w:rsidTr="00501137">
        <w:trPr>
          <w:trHeight w:hRule="exact" w:val="358"/>
        </w:trPr>
        <w:tc>
          <w:tcPr>
            <w:tcW w:w="3034" w:type="dxa"/>
            <w:shd w:val="clear" w:color="auto" w:fill="DBE5F1"/>
            <w:vAlign w:val="center"/>
          </w:tcPr>
          <w:p w:rsidR="0088341A" w:rsidRPr="0030350C" w:rsidRDefault="0088341A" w:rsidP="00501137">
            <w:pPr>
              <w:keepNext/>
              <w:keepLines/>
              <w:spacing w:before="120"/>
              <w:rPr>
                <w:sz w:val="16"/>
              </w:rPr>
            </w:pPr>
            <w:bookmarkStart w:id="277" w:name="RANGE!G14"/>
            <w:r w:rsidRPr="0030350C">
              <w:rPr>
                <w:sz w:val="16"/>
              </w:rPr>
              <w:t>Inventory</w:t>
            </w:r>
            <w:bookmarkEnd w:id="277"/>
          </w:p>
        </w:tc>
        <w:tc>
          <w:tcPr>
            <w:tcW w:w="3589" w:type="dxa"/>
            <w:shd w:val="clear" w:color="auto" w:fill="DBE5F1"/>
            <w:vAlign w:val="center"/>
          </w:tcPr>
          <w:p w:rsidR="0088341A" w:rsidRPr="00E15DB5" w:rsidRDefault="0088341A" w:rsidP="00501137">
            <w:pPr>
              <w:pStyle w:val="AERtabletextright"/>
              <w:keepNext/>
              <w:keepLines/>
            </w:pPr>
            <w:bookmarkStart w:id="278" w:name="RANGE!M14"/>
            <w:r w:rsidRPr="00E15DB5">
              <w:t>n/a</w:t>
            </w:r>
            <w:bookmarkEnd w:id="278"/>
          </w:p>
        </w:tc>
      </w:tr>
      <w:tr w:rsidR="0088341A" w:rsidRPr="00257BC0" w:rsidTr="00501137">
        <w:trPr>
          <w:trHeight w:hRule="exact" w:val="369"/>
        </w:trPr>
        <w:tc>
          <w:tcPr>
            <w:tcW w:w="3034" w:type="dxa"/>
            <w:shd w:val="clear" w:color="auto" w:fill="auto"/>
            <w:vAlign w:val="center"/>
          </w:tcPr>
          <w:p w:rsidR="0088341A" w:rsidRPr="0030350C" w:rsidRDefault="0088341A" w:rsidP="00501137">
            <w:pPr>
              <w:keepNext/>
              <w:keepLines/>
              <w:spacing w:before="120"/>
              <w:rPr>
                <w:sz w:val="16"/>
              </w:rPr>
            </w:pPr>
            <w:bookmarkStart w:id="279" w:name="RANGE!G15"/>
            <w:r w:rsidRPr="0030350C">
              <w:rPr>
                <w:sz w:val="16"/>
              </w:rPr>
              <w:t>IT</w:t>
            </w:r>
            <w:bookmarkEnd w:id="279"/>
          </w:p>
        </w:tc>
        <w:tc>
          <w:tcPr>
            <w:tcW w:w="3589" w:type="dxa"/>
            <w:shd w:val="clear" w:color="auto" w:fill="auto"/>
            <w:vAlign w:val="center"/>
          </w:tcPr>
          <w:p w:rsidR="0088341A" w:rsidRPr="00E15DB5" w:rsidRDefault="0088341A" w:rsidP="00501137">
            <w:pPr>
              <w:pStyle w:val="AERtabletextright"/>
              <w:keepNext/>
              <w:keepLines/>
            </w:pPr>
            <w:bookmarkStart w:id="280" w:name="RANGE!M15"/>
            <w:r w:rsidRPr="00E15DB5">
              <w:t>5</w:t>
            </w:r>
            <w:bookmarkEnd w:id="280"/>
          </w:p>
        </w:tc>
      </w:tr>
      <w:tr w:rsidR="0088341A" w:rsidRPr="00257BC0" w:rsidTr="00501137">
        <w:trPr>
          <w:trHeight w:hRule="exact" w:val="369"/>
        </w:trPr>
        <w:tc>
          <w:tcPr>
            <w:tcW w:w="3034" w:type="dxa"/>
            <w:shd w:val="clear" w:color="auto" w:fill="DBE5F1"/>
            <w:vAlign w:val="center"/>
          </w:tcPr>
          <w:p w:rsidR="0088341A" w:rsidRPr="0030350C" w:rsidRDefault="0088341A" w:rsidP="00501137">
            <w:pPr>
              <w:keepNext/>
              <w:keepLines/>
              <w:spacing w:before="120"/>
              <w:rPr>
                <w:sz w:val="16"/>
              </w:rPr>
            </w:pPr>
            <w:bookmarkStart w:id="281" w:name="RANGE!G16"/>
            <w:r w:rsidRPr="0030350C">
              <w:rPr>
                <w:sz w:val="16"/>
              </w:rPr>
              <w:t>Vehicles</w:t>
            </w:r>
            <w:bookmarkEnd w:id="281"/>
          </w:p>
        </w:tc>
        <w:tc>
          <w:tcPr>
            <w:tcW w:w="3589" w:type="dxa"/>
            <w:shd w:val="clear" w:color="auto" w:fill="DBE5F1"/>
            <w:vAlign w:val="center"/>
          </w:tcPr>
          <w:p w:rsidR="0088341A" w:rsidRPr="00E15DB5" w:rsidRDefault="0088341A" w:rsidP="00501137">
            <w:pPr>
              <w:pStyle w:val="AERtabletextright"/>
              <w:keepNext/>
              <w:keepLines/>
            </w:pPr>
            <w:bookmarkStart w:id="282" w:name="RANGE!M16"/>
            <w:r w:rsidRPr="00E15DB5">
              <w:t>7</w:t>
            </w:r>
            <w:bookmarkEnd w:id="282"/>
          </w:p>
        </w:tc>
      </w:tr>
      <w:tr w:rsidR="0088341A" w:rsidRPr="00257BC0" w:rsidTr="00501137">
        <w:trPr>
          <w:trHeight w:hRule="exact" w:val="458"/>
        </w:trPr>
        <w:tc>
          <w:tcPr>
            <w:tcW w:w="3034" w:type="dxa"/>
            <w:shd w:val="clear" w:color="auto" w:fill="auto"/>
            <w:vAlign w:val="center"/>
          </w:tcPr>
          <w:p w:rsidR="0088341A" w:rsidRPr="0030350C" w:rsidRDefault="0088341A" w:rsidP="00501137">
            <w:pPr>
              <w:keepNext/>
              <w:keepLines/>
              <w:spacing w:before="120"/>
              <w:rPr>
                <w:sz w:val="16"/>
              </w:rPr>
            </w:pPr>
            <w:bookmarkStart w:id="283" w:name="RANGE!G17"/>
            <w:r w:rsidRPr="0030350C">
              <w:rPr>
                <w:sz w:val="16"/>
              </w:rPr>
              <w:t>Other</w:t>
            </w:r>
            <w:bookmarkEnd w:id="283"/>
          </w:p>
        </w:tc>
        <w:tc>
          <w:tcPr>
            <w:tcW w:w="3589" w:type="dxa"/>
            <w:shd w:val="clear" w:color="auto" w:fill="auto"/>
            <w:vAlign w:val="center"/>
          </w:tcPr>
          <w:p w:rsidR="0088341A" w:rsidRPr="00E15DB5" w:rsidRDefault="0088341A" w:rsidP="00501137">
            <w:pPr>
              <w:pStyle w:val="AERtabletextright"/>
              <w:keepNext/>
              <w:keepLines/>
            </w:pPr>
            <w:bookmarkStart w:id="284" w:name="RANGE!M17"/>
            <w:r w:rsidRPr="00E15DB5">
              <w:t>10</w:t>
            </w:r>
            <w:bookmarkEnd w:id="284"/>
          </w:p>
        </w:tc>
      </w:tr>
      <w:tr w:rsidR="0088341A" w:rsidRPr="00257BC0" w:rsidTr="00501137">
        <w:trPr>
          <w:trHeight w:hRule="exact" w:val="369"/>
        </w:trPr>
        <w:tc>
          <w:tcPr>
            <w:tcW w:w="3034" w:type="dxa"/>
            <w:shd w:val="clear" w:color="auto" w:fill="DBE5F1"/>
            <w:vAlign w:val="center"/>
          </w:tcPr>
          <w:p w:rsidR="0088341A" w:rsidRPr="0030350C" w:rsidRDefault="0088341A" w:rsidP="00501137">
            <w:pPr>
              <w:keepNext/>
              <w:keepLines/>
              <w:spacing w:before="120"/>
              <w:rPr>
                <w:sz w:val="16"/>
              </w:rPr>
            </w:pPr>
            <w:bookmarkStart w:id="285" w:name="RANGE!G18"/>
            <w:r w:rsidRPr="0030350C">
              <w:rPr>
                <w:sz w:val="16"/>
              </w:rPr>
              <w:t>Premises</w:t>
            </w:r>
            <w:bookmarkEnd w:id="285"/>
          </w:p>
        </w:tc>
        <w:tc>
          <w:tcPr>
            <w:tcW w:w="3589" w:type="dxa"/>
            <w:shd w:val="clear" w:color="auto" w:fill="DBE5F1"/>
            <w:vAlign w:val="center"/>
          </w:tcPr>
          <w:p w:rsidR="0088341A" w:rsidRPr="00E15DB5" w:rsidRDefault="0088341A" w:rsidP="00501137">
            <w:pPr>
              <w:pStyle w:val="AERtabletextright"/>
              <w:keepNext/>
              <w:keepLines/>
            </w:pPr>
            <w:bookmarkStart w:id="286" w:name="RANGE!M18"/>
            <w:r w:rsidRPr="00E15DB5">
              <w:t>10</w:t>
            </w:r>
            <w:bookmarkEnd w:id="286"/>
          </w:p>
        </w:tc>
      </w:tr>
      <w:tr w:rsidR="0088341A" w:rsidRPr="00257BC0" w:rsidTr="00501137">
        <w:trPr>
          <w:trHeight w:hRule="exact" w:val="428"/>
        </w:trPr>
        <w:tc>
          <w:tcPr>
            <w:tcW w:w="3034" w:type="dxa"/>
            <w:shd w:val="clear" w:color="auto" w:fill="auto"/>
            <w:vAlign w:val="center"/>
          </w:tcPr>
          <w:p w:rsidR="0088341A" w:rsidRPr="0030350C" w:rsidRDefault="0088341A" w:rsidP="00501137">
            <w:pPr>
              <w:keepNext/>
              <w:keepLines/>
              <w:spacing w:before="120"/>
              <w:rPr>
                <w:sz w:val="16"/>
              </w:rPr>
            </w:pPr>
            <w:bookmarkStart w:id="287" w:name="RANGE!G19"/>
            <w:r w:rsidRPr="0030350C">
              <w:rPr>
                <w:sz w:val="16"/>
              </w:rPr>
              <w:t>Land</w:t>
            </w:r>
            <w:bookmarkEnd w:id="287"/>
          </w:p>
        </w:tc>
        <w:tc>
          <w:tcPr>
            <w:tcW w:w="3589" w:type="dxa"/>
            <w:shd w:val="clear" w:color="auto" w:fill="auto"/>
            <w:vAlign w:val="center"/>
          </w:tcPr>
          <w:p w:rsidR="0088341A" w:rsidRPr="00E15DB5" w:rsidRDefault="0088341A" w:rsidP="00501137">
            <w:pPr>
              <w:pStyle w:val="AERtabletextright"/>
              <w:keepNext/>
              <w:keepLines/>
            </w:pPr>
            <w:bookmarkStart w:id="288" w:name="RANGE!M19"/>
            <w:r w:rsidRPr="00E15DB5">
              <w:t>n/a</w:t>
            </w:r>
            <w:bookmarkEnd w:id="288"/>
          </w:p>
        </w:tc>
      </w:tr>
      <w:tr w:rsidR="0088341A" w:rsidRPr="00257BC0" w:rsidTr="00501137">
        <w:trPr>
          <w:trHeight w:hRule="exact" w:val="408"/>
        </w:trPr>
        <w:tc>
          <w:tcPr>
            <w:tcW w:w="3034" w:type="dxa"/>
            <w:shd w:val="clear" w:color="auto" w:fill="DBE5F1"/>
            <w:vAlign w:val="center"/>
          </w:tcPr>
          <w:p w:rsidR="0088341A" w:rsidRPr="0030350C" w:rsidRDefault="0088341A" w:rsidP="00501137">
            <w:pPr>
              <w:keepNext/>
              <w:keepLines/>
              <w:spacing w:before="120"/>
              <w:rPr>
                <w:sz w:val="16"/>
              </w:rPr>
            </w:pPr>
            <w:bookmarkStart w:id="289" w:name="RANGE!G20"/>
            <w:r w:rsidRPr="0030350C">
              <w:rPr>
                <w:sz w:val="16"/>
              </w:rPr>
              <w:t>Easements</w:t>
            </w:r>
            <w:bookmarkEnd w:id="289"/>
          </w:p>
        </w:tc>
        <w:tc>
          <w:tcPr>
            <w:tcW w:w="3589" w:type="dxa"/>
            <w:shd w:val="clear" w:color="auto" w:fill="DBE5F1"/>
            <w:vAlign w:val="center"/>
          </w:tcPr>
          <w:p w:rsidR="0088341A" w:rsidRPr="00E15DB5" w:rsidRDefault="0088341A" w:rsidP="00501137">
            <w:pPr>
              <w:pStyle w:val="AERtabletextright"/>
              <w:keepNext/>
              <w:keepLines/>
            </w:pPr>
            <w:bookmarkStart w:id="290" w:name="RANGE!M20"/>
            <w:r w:rsidRPr="00E15DB5">
              <w:t>n/a</w:t>
            </w:r>
            <w:bookmarkEnd w:id="290"/>
          </w:p>
        </w:tc>
      </w:tr>
      <w:tr w:rsidR="0088341A" w:rsidRPr="00257BC0" w:rsidTr="00501137">
        <w:trPr>
          <w:trHeight w:hRule="exact" w:val="402"/>
        </w:trPr>
        <w:tc>
          <w:tcPr>
            <w:tcW w:w="3034" w:type="dxa"/>
            <w:shd w:val="clear" w:color="auto" w:fill="auto"/>
            <w:vAlign w:val="center"/>
          </w:tcPr>
          <w:p w:rsidR="0088341A" w:rsidRPr="0030350C" w:rsidRDefault="0088341A" w:rsidP="00501137">
            <w:pPr>
              <w:keepNext/>
              <w:keepLines/>
              <w:spacing w:before="120"/>
              <w:rPr>
                <w:sz w:val="16"/>
              </w:rPr>
            </w:pPr>
            <w:bookmarkStart w:id="291" w:name="RANGE!G21"/>
            <w:r w:rsidRPr="0030350C">
              <w:rPr>
                <w:sz w:val="16"/>
              </w:rPr>
              <w:t>Equity raising costs (2003-08)</w:t>
            </w:r>
            <w:bookmarkEnd w:id="291"/>
          </w:p>
        </w:tc>
        <w:tc>
          <w:tcPr>
            <w:tcW w:w="3589" w:type="dxa"/>
            <w:shd w:val="clear" w:color="auto" w:fill="auto"/>
            <w:vAlign w:val="center"/>
          </w:tcPr>
          <w:p w:rsidR="0088341A" w:rsidRPr="00E15DB5" w:rsidRDefault="0088341A" w:rsidP="00501137">
            <w:pPr>
              <w:pStyle w:val="AERtabletextright"/>
              <w:keepNext/>
              <w:keepLines/>
            </w:pPr>
            <w:bookmarkStart w:id="292" w:name="RANGE!M21"/>
            <w:r w:rsidRPr="00E15DB5">
              <w:t>28</w:t>
            </w:r>
            <w:bookmarkEnd w:id="292"/>
          </w:p>
        </w:tc>
      </w:tr>
    </w:tbl>
    <w:p w:rsidR="0088341A" w:rsidRDefault="0088341A" w:rsidP="0088341A">
      <w:pPr>
        <w:pStyle w:val="AERtablesource"/>
        <w:keepNext/>
        <w:keepLines/>
      </w:pPr>
      <w:r w:rsidRPr="00A277EE">
        <w:t>Source:</w:t>
      </w:r>
      <w:r w:rsidRPr="00A277EE">
        <w:tab/>
        <w:t>AER analysis</w:t>
      </w:r>
      <w:r>
        <w:t>.</w:t>
      </w:r>
      <w:r w:rsidRPr="0040120A">
        <w:t xml:space="preserve"> </w:t>
      </w:r>
    </w:p>
    <w:p w:rsidR="0088341A" w:rsidRDefault="0088341A" w:rsidP="00DD2025">
      <w:pPr>
        <w:pStyle w:val="AERtablesource"/>
      </w:pPr>
      <w:r>
        <w:t xml:space="preserve">n/a: </w:t>
      </w:r>
      <w:r>
        <w:tab/>
        <w:t>not applicable.</w:t>
      </w:r>
      <w:r w:rsidRPr="00BD4738">
        <w:t xml:space="preserve"> </w:t>
      </w:r>
    </w:p>
    <w:p w:rsidR="0088341A" w:rsidRPr="00A907E9" w:rsidRDefault="0088341A" w:rsidP="0088341A">
      <w:pPr>
        <w:pStyle w:val="Heading3"/>
        <w:numPr>
          <w:ilvl w:val="3"/>
          <w:numId w:val="20"/>
        </w:numPr>
      </w:pPr>
      <w:r w:rsidRPr="00A907E9">
        <w:t>Remaining asset lives as at 1 April 2014</w:t>
      </w:r>
    </w:p>
    <w:p w:rsidR="0088341A" w:rsidRPr="00F45CB2" w:rsidRDefault="0088341A" w:rsidP="0088341A">
      <w:pPr>
        <w:pStyle w:val="AERbodytext"/>
        <w:numPr>
          <w:ilvl w:val="0"/>
          <w:numId w:val="1"/>
        </w:numPr>
      </w:pPr>
      <w:r>
        <w:t xml:space="preserve">SP AusNet did not propose any remaining asset lives at the asset class level. As discussed in section </w:t>
      </w:r>
      <w:r>
        <w:fldChar w:fldCharType="begin"/>
      </w:r>
      <w:r>
        <w:instrText xml:space="preserve"> REF _Ref360695635 \r \h </w:instrText>
      </w:r>
      <w:r>
        <w:fldChar w:fldCharType="separate"/>
      </w:r>
      <w:r w:rsidR="004F35AA">
        <w:t>6.2</w:t>
      </w:r>
      <w:r>
        <w:fldChar w:fldCharType="end"/>
      </w:r>
      <w:r>
        <w:t>, SP AusNet did not use the standard straight-line depreciation calculation in the PTRM and proposed a separate model for calculating its forecast straight-line depreciation. Unlike our standard approach in the PTRM, SP AusNet's model</w:t>
      </w:r>
      <w:r w:rsidRPr="007A3A74">
        <w:t xml:space="preserve"> does not require a </w:t>
      </w:r>
      <w:r>
        <w:t xml:space="preserve">weighted </w:t>
      </w:r>
      <w:r w:rsidRPr="007A3A74">
        <w:t>remaining asset life for each asset class</w:t>
      </w:r>
      <w:r>
        <w:t xml:space="preserve"> at the start of each regulatory control period</w:t>
      </w:r>
      <w:r w:rsidRPr="007A3A74">
        <w:t>.</w:t>
      </w:r>
      <w:r>
        <w:t xml:space="preserve"> This is because</w:t>
      </w:r>
      <w:r w:rsidRPr="007A3A74">
        <w:t xml:space="preserve"> SP AusNet's </w:t>
      </w:r>
      <w:r>
        <w:t>model adopts a more disaggregated approach in which the remaining asset liv</w:t>
      </w:r>
      <w:r w:rsidRPr="00882A4D">
        <w:t>e</w:t>
      </w:r>
      <w:r>
        <w:t>s</w:t>
      </w:r>
      <w:r w:rsidRPr="00882A4D">
        <w:t xml:space="preserve"> for each year's capex </w:t>
      </w:r>
      <w:r>
        <w:t>are</w:t>
      </w:r>
      <w:r w:rsidRPr="00882A4D">
        <w:t xml:space="preserve"> </w:t>
      </w:r>
      <w:r w:rsidRPr="004C10F9">
        <w:t xml:space="preserve">separately </w:t>
      </w:r>
      <w:r w:rsidRPr="00882A4D">
        <w:t>accounted for within each asset class</w:t>
      </w:r>
      <w:r>
        <w:t>.</w:t>
      </w:r>
      <w:r w:rsidRPr="00882A4D">
        <w:t xml:space="preserve"> </w:t>
      </w:r>
      <w:r w:rsidRPr="00E147AD">
        <w:t>SP AusNet used the same deprec</w:t>
      </w:r>
      <w:r>
        <w:t>i</w:t>
      </w:r>
      <w:r w:rsidRPr="00E147AD">
        <w:t xml:space="preserve">ation </w:t>
      </w:r>
      <w:r>
        <w:t>method approved</w:t>
      </w:r>
      <w:r w:rsidRPr="00E147AD">
        <w:t xml:space="preserve"> </w:t>
      </w:r>
      <w:r>
        <w:t>for</w:t>
      </w:r>
      <w:r w:rsidRPr="00E147AD">
        <w:t xml:space="preserve"> its </w:t>
      </w:r>
      <w:r>
        <w:t>2008</w:t>
      </w:r>
      <w:r w:rsidRPr="00E147AD">
        <w:t xml:space="preserve"> transmission determination.</w:t>
      </w:r>
    </w:p>
    <w:p w:rsidR="0088341A" w:rsidRDefault="0088341A" w:rsidP="0088341A">
      <w:pPr>
        <w:pStyle w:val="AERbodytext"/>
        <w:numPr>
          <w:ilvl w:val="0"/>
          <w:numId w:val="1"/>
        </w:numPr>
      </w:pPr>
      <w:r>
        <w:t>Although</w:t>
      </w:r>
      <w:r w:rsidRPr="00E147AD">
        <w:t xml:space="preserve"> we </w:t>
      </w:r>
      <w:r>
        <w:t xml:space="preserve">generally </w:t>
      </w:r>
      <w:r w:rsidRPr="00E147AD">
        <w:t>prefer a TNSP to use our standard approach in the PTRM for calculating depreciation</w:t>
      </w:r>
      <w:r>
        <w:t>,</w:t>
      </w:r>
      <w:r w:rsidRPr="00E147AD">
        <w:t xml:space="preserve"> </w:t>
      </w:r>
      <w:r w:rsidRPr="003B4BFB">
        <w:t xml:space="preserve">we accept SP AusNet's </w:t>
      </w:r>
      <w:r>
        <w:t xml:space="preserve">proposed </w:t>
      </w:r>
      <w:r w:rsidRPr="003B4BFB">
        <w:t>depreciation approach for the 2014–17 regulatory control period.</w:t>
      </w:r>
      <w:r>
        <w:t xml:space="preserve"> This is because SP AusNet's depreciation approach complies</w:t>
      </w:r>
      <w:r w:rsidRPr="006414B8">
        <w:t xml:space="preserve"> with the requirements of the NER.</w:t>
      </w:r>
      <w:r>
        <w:rPr>
          <w:rStyle w:val="FootnoteReference"/>
        </w:rPr>
        <w:footnoteReference w:id="435"/>
      </w:r>
      <w:r w:rsidRPr="006414B8">
        <w:t xml:space="preserve"> </w:t>
      </w:r>
      <w:r>
        <w:t xml:space="preserve">In accepting the proposed </w:t>
      </w:r>
      <w:r w:rsidRPr="008174D4">
        <w:t>depreciation</w:t>
      </w:r>
      <w:r>
        <w:t xml:space="preserve"> approach, we have updated the 2014–17 forecast capex inputs in SP AusNet's depreciation model to reflect our adjustments to the forecast capex allowance in this decision, as discussed in attachment 2. We also changed the CPI adjusted </w:t>
      </w:r>
      <w:r w:rsidRPr="00B702FC">
        <w:t>WACC</w:t>
      </w:r>
      <w:r>
        <w:t xml:space="preserve"> input values in SP AusNet's model,</w:t>
      </w:r>
      <w:r w:rsidRPr="00B702FC">
        <w:t xml:space="preserve"> </w:t>
      </w:r>
      <w:r>
        <w:t xml:space="preserve">to be consistent with those input values used in the RFM for this decision. </w:t>
      </w:r>
    </w:p>
    <w:p w:rsidR="0088341A" w:rsidRDefault="0088341A" w:rsidP="0088341A">
      <w:pPr>
        <w:pStyle w:val="Heading2"/>
        <w:numPr>
          <w:ilvl w:val="2"/>
          <w:numId w:val="20"/>
        </w:numPr>
      </w:pPr>
      <w:bookmarkStart w:id="293" w:name="_Toc365283319"/>
      <w:r>
        <w:lastRenderedPageBreak/>
        <w:t>Revisions</w:t>
      </w:r>
      <w:bookmarkEnd w:id="293"/>
      <w:r>
        <w:t xml:space="preserve"> </w:t>
      </w:r>
    </w:p>
    <w:p w:rsidR="0088341A" w:rsidRDefault="0088341A" w:rsidP="0088341A">
      <w:pPr>
        <w:pStyle w:val="AERrevisionbox"/>
      </w:pPr>
      <w:r w:rsidRPr="00941709">
        <w:rPr>
          <w:rStyle w:val="AERtextbold"/>
        </w:rPr>
        <w:t xml:space="preserve">Revision </w:t>
      </w:r>
      <w:r>
        <w:rPr>
          <w:rStyle w:val="AERtextbold"/>
        </w:rPr>
        <w:t>6</w:t>
      </w:r>
      <w:r w:rsidRPr="00941709">
        <w:rPr>
          <w:rStyle w:val="AERtextbold"/>
        </w:rPr>
        <w:t>.1:</w:t>
      </w:r>
      <w:r>
        <w:t xml:space="preserve"> </w:t>
      </w:r>
      <w:r>
        <w:tab/>
        <w:t xml:space="preserve">We determine SP AusNet's forecast regulatory depreciation allowance to be $241.2 million ($ nominal) over the 2014–17 regulatory control period as set out in </w:t>
      </w:r>
      <w:r>
        <w:fldChar w:fldCharType="begin"/>
      </w:r>
      <w:r>
        <w:instrText xml:space="preserve"> REF _Ref363746795 \h </w:instrText>
      </w:r>
      <w:r>
        <w:fldChar w:fldCharType="separate"/>
      </w:r>
      <w:r w:rsidR="004F35AA">
        <w:t xml:space="preserve">Table </w:t>
      </w:r>
      <w:r w:rsidR="004F35AA">
        <w:rPr>
          <w:noProof/>
        </w:rPr>
        <w:t>6</w:t>
      </w:r>
      <w:r w:rsidR="004F35AA">
        <w:t>.</w:t>
      </w:r>
      <w:r w:rsidR="004F35AA">
        <w:rPr>
          <w:noProof/>
        </w:rPr>
        <w:t>1</w:t>
      </w:r>
      <w:r>
        <w:fldChar w:fldCharType="end"/>
      </w:r>
      <w:r>
        <w:t xml:space="preserve">. </w:t>
      </w:r>
    </w:p>
    <w:p w:rsidR="0088341A" w:rsidRDefault="0088341A" w:rsidP="0088341A">
      <w:pPr>
        <w:pStyle w:val="AERrevisionbox"/>
      </w:pPr>
      <w:r w:rsidRPr="00941709">
        <w:rPr>
          <w:rStyle w:val="AERtextbold"/>
        </w:rPr>
        <w:t xml:space="preserve">Revision </w:t>
      </w:r>
      <w:r>
        <w:rPr>
          <w:rStyle w:val="AERtextbold"/>
        </w:rPr>
        <w:t>6</w:t>
      </w:r>
      <w:r w:rsidRPr="00941709">
        <w:rPr>
          <w:rStyle w:val="AERtextbold"/>
        </w:rPr>
        <w:t>.2:</w:t>
      </w:r>
      <w:r>
        <w:tab/>
        <w:t xml:space="preserve"> We determine SP AusNet's standard asset lives as at 1 April 2014 for the 2014–17 regulatory control period to be as set out in </w:t>
      </w:r>
      <w:r>
        <w:fldChar w:fldCharType="begin"/>
      </w:r>
      <w:r>
        <w:instrText xml:space="preserve"> REF _Ref363747468 \h </w:instrText>
      </w:r>
      <w:r>
        <w:fldChar w:fldCharType="separate"/>
      </w:r>
      <w:r w:rsidR="004F35AA">
        <w:t xml:space="preserve">Table </w:t>
      </w:r>
      <w:r w:rsidR="004F35AA">
        <w:rPr>
          <w:noProof/>
        </w:rPr>
        <w:t>6</w:t>
      </w:r>
      <w:r w:rsidR="004F35AA">
        <w:t>.</w:t>
      </w:r>
      <w:r w:rsidR="004F35AA">
        <w:rPr>
          <w:noProof/>
        </w:rPr>
        <w:t>3</w:t>
      </w:r>
      <w:r>
        <w:fldChar w:fldCharType="end"/>
      </w:r>
      <w:r>
        <w:t xml:space="preserve">. </w:t>
      </w:r>
    </w:p>
    <w:p w:rsidR="0088341A" w:rsidRPr="008F3D22" w:rsidRDefault="0088341A" w:rsidP="0088341A">
      <w:pPr>
        <w:pStyle w:val="AERbodytext"/>
        <w:numPr>
          <w:ilvl w:val="0"/>
          <w:numId w:val="1"/>
        </w:numPr>
        <w:rPr>
          <w:rStyle w:val="AERbody"/>
        </w:rPr>
      </w:pPr>
    </w:p>
    <w:p w:rsidR="0088341A" w:rsidRPr="008F3D22" w:rsidRDefault="0088341A" w:rsidP="0088341A">
      <w:pPr>
        <w:pStyle w:val="AERbodytext"/>
        <w:numPr>
          <w:ilvl w:val="0"/>
          <w:numId w:val="1"/>
        </w:numPr>
        <w:rPr>
          <w:rStyle w:val="AERbody"/>
        </w:rPr>
        <w:sectPr w:rsidR="0088341A" w:rsidRPr="008F3D22">
          <w:footerReference w:type="default" r:id="rId55"/>
          <w:pgSz w:w="11906" w:h="16838"/>
          <w:pgMar w:top="1440" w:right="1440" w:bottom="1440" w:left="1440" w:header="708" w:footer="708" w:gutter="0"/>
          <w:cols w:space="708"/>
          <w:docGrid w:linePitch="360"/>
        </w:sectPr>
      </w:pPr>
    </w:p>
    <w:p w:rsidR="0088341A" w:rsidRPr="0025563A" w:rsidRDefault="0088341A" w:rsidP="0088341A">
      <w:pPr>
        <w:pStyle w:val="Heading1"/>
        <w:numPr>
          <w:ilvl w:val="1"/>
          <w:numId w:val="20"/>
        </w:numPr>
      </w:pPr>
      <w:bookmarkStart w:id="294" w:name="_Toc365283320"/>
      <w:bookmarkStart w:id="295" w:name="_Toc365462003"/>
      <w:r w:rsidRPr="0025563A">
        <w:lastRenderedPageBreak/>
        <w:t>Corporate income tax</w:t>
      </w:r>
      <w:bookmarkEnd w:id="294"/>
      <w:bookmarkEnd w:id="295"/>
    </w:p>
    <w:p w:rsidR="0088341A" w:rsidRDefault="0088341A" w:rsidP="0088341A">
      <w:pPr>
        <w:pStyle w:val="AERbodytext"/>
        <w:numPr>
          <w:ilvl w:val="0"/>
          <w:numId w:val="1"/>
        </w:numPr>
      </w:pPr>
      <w:r>
        <w:t>The AER is required to make a decision on the estimated cost of corporate income tax.</w:t>
      </w:r>
      <w:r>
        <w:rPr>
          <w:rStyle w:val="FootnoteReference"/>
        </w:rPr>
        <w:footnoteReference w:id="436"/>
      </w:r>
      <w:r>
        <w:t xml:space="preserve"> Under the post-</w:t>
      </w:r>
      <w:r w:rsidRPr="008B1328">
        <w:t>tax framework, a</w:t>
      </w:r>
      <w:r>
        <w:t xml:space="preserve"> </w:t>
      </w:r>
      <w:r w:rsidRPr="008B1328">
        <w:t>corporate income tax allowance is calculate</w:t>
      </w:r>
      <w:r>
        <w:t>d as part of the building block</w:t>
      </w:r>
      <w:r w:rsidRPr="008B1328">
        <w:t xml:space="preserve"> assessment</w:t>
      </w:r>
      <w:r>
        <w:t xml:space="preserve"> using our post-tax revenue model (PTRM). </w:t>
      </w:r>
    </w:p>
    <w:p w:rsidR="0088341A" w:rsidRPr="0044702C" w:rsidRDefault="0088341A" w:rsidP="0088341A">
      <w:pPr>
        <w:pStyle w:val="AERbodytext"/>
        <w:numPr>
          <w:ilvl w:val="0"/>
          <w:numId w:val="1"/>
        </w:numPr>
      </w:pPr>
      <w:r w:rsidRPr="0063645B">
        <w:t xml:space="preserve">This attachment sets out </w:t>
      </w:r>
      <w:r>
        <w:t xml:space="preserve">our draft decision on SP AusNet's proposed corporate income tax allowance for the 2014–17 regulatory control period. It also presents our assessment of SP AusNet's proposed opening tax asset base (TAB), and the standard and remaining tax asset lives used to estimate tax depreciation for the purpose of calculating the estimated cost of corporate income tax allowance. </w:t>
      </w:r>
    </w:p>
    <w:p w:rsidR="0088341A" w:rsidRPr="003800E4" w:rsidRDefault="0088341A" w:rsidP="0088341A">
      <w:pPr>
        <w:pStyle w:val="Heading2"/>
        <w:numPr>
          <w:ilvl w:val="2"/>
          <w:numId w:val="20"/>
        </w:numPr>
      </w:pPr>
      <w:bookmarkStart w:id="296" w:name="_Toc365283321"/>
      <w:r>
        <w:t>Draft decision</w:t>
      </w:r>
      <w:bookmarkEnd w:id="296"/>
    </w:p>
    <w:p w:rsidR="0088341A" w:rsidRDefault="0088341A" w:rsidP="0088341A">
      <w:pPr>
        <w:pStyle w:val="AERbodytext"/>
        <w:numPr>
          <w:ilvl w:val="0"/>
          <w:numId w:val="1"/>
        </w:numPr>
      </w:pPr>
      <w:r>
        <w:t xml:space="preserve">We do not accept SP AusNet's proposed estimated cost of corporate income tax allowance of $24.6 million ($ nominal) for the 2014–17 regulatory control period. We determine the estimated corporate income tax allowance of SP AusNet to be $24.8 million ($ nominal), which represents an increase of $0.3 million (or 1.0 per cent) to the proposal. This increase has been made for the following reasons: </w:t>
      </w:r>
    </w:p>
    <w:p w:rsidR="0088341A" w:rsidRDefault="0088341A" w:rsidP="0088341A">
      <w:pPr>
        <w:pStyle w:val="AERbulletlistfirststyle"/>
      </w:pPr>
      <w:r>
        <w:t xml:space="preserve">We accept SP AusNet's proposed method of establishing the opening TAB as at </w:t>
      </w:r>
      <w:r>
        <w:br/>
        <w:t>1 April 2014. However, we increased SP AusNet's proposed TAB as at 1 April 2014 to $2199 million ($ nominal) from $2171 million. This increase is due to some adjustments we made in the asset base roll forward model (RFM).  As discussed in attachment 5, we capitalised in the RAB the perpetuity equity raising costs provided for SP AusNet in the ACCC's 2002 revenue cap decision. Therefore, we included $53.4 million to the opening TAB to be consistent with the RAB.  Our adjustments to the</w:t>
      </w:r>
      <w:r w:rsidRPr="007E3333">
        <w:t xml:space="preserve"> actual capex values</w:t>
      </w:r>
      <w:r>
        <w:t xml:space="preserve"> in the RFM also affect the opening TAB value.  </w:t>
      </w:r>
    </w:p>
    <w:p w:rsidR="0088341A" w:rsidRPr="00AD74FF" w:rsidRDefault="0088341A" w:rsidP="0088341A">
      <w:pPr>
        <w:pStyle w:val="AERbulletlistfirststyle"/>
      </w:pPr>
      <w:r>
        <w:t>We</w:t>
      </w:r>
      <w:r w:rsidRPr="00AD74FF">
        <w:t xml:space="preserve"> accept </w:t>
      </w:r>
      <w:r>
        <w:t>SP AusNet's</w:t>
      </w:r>
      <w:r w:rsidRPr="00AD74FF">
        <w:t xml:space="preserve"> proposed standard tax asset lives</w:t>
      </w:r>
      <w:r>
        <w:t xml:space="preserve"> for its asset classes. We determine a standard tax asset life of 5 years for the equity raising costs asset class for tax depreciation purposes.</w:t>
      </w:r>
    </w:p>
    <w:p w:rsidR="0088341A" w:rsidRDefault="0088341A" w:rsidP="0088341A">
      <w:pPr>
        <w:pStyle w:val="AERbulletlistfirststyle"/>
      </w:pPr>
      <w:r>
        <w:t>We accept SP AusNet's</w:t>
      </w:r>
      <w:r w:rsidRPr="00AD74FF">
        <w:t xml:space="preserve"> </w:t>
      </w:r>
      <w:r>
        <w:t xml:space="preserve">proposed weighted average method to calculate the remaining tax asset lives as at 1 April 2014. In accepting the weighted average method, we have updated the proposed remaining tax asset lives to reflect our adjustments to SP AusNet's actual capex for the 2008–14 regulatory control period in the RFM. </w:t>
      </w:r>
      <w:r w:rsidRPr="00AD74FF">
        <w:t xml:space="preserve"> </w:t>
      </w:r>
    </w:p>
    <w:p w:rsidR="0088341A" w:rsidRDefault="0088341A" w:rsidP="0088341A">
      <w:pPr>
        <w:pStyle w:val="AERbulletlistfirststyle"/>
      </w:pPr>
      <w:r>
        <w:t>Our determinations on other building blocks including forecast capex (attachment 2) and forecast opex (attachment 3) also impact the estimated corporate income tax allowance.</w:t>
      </w:r>
      <w:r>
        <w:rPr>
          <w:rStyle w:val="FootnoteReference"/>
        </w:rPr>
        <w:footnoteReference w:id="437"/>
      </w:r>
      <w:r>
        <w:t xml:space="preserve"> </w:t>
      </w:r>
    </w:p>
    <w:p w:rsidR="0088341A" w:rsidRDefault="0088341A" w:rsidP="0088341A">
      <w:pPr>
        <w:pStyle w:val="AERbodytext"/>
        <w:numPr>
          <w:ilvl w:val="0"/>
          <w:numId w:val="1"/>
        </w:numPr>
      </w:pPr>
      <w:r w:rsidRPr="008F2D78">
        <w:t xml:space="preserve">Based on the approach to modelling the cash flows in the </w:t>
      </w:r>
      <w:r>
        <w:t>PTRM</w:t>
      </w:r>
      <w:r w:rsidRPr="008F2D78">
        <w:t xml:space="preserve">, </w:t>
      </w:r>
      <w:r>
        <w:t>we</w:t>
      </w:r>
      <w:r w:rsidRPr="008F2D78">
        <w:t xml:space="preserve"> </w:t>
      </w:r>
      <w:r>
        <w:t>have</w:t>
      </w:r>
      <w:r w:rsidRPr="008F2D78">
        <w:t xml:space="preserve"> d</w:t>
      </w:r>
      <w:r>
        <w:t xml:space="preserve">erived an effective tax rate of 22.15 </w:t>
      </w:r>
      <w:r w:rsidRPr="008F2D78">
        <w:t xml:space="preserve">per cent for this draft </w:t>
      </w:r>
      <w:r>
        <w:t>decision</w:t>
      </w:r>
      <w:r w:rsidRPr="008F2D78">
        <w:t>.</w:t>
      </w:r>
      <w:r>
        <w:t xml:space="preserve"> </w:t>
      </w:r>
      <w:r>
        <w:fldChar w:fldCharType="begin"/>
      </w:r>
      <w:r>
        <w:instrText xml:space="preserve"> REF _Ref363747589 \h </w:instrText>
      </w:r>
      <w:r>
        <w:fldChar w:fldCharType="separate"/>
      </w:r>
      <w:r w:rsidR="004F35AA">
        <w:t xml:space="preserve">Table </w:t>
      </w:r>
      <w:r w:rsidR="004F35AA">
        <w:rPr>
          <w:noProof/>
        </w:rPr>
        <w:t>7</w:t>
      </w:r>
      <w:r w:rsidR="004F35AA">
        <w:t>.</w:t>
      </w:r>
      <w:r w:rsidR="004F35AA">
        <w:rPr>
          <w:noProof/>
        </w:rPr>
        <w:t>1</w:t>
      </w:r>
      <w:r>
        <w:fldChar w:fldCharType="end"/>
      </w:r>
      <w:r>
        <w:t xml:space="preserve"> sets out our draft decision on SP AusNet's estimated corporate income tax allowance over the 2014–17 regulatory control period. </w:t>
      </w:r>
    </w:p>
    <w:p w:rsidR="0088341A" w:rsidRPr="00403FF8" w:rsidRDefault="0088341A" w:rsidP="0088341A">
      <w:pPr>
        <w:pStyle w:val="Caption"/>
      </w:pPr>
      <w:bookmarkStart w:id="297" w:name="_Ref363747589"/>
      <w:r>
        <w:lastRenderedPageBreak/>
        <w:t xml:space="preserve">Table </w:t>
      </w:r>
      <w:fldSimple w:instr=" STYLEREF 1 \s ">
        <w:r w:rsidR="004F35AA">
          <w:rPr>
            <w:noProof/>
          </w:rPr>
          <w:t>7</w:t>
        </w:r>
      </w:fldSimple>
      <w:r w:rsidR="00C56A87">
        <w:t>.</w:t>
      </w:r>
      <w:fldSimple w:instr=" SEQ Table \* ARABIC \s 1 ">
        <w:r w:rsidR="004F35AA">
          <w:rPr>
            <w:noProof/>
          </w:rPr>
          <w:t>1</w:t>
        </w:r>
      </w:fldSimple>
      <w:bookmarkEnd w:id="297"/>
      <w:r w:rsidRPr="00403FF8">
        <w:tab/>
        <w:t xml:space="preserve">AER's draft decision on </w:t>
      </w:r>
      <w:r>
        <w:t>SP AusNet's</w:t>
      </w:r>
      <w:r w:rsidRPr="00403FF8">
        <w:t xml:space="preserve"> corporate income tax allowance </w:t>
      </w:r>
      <w:r w:rsidRPr="00403FF8">
        <w:br/>
        <w:t>($ million, nominal)</w:t>
      </w:r>
    </w:p>
    <w:tbl>
      <w:tblPr>
        <w:tblW w:w="4990" w:type="pct"/>
        <w:tblBorders>
          <w:bottom w:val="single" w:sz="4" w:space="0" w:color="365F91"/>
        </w:tblBorders>
        <w:tblLook w:val="01E0" w:firstRow="1" w:lastRow="1" w:firstColumn="1" w:lastColumn="1" w:noHBand="0" w:noVBand="0"/>
      </w:tblPr>
      <w:tblGrid>
        <w:gridCol w:w="3623"/>
        <w:gridCol w:w="1404"/>
        <w:gridCol w:w="1404"/>
        <w:gridCol w:w="1402"/>
        <w:gridCol w:w="1391"/>
      </w:tblGrid>
      <w:tr w:rsidR="0088341A" w:rsidRPr="00D405D5" w:rsidTr="00501137">
        <w:trPr>
          <w:trHeight w:val="635"/>
        </w:trPr>
        <w:tc>
          <w:tcPr>
            <w:tcW w:w="1964" w:type="pct"/>
            <w:shd w:val="clear" w:color="auto" w:fill="365F91"/>
            <w:vAlign w:val="center"/>
          </w:tcPr>
          <w:p w:rsidR="0088341A" w:rsidRPr="00A3424B" w:rsidRDefault="0088341A" w:rsidP="00501137">
            <w:pPr>
              <w:keepNext/>
              <w:keepLines/>
              <w:spacing w:before="120"/>
              <w:rPr>
                <w:b/>
                <w:color w:val="FFFFFF"/>
                <w:sz w:val="16"/>
              </w:rPr>
            </w:pPr>
          </w:p>
        </w:tc>
        <w:tc>
          <w:tcPr>
            <w:tcW w:w="761" w:type="pct"/>
            <w:shd w:val="clear" w:color="auto" w:fill="365F91"/>
            <w:vAlign w:val="center"/>
          </w:tcPr>
          <w:p w:rsidR="0088341A" w:rsidRPr="00A3424B" w:rsidRDefault="0088341A" w:rsidP="00501137">
            <w:pPr>
              <w:pStyle w:val="AERtabletextleft"/>
              <w:keepNext/>
              <w:keepLines/>
              <w:jc w:val="right"/>
              <w:rPr>
                <w:b/>
                <w:color w:val="FFFFFF"/>
              </w:rPr>
            </w:pPr>
            <w:r w:rsidRPr="00A3424B">
              <w:rPr>
                <w:b/>
                <w:color w:val="FFFFFF"/>
              </w:rPr>
              <w:t>2014–15</w:t>
            </w:r>
          </w:p>
        </w:tc>
        <w:tc>
          <w:tcPr>
            <w:tcW w:w="761" w:type="pct"/>
            <w:shd w:val="clear" w:color="auto" w:fill="365F91"/>
            <w:vAlign w:val="center"/>
          </w:tcPr>
          <w:p w:rsidR="0088341A" w:rsidRPr="00A3424B" w:rsidRDefault="0088341A" w:rsidP="00501137">
            <w:pPr>
              <w:pStyle w:val="AERtabletextleft"/>
              <w:keepNext/>
              <w:keepLines/>
              <w:jc w:val="right"/>
              <w:rPr>
                <w:b/>
                <w:color w:val="FFFFFF"/>
              </w:rPr>
            </w:pPr>
            <w:r w:rsidRPr="00A3424B">
              <w:rPr>
                <w:b/>
                <w:color w:val="FFFFFF"/>
              </w:rPr>
              <w:t>2015–16</w:t>
            </w:r>
          </w:p>
        </w:tc>
        <w:tc>
          <w:tcPr>
            <w:tcW w:w="760" w:type="pct"/>
            <w:shd w:val="clear" w:color="auto" w:fill="365F91"/>
            <w:vAlign w:val="center"/>
          </w:tcPr>
          <w:p w:rsidR="0088341A" w:rsidRPr="00A3424B" w:rsidRDefault="0088341A" w:rsidP="00501137">
            <w:pPr>
              <w:pStyle w:val="AERtabletextleft"/>
              <w:keepNext/>
              <w:keepLines/>
              <w:jc w:val="right"/>
              <w:rPr>
                <w:b/>
                <w:color w:val="FFFFFF"/>
              </w:rPr>
            </w:pPr>
            <w:r w:rsidRPr="00A3424B">
              <w:rPr>
                <w:b/>
                <w:color w:val="FFFFFF"/>
              </w:rPr>
              <w:t>2016–17</w:t>
            </w:r>
          </w:p>
        </w:tc>
        <w:tc>
          <w:tcPr>
            <w:tcW w:w="755" w:type="pct"/>
            <w:shd w:val="clear" w:color="auto" w:fill="365F91"/>
            <w:vAlign w:val="center"/>
          </w:tcPr>
          <w:p w:rsidR="0088341A" w:rsidRPr="00A3424B" w:rsidRDefault="0088341A" w:rsidP="00501137">
            <w:pPr>
              <w:pStyle w:val="AERtabletextleft"/>
              <w:keepNext/>
              <w:keepLines/>
              <w:jc w:val="right"/>
              <w:rPr>
                <w:b/>
                <w:color w:val="FFFFFF"/>
              </w:rPr>
            </w:pPr>
            <w:r w:rsidRPr="00A3424B">
              <w:rPr>
                <w:b/>
                <w:color w:val="FFFFFF"/>
              </w:rPr>
              <w:t>Total</w:t>
            </w:r>
          </w:p>
        </w:tc>
      </w:tr>
      <w:tr w:rsidR="0088341A" w:rsidRPr="00D405D5" w:rsidTr="00501137">
        <w:trPr>
          <w:trHeight w:val="450"/>
        </w:trPr>
        <w:tc>
          <w:tcPr>
            <w:tcW w:w="1964" w:type="pct"/>
            <w:shd w:val="clear" w:color="auto" w:fill="auto"/>
            <w:vAlign w:val="center"/>
          </w:tcPr>
          <w:p w:rsidR="0088341A" w:rsidRPr="00403FF8" w:rsidRDefault="0088341A" w:rsidP="00501137">
            <w:pPr>
              <w:pStyle w:val="AERtabletextleft"/>
              <w:keepNext/>
              <w:keepLines/>
            </w:pPr>
            <w:r w:rsidRPr="00E617C6">
              <w:t>Tax payable</w:t>
            </w:r>
          </w:p>
        </w:tc>
        <w:tc>
          <w:tcPr>
            <w:tcW w:w="761" w:type="pct"/>
            <w:shd w:val="clear" w:color="auto" w:fill="auto"/>
            <w:vAlign w:val="center"/>
          </w:tcPr>
          <w:p w:rsidR="0088341A" w:rsidRPr="00403FF8" w:rsidRDefault="0088341A" w:rsidP="00501137">
            <w:pPr>
              <w:pStyle w:val="AERtabletextright"/>
              <w:keepNext/>
              <w:keepLines/>
            </w:pPr>
            <w:r>
              <w:t>23.4</w:t>
            </w:r>
          </w:p>
        </w:tc>
        <w:tc>
          <w:tcPr>
            <w:tcW w:w="761" w:type="pct"/>
            <w:shd w:val="clear" w:color="auto" w:fill="auto"/>
            <w:vAlign w:val="center"/>
          </w:tcPr>
          <w:p w:rsidR="0088341A" w:rsidRPr="00403FF8" w:rsidRDefault="0088341A" w:rsidP="00501137">
            <w:pPr>
              <w:pStyle w:val="AERtabletextright"/>
              <w:keepNext/>
              <w:keepLines/>
            </w:pPr>
            <w:r>
              <w:t>23.0</w:t>
            </w:r>
          </w:p>
        </w:tc>
        <w:tc>
          <w:tcPr>
            <w:tcW w:w="760" w:type="pct"/>
            <w:shd w:val="clear" w:color="auto" w:fill="auto"/>
            <w:vAlign w:val="center"/>
          </w:tcPr>
          <w:p w:rsidR="0088341A" w:rsidRPr="00403FF8" w:rsidRDefault="0088341A" w:rsidP="00501137">
            <w:pPr>
              <w:pStyle w:val="AERtabletextright"/>
              <w:keepNext/>
              <w:keepLines/>
            </w:pPr>
            <w:r>
              <w:t>24.5</w:t>
            </w:r>
          </w:p>
        </w:tc>
        <w:tc>
          <w:tcPr>
            <w:tcW w:w="755" w:type="pct"/>
            <w:shd w:val="clear" w:color="auto" w:fill="auto"/>
            <w:vAlign w:val="center"/>
          </w:tcPr>
          <w:p w:rsidR="0088341A" w:rsidRPr="00403FF8" w:rsidRDefault="0088341A" w:rsidP="00501137">
            <w:pPr>
              <w:pStyle w:val="AERtabletextright"/>
              <w:keepNext/>
              <w:keepLines/>
            </w:pPr>
            <w:r>
              <w:t>70.9</w:t>
            </w:r>
          </w:p>
        </w:tc>
      </w:tr>
      <w:tr w:rsidR="0088341A" w:rsidRPr="00D405D5" w:rsidTr="00501137">
        <w:trPr>
          <w:trHeight w:val="458"/>
        </w:trPr>
        <w:tc>
          <w:tcPr>
            <w:tcW w:w="1964" w:type="pct"/>
            <w:shd w:val="clear" w:color="auto" w:fill="DBE5F1"/>
            <w:vAlign w:val="center"/>
          </w:tcPr>
          <w:p w:rsidR="0088341A" w:rsidRPr="00403FF8" w:rsidRDefault="0088341A" w:rsidP="00501137">
            <w:pPr>
              <w:pStyle w:val="AERtabletextleft"/>
              <w:keepNext/>
              <w:keepLines/>
            </w:pPr>
            <w:r w:rsidRPr="00096388">
              <w:rPr>
                <w:rStyle w:val="AERtextitalic"/>
              </w:rPr>
              <w:t>Less</w:t>
            </w:r>
            <w:r w:rsidRPr="00403FF8">
              <w:t>: value of imputation credits</w:t>
            </w:r>
          </w:p>
        </w:tc>
        <w:tc>
          <w:tcPr>
            <w:tcW w:w="761" w:type="pct"/>
            <w:shd w:val="clear" w:color="auto" w:fill="DBE5F1"/>
            <w:vAlign w:val="center"/>
          </w:tcPr>
          <w:p w:rsidR="0088341A" w:rsidRPr="00403FF8" w:rsidRDefault="0088341A" w:rsidP="00501137">
            <w:pPr>
              <w:pStyle w:val="AERtabletextright"/>
              <w:keepNext/>
              <w:keepLines/>
            </w:pPr>
            <w:r>
              <w:t>15.2</w:t>
            </w:r>
          </w:p>
        </w:tc>
        <w:tc>
          <w:tcPr>
            <w:tcW w:w="761" w:type="pct"/>
            <w:shd w:val="clear" w:color="auto" w:fill="DBE5F1"/>
            <w:vAlign w:val="center"/>
          </w:tcPr>
          <w:p w:rsidR="0088341A" w:rsidRPr="00403FF8" w:rsidRDefault="0088341A" w:rsidP="00501137">
            <w:pPr>
              <w:pStyle w:val="AERtabletextright"/>
              <w:keepNext/>
              <w:keepLines/>
            </w:pPr>
            <w:r>
              <w:t>14.9</w:t>
            </w:r>
          </w:p>
        </w:tc>
        <w:tc>
          <w:tcPr>
            <w:tcW w:w="760" w:type="pct"/>
            <w:shd w:val="clear" w:color="auto" w:fill="DBE5F1"/>
            <w:vAlign w:val="center"/>
          </w:tcPr>
          <w:p w:rsidR="0088341A" w:rsidRPr="00403FF8" w:rsidRDefault="0088341A" w:rsidP="00501137">
            <w:pPr>
              <w:pStyle w:val="AERtabletextright"/>
              <w:keepNext/>
              <w:keepLines/>
            </w:pPr>
            <w:r>
              <w:t>15.9</w:t>
            </w:r>
          </w:p>
        </w:tc>
        <w:tc>
          <w:tcPr>
            <w:tcW w:w="755" w:type="pct"/>
            <w:shd w:val="clear" w:color="auto" w:fill="DBE5F1"/>
            <w:vAlign w:val="center"/>
          </w:tcPr>
          <w:p w:rsidR="0088341A" w:rsidRPr="00403FF8" w:rsidRDefault="0088341A" w:rsidP="00501137">
            <w:pPr>
              <w:pStyle w:val="AERtabletextright"/>
              <w:keepNext/>
              <w:keepLines/>
            </w:pPr>
            <w:r>
              <w:t>46.1</w:t>
            </w:r>
          </w:p>
        </w:tc>
      </w:tr>
      <w:tr w:rsidR="0088341A" w:rsidRPr="00D405D5" w:rsidTr="00501137">
        <w:trPr>
          <w:trHeight w:val="458"/>
        </w:trPr>
        <w:tc>
          <w:tcPr>
            <w:tcW w:w="1964" w:type="pct"/>
            <w:shd w:val="clear" w:color="auto" w:fill="auto"/>
            <w:vAlign w:val="center"/>
          </w:tcPr>
          <w:p w:rsidR="0088341A" w:rsidRPr="00403FF8" w:rsidRDefault="0088341A" w:rsidP="00501137">
            <w:pPr>
              <w:pStyle w:val="AERtabletextleft"/>
              <w:keepNext/>
              <w:keepLines/>
            </w:pPr>
            <w:r w:rsidRPr="00096388">
              <w:t>Net corporate income tax allowance</w:t>
            </w:r>
          </w:p>
        </w:tc>
        <w:tc>
          <w:tcPr>
            <w:tcW w:w="761" w:type="pct"/>
            <w:shd w:val="clear" w:color="auto" w:fill="auto"/>
            <w:vAlign w:val="center"/>
          </w:tcPr>
          <w:p w:rsidR="0088341A" w:rsidRPr="00403FF8" w:rsidRDefault="0088341A" w:rsidP="00501137">
            <w:pPr>
              <w:pStyle w:val="AERtabletextright"/>
              <w:keepNext/>
              <w:keepLines/>
            </w:pPr>
            <w:r>
              <w:t>8.2</w:t>
            </w:r>
          </w:p>
        </w:tc>
        <w:tc>
          <w:tcPr>
            <w:tcW w:w="761" w:type="pct"/>
            <w:shd w:val="clear" w:color="auto" w:fill="auto"/>
            <w:vAlign w:val="center"/>
          </w:tcPr>
          <w:p w:rsidR="0088341A" w:rsidRPr="00403FF8" w:rsidRDefault="0088341A" w:rsidP="00501137">
            <w:pPr>
              <w:pStyle w:val="AERtabletextright"/>
              <w:keepNext/>
              <w:keepLines/>
            </w:pPr>
            <w:r>
              <w:t>8.0</w:t>
            </w:r>
          </w:p>
        </w:tc>
        <w:tc>
          <w:tcPr>
            <w:tcW w:w="760" w:type="pct"/>
            <w:shd w:val="clear" w:color="auto" w:fill="auto"/>
            <w:vAlign w:val="center"/>
          </w:tcPr>
          <w:p w:rsidR="0088341A" w:rsidRPr="00403FF8" w:rsidRDefault="0088341A" w:rsidP="00501137">
            <w:pPr>
              <w:pStyle w:val="AERtabletextright"/>
              <w:keepNext/>
              <w:keepLines/>
            </w:pPr>
            <w:r>
              <w:t>8.6</w:t>
            </w:r>
          </w:p>
        </w:tc>
        <w:tc>
          <w:tcPr>
            <w:tcW w:w="755" w:type="pct"/>
            <w:shd w:val="clear" w:color="auto" w:fill="auto"/>
            <w:vAlign w:val="center"/>
          </w:tcPr>
          <w:p w:rsidR="0088341A" w:rsidRPr="00403FF8" w:rsidRDefault="0088341A" w:rsidP="00501137">
            <w:pPr>
              <w:pStyle w:val="AERtabletextright"/>
              <w:keepNext/>
              <w:keepLines/>
            </w:pPr>
            <w:r>
              <w:t>24.8</w:t>
            </w:r>
          </w:p>
        </w:tc>
      </w:tr>
    </w:tbl>
    <w:p w:rsidR="0088341A" w:rsidRPr="00403FF8" w:rsidRDefault="0088341A" w:rsidP="00F432A6">
      <w:pPr>
        <w:pStyle w:val="AERtablesource"/>
      </w:pPr>
      <w:r w:rsidRPr="00403FF8">
        <w:t>Source:</w:t>
      </w:r>
      <w:r w:rsidRPr="00403FF8">
        <w:tab/>
        <w:t>AER analysis.</w:t>
      </w:r>
    </w:p>
    <w:p w:rsidR="0088341A" w:rsidRDefault="0088341A" w:rsidP="0088341A">
      <w:pPr>
        <w:pStyle w:val="Heading2"/>
        <w:numPr>
          <w:ilvl w:val="2"/>
          <w:numId w:val="20"/>
        </w:numPr>
      </w:pPr>
      <w:bookmarkStart w:id="298" w:name="_Toc365283322"/>
      <w:r>
        <w:t>SP AusNet's proposal</w:t>
      </w:r>
      <w:bookmarkEnd w:id="298"/>
    </w:p>
    <w:p w:rsidR="0088341A" w:rsidRDefault="0088341A" w:rsidP="0088341A">
      <w:pPr>
        <w:pStyle w:val="AERbodytext"/>
        <w:numPr>
          <w:ilvl w:val="0"/>
          <w:numId w:val="1"/>
        </w:numPr>
      </w:pPr>
      <w:r>
        <w:t xml:space="preserve">SP AusNet proposed a corporate income tax allowance of $24.6 million ($ nominal) over the </w:t>
      </w:r>
      <w:r>
        <w:br/>
        <w:t xml:space="preserve">2014–17 regulatory control period as shown in </w:t>
      </w:r>
      <w:r>
        <w:fldChar w:fldCharType="begin"/>
      </w:r>
      <w:r>
        <w:instrText xml:space="preserve"> REF _Ref336420377 \h </w:instrText>
      </w:r>
      <w:r>
        <w:fldChar w:fldCharType="separate"/>
      </w:r>
      <w:r w:rsidR="004F35AA">
        <w:t xml:space="preserve">Table </w:t>
      </w:r>
      <w:r w:rsidR="004F35AA">
        <w:rPr>
          <w:noProof/>
        </w:rPr>
        <w:t>7</w:t>
      </w:r>
      <w:r w:rsidR="004F35AA">
        <w:t>.</w:t>
      </w:r>
      <w:r w:rsidR="004F35AA">
        <w:rPr>
          <w:noProof/>
        </w:rPr>
        <w:t>2</w:t>
      </w:r>
      <w:r>
        <w:fldChar w:fldCharType="end"/>
      </w:r>
      <w:r>
        <w:t>.</w:t>
      </w:r>
      <w:r>
        <w:rPr>
          <w:rStyle w:val="FootnoteReference"/>
        </w:rPr>
        <w:footnoteReference w:id="438"/>
      </w:r>
      <w:r>
        <w:t xml:space="preserve"> It estimated the corporate income tax allowance using the AER's PTRM and the following input values:</w:t>
      </w:r>
      <w:r>
        <w:rPr>
          <w:rStyle w:val="FootnoteReference"/>
        </w:rPr>
        <w:footnoteReference w:id="439"/>
      </w:r>
    </w:p>
    <w:p w:rsidR="0088341A" w:rsidRDefault="0088341A" w:rsidP="0088341A">
      <w:pPr>
        <w:pStyle w:val="AERbulletlistfirststyle"/>
      </w:pPr>
      <w:r>
        <w:t>an opening TAB of $2171 million ($ nominal) as at 1 April 2014</w:t>
      </w:r>
    </w:p>
    <w:p w:rsidR="0088341A" w:rsidRDefault="0088341A" w:rsidP="0088341A">
      <w:pPr>
        <w:pStyle w:val="AERbulletlistfirststyle"/>
      </w:pPr>
      <w:r>
        <w:t>an expected statutory income tax rate of 30 per cent per year</w:t>
      </w:r>
    </w:p>
    <w:p w:rsidR="0088341A" w:rsidRDefault="0088341A" w:rsidP="0088341A">
      <w:pPr>
        <w:pStyle w:val="AERbulletlistfirststyle"/>
      </w:pPr>
      <w:r>
        <w:t>a value for the assumed utilisation of imputation credits (gamma) of 0.65</w:t>
      </w:r>
    </w:p>
    <w:p w:rsidR="0088341A" w:rsidRDefault="0088341A" w:rsidP="0088341A">
      <w:pPr>
        <w:pStyle w:val="AERbulletlistfirststyle"/>
      </w:pPr>
      <w:r>
        <w:t>standard tax asset lives and remaining tax asset lives contained in its proposed PTRM.</w:t>
      </w:r>
      <w:r>
        <w:rPr>
          <w:rStyle w:val="FootnoteReference"/>
        </w:rPr>
        <w:footnoteReference w:id="440"/>
      </w:r>
    </w:p>
    <w:p w:rsidR="0088341A" w:rsidRDefault="0088341A" w:rsidP="0088341A">
      <w:pPr>
        <w:pStyle w:val="Caption"/>
      </w:pPr>
      <w:bookmarkStart w:id="299" w:name="_Ref336420377"/>
      <w:r>
        <w:t xml:space="preserve">Table </w:t>
      </w:r>
      <w:fldSimple w:instr=" STYLEREF 1 \s ">
        <w:r w:rsidR="004F35AA">
          <w:rPr>
            <w:noProof/>
          </w:rPr>
          <w:t>7</w:t>
        </w:r>
      </w:fldSimple>
      <w:r w:rsidR="00C56A87">
        <w:t>.</w:t>
      </w:r>
      <w:fldSimple w:instr=" SEQ Table \* ARABIC \s 1 ">
        <w:r w:rsidR="004F35AA">
          <w:rPr>
            <w:noProof/>
          </w:rPr>
          <w:t>2</w:t>
        </w:r>
      </w:fldSimple>
      <w:bookmarkEnd w:id="299"/>
      <w:r>
        <w:tab/>
        <w:t>SP AusNet's proposed corporate income tax allowance ($ million, nominal)</w:t>
      </w:r>
    </w:p>
    <w:tbl>
      <w:tblPr>
        <w:tblW w:w="5000" w:type="pct"/>
        <w:tblBorders>
          <w:bottom w:val="single" w:sz="4" w:space="0" w:color="365F91"/>
        </w:tblBorders>
        <w:tblLook w:val="01E0" w:firstRow="1" w:lastRow="1" w:firstColumn="1" w:lastColumn="1" w:noHBand="0" w:noVBand="0"/>
      </w:tblPr>
      <w:tblGrid>
        <w:gridCol w:w="3631"/>
        <w:gridCol w:w="1405"/>
        <w:gridCol w:w="1405"/>
        <w:gridCol w:w="1405"/>
        <w:gridCol w:w="1396"/>
      </w:tblGrid>
      <w:tr w:rsidR="0088341A" w:rsidRPr="00D405D5" w:rsidTr="00501137">
        <w:trPr>
          <w:trHeight w:val="586"/>
        </w:trPr>
        <w:tc>
          <w:tcPr>
            <w:tcW w:w="1964" w:type="pct"/>
            <w:shd w:val="clear" w:color="auto" w:fill="365F91"/>
            <w:vAlign w:val="center"/>
          </w:tcPr>
          <w:p w:rsidR="0088341A" w:rsidRPr="00A3424B" w:rsidRDefault="0088341A" w:rsidP="00501137">
            <w:pPr>
              <w:spacing w:before="120"/>
              <w:rPr>
                <w:b/>
                <w:color w:val="FFFFFF"/>
                <w:sz w:val="16"/>
              </w:rPr>
            </w:pPr>
          </w:p>
        </w:tc>
        <w:tc>
          <w:tcPr>
            <w:tcW w:w="760" w:type="pct"/>
            <w:shd w:val="clear" w:color="auto" w:fill="365F91"/>
            <w:vAlign w:val="center"/>
          </w:tcPr>
          <w:p w:rsidR="0088341A" w:rsidRPr="00A3424B" w:rsidRDefault="0088341A" w:rsidP="00501137">
            <w:pPr>
              <w:pStyle w:val="AERtabletextleft"/>
              <w:jc w:val="right"/>
              <w:rPr>
                <w:b/>
                <w:color w:val="FFFFFF"/>
              </w:rPr>
            </w:pPr>
            <w:r w:rsidRPr="00A3424B">
              <w:rPr>
                <w:b/>
                <w:color w:val="FFFFFF"/>
              </w:rPr>
              <w:t>2014–15</w:t>
            </w:r>
          </w:p>
        </w:tc>
        <w:tc>
          <w:tcPr>
            <w:tcW w:w="760" w:type="pct"/>
            <w:shd w:val="clear" w:color="auto" w:fill="365F91"/>
            <w:vAlign w:val="center"/>
          </w:tcPr>
          <w:p w:rsidR="0088341A" w:rsidRPr="00A3424B" w:rsidRDefault="0088341A" w:rsidP="00501137">
            <w:pPr>
              <w:pStyle w:val="AERtabletextleft"/>
              <w:jc w:val="right"/>
              <w:rPr>
                <w:b/>
                <w:color w:val="FFFFFF"/>
              </w:rPr>
            </w:pPr>
            <w:r w:rsidRPr="00A3424B">
              <w:rPr>
                <w:b/>
                <w:color w:val="FFFFFF"/>
              </w:rPr>
              <w:t>2015–16</w:t>
            </w:r>
          </w:p>
        </w:tc>
        <w:tc>
          <w:tcPr>
            <w:tcW w:w="760" w:type="pct"/>
            <w:shd w:val="clear" w:color="auto" w:fill="365F91"/>
            <w:vAlign w:val="center"/>
          </w:tcPr>
          <w:p w:rsidR="0088341A" w:rsidRPr="00A3424B" w:rsidRDefault="0088341A" w:rsidP="00501137">
            <w:pPr>
              <w:pStyle w:val="AERtabletextleft"/>
              <w:jc w:val="right"/>
              <w:rPr>
                <w:b/>
                <w:color w:val="FFFFFF"/>
              </w:rPr>
            </w:pPr>
            <w:r w:rsidRPr="00A3424B">
              <w:rPr>
                <w:b/>
                <w:color w:val="FFFFFF"/>
              </w:rPr>
              <w:t>2016–17</w:t>
            </w:r>
          </w:p>
        </w:tc>
        <w:tc>
          <w:tcPr>
            <w:tcW w:w="755" w:type="pct"/>
            <w:shd w:val="clear" w:color="auto" w:fill="365F91"/>
            <w:vAlign w:val="center"/>
          </w:tcPr>
          <w:p w:rsidR="0088341A" w:rsidRPr="00A3424B" w:rsidRDefault="0088341A" w:rsidP="00501137">
            <w:pPr>
              <w:pStyle w:val="AERtabletextleft"/>
              <w:jc w:val="right"/>
              <w:rPr>
                <w:b/>
                <w:color w:val="FFFFFF"/>
              </w:rPr>
            </w:pPr>
            <w:r w:rsidRPr="00A3424B">
              <w:rPr>
                <w:b/>
                <w:color w:val="FFFFFF"/>
              </w:rPr>
              <w:t>Total</w:t>
            </w:r>
          </w:p>
        </w:tc>
      </w:tr>
      <w:tr w:rsidR="0088341A" w:rsidRPr="00D405D5" w:rsidTr="00501137">
        <w:trPr>
          <w:trHeight w:val="421"/>
        </w:trPr>
        <w:tc>
          <w:tcPr>
            <w:tcW w:w="1964" w:type="pct"/>
            <w:shd w:val="clear" w:color="auto" w:fill="auto"/>
            <w:vAlign w:val="center"/>
          </w:tcPr>
          <w:p w:rsidR="0088341A" w:rsidRPr="00B10592" w:rsidRDefault="0088341A" w:rsidP="00501137">
            <w:pPr>
              <w:pStyle w:val="AERtabletextleft"/>
            </w:pPr>
            <w:r w:rsidRPr="00C926FF">
              <w:t>Tax payable</w:t>
            </w:r>
          </w:p>
        </w:tc>
        <w:tc>
          <w:tcPr>
            <w:tcW w:w="760" w:type="pct"/>
            <w:shd w:val="clear" w:color="auto" w:fill="auto"/>
            <w:vAlign w:val="center"/>
          </w:tcPr>
          <w:p w:rsidR="0088341A" w:rsidRPr="00B10592" w:rsidRDefault="0088341A" w:rsidP="00501137">
            <w:pPr>
              <w:pStyle w:val="AERtabletextright"/>
            </w:pPr>
            <w:r>
              <w:t>23.2</w:t>
            </w:r>
          </w:p>
        </w:tc>
        <w:tc>
          <w:tcPr>
            <w:tcW w:w="760" w:type="pct"/>
            <w:shd w:val="clear" w:color="auto" w:fill="auto"/>
            <w:vAlign w:val="center"/>
          </w:tcPr>
          <w:p w:rsidR="0088341A" w:rsidRPr="00B10592" w:rsidRDefault="0088341A" w:rsidP="00501137">
            <w:pPr>
              <w:pStyle w:val="AERtabletextright"/>
            </w:pPr>
            <w:r>
              <w:t>22.6</w:t>
            </w:r>
          </w:p>
        </w:tc>
        <w:tc>
          <w:tcPr>
            <w:tcW w:w="760" w:type="pct"/>
            <w:shd w:val="clear" w:color="auto" w:fill="auto"/>
            <w:vAlign w:val="center"/>
          </w:tcPr>
          <w:p w:rsidR="0088341A" w:rsidRPr="00B10592" w:rsidRDefault="0088341A" w:rsidP="00501137">
            <w:pPr>
              <w:pStyle w:val="AERtabletextright"/>
            </w:pPr>
            <w:r>
              <w:t>24.5</w:t>
            </w:r>
          </w:p>
        </w:tc>
        <w:tc>
          <w:tcPr>
            <w:tcW w:w="755" w:type="pct"/>
            <w:shd w:val="clear" w:color="auto" w:fill="auto"/>
            <w:vAlign w:val="center"/>
          </w:tcPr>
          <w:p w:rsidR="0088341A" w:rsidRPr="00B10592" w:rsidRDefault="0088341A" w:rsidP="00501137">
            <w:pPr>
              <w:pStyle w:val="AERtabletextright"/>
            </w:pPr>
            <w:r>
              <w:t>70.2</w:t>
            </w:r>
          </w:p>
        </w:tc>
      </w:tr>
      <w:tr w:rsidR="0088341A" w:rsidRPr="00D405D5" w:rsidTr="00501137">
        <w:trPr>
          <w:trHeight w:val="428"/>
        </w:trPr>
        <w:tc>
          <w:tcPr>
            <w:tcW w:w="1964" w:type="pct"/>
            <w:shd w:val="clear" w:color="auto" w:fill="DBE5F1"/>
            <w:vAlign w:val="center"/>
          </w:tcPr>
          <w:p w:rsidR="0088341A" w:rsidRPr="00B10592" w:rsidRDefault="0088341A" w:rsidP="00501137">
            <w:pPr>
              <w:pStyle w:val="AERtabletextleft"/>
            </w:pPr>
            <w:r w:rsidRPr="008E4432">
              <w:rPr>
                <w:rStyle w:val="AERtextitalic"/>
              </w:rPr>
              <w:t>Less</w:t>
            </w:r>
            <w:r w:rsidRPr="00B10592">
              <w:t>: value of imputation credits</w:t>
            </w:r>
          </w:p>
        </w:tc>
        <w:tc>
          <w:tcPr>
            <w:tcW w:w="760" w:type="pct"/>
            <w:shd w:val="clear" w:color="auto" w:fill="DBE5F1"/>
            <w:vAlign w:val="center"/>
          </w:tcPr>
          <w:p w:rsidR="0088341A" w:rsidRPr="00B10592" w:rsidRDefault="0088341A" w:rsidP="00501137">
            <w:pPr>
              <w:pStyle w:val="AERtabletextright"/>
            </w:pPr>
            <w:r>
              <w:t>15.1</w:t>
            </w:r>
          </w:p>
        </w:tc>
        <w:tc>
          <w:tcPr>
            <w:tcW w:w="760" w:type="pct"/>
            <w:shd w:val="clear" w:color="auto" w:fill="DBE5F1"/>
            <w:vAlign w:val="center"/>
          </w:tcPr>
          <w:p w:rsidR="0088341A" w:rsidRPr="00B10592" w:rsidRDefault="0088341A" w:rsidP="00501137">
            <w:pPr>
              <w:pStyle w:val="AERtabletextright"/>
            </w:pPr>
            <w:r>
              <w:t>15.9</w:t>
            </w:r>
          </w:p>
        </w:tc>
        <w:tc>
          <w:tcPr>
            <w:tcW w:w="760" w:type="pct"/>
            <w:shd w:val="clear" w:color="auto" w:fill="DBE5F1"/>
            <w:vAlign w:val="center"/>
          </w:tcPr>
          <w:p w:rsidR="0088341A" w:rsidRPr="00B10592" w:rsidRDefault="0088341A" w:rsidP="00501137">
            <w:pPr>
              <w:pStyle w:val="AERtabletextright"/>
            </w:pPr>
            <w:r>
              <w:t>15.9</w:t>
            </w:r>
          </w:p>
        </w:tc>
        <w:tc>
          <w:tcPr>
            <w:tcW w:w="755" w:type="pct"/>
            <w:shd w:val="clear" w:color="auto" w:fill="DBE5F1"/>
            <w:vAlign w:val="center"/>
          </w:tcPr>
          <w:p w:rsidR="0088341A" w:rsidRPr="00B10592" w:rsidRDefault="0088341A" w:rsidP="00501137">
            <w:pPr>
              <w:pStyle w:val="AERtabletextright"/>
            </w:pPr>
            <w:r>
              <w:t>45.6</w:t>
            </w:r>
          </w:p>
        </w:tc>
      </w:tr>
      <w:tr w:rsidR="0088341A" w:rsidRPr="00D405D5" w:rsidTr="00501137">
        <w:trPr>
          <w:trHeight w:val="428"/>
        </w:trPr>
        <w:tc>
          <w:tcPr>
            <w:tcW w:w="1964" w:type="pct"/>
            <w:shd w:val="clear" w:color="auto" w:fill="auto"/>
            <w:vAlign w:val="center"/>
          </w:tcPr>
          <w:p w:rsidR="0088341A" w:rsidRPr="00B10592" w:rsidRDefault="0088341A" w:rsidP="00501137">
            <w:pPr>
              <w:pStyle w:val="AERtabletextleft"/>
            </w:pPr>
            <w:r w:rsidRPr="00C926FF">
              <w:t>Net corporate income tax allowance</w:t>
            </w:r>
          </w:p>
        </w:tc>
        <w:tc>
          <w:tcPr>
            <w:tcW w:w="760" w:type="pct"/>
            <w:shd w:val="clear" w:color="auto" w:fill="auto"/>
            <w:vAlign w:val="center"/>
          </w:tcPr>
          <w:p w:rsidR="0088341A" w:rsidRPr="00B10592" w:rsidRDefault="0088341A" w:rsidP="00501137">
            <w:pPr>
              <w:pStyle w:val="AERtabletextright"/>
            </w:pPr>
            <w:r>
              <w:t>8.1</w:t>
            </w:r>
          </w:p>
        </w:tc>
        <w:tc>
          <w:tcPr>
            <w:tcW w:w="760" w:type="pct"/>
            <w:shd w:val="clear" w:color="auto" w:fill="auto"/>
            <w:vAlign w:val="center"/>
          </w:tcPr>
          <w:p w:rsidR="0088341A" w:rsidRPr="00B10592" w:rsidRDefault="0088341A" w:rsidP="00501137">
            <w:pPr>
              <w:pStyle w:val="AERtabletextright"/>
            </w:pPr>
            <w:r>
              <w:t>7.9</w:t>
            </w:r>
          </w:p>
        </w:tc>
        <w:tc>
          <w:tcPr>
            <w:tcW w:w="760" w:type="pct"/>
            <w:shd w:val="clear" w:color="auto" w:fill="auto"/>
            <w:vAlign w:val="center"/>
          </w:tcPr>
          <w:p w:rsidR="0088341A" w:rsidRPr="00B10592" w:rsidRDefault="0088341A" w:rsidP="00501137">
            <w:pPr>
              <w:pStyle w:val="AERtabletextright"/>
            </w:pPr>
            <w:r>
              <w:t>8.6</w:t>
            </w:r>
          </w:p>
        </w:tc>
        <w:tc>
          <w:tcPr>
            <w:tcW w:w="755" w:type="pct"/>
            <w:shd w:val="clear" w:color="auto" w:fill="auto"/>
            <w:vAlign w:val="center"/>
          </w:tcPr>
          <w:p w:rsidR="0088341A" w:rsidRPr="00B10592" w:rsidRDefault="0088341A" w:rsidP="00501137">
            <w:pPr>
              <w:pStyle w:val="AERtabletextright"/>
            </w:pPr>
            <w:r>
              <w:t>24.6</w:t>
            </w:r>
          </w:p>
        </w:tc>
      </w:tr>
    </w:tbl>
    <w:p w:rsidR="0088341A" w:rsidRPr="00767299" w:rsidRDefault="0088341A" w:rsidP="0088341A">
      <w:pPr>
        <w:pStyle w:val="AERtablesource"/>
      </w:pPr>
      <w:r>
        <w:t>Source:</w:t>
      </w:r>
      <w:r>
        <w:tab/>
        <w:t xml:space="preserve">SP AusNet, </w:t>
      </w:r>
      <w:r w:rsidRPr="00B01F8F">
        <w:rPr>
          <w:rStyle w:val="AERtextitalic"/>
        </w:rPr>
        <w:t>Regulatory proposal</w:t>
      </w:r>
      <w:r>
        <w:t>, p. 175.</w:t>
      </w:r>
    </w:p>
    <w:p w:rsidR="0088341A" w:rsidRDefault="0088341A" w:rsidP="0088341A">
      <w:pPr>
        <w:pStyle w:val="Heading2"/>
        <w:numPr>
          <w:ilvl w:val="2"/>
          <w:numId w:val="20"/>
        </w:numPr>
      </w:pPr>
      <w:bookmarkStart w:id="300" w:name="_Toc365283323"/>
      <w:r>
        <w:t>Assessment approach</w:t>
      </w:r>
      <w:bookmarkEnd w:id="300"/>
    </w:p>
    <w:p w:rsidR="0088341A" w:rsidRDefault="0088341A" w:rsidP="0088341A">
      <w:pPr>
        <w:pStyle w:val="AERbodytext"/>
        <w:numPr>
          <w:ilvl w:val="0"/>
          <w:numId w:val="1"/>
        </w:numPr>
      </w:pPr>
      <w:r>
        <w:t xml:space="preserve">We are required to estimate SP AusNet's cost of corporate income tax for each year of the </w:t>
      </w:r>
      <w:r>
        <w:br/>
        <w:t xml:space="preserve">2014–17 regulatory control period under clause </w:t>
      </w:r>
      <w:r w:rsidRPr="002411D5">
        <w:t>6</w:t>
      </w:r>
      <w:r>
        <w:t>A</w:t>
      </w:r>
      <w:r w:rsidRPr="002411D5">
        <w:t>.</w:t>
      </w:r>
      <w:r>
        <w:t>6</w:t>
      </w:r>
      <w:r w:rsidRPr="002411D5">
        <w:t>.</w:t>
      </w:r>
      <w:r>
        <w:t>4(a) of the NER.</w:t>
      </w:r>
      <w:r w:rsidRPr="002411D5">
        <w:t xml:space="preserve"> </w:t>
      </w:r>
      <w:r>
        <w:t>Our approach for calculating SP AusNet's cost of corporate income tax is set out in our PTRM and involves the following steps:</w:t>
      </w:r>
    </w:p>
    <w:p w:rsidR="0088341A" w:rsidRDefault="0088341A" w:rsidP="0088341A">
      <w:pPr>
        <w:pStyle w:val="AERbulletlistfirststyle"/>
      </w:pPr>
      <w:r>
        <w:t xml:space="preserve">First, we estimate </w:t>
      </w:r>
      <w:r w:rsidRPr="002411D5">
        <w:t xml:space="preserve">the </w:t>
      </w:r>
      <w:r>
        <w:t xml:space="preserve">annual </w:t>
      </w:r>
      <w:r w:rsidRPr="002411D5">
        <w:t xml:space="preserve">taxable income that would be earned by a benchmark efficient </w:t>
      </w:r>
      <w:r>
        <w:t>T</w:t>
      </w:r>
      <w:r w:rsidRPr="002411D5">
        <w:t>NSP</w:t>
      </w:r>
      <w:r>
        <w:t xml:space="preserve"> operating SP AusNet's business</w:t>
      </w:r>
      <w:r w:rsidRPr="002411D5">
        <w:t>.</w:t>
      </w:r>
      <w:r>
        <w:rPr>
          <w:rStyle w:val="FootnoteReference"/>
        </w:rPr>
        <w:footnoteReference w:id="441"/>
      </w:r>
      <w:r w:rsidRPr="002411D5">
        <w:t xml:space="preserve"> </w:t>
      </w:r>
      <w:r>
        <w:t>A TNSP's taxable income is calculated by adjusting the approved forecast revenues by benchmark estimates of tax expenses. Using the PTRM, we model SP AusNet's benchmark tax expenses, including interest tax expense and tax depreciation, over the 2014–17 regulatory control period. The interest tax expense is estimated using the benchmark 60 per cent gearing. T</w:t>
      </w:r>
      <w:r w:rsidRPr="00874BD1">
        <w:t>ax depreciation</w:t>
      </w:r>
      <w:r>
        <w:t xml:space="preserve"> is calculated using a separate tax asset value, and standard and remaining asset lives for tax purposes.  All tax </w:t>
      </w:r>
      <w:r>
        <w:lastRenderedPageBreak/>
        <w:t>expenses (including other expenses such as opex) are</w:t>
      </w:r>
      <w:r w:rsidRPr="00874BD1">
        <w:t xml:space="preserve"> offset against the </w:t>
      </w:r>
      <w:r>
        <w:t>TNSP</w:t>
      </w:r>
      <w:r w:rsidRPr="00874BD1">
        <w:t xml:space="preserve">'s </w:t>
      </w:r>
      <w:r>
        <w:t>forecast revenue</w:t>
      </w:r>
      <w:r w:rsidRPr="00874BD1">
        <w:t xml:space="preserve"> to estimate the taxable income.</w:t>
      </w:r>
    </w:p>
    <w:p w:rsidR="0088341A" w:rsidRDefault="0088341A" w:rsidP="0088341A">
      <w:pPr>
        <w:pStyle w:val="AERbulletlistfirststyle"/>
      </w:pPr>
      <w:r w:rsidRPr="002411D5">
        <w:t>The statutory income tax rate is then applied to th</w:t>
      </w:r>
      <w:r>
        <w:t xml:space="preserve">e estimated annual taxable income </w:t>
      </w:r>
      <w:r w:rsidRPr="002411D5">
        <w:t xml:space="preserve">to arrive at a notional amount of tax payable. </w:t>
      </w:r>
    </w:p>
    <w:p w:rsidR="0088341A" w:rsidRDefault="0088341A" w:rsidP="0088341A">
      <w:pPr>
        <w:pStyle w:val="AERbulletlistfirststyle"/>
      </w:pPr>
      <w:r>
        <w:t>We</w:t>
      </w:r>
      <w:r w:rsidRPr="002411D5">
        <w:t xml:space="preserve"> then </w:t>
      </w:r>
      <w:r>
        <w:t>apply</w:t>
      </w:r>
      <w:r w:rsidRPr="002411D5">
        <w:t xml:space="preserve"> a discount to that notional amount of tax payable to account for the assumed u</w:t>
      </w:r>
      <w:r>
        <w:t>tilisation</w:t>
      </w:r>
      <w:r w:rsidRPr="002411D5">
        <w:t xml:space="preserve"> of imputation credits</w:t>
      </w:r>
      <w:r>
        <w:t xml:space="preserve"> (gamma).</w:t>
      </w:r>
      <w:r w:rsidRPr="00884A57">
        <w:rPr>
          <w:rStyle w:val="FootnoteReference"/>
        </w:rPr>
        <w:t xml:space="preserve"> </w:t>
      </w:r>
    </w:p>
    <w:p w:rsidR="0088341A" w:rsidRDefault="0088341A" w:rsidP="0088341A">
      <w:pPr>
        <w:pStyle w:val="AERbulletlistfirststyle"/>
      </w:pPr>
      <w:r w:rsidRPr="002411D5">
        <w:t>Th</w:t>
      </w:r>
      <w:r>
        <w:t xml:space="preserve">e final estimate of tax payable net of assumed utilised imputation credits </w:t>
      </w:r>
      <w:r w:rsidRPr="002411D5">
        <w:t xml:space="preserve">is then included as a separate building block in determining the </w:t>
      </w:r>
      <w:r>
        <w:t>T</w:t>
      </w:r>
      <w:r w:rsidRPr="002411D5">
        <w:t>NSP</w:t>
      </w:r>
      <w:r>
        <w:t>’</w:t>
      </w:r>
      <w:r w:rsidRPr="002411D5">
        <w:t xml:space="preserve">s </w:t>
      </w:r>
      <w:r>
        <w:t>annual building block r</w:t>
      </w:r>
      <w:r w:rsidRPr="002411D5">
        <w:t>evenue</w:t>
      </w:r>
      <w:r>
        <w:t xml:space="preserve"> requirement</w:t>
      </w:r>
      <w:r w:rsidRPr="002411D5">
        <w:t>.</w:t>
      </w:r>
      <w:r>
        <w:t xml:space="preserve"> </w:t>
      </w:r>
    </w:p>
    <w:p w:rsidR="0088341A" w:rsidRPr="00874BD1" w:rsidRDefault="0088341A" w:rsidP="0088341A">
      <w:pPr>
        <w:pStyle w:val="AERbodytext"/>
        <w:numPr>
          <w:ilvl w:val="0"/>
          <w:numId w:val="1"/>
        </w:numPr>
      </w:pPr>
      <w:r w:rsidRPr="00874BD1">
        <w:t xml:space="preserve">The corporate income tax allowance is an output of </w:t>
      </w:r>
      <w:r>
        <w:t>our</w:t>
      </w:r>
      <w:r w:rsidRPr="00874BD1">
        <w:t xml:space="preserve"> PTRM. </w:t>
      </w:r>
      <w:r>
        <w:t>We</w:t>
      </w:r>
      <w:r w:rsidRPr="00874BD1">
        <w:t xml:space="preserve"> therefore </w:t>
      </w:r>
      <w:r>
        <w:t>have</w:t>
      </w:r>
      <w:r w:rsidRPr="00874BD1">
        <w:t xml:space="preserve"> assessed </w:t>
      </w:r>
      <w:r>
        <w:t>SP AusNet's</w:t>
      </w:r>
      <w:r w:rsidRPr="00874BD1">
        <w:t xml:space="preserve"> proposed corporate income tax allowance by analysing </w:t>
      </w:r>
      <w:r>
        <w:t>the</w:t>
      </w:r>
      <w:r w:rsidRPr="00874BD1">
        <w:t xml:space="preserve"> proposed inputs to the PTRM for calculating the tax allowance. These inputs include: </w:t>
      </w:r>
    </w:p>
    <w:p w:rsidR="0088341A" w:rsidRPr="002F6E9D" w:rsidRDefault="0088341A" w:rsidP="0088341A">
      <w:pPr>
        <w:pStyle w:val="AERbulletlistfirststyle"/>
      </w:pPr>
      <w:r>
        <w:t>T</w:t>
      </w:r>
      <w:r w:rsidRPr="00874BD1">
        <w:t xml:space="preserve">he opening </w:t>
      </w:r>
      <w:r>
        <w:t>TAB</w:t>
      </w:r>
      <w:r w:rsidRPr="00874BD1">
        <w:t xml:space="preserve"> </w:t>
      </w:r>
      <w:r>
        <w:t xml:space="preserve">as </w:t>
      </w:r>
      <w:r w:rsidRPr="00874BD1">
        <w:t xml:space="preserve">at 1 </w:t>
      </w:r>
      <w:r>
        <w:t>April</w:t>
      </w:r>
      <w:r w:rsidRPr="00874BD1">
        <w:t xml:space="preserve"> </w:t>
      </w:r>
      <w:r>
        <w:t>2014: We consider that t</w:t>
      </w:r>
      <w:r w:rsidRPr="00874BD1">
        <w:t>he roll forward of the opening tax asset base to 1 </w:t>
      </w:r>
      <w:r>
        <w:t xml:space="preserve">April 2014 should be based on the </w:t>
      </w:r>
      <w:r w:rsidRPr="00874BD1">
        <w:t xml:space="preserve">approved opening </w:t>
      </w:r>
      <w:r>
        <w:t>TAB</w:t>
      </w:r>
      <w:r w:rsidRPr="00874BD1">
        <w:t xml:space="preserve"> </w:t>
      </w:r>
      <w:r>
        <w:t xml:space="preserve">as </w:t>
      </w:r>
      <w:r w:rsidRPr="00874BD1">
        <w:t xml:space="preserve">at 1 </w:t>
      </w:r>
      <w:r>
        <w:t>April 2008</w:t>
      </w:r>
      <w:r w:rsidRPr="00874BD1">
        <w:t xml:space="preserve"> and </w:t>
      </w:r>
      <w:r>
        <w:t>SP AusNet's</w:t>
      </w:r>
      <w:r w:rsidRPr="00874BD1">
        <w:t xml:space="preserve"> actual capex in </w:t>
      </w:r>
      <w:r>
        <w:t>the</w:t>
      </w:r>
      <w:r w:rsidRPr="00874BD1">
        <w:t xml:space="preserve"> </w:t>
      </w:r>
      <w:r>
        <w:t>2008–14 regulatory control period</w:t>
      </w:r>
      <w:r w:rsidRPr="00874BD1">
        <w:t xml:space="preserve">.  </w:t>
      </w:r>
    </w:p>
    <w:p w:rsidR="0088341A" w:rsidRPr="002F6E9D" w:rsidRDefault="0088341A" w:rsidP="0088341A">
      <w:pPr>
        <w:pStyle w:val="AERbulletlistfirststyle"/>
      </w:pPr>
      <w:r>
        <w:t>T</w:t>
      </w:r>
      <w:r w:rsidRPr="00D51A2D">
        <w:t>he standard tax asset life for each asset</w:t>
      </w:r>
      <w:r w:rsidRPr="002F6E9D">
        <w:t xml:space="preserve"> class</w:t>
      </w:r>
      <w:r>
        <w:t>: We assess</w:t>
      </w:r>
      <w:r w:rsidRPr="00874BD1">
        <w:t xml:space="preserve"> </w:t>
      </w:r>
      <w:r>
        <w:t>SP AusNet's</w:t>
      </w:r>
      <w:r w:rsidRPr="00874BD1">
        <w:t xml:space="preserve"> proposed standard tax asset lives, where necessary, against those prescribed by the Commi</w:t>
      </w:r>
      <w:r>
        <w:t>ssioner for taxation in Tax R</w:t>
      </w:r>
      <w:r w:rsidRPr="00874BD1">
        <w:t>uling 201</w:t>
      </w:r>
      <w:r>
        <w:t>2</w:t>
      </w:r>
      <w:r w:rsidRPr="00874BD1">
        <w:t>/</w:t>
      </w:r>
      <w:r>
        <w:t xml:space="preserve">2 </w:t>
      </w:r>
      <w:r w:rsidRPr="00AC1105">
        <w:t xml:space="preserve">and the approved standard tax asset lives in the </w:t>
      </w:r>
      <w:r>
        <w:t>2008–14 regulatory</w:t>
      </w:r>
      <w:r w:rsidRPr="00AC1105">
        <w:t xml:space="preserve"> </w:t>
      </w:r>
      <w:r>
        <w:t xml:space="preserve">control </w:t>
      </w:r>
      <w:r w:rsidRPr="00AC1105">
        <w:t>period.</w:t>
      </w:r>
    </w:p>
    <w:p w:rsidR="0088341A" w:rsidRPr="002F6E9D" w:rsidRDefault="0088341A" w:rsidP="0088341A">
      <w:pPr>
        <w:pStyle w:val="AERbulletlistfirststyle"/>
      </w:pPr>
      <w:r>
        <w:t xml:space="preserve">The remaining tax asset life </w:t>
      </w:r>
      <w:r w:rsidRPr="002F6E9D">
        <w:t xml:space="preserve">for each asset class at 1 </w:t>
      </w:r>
      <w:r>
        <w:t>April</w:t>
      </w:r>
      <w:r w:rsidRPr="002F6E9D">
        <w:t xml:space="preserve"> </w:t>
      </w:r>
      <w:r>
        <w:t>2014: Our</w:t>
      </w:r>
      <w:r w:rsidRPr="00874BD1">
        <w:t xml:space="preserve"> preferred method to determine the remaining tax asset lives is the weighted average method.</w:t>
      </w:r>
      <w:r w:rsidRPr="00874BD1">
        <w:rPr>
          <w:rStyle w:val="FootnoteReference"/>
        </w:rPr>
        <w:footnoteReference w:id="442"/>
      </w:r>
      <w:r w:rsidRPr="00874BD1">
        <w:t xml:space="preserve"> </w:t>
      </w:r>
      <w:r>
        <w:t>We consider</w:t>
      </w:r>
      <w:r w:rsidRPr="00874BD1">
        <w:t xml:space="preserve"> the weighted average method provides a better reflection of the mix of assets within an asset class and the effective life of the asset class. </w:t>
      </w:r>
    </w:p>
    <w:p w:rsidR="0088341A" w:rsidRPr="002F6E9D" w:rsidRDefault="0088341A" w:rsidP="0088341A">
      <w:pPr>
        <w:pStyle w:val="AERbulletlistfirststyle"/>
      </w:pPr>
      <w:r>
        <w:t>T</w:t>
      </w:r>
      <w:r w:rsidRPr="00874BD1">
        <w:t>he income tax rate</w:t>
      </w:r>
      <w:r>
        <w:t xml:space="preserve">: </w:t>
      </w:r>
      <w:r w:rsidRPr="002411D5">
        <w:t xml:space="preserve">The statutory income tax rate </w:t>
      </w:r>
      <w:r>
        <w:t>is 30 per cent per year.</w:t>
      </w:r>
    </w:p>
    <w:p w:rsidR="0088341A" w:rsidRPr="00874BD1" w:rsidRDefault="0088341A" w:rsidP="0088341A">
      <w:pPr>
        <w:pStyle w:val="AERbulletlistfirststyle"/>
      </w:pPr>
      <w:r>
        <w:t>The value of gamma: The value of gamma for SP AusNet is 0.65, which is consistent with the value determined in the WACC review.</w:t>
      </w:r>
      <w:r>
        <w:rPr>
          <w:rStyle w:val="FootnoteReference"/>
        </w:rPr>
        <w:footnoteReference w:id="443"/>
      </w:r>
      <w:r>
        <w:t xml:space="preserve"> </w:t>
      </w:r>
    </w:p>
    <w:p w:rsidR="0088341A" w:rsidRPr="003800E4" w:rsidRDefault="0088341A" w:rsidP="0088341A">
      <w:pPr>
        <w:pStyle w:val="Heading2"/>
        <w:numPr>
          <w:ilvl w:val="2"/>
          <w:numId w:val="20"/>
        </w:numPr>
      </w:pPr>
      <w:bookmarkStart w:id="301" w:name="_Toc365283324"/>
      <w:r>
        <w:t>Reasons for draft decision</w:t>
      </w:r>
      <w:bookmarkEnd w:id="301"/>
      <w:r>
        <w:t xml:space="preserve"> </w:t>
      </w:r>
    </w:p>
    <w:p w:rsidR="0088341A" w:rsidRDefault="0088341A" w:rsidP="0088341A">
      <w:pPr>
        <w:pStyle w:val="AERbodytext"/>
        <w:numPr>
          <w:ilvl w:val="0"/>
          <w:numId w:val="1"/>
        </w:numPr>
      </w:pPr>
      <w:r>
        <w:t xml:space="preserve">We do not accept SP AusNet's proposed estimated cost of corporate income tax allowance of $24.6 million ($ nominal) for the 2014–17 regulatory control period. This is because we adjusted several of SP AusNet's proposed inputs to the PTRM for tax purposes, which include: </w:t>
      </w:r>
    </w:p>
    <w:p w:rsidR="0088341A" w:rsidRDefault="0088341A" w:rsidP="0088341A">
      <w:pPr>
        <w:pStyle w:val="AERbulletlistfirststyle"/>
      </w:pPr>
      <w:r>
        <w:t xml:space="preserve">the opening TAB as at 1 April 2014 (section </w:t>
      </w:r>
      <w:r>
        <w:fldChar w:fldCharType="begin"/>
      </w:r>
      <w:r>
        <w:instrText xml:space="preserve"> REF _Ref360450989 \r \h </w:instrText>
      </w:r>
      <w:r>
        <w:fldChar w:fldCharType="separate"/>
      </w:r>
      <w:r w:rsidR="004F35AA">
        <w:t>7.4.1</w:t>
      </w:r>
      <w:r>
        <w:fldChar w:fldCharType="end"/>
      </w:r>
      <w:r>
        <w:t>)</w:t>
      </w:r>
    </w:p>
    <w:p w:rsidR="0088341A" w:rsidRDefault="0088341A" w:rsidP="0088341A">
      <w:pPr>
        <w:pStyle w:val="AERbulletlistfirststyle"/>
      </w:pPr>
      <w:r>
        <w:t xml:space="preserve">the remaining tax asset lives at 1 April 2014 for several asset classes (section </w:t>
      </w:r>
      <w:r>
        <w:fldChar w:fldCharType="begin"/>
      </w:r>
      <w:r>
        <w:instrText xml:space="preserve"> REF _Ref360450719 \r \h </w:instrText>
      </w:r>
      <w:r>
        <w:fldChar w:fldCharType="separate"/>
      </w:r>
      <w:r w:rsidR="004F35AA">
        <w:t>7.4.3</w:t>
      </w:r>
      <w:r>
        <w:fldChar w:fldCharType="end"/>
      </w:r>
      <w:r>
        <w:t>)</w:t>
      </w:r>
    </w:p>
    <w:p w:rsidR="0088341A" w:rsidRDefault="0088341A" w:rsidP="0088341A">
      <w:pPr>
        <w:pStyle w:val="AERbulletlistfirststyle"/>
        <w:numPr>
          <w:ilvl w:val="0"/>
          <w:numId w:val="0"/>
        </w:numPr>
      </w:pPr>
      <w:r>
        <w:t>Our determinations on other building blocks including forecast opex (attachment 3) and forecast capex (attachment 2) also impact the estimated corporate income tax allowance.</w:t>
      </w:r>
      <w:r>
        <w:rPr>
          <w:rStyle w:val="FootnoteReference"/>
        </w:rPr>
        <w:footnoteReference w:id="444"/>
      </w:r>
      <w:r>
        <w:t xml:space="preserve"> </w:t>
      </w:r>
    </w:p>
    <w:p w:rsidR="0088341A" w:rsidRDefault="0088341A" w:rsidP="0088341A">
      <w:pPr>
        <w:pStyle w:val="AERbodytext"/>
        <w:numPr>
          <w:ilvl w:val="0"/>
          <w:numId w:val="1"/>
        </w:numPr>
      </w:pPr>
      <w:r>
        <w:lastRenderedPageBreak/>
        <w:t xml:space="preserve">We determine the estimated cost of corporate income tax of SP AusNet to be $24.8 </w:t>
      </w:r>
      <w:r w:rsidRPr="00121D13">
        <w:t>million (</w:t>
      </w:r>
      <w:r>
        <w:t xml:space="preserve">$ nominal), which represents an increase </w:t>
      </w:r>
      <w:r w:rsidRPr="00121D13">
        <w:t>of $</w:t>
      </w:r>
      <w:r>
        <w:t>0.3</w:t>
      </w:r>
      <w:r w:rsidRPr="00121D13">
        <w:t xml:space="preserve"> million (or </w:t>
      </w:r>
      <w:r>
        <w:t xml:space="preserve">1.0 </w:t>
      </w:r>
      <w:r w:rsidRPr="00121D13">
        <w:t>per cent) to the propos</w:t>
      </w:r>
      <w:r>
        <w:t>al</w:t>
      </w:r>
      <w:r w:rsidRPr="00121D13">
        <w:t>.</w:t>
      </w:r>
    </w:p>
    <w:p w:rsidR="0088341A" w:rsidRPr="00A907E9" w:rsidRDefault="0088341A" w:rsidP="0088341A">
      <w:pPr>
        <w:pStyle w:val="Heading3"/>
        <w:numPr>
          <w:ilvl w:val="3"/>
          <w:numId w:val="20"/>
        </w:numPr>
      </w:pPr>
      <w:bookmarkStart w:id="302" w:name="_Ref360450989"/>
      <w:r w:rsidRPr="00A907E9">
        <w:t>Tax asset base as at 1 April 2014</w:t>
      </w:r>
      <w:bookmarkEnd w:id="302"/>
    </w:p>
    <w:p w:rsidR="0088341A" w:rsidRDefault="0088341A" w:rsidP="0088341A">
      <w:pPr>
        <w:pStyle w:val="AERbodytext"/>
        <w:numPr>
          <w:ilvl w:val="0"/>
          <w:numId w:val="1"/>
        </w:numPr>
      </w:pPr>
      <w:r>
        <w:t>We accept SP AusNet's proposed method to establish the opening TAB as at 1 April 2014. However, we increased SP AusNet's proposed opening TAB to $2199 million ($ nominal) from $2171 million.  This increase is due to some adjustments we made in the RFM.  In the RAB roll forward, we decided to capitalise the perpetuity equity raising costs provided for SP AusNet in the ACCC's 2002 revenue cap decision. Therefore, we included $53.4 million to the opening TAB to be consistent with the adjustment made to the RAB.  Our adjustments to the</w:t>
      </w:r>
      <w:r w:rsidRPr="007E3333">
        <w:t xml:space="preserve"> actual capex values</w:t>
      </w:r>
      <w:r>
        <w:t xml:space="preserve"> in the RFM also affect the opening TAB value.  </w:t>
      </w:r>
    </w:p>
    <w:p w:rsidR="0088341A" w:rsidRDefault="0088341A" w:rsidP="0088341A">
      <w:pPr>
        <w:pStyle w:val="AERbodytext"/>
        <w:numPr>
          <w:ilvl w:val="0"/>
          <w:numId w:val="1"/>
        </w:numPr>
      </w:pPr>
      <w:r>
        <w:fldChar w:fldCharType="begin"/>
      </w:r>
      <w:r>
        <w:instrText xml:space="preserve"> REF _Ref340070038 \h </w:instrText>
      </w:r>
      <w:r>
        <w:fldChar w:fldCharType="separate"/>
      </w:r>
      <w:r w:rsidR="004F35AA">
        <w:t xml:space="preserve">Table </w:t>
      </w:r>
      <w:r w:rsidR="004F35AA">
        <w:rPr>
          <w:noProof/>
        </w:rPr>
        <w:t>7</w:t>
      </w:r>
      <w:r w:rsidR="004F35AA">
        <w:t>.</w:t>
      </w:r>
      <w:r w:rsidR="004F35AA">
        <w:rPr>
          <w:noProof/>
        </w:rPr>
        <w:t>3</w:t>
      </w:r>
      <w:r>
        <w:fldChar w:fldCharType="end"/>
      </w:r>
      <w:r>
        <w:t xml:space="preserve"> sets out our</w:t>
      </w:r>
      <w:r w:rsidRPr="008F1E6A">
        <w:t xml:space="preserve"> draft decision on </w:t>
      </w:r>
      <w:r>
        <w:t>the roll forward of</w:t>
      </w:r>
      <w:r w:rsidRPr="008F1E6A">
        <w:t xml:space="preserve"> </w:t>
      </w:r>
      <w:r>
        <w:t>SP AusNet's</w:t>
      </w:r>
      <w:r w:rsidRPr="008F1E6A">
        <w:t xml:space="preserve"> </w:t>
      </w:r>
      <w:r>
        <w:t>TAB for the 2008–14 regulatory control period</w:t>
      </w:r>
      <w:r w:rsidRPr="008F1E6A">
        <w:t>.</w:t>
      </w:r>
      <w:r>
        <w:t xml:space="preserve"> </w:t>
      </w:r>
    </w:p>
    <w:p w:rsidR="0088341A" w:rsidRDefault="0088341A" w:rsidP="0088341A">
      <w:pPr>
        <w:pStyle w:val="Caption"/>
      </w:pPr>
      <w:bookmarkStart w:id="303" w:name="_Ref340070038"/>
      <w:r>
        <w:t xml:space="preserve">Table </w:t>
      </w:r>
      <w:fldSimple w:instr=" STYLEREF 1 \s ">
        <w:r w:rsidR="004F35AA">
          <w:rPr>
            <w:noProof/>
          </w:rPr>
          <w:t>7</w:t>
        </w:r>
      </w:fldSimple>
      <w:r w:rsidR="00C56A87">
        <w:t>.</w:t>
      </w:r>
      <w:fldSimple w:instr=" SEQ Table \* ARABIC \s 1 ">
        <w:r w:rsidR="004F35AA">
          <w:rPr>
            <w:noProof/>
          </w:rPr>
          <w:t>3</w:t>
        </w:r>
      </w:fldSimple>
      <w:bookmarkEnd w:id="303"/>
      <w:r>
        <w:tab/>
        <w:t>AER's draft decision on SP AusNet's tax asset base roll forward ($ million,</w:t>
      </w:r>
      <w:r w:rsidR="00F432A6">
        <w:t> </w:t>
      </w:r>
      <w:r>
        <w:t>nominal)</w:t>
      </w:r>
    </w:p>
    <w:tbl>
      <w:tblPr>
        <w:tblStyle w:val="AERtable-text"/>
        <w:tblW w:w="5000" w:type="pct"/>
        <w:tblLayout w:type="fixed"/>
        <w:tblLook w:val="01E0" w:firstRow="1" w:lastRow="1" w:firstColumn="1" w:lastColumn="1" w:noHBand="0" w:noVBand="0"/>
      </w:tblPr>
      <w:tblGrid>
        <w:gridCol w:w="1952"/>
        <w:gridCol w:w="991"/>
        <w:gridCol w:w="1277"/>
        <w:gridCol w:w="1133"/>
        <w:gridCol w:w="1279"/>
        <w:gridCol w:w="1305"/>
        <w:gridCol w:w="1305"/>
      </w:tblGrid>
      <w:tr w:rsidR="008042D3" w:rsidRPr="00F432A6" w:rsidTr="00F432A6">
        <w:trPr>
          <w:cnfStyle w:val="100000000000" w:firstRow="1" w:lastRow="0" w:firstColumn="0" w:lastColumn="0" w:oddVBand="0" w:evenVBand="0" w:oddHBand="0" w:evenHBand="0" w:firstRowFirstColumn="0" w:firstRowLastColumn="0" w:lastRowFirstColumn="0" w:lastRowLastColumn="0"/>
        </w:trPr>
        <w:tc>
          <w:tcPr>
            <w:tcW w:w="1056" w:type="pct"/>
          </w:tcPr>
          <w:p w:rsidR="0088341A" w:rsidRPr="00F432A6" w:rsidRDefault="0088341A" w:rsidP="00F432A6">
            <w:pPr>
              <w:pStyle w:val="AERtabletextleft"/>
            </w:pPr>
          </w:p>
        </w:tc>
        <w:tc>
          <w:tcPr>
            <w:tcW w:w="536" w:type="pct"/>
          </w:tcPr>
          <w:p w:rsidR="0088341A" w:rsidRPr="00F432A6" w:rsidRDefault="0088341A" w:rsidP="00F432A6">
            <w:pPr>
              <w:pStyle w:val="AERtabletextright"/>
            </w:pPr>
            <w:r w:rsidRPr="00F432A6">
              <w:t>2008</w:t>
            </w:r>
            <w:r w:rsidRPr="00F432A6">
              <w:rPr>
                <w:rFonts w:hint="eastAsia"/>
              </w:rPr>
              <w:t>–</w:t>
            </w:r>
            <w:r w:rsidRPr="00F432A6">
              <w:t>09</w:t>
            </w:r>
          </w:p>
        </w:tc>
        <w:tc>
          <w:tcPr>
            <w:tcW w:w="691" w:type="pct"/>
          </w:tcPr>
          <w:p w:rsidR="0088341A" w:rsidRPr="00F432A6" w:rsidRDefault="0088341A" w:rsidP="00F432A6">
            <w:pPr>
              <w:pStyle w:val="AERtabletextright"/>
            </w:pPr>
            <w:r w:rsidRPr="00F432A6">
              <w:t>2009</w:t>
            </w:r>
            <w:r w:rsidRPr="00F432A6">
              <w:rPr>
                <w:rFonts w:hint="eastAsia"/>
              </w:rPr>
              <w:t>–</w:t>
            </w:r>
            <w:r w:rsidRPr="00F432A6">
              <w:t>10</w:t>
            </w:r>
          </w:p>
        </w:tc>
        <w:tc>
          <w:tcPr>
            <w:tcW w:w="613" w:type="pct"/>
          </w:tcPr>
          <w:p w:rsidR="0088341A" w:rsidRPr="00F432A6" w:rsidRDefault="0088341A" w:rsidP="00F432A6">
            <w:pPr>
              <w:pStyle w:val="AERtabletextright"/>
            </w:pPr>
            <w:r w:rsidRPr="00F432A6">
              <w:t>2010</w:t>
            </w:r>
            <w:r w:rsidRPr="00F432A6">
              <w:rPr>
                <w:rFonts w:hint="eastAsia"/>
              </w:rPr>
              <w:t>–</w:t>
            </w:r>
            <w:r w:rsidRPr="00F432A6">
              <w:t>11</w:t>
            </w:r>
          </w:p>
        </w:tc>
        <w:tc>
          <w:tcPr>
            <w:tcW w:w="692" w:type="pct"/>
          </w:tcPr>
          <w:p w:rsidR="0088341A" w:rsidRPr="00F432A6" w:rsidRDefault="0088341A" w:rsidP="00F432A6">
            <w:pPr>
              <w:pStyle w:val="AERtabletextright"/>
            </w:pPr>
            <w:r w:rsidRPr="00F432A6">
              <w:t>2011</w:t>
            </w:r>
            <w:r w:rsidRPr="00F432A6">
              <w:rPr>
                <w:rFonts w:hint="eastAsia"/>
              </w:rPr>
              <w:t>–</w:t>
            </w:r>
            <w:r w:rsidRPr="00F432A6">
              <w:t>12</w:t>
            </w:r>
          </w:p>
        </w:tc>
        <w:tc>
          <w:tcPr>
            <w:tcW w:w="706" w:type="pct"/>
          </w:tcPr>
          <w:p w:rsidR="0088341A" w:rsidRPr="00F432A6" w:rsidRDefault="0088341A" w:rsidP="00F432A6">
            <w:pPr>
              <w:pStyle w:val="AERtabletextright"/>
            </w:pPr>
            <w:r w:rsidRPr="00F432A6">
              <w:t>2012</w:t>
            </w:r>
            <w:r w:rsidRPr="00F432A6">
              <w:rPr>
                <w:rFonts w:hint="eastAsia"/>
              </w:rPr>
              <w:t>–</w:t>
            </w:r>
            <w:r w:rsidRPr="00F432A6">
              <w:t>13</w:t>
            </w:r>
          </w:p>
        </w:tc>
        <w:tc>
          <w:tcPr>
            <w:tcW w:w="706" w:type="pct"/>
          </w:tcPr>
          <w:p w:rsidR="0088341A" w:rsidRPr="00F432A6" w:rsidRDefault="0088341A" w:rsidP="00F432A6">
            <w:pPr>
              <w:pStyle w:val="AERtabletextright"/>
            </w:pPr>
            <w:r w:rsidRPr="00F432A6">
              <w:t>2013</w:t>
            </w:r>
            <w:r w:rsidRPr="00F432A6">
              <w:rPr>
                <w:rFonts w:hint="eastAsia"/>
              </w:rPr>
              <w:t>–</w:t>
            </w:r>
            <w:r w:rsidRPr="00F432A6">
              <w:t>14</w:t>
            </w:r>
          </w:p>
        </w:tc>
      </w:tr>
      <w:tr w:rsidR="008042D3" w:rsidRPr="00F432A6" w:rsidTr="00F432A6">
        <w:tc>
          <w:tcPr>
            <w:tcW w:w="1056" w:type="pct"/>
          </w:tcPr>
          <w:p w:rsidR="0088341A" w:rsidRPr="00F432A6" w:rsidRDefault="0088341A" w:rsidP="00F432A6">
            <w:pPr>
              <w:pStyle w:val="AERtabletextleft"/>
            </w:pPr>
            <w:r w:rsidRPr="00F432A6">
              <w:t>Opening TAB</w:t>
            </w:r>
          </w:p>
        </w:tc>
        <w:tc>
          <w:tcPr>
            <w:tcW w:w="536" w:type="pct"/>
          </w:tcPr>
          <w:p w:rsidR="0088341A" w:rsidRPr="00F432A6" w:rsidRDefault="0088341A" w:rsidP="00F432A6">
            <w:pPr>
              <w:pStyle w:val="AERtabletextright"/>
            </w:pPr>
            <w:r w:rsidRPr="00F432A6">
              <w:t>1888.5</w:t>
            </w:r>
          </w:p>
        </w:tc>
        <w:tc>
          <w:tcPr>
            <w:tcW w:w="691" w:type="pct"/>
          </w:tcPr>
          <w:p w:rsidR="0088341A" w:rsidRPr="00F432A6" w:rsidRDefault="0088341A" w:rsidP="00F432A6">
            <w:pPr>
              <w:pStyle w:val="AERtabletextright"/>
            </w:pPr>
            <w:r w:rsidRPr="00F432A6">
              <w:t>1858.2</w:t>
            </w:r>
          </w:p>
        </w:tc>
        <w:tc>
          <w:tcPr>
            <w:tcW w:w="613" w:type="pct"/>
          </w:tcPr>
          <w:p w:rsidR="0088341A" w:rsidRPr="00F432A6" w:rsidRDefault="0088341A" w:rsidP="00F432A6">
            <w:pPr>
              <w:pStyle w:val="AERtabletextright"/>
            </w:pPr>
            <w:r w:rsidRPr="00F432A6">
              <w:t>1869.6</w:t>
            </w:r>
          </w:p>
        </w:tc>
        <w:tc>
          <w:tcPr>
            <w:tcW w:w="692" w:type="pct"/>
          </w:tcPr>
          <w:p w:rsidR="0088341A" w:rsidRPr="00F432A6" w:rsidRDefault="0088341A" w:rsidP="00F432A6">
            <w:pPr>
              <w:pStyle w:val="AERtabletextright"/>
            </w:pPr>
            <w:r w:rsidRPr="00F432A6">
              <w:t>1897.9</w:t>
            </w:r>
          </w:p>
        </w:tc>
        <w:tc>
          <w:tcPr>
            <w:tcW w:w="706" w:type="pct"/>
          </w:tcPr>
          <w:p w:rsidR="0088341A" w:rsidRPr="00F432A6" w:rsidRDefault="0088341A" w:rsidP="00F432A6">
            <w:pPr>
              <w:pStyle w:val="AERtabletextright"/>
            </w:pPr>
            <w:r w:rsidRPr="00F432A6">
              <w:t>1933.5</w:t>
            </w:r>
          </w:p>
        </w:tc>
        <w:tc>
          <w:tcPr>
            <w:tcW w:w="706" w:type="pct"/>
          </w:tcPr>
          <w:p w:rsidR="0088341A" w:rsidRPr="00F432A6" w:rsidRDefault="0088341A" w:rsidP="00F432A6">
            <w:pPr>
              <w:pStyle w:val="AERtabletextright"/>
            </w:pPr>
            <w:r w:rsidRPr="00F432A6">
              <w:t>1983.9</w:t>
            </w:r>
          </w:p>
        </w:tc>
      </w:tr>
      <w:tr w:rsidR="008042D3" w:rsidRPr="00F432A6" w:rsidTr="00F432A6">
        <w:trPr>
          <w:cnfStyle w:val="000000010000" w:firstRow="0" w:lastRow="0" w:firstColumn="0" w:lastColumn="0" w:oddVBand="0" w:evenVBand="0" w:oddHBand="0" w:evenHBand="1" w:firstRowFirstColumn="0" w:firstRowLastColumn="0" w:lastRowFirstColumn="0" w:lastRowLastColumn="0"/>
        </w:trPr>
        <w:tc>
          <w:tcPr>
            <w:tcW w:w="1056" w:type="pct"/>
          </w:tcPr>
          <w:p w:rsidR="0088341A" w:rsidRPr="00F432A6" w:rsidRDefault="0088341A" w:rsidP="00F432A6">
            <w:pPr>
              <w:pStyle w:val="AERtabletextleft"/>
            </w:pPr>
            <w:r w:rsidRPr="00F432A6">
              <w:t>Capital expenditurea</w:t>
            </w:r>
          </w:p>
        </w:tc>
        <w:tc>
          <w:tcPr>
            <w:tcW w:w="536" w:type="pct"/>
          </w:tcPr>
          <w:p w:rsidR="0088341A" w:rsidRPr="00F432A6" w:rsidRDefault="0088341A" w:rsidP="00F432A6">
            <w:pPr>
              <w:pStyle w:val="AERtabletextright"/>
            </w:pPr>
            <w:r w:rsidRPr="00F432A6">
              <w:t>38.9</w:t>
            </w:r>
          </w:p>
        </w:tc>
        <w:tc>
          <w:tcPr>
            <w:tcW w:w="691" w:type="pct"/>
          </w:tcPr>
          <w:p w:rsidR="0088341A" w:rsidRPr="00F432A6" w:rsidRDefault="0088341A" w:rsidP="00F432A6">
            <w:pPr>
              <w:pStyle w:val="AERtabletextright"/>
            </w:pPr>
            <w:r w:rsidRPr="00F432A6">
              <w:t>82.8</w:t>
            </w:r>
          </w:p>
        </w:tc>
        <w:tc>
          <w:tcPr>
            <w:tcW w:w="613" w:type="pct"/>
          </w:tcPr>
          <w:p w:rsidR="0088341A" w:rsidRPr="00F432A6" w:rsidRDefault="0088341A" w:rsidP="00F432A6">
            <w:pPr>
              <w:pStyle w:val="AERtabletextright"/>
            </w:pPr>
            <w:r w:rsidRPr="00F432A6">
              <w:t>105.1</w:t>
            </w:r>
          </w:p>
        </w:tc>
        <w:tc>
          <w:tcPr>
            <w:tcW w:w="692" w:type="pct"/>
          </w:tcPr>
          <w:p w:rsidR="0088341A" w:rsidRPr="00F432A6" w:rsidRDefault="0088341A" w:rsidP="00F432A6">
            <w:pPr>
              <w:pStyle w:val="AERtabletextright"/>
            </w:pPr>
            <w:r w:rsidRPr="00F432A6">
              <w:t>117.9</w:t>
            </w:r>
          </w:p>
        </w:tc>
        <w:tc>
          <w:tcPr>
            <w:tcW w:w="706" w:type="pct"/>
          </w:tcPr>
          <w:p w:rsidR="0088341A" w:rsidRPr="00F432A6" w:rsidRDefault="0088341A" w:rsidP="00F432A6">
            <w:pPr>
              <w:pStyle w:val="AERtabletextright"/>
            </w:pPr>
            <w:r w:rsidRPr="00F432A6">
              <w:t>138.5b</w:t>
            </w:r>
          </w:p>
        </w:tc>
        <w:tc>
          <w:tcPr>
            <w:tcW w:w="706" w:type="pct"/>
          </w:tcPr>
          <w:p w:rsidR="0088341A" w:rsidRPr="00F432A6" w:rsidRDefault="0088341A" w:rsidP="00F432A6">
            <w:pPr>
              <w:pStyle w:val="AERtabletextright"/>
            </w:pPr>
            <w:r w:rsidRPr="00F432A6">
              <w:t>137.2b</w:t>
            </w:r>
          </w:p>
        </w:tc>
      </w:tr>
      <w:tr w:rsidR="008042D3" w:rsidRPr="00F432A6" w:rsidTr="00F432A6">
        <w:tc>
          <w:tcPr>
            <w:tcW w:w="1056" w:type="pct"/>
          </w:tcPr>
          <w:p w:rsidR="0088341A" w:rsidRPr="00F432A6" w:rsidRDefault="0088341A" w:rsidP="00F432A6">
            <w:pPr>
              <w:pStyle w:val="AERtabletextleft"/>
            </w:pPr>
            <w:r w:rsidRPr="00F432A6">
              <w:t>Tax depreciation</w:t>
            </w:r>
          </w:p>
        </w:tc>
        <w:tc>
          <w:tcPr>
            <w:tcW w:w="536" w:type="pct"/>
          </w:tcPr>
          <w:p w:rsidR="0088341A" w:rsidRPr="00F432A6" w:rsidRDefault="0088341A" w:rsidP="00F432A6">
            <w:pPr>
              <w:pStyle w:val="AERtabletextright"/>
            </w:pPr>
            <w:r w:rsidRPr="00F432A6">
              <w:rPr>
                <w:rFonts w:hint="eastAsia"/>
              </w:rPr>
              <w:t>–</w:t>
            </w:r>
            <w:r w:rsidRPr="00F432A6">
              <w:t>69.3</w:t>
            </w:r>
          </w:p>
        </w:tc>
        <w:tc>
          <w:tcPr>
            <w:tcW w:w="691" w:type="pct"/>
          </w:tcPr>
          <w:p w:rsidR="0088341A" w:rsidRPr="00F432A6" w:rsidRDefault="0088341A" w:rsidP="00F432A6">
            <w:pPr>
              <w:pStyle w:val="AERtabletextright"/>
            </w:pPr>
            <w:r w:rsidRPr="00F432A6">
              <w:rPr>
                <w:rFonts w:hint="eastAsia"/>
              </w:rPr>
              <w:t>–</w:t>
            </w:r>
            <w:r w:rsidRPr="00F432A6">
              <w:t>71.3</w:t>
            </w:r>
          </w:p>
        </w:tc>
        <w:tc>
          <w:tcPr>
            <w:tcW w:w="613" w:type="pct"/>
          </w:tcPr>
          <w:p w:rsidR="0088341A" w:rsidRPr="00F432A6" w:rsidRDefault="0088341A" w:rsidP="00F432A6">
            <w:pPr>
              <w:pStyle w:val="AERtabletextright"/>
            </w:pPr>
            <w:r w:rsidRPr="00F432A6">
              <w:rPr>
                <w:rFonts w:hint="eastAsia"/>
              </w:rPr>
              <w:t>–</w:t>
            </w:r>
            <w:r w:rsidRPr="00F432A6">
              <w:t>76.9</w:t>
            </w:r>
          </w:p>
        </w:tc>
        <w:tc>
          <w:tcPr>
            <w:tcW w:w="692" w:type="pct"/>
          </w:tcPr>
          <w:p w:rsidR="0088341A" w:rsidRPr="00F432A6" w:rsidRDefault="0088341A" w:rsidP="00F432A6">
            <w:pPr>
              <w:pStyle w:val="AERtabletextright"/>
            </w:pPr>
            <w:r w:rsidRPr="00F432A6">
              <w:rPr>
                <w:rFonts w:hint="eastAsia"/>
              </w:rPr>
              <w:t>–</w:t>
            </w:r>
            <w:r w:rsidRPr="00F432A6">
              <w:t>82.3</w:t>
            </w:r>
          </w:p>
        </w:tc>
        <w:tc>
          <w:tcPr>
            <w:tcW w:w="706" w:type="pct"/>
          </w:tcPr>
          <w:p w:rsidR="0088341A" w:rsidRPr="00F432A6" w:rsidRDefault="0088341A" w:rsidP="00F432A6">
            <w:pPr>
              <w:pStyle w:val="AERtabletextright"/>
            </w:pPr>
            <w:r w:rsidRPr="00F432A6">
              <w:rPr>
                <w:rFonts w:hint="eastAsia"/>
              </w:rPr>
              <w:t>–</w:t>
            </w:r>
            <w:r w:rsidRPr="00F432A6">
              <w:t>88.1</w:t>
            </w:r>
          </w:p>
        </w:tc>
        <w:tc>
          <w:tcPr>
            <w:tcW w:w="706" w:type="pct"/>
          </w:tcPr>
          <w:p w:rsidR="0088341A" w:rsidRPr="00F432A6" w:rsidRDefault="0088341A" w:rsidP="00F432A6">
            <w:pPr>
              <w:pStyle w:val="AERtabletextright"/>
            </w:pPr>
            <w:r w:rsidRPr="00F432A6">
              <w:rPr>
                <w:rFonts w:hint="eastAsia"/>
              </w:rPr>
              <w:t>–</w:t>
            </w:r>
            <w:r w:rsidRPr="00F432A6">
              <w:t>95.9</w:t>
            </w:r>
          </w:p>
        </w:tc>
      </w:tr>
      <w:tr w:rsidR="008042D3" w:rsidRPr="00F432A6" w:rsidTr="00F432A6">
        <w:trPr>
          <w:cnfStyle w:val="000000010000" w:firstRow="0" w:lastRow="0" w:firstColumn="0" w:lastColumn="0" w:oddVBand="0" w:evenVBand="0" w:oddHBand="0" w:evenHBand="1" w:firstRowFirstColumn="0" w:firstRowLastColumn="0" w:lastRowFirstColumn="0" w:lastRowLastColumn="0"/>
        </w:trPr>
        <w:tc>
          <w:tcPr>
            <w:tcW w:w="1056" w:type="pct"/>
          </w:tcPr>
          <w:p w:rsidR="0088341A" w:rsidRPr="00F432A6" w:rsidRDefault="0088341A" w:rsidP="00F432A6">
            <w:pPr>
              <w:pStyle w:val="AERtabletextleft"/>
            </w:pPr>
            <w:r w:rsidRPr="00F432A6">
              <w:t>Opening Group 3 tax asset value as at 1 April 2014</w:t>
            </w:r>
          </w:p>
        </w:tc>
        <w:tc>
          <w:tcPr>
            <w:tcW w:w="536" w:type="pct"/>
          </w:tcPr>
          <w:p w:rsidR="0088341A" w:rsidRPr="00F432A6" w:rsidRDefault="0088341A" w:rsidP="00F432A6">
            <w:pPr>
              <w:pStyle w:val="AERtabletextright"/>
            </w:pPr>
          </w:p>
        </w:tc>
        <w:tc>
          <w:tcPr>
            <w:tcW w:w="691" w:type="pct"/>
          </w:tcPr>
          <w:p w:rsidR="0088341A" w:rsidRPr="00F432A6" w:rsidRDefault="0088341A" w:rsidP="00F432A6">
            <w:pPr>
              <w:pStyle w:val="AERtabletextright"/>
            </w:pPr>
          </w:p>
        </w:tc>
        <w:tc>
          <w:tcPr>
            <w:tcW w:w="613" w:type="pct"/>
          </w:tcPr>
          <w:p w:rsidR="0088341A" w:rsidRPr="00F432A6" w:rsidRDefault="0088341A" w:rsidP="00F432A6">
            <w:pPr>
              <w:pStyle w:val="AERtabletextright"/>
            </w:pPr>
          </w:p>
        </w:tc>
        <w:tc>
          <w:tcPr>
            <w:tcW w:w="692" w:type="pct"/>
          </w:tcPr>
          <w:p w:rsidR="0088341A" w:rsidRPr="00F432A6" w:rsidRDefault="0088341A" w:rsidP="00F432A6">
            <w:pPr>
              <w:pStyle w:val="AERtabletextright"/>
            </w:pPr>
          </w:p>
        </w:tc>
        <w:tc>
          <w:tcPr>
            <w:tcW w:w="706" w:type="pct"/>
          </w:tcPr>
          <w:p w:rsidR="0088341A" w:rsidRPr="00F432A6" w:rsidRDefault="0088341A" w:rsidP="00F432A6">
            <w:pPr>
              <w:pStyle w:val="AERtabletextright"/>
            </w:pPr>
          </w:p>
        </w:tc>
        <w:tc>
          <w:tcPr>
            <w:tcW w:w="706" w:type="pct"/>
          </w:tcPr>
          <w:p w:rsidR="0088341A" w:rsidRPr="00F432A6" w:rsidRDefault="0088341A" w:rsidP="00F432A6">
            <w:pPr>
              <w:pStyle w:val="AERtabletextright"/>
            </w:pPr>
            <w:r w:rsidRPr="00F432A6">
              <w:t>120.2</w:t>
            </w:r>
          </w:p>
        </w:tc>
      </w:tr>
      <w:tr w:rsidR="008042D3" w:rsidRPr="00F432A6" w:rsidTr="00F432A6">
        <w:tc>
          <w:tcPr>
            <w:tcW w:w="1056" w:type="pct"/>
          </w:tcPr>
          <w:p w:rsidR="0088341A" w:rsidRPr="00F432A6" w:rsidRDefault="0088341A" w:rsidP="00F432A6">
            <w:pPr>
              <w:pStyle w:val="AERtabletextleft"/>
            </w:pPr>
            <w:r w:rsidRPr="00F432A6">
              <w:t>Equity raising costs (2003</w:t>
            </w:r>
            <w:r w:rsidRPr="00F432A6">
              <w:rPr>
                <w:rFonts w:hint="eastAsia"/>
              </w:rPr>
              <w:t>–</w:t>
            </w:r>
            <w:r w:rsidRPr="00F432A6">
              <w:t>08)</w:t>
            </w:r>
          </w:p>
        </w:tc>
        <w:tc>
          <w:tcPr>
            <w:tcW w:w="536" w:type="pct"/>
          </w:tcPr>
          <w:p w:rsidR="0088341A" w:rsidRPr="00F432A6" w:rsidRDefault="0088341A" w:rsidP="00F432A6">
            <w:pPr>
              <w:pStyle w:val="AERtabletextright"/>
            </w:pPr>
          </w:p>
        </w:tc>
        <w:tc>
          <w:tcPr>
            <w:tcW w:w="691" w:type="pct"/>
          </w:tcPr>
          <w:p w:rsidR="0088341A" w:rsidRPr="00F432A6" w:rsidRDefault="0088341A" w:rsidP="00F432A6">
            <w:pPr>
              <w:pStyle w:val="AERtabletextright"/>
            </w:pPr>
          </w:p>
        </w:tc>
        <w:tc>
          <w:tcPr>
            <w:tcW w:w="613" w:type="pct"/>
          </w:tcPr>
          <w:p w:rsidR="0088341A" w:rsidRPr="00F432A6" w:rsidRDefault="0088341A" w:rsidP="00F432A6">
            <w:pPr>
              <w:pStyle w:val="AERtabletextright"/>
            </w:pPr>
          </w:p>
        </w:tc>
        <w:tc>
          <w:tcPr>
            <w:tcW w:w="692" w:type="pct"/>
          </w:tcPr>
          <w:p w:rsidR="0088341A" w:rsidRPr="00F432A6" w:rsidRDefault="0088341A" w:rsidP="00F432A6">
            <w:pPr>
              <w:pStyle w:val="AERtabletextright"/>
            </w:pPr>
          </w:p>
        </w:tc>
        <w:tc>
          <w:tcPr>
            <w:tcW w:w="706" w:type="pct"/>
          </w:tcPr>
          <w:p w:rsidR="0088341A" w:rsidRPr="00F432A6" w:rsidRDefault="0088341A" w:rsidP="00F432A6">
            <w:pPr>
              <w:pStyle w:val="AERtabletextright"/>
            </w:pPr>
          </w:p>
        </w:tc>
        <w:tc>
          <w:tcPr>
            <w:tcW w:w="706" w:type="pct"/>
          </w:tcPr>
          <w:p w:rsidR="0088341A" w:rsidRPr="00F432A6" w:rsidRDefault="0088341A" w:rsidP="00F432A6">
            <w:pPr>
              <w:pStyle w:val="AERtabletextright"/>
            </w:pPr>
            <w:r w:rsidRPr="00F432A6">
              <w:t>53.4</w:t>
            </w:r>
          </w:p>
        </w:tc>
      </w:tr>
      <w:tr w:rsidR="008042D3" w:rsidRPr="00F432A6" w:rsidTr="00F432A6">
        <w:trPr>
          <w:cnfStyle w:val="000000010000" w:firstRow="0" w:lastRow="0" w:firstColumn="0" w:lastColumn="0" w:oddVBand="0" w:evenVBand="0" w:oddHBand="0" w:evenHBand="1" w:firstRowFirstColumn="0" w:firstRowLastColumn="0" w:lastRowFirstColumn="0" w:lastRowLastColumn="0"/>
        </w:trPr>
        <w:tc>
          <w:tcPr>
            <w:tcW w:w="1056" w:type="pct"/>
          </w:tcPr>
          <w:p w:rsidR="0088341A" w:rsidRPr="00F432A6" w:rsidRDefault="0088341A" w:rsidP="00F432A6">
            <w:pPr>
              <w:pStyle w:val="AERtabletextleft"/>
            </w:pPr>
            <w:r w:rsidRPr="00F432A6">
              <w:t>Closing TAB</w:t>
            </w:r>
          </w:p>
        </w:tc>
        <w:tc>
          <w:tcPr>
            <w:tcW w:w="536" w:type="pct"/>
          </w:tcPr>
          <w:p w:rsidR="0088341A" w:rsidRPr="00F432A6" w:rsidRDefault="0088341A" w:rsidP="00F432A6">
            <w:pPr>
              <w:pStyle w:val="AERtabletextright"/>
            </w:pPr>
          </w:p>
        </w:tc>
        <w:tc>
          <w:tcPr>
            <w:tcW w:w="691" w:type="pct"/>
          </w:tcPr>
          <w:p w:rsidR="0088341A" w:rsidRPr="00F432A6" w:rsidRDefault="0088341A" w:rsidP="00F432A6">
            <w:pPr>
              <w:pStyle w:val="AERtabletextright"/>
            </w:pPr>
          </w:p>
        </w:tc>
        <w:tc>
          <w:tcPr>
            <w:tcW w:w="613" w:type="pct"/>
          </w:tcPr>
          <w:p w:rsidR="0088341A" w:rsidRPr="00F432A6" w:rsidRDefault="0088341A" w:rsidP="00F432A6">
            <w:pPr>
              <w:pStyle w:val="AERtabletextright"/>
            </w:pPr>
          </w:p>
        </w:tc>
        <w:tc>
          <w:tcPr>
            <w:tcW w:w="692" w:type="pct"/>
          </w:tcPr>
          <w:p w:rsidR="0088341A" w:rsidRPr="00F432A6" w:rsidRDefault="0088341A" w:rsidP="00F432A6">
            <w:pPr>
              <w:pStyle w:val="AERtabletextright"/>
            </w:pPr>
          </w:p>
        </w:tc>
        <w:tc>
          <w:tcPr>
            <w:tcW w:w="706" w:type="pct"/>
          </w:tcPr>
          <w:p w:rsidR="0088341A" w:rsidRPr="00F432A6" w:rsidRDefault="0088341A" w:rsidP="00F432A6">
            <w:pPr>
              <w:pStyle w:val="AERtabletextright"/>
            </w:pPr>
          </w:p>
        </w:tc>
        <w:tc>
          <w:tcPr>
            <w:tcW w:w="706" w:type="pct"/>
          </w:tcPr>
          <w:p w:rsidR="0088341A" w:rsidRPr="00F432A6" w:rsidRDefault="0088341A" w:rsidP="00F432A6">
            <w:pPr>
              <w:pStyle w:val="AERtabletextright"/>
            </w:pPr>
            <w:r w:rsidRPr="00F432A6">
              <w:t>2198.9</w:t>
            </w:r>
          </w:p>
        </w:tc>
      </w:tr>
    </w:tbl>
    <w:p w:rsidR="0088341A" w:rsidRPr="002E066E" w:rsidRDefault="0088341A" w:rsidP="0088341A">
      <w:pPr>
        <w:pStyle w:val="AERtablesource"/>
      </w:pPr>
      <w:r w:rsidRPr="002E066E">
        <w:t xml:space="preserve">Source: </w:t>
      </w:r>
      <w:r w:rsidRPr="002E066E">
        <w:tab/>
        <w:t>AER analysis.</w:t>
      </w:r>
    </w:p>
    <w:p w:rsidR="0088341A" w:rsidRPr="002E066E" w:rsidRDefault="0088341A" w:rsidP="0088341A">
      <w:pPr>
        <w:pStyle w:val="AERtablesource"/>
      </w:pPr>
      <w:r w:rsidRPr="002E066E">
        <w:t>(a)</w:t>
      </w:r>
      <w:r w:rsidRPr="002E066E">
        <w:tab/>
        <w:t>As commissioned, net of disposals.</w:t>
      </w:r>
    </w:p>
    <w:p w:rsidR="0088341A" w:rsidRPr="002E066E" w:rsidRDefault="0088341A" w:rsidP="0088341A">
      <w:pPr>
        <w:pStyle w:val="AERtablesource"/>
      </w:pPr>
      <w:r w:rsidRPr="002E066E">
        <w:t>(b)</w:t>
      </w:r>
      <w:r w:rsidRPr="002E066E">
        <w:tab/>
        <w:t>Based on estimated capex.</w:t>
      </w:r>
    </w:p>
    <w:p w:rsidR="0088341A" w:rsidRPr="00A907E9" w:rsidRDefault="0088341A" w:rsidP="0088341A">
      <w:pPr>
        <w:pStyle w:val="Heading3"/>
        <w:numPr>
          <w:ilvl w:val="3"/>
          <w:numId w:val="20"/>
        </w:numPr>
      </w:pPr>
      <w:bookmarkStart w:id="304" w:name="_Toc308174620"/>
      <w:r w:rsidRPr="00A907E9">
        <w:t>Standard tax asset lives</w:t>
      </w:r>
      <w:bookmarkEnd w:id="304"/>
    </w:p>
    <w:p w:rsidR="0088341A" w:rsidRDefault="0088341A" w:rsidP="0088341A">
      <w:pPr>
        <w:pStyle w:val="AERbodytext"/>
        <w:numPr>
          <w:ilvl w:val="0"/>
          <w:numId w:val="1"/>
        </w:numPr>
      </w:pPr>
      <w:r>
        <w:t>We accept SP AusNet's proposed standard tax asset lives because they are:</w:t>
      </w:r>
    </w:p>
    <w:p w:rsidR="0088341A" w:rsidRDefault="0088341A" w:rsidP="0088341A">
      <w:pPr>
        <w:pStyle w:val="AERbulletlistfirststyle"/>
      </w:pPr>
      <w:r>
        <w:t>broadly consistent with the values</w:t>
      </w:r>
      <w:r w:rsidRPr="00C66116">
        <w:t xml:space="preserve"> </w:t>
      </w:r>
      <w:r>
        <w:t>prescribed by the Commissioner for taxation in tax ruling 2012/2</w:t>
      </w:r>
    </w:p>
    <w:p w:rsidR="0088341A" w:rsidRDefault="0088341A" w:rsidP="0088341A">
      <w:pPr>
        <w:pStyle w:val="AERbulletlistfirststyle"/>
      </w:pPr>
      <w:r>
        <w:t>the same as those</w:t>
      </w:r>
      <w:r w:rsidRPr="00F67996">
        <w:t xml:space="preserve"> approved standard tax asset lives </w:t>
      </w:r>
      <w:r>
        <w:t>for</w:t>
      </w:r>
      <w:r w:rsidRPr="00F67996">
        <w:t xml:space="preserve"> the </w:t>
      </w:r>
      <w:r>
        <w:t>2008–14</w:t>
      </w:r>
      <w:r w:rsidRPr="00F67996">
        <w:t xml:space="preserve"> </w:t>
      </w:r>
      <w:r>
        <w:t>regulatory control</w:t>
      </w:r>
      <w:r w:rsidRPr="00F67996">
        <w:t xml:space="preserve"> period. </w:t>
      </w:r>
    </w:p>
    <w:p w:rsidR="0088341A" w:rsidRDefault="0088341A" w:rsidP="0088341A">
      <w:pPr>
        <w:pStyle w:val="AERbodytext"/>
        <w:numPr>
          <w:ilvl w:val="0"/>
          <w:numId w:val="1"/>
        </w:numPr>
      </w:pPr>
      <w:r>
        <w:t>Also, we determine</w:t>
      </w:r>
      <w:r w:rsidRPr="00C84835">
        <w:t xml:space="preserve">d a standard </w:t>
      </w:r>
      <w:r>
        <w:t xml:space="preserve">tax </w:t>
      </w:r>
      <w:r w:rsidRPr="00C84835">
        <w:t xml:space="preserve">asset life of </w:t>
      </w:r>
      <w:r>
        <w:t>5</w:t>
      </w:r>
      <w:r w:rsidRPr="00C84835">
        <w:t xml:space="preserve"> years for SP AusNet's equity raising costs </w:t>
      </w:r>
      <w:r>
        <w:t xml:space="preserve">asset class </w:t>
      </w:r>
      <w:r w:rsidRPr="00C84835">
        <w:t xml:space="preserve">for </w:t>
      </w:r>
      <w:r>
        <w:t>tax depreciation purposes</w:t>
      </w:r>
      <w:r w:rsidRPr="00C84835">
        <w:t xml:space="preserve">. As discussed in attachment </w:t>
      </w:r>
      <w:r>
        <w:t xml:space="preserve">5, </w:t>
      </w:r>
      <w:r w:rsidRPr="00C84835">
        <w:t xml:space="preserve">we decided to </w:t>
      </w:r>
      <w:r>
        <w:t xml:space="preserve">convert the equity raising costs allowance associated with SP AusNet's revenue cap decision for the 2003–08 regulatory control period from a perpetuity approach to a </w:t>
      </w:r>
      <w:r w:rsidRPr="00C84835">
        <w:t>capitalis</w:t>
      </w:r>
      <w:r>
        <w:t>ation approach</w:t>
      </w:r>
      <w:r w:rsidRPr="00C84835">
        <w:t xml:space="preserve"> </w:t>
      </w:r>
      <w:r>
        <w:t>by establishing a new asset class for these costs</w:t>
      </w:r>
      <w:r w:rsidRPr="00C84835">
        <w:t>.</w:t>
      </w:r>
      <w:r>
        <w:t xml:space="preserve"> The</w:t>
      </w:r>
      <w:r w:rsidRPr="00D22CF8">
        <w:t xml:space="preserve"> A</w:t>
      </w:r>
      <w:r>
        <w:t xml:space="preserve">ustralian </w:t>
      </w:r>
      <w:r w:rsidRPr="00D22CF8">
        <w:t>T</w:t>
      </w:r>
      <w:r>
        <w:t xml:space="preserve">axation </w:t>
      </w:r>
      <w:r w:rsidRPr="00D22CF8">
        <w:t>O</w:t>
      </w:r>
      <w:r>
        <w:t>ffice (ATO)</w:t>
      </w:r>
      <w:r w:rsidRPr="00D22CF8">
        <w:t xml:space="preserve"> requires equity raising costs to </w:t>
      </w:r>
      <w:r>
        <w:t xml:space="preserve">be </w:t>
      </w:r>
      <w:r>
        <w:lastRenderedPageBreak/>
        <w:t>depreciated over a five-year period on a straight-line basis</w:t>
      </w:r>
      <w:r w:rsidRPr="00D22CF8">
        <w:t>.</w:t>
      </w:r>
      <w:r w:rsidRPr="00D22CF8">
        <w:rPr>
          <w:rStyle w:val="FootnoteReference"/>
        </w:rPr>
        <w:footnoteReference w:id="445"/>
      </w:r>
      <w:r w:rsidRPr="00D22CF8">
        <w:t xml:space="preserve"> </w:t>
      </w:r>
      <w:r>
        <w:t xml:space="preserve">In recent transmission determinations, we adopted </w:t>
      </w:r>
      <w:r w:rsidRPr="00D22CF8">
        <w:t xml:space="preserve">a standard </w:t>
      </w:r>
      <w:r>
        <w:t xml:space="preserve">tax asset </w:t>
      </w:r>
      <w:r w:rsidRPr="00D22CF8">
        <w:t xml:space="preserve">life of 5 years for </w:t>
      </w:r>
      <w:r>
        <w:t xml:space="preserve">the </w:t>
      </w:r>
      <w:r w:rsidRPr="00D22CF8">
        <w:t>equity raising cost</w:t>
      </w:r>
      <w:r>
        <w:t xml:space="preserve"> asset clas</w:t>
      </w:r>
      <w:r w:rsidRPr="00D22CF8">
        <w:t>s</w:t>
      </w:r>
      <w:r>
        <w:t xml:space="preserve"> for tax depreciation purposes.</w:t>
      </w:r>
      <w:r>
        <w:rPr>
          <w:rStyle w:val="FootnoteReference"/>
        </w:rPr>
        <w:footnoteReference w:id="446"/>
      </w:r>
      <w:r>
        <w:t xml:space="preserve"> T</w:t>
      </w:r>
      <w:r w:rsidRPr="00D22CF8">
        <w:t>herefore</w:t>
      </w:r>
      <w:r>
        <w:t>,</w:t>
      </w:r>
      <w:r w:rsidRPr="00D22CF8">
        <w:t xml:space="preserve"> </w:t>
      </w:r>
      <w:r>
        <w:t xml:space="preserve">we will </w:t>
      </w:r>
      <w:r w:rsidRPr="00D22CF8">
        <w:t xml:space="preserve">apply </w:t>
      </w:r>
      <w:r>
        <w:t>the same standard tax asset life</w:t>
      </w:r>
      <w:r w:rsidRPr="00D22CF8">
        <w:t xml:space="preserve"> for </w:t>
      </w:r>
      <w:r>
        <w:t xml:space="preserve">SP AusNet for tax depreciation purposes over the 2014–17 regulatory control period. We consider this standard tax asset life provides a better </w:t>
      </w:r>
      <w:r w:rsidRPr="008F1E6A">
        <w:t>estimate</w:t>
      </w:r>
      <w:r>
        <w:t xml:space="preserve"> of the</w:t>
      </w:r>
      <w:r w:rsidRPr="008F1E6A">
        <w:t xml:space="preserve"> </w:t>
      </w:r>
      <w:r>
        <w:t xml:space="preserve">tax depreciation amount </w:t>
      </w:r>
      <w:r w:rsidRPr="008F1E6A">
        <w:t>for a benchmark efficient TNSP</w:t>
      </w:r>
      <w:r>
        <w:t xml:space="preserve"> as required by the NER</w:t>
      </w:r>
      <w:r w:rsidRPr="008F1E6A">
        <w:t>.</w:t>
      </w:r>
      <w:r w:rsidRPr="008F1E6A">
        <w:rPr>
          <w:rStyle w:val="FootnoteReference"/>
        </w:rPr>
        <w:footnoteReference w:id="447"/>
      </w:r>
    </w:p>
    <w:bookmarkStart w:id="305" w:name="_Ref336963305"/>
    <w:p w:rsidR="0088341A" w:rsidRDefault="0088341A" w:rsidP="0088341A">
      <w:pPr>
        <w:pStyle w:val="AERbodytext"/>
        <w:numPr>
          <w:ilvl w:val="0"/>
          <w:numId w:val="1"/>
        </w:numPr>
      </w:pPr>
      <w:r>
        <w:fldChar w:fldCharType="begin"/>
      </w:r>
      <w:r>
        <w:instrText xml:space="preserve"> REF _Ref340070022 \h </w:instrText>
      </w:r>
      <w:r>
        <w:fldChar w:fldCharType="separate"/>
      </w:r>
      <w:r w:rsidR="004F35AA">
        <w:t xml:space="preserve">Table </w:t>
      </w:r>
      <w:r w:rsidR="004F35AA">
        <w:rPr>
          <w:noProof/>
        </w:rPr>
        <w:t>7</w:t>
      </w:r>
      <w:r w:rsidR="004F35AA">
        <w:t>.</w:t>
      </w:r>
      <w:r w:rsidR="004F35AA">
        <w:rPr>
          <w:noProof/>
        </w:rPr>
        <w:t>4</w:t>
      </w:r>
      <w:r>
        <w:fldChar w:fldCharType="end"/>
      </w:r>
      <w:r>
        <w:t xml:space="preserve"> sets out our</w:t>
      </w:r>
      <w:r w:rsidRPr="008F1E6A">
        <w:t xml:space="preserve"> draft decision on </w:t>
      </w:r>
      <w:r>
        <w:t>SP AusNet's</w:t>
      </w:r>
      <w:r w:rsidRPr="008F1E6A">
        <w:t xml:space="preserve"> standard </w:t>
      </w:r>
      <w:r>
        <w:t>tax asset lives for the 2014–17</w:t>
      </w:r>
      <w:r w:rsidRPr="008F1E6A">
        <w:t xml:space="preserve"> regulatory control period.</w:t>
      </w:r>
      <w:bookmarkEnd w:id="305"/>
      <w:r>
        <w:t xml:space="preserve"> </w:t>
      </w:r>
    </w:p>
    <w:p w:rsidR="0088341A" w:rsidRPr="00A907E9" w:rsidRDefault="0088341A" w:rsidP="0088341A">
      <w:pPr>
        <w:pStyle w:val="Heading3"/>
        <w:numPr>
          <w:ilvl w:val="3"/>
          <w:numId w:val="20"/>
        </w:numPr>
      </w:pPr>
      <w:bookmarkStart w:id="306" w:name="_Ref360450719"/>
      <w:r w:rsidRPr="00A907E9">
        <w:t>Remaining tax asset lives</w:t>
      </w:r>
      <w:bookmarkEnd w:id="306"/>
    </w:p>
    <w:p w:rsidR="0088341A" w:rsidRDefault="0088341A" w:rsidP="0088341A">
      <w:pPr>
        <w:pStyle w:val="AERbodytext"/>
        <w:numPr>
          <w:ilvl w:val="0"/>
          <w:numId w:val="1"/>
        </w:numPr>
      </w:pPr>
      <w:r>
        <w:t xml:space="preserve">We accept SP AusNet's proposed weighted average method to calculate the remaining tax asset lives as at 1 April 2014. </w:t>
      </w:r>
      <w:r w:rsidRPr="00642FF6">
        <w:t xml:space="preserve">In accepting the weighted average method, </w:t>
      </w:r>
      <w:r>
        <w:t>we</w:t>
      </w:r>
      <w:r w:rsidRPr="00642FF6">
        <w:t xml:space="preserve"> </w:t>
      </w:r>
      <w:r>
        <w:t>have</w:t>
      </w:r>
      <w:r w:rsidRPr="00642FF6">
        <w:t xml:space="preserve"> updated the proposed </w:t>
      </w:r>
      <w:r>
        <w:t>remaining tax asset lives</w:t>
      </w:r>
      <w:r w:rsidRPr="00642FF6">
        <w:t xml:space="preserve"> to reflect </w:t>
      </w:r>
      <w:r>
        <w:t>our</w:t>
      </w:r>
      <w:r w:rsidRPr="00642FF6">
        <w:t xml:space="preserve"> adjustments to </w:t>
      </w:r>
      <w:r>
        <w:t>SP AusNet's</w:t>
      </w:r>
      <w:r w:rsidRPr="00642FF6">
        <w:t xml:space="preserve"> actual capex in the RFM</w:t>
      </w:r>
      <w:r>
        <w:t xml:space="preserve">, </w:t>
      </w:r>
      <w:r w:rsidRPr="00F64631">
        <w:t>as discussed in attachment</w:t>
      </w:r>
      <w:r>
        <w:t xml:space="preserve"> 7.</w:t>
      </w:r>
      <w:r>
        <w:rPr>
          <w:rStyle w:val="FootnoteReference"/>
        </w:rPr>
        <w:footnoteReference w:id="448"/>
      </w:r>
      <w:r>
        <w:t xml:space="preserve"> This is</w:t>
      </w:r>
      <w:r w:rsidRPr="00C654A2">
        <w:t xml:space="preserve"> because the actual capex values are inputs for calculating the </w:t>
      </w:r>
      <w:r>
        <w:t xml:space="preserve">weighted average remaining tax asset lives in the RFM. </w:t>
      </w:r>
    </w:p>
    <w:p w:rsidR="0088341A" w:rsidRDefault="0088341A" w:rsidP="0088341A">
      <w:pPr>
        <w:pStyle w:val="AERbodytext"/>
        <w:numPr>
          <w:ilvl w:val="0"/>
          <w:numId w:val="1"/>
        </w:numPr>
      </w:pPr>
      <w:r>
        <w:fldChar w:fldCharType="begin"/>
      </w:r>
      <w:r>
        <w:instrText xml:space="preserve"> REF _Ref340070022 \h </w:instrText>
      </w:r>
      <w:r>
        <w:fldChar w:fldCharType="separate"/>
      </w:r>
      <w:r w:rsidR="004F35AA">
        <w:t xml:space="preserve">Table </w:t>
      </w:r>
      <w:r w:rsidR="004F35AA">
        <w:rPr>
          <w:noProof/>
        </w:rPr>
        <w:t>7</w:t>
      </w:r>
      <w:r w:rsidR="004F35AA">
        <w:t>.</w:t>
      </w:r>
      <w:r w:rsidR="004F35AA">
        <w:rPr>
          <w:noProof/>
        </w:rPr>
        <w:t>4</w:t>
      </w:r>
      <w:r>
        <w:fldChar w:fldCharType="end"/>
      </w:r>
      <w:r w:rsidRPr="00F64631">
        <w:t xml:space="preserve"> sets out the </w:t>
      </w:r>
      <w:r>
        <w:t>our</w:t>
      </w:r>
      <w:r w:rsidRPr="00F64631">
        <w:t xml:space="preserve"> draft decision on </w:t>
      </w:r>
      <w:r>
        <w:t>SP AusNet's</w:t>
      </w:r>
      <w:r w:rsidRPr="00F64631">
        <w:t xml:space="preserve"> remaining </w:t>
      </w:r>
      <w:r>
        <w:t xml:space="preserve">tax </w:t>
      </w:r>
      <w:r w:rsidRPr="00F64631">
        <w:t xml:space="preserve">asset lives </w:t>
      </w:r>
      <w:r>
        <w:t xml:space="preserve">as </w:t>
      </w:r>
      <w:r w:rsidRPr="00F64631">
        <w:t xml:space="preserve">at 1 </w:t>
      </w:r>
      <w:r>
        <w:t>April 2014 for the 2014</w:t>
      </w:r>
      <w:r w:rsidRPr="00F64631">
        <w:t>–</w:t>
      </w:r>
      <w:r>
        <w:t>17</w:t>
      </w:r>
      <w:r w:rsidRPr="00F64631">
        <w:t xml:space="preserve"> regulatory control period.</w:t>
      </w:r>
    </w:p>
    <w:p w:rsidR="0088341A" w:rsidRDefault="0088341A" w:rsidP="0088341A">
      <w:pPr>
        <w:pStyle w:val="Caption"/>
        <w:keepLines/>
      </w:pPr>
      <w:bookmarkStart w:id="307" w:name="_Ref340070022"/>
      <w:r>
        <w:lastRenderedPageBreak/>
        <w:t xml:space="preserve">Table </w:t>
      </w:r>
      <w:fldSimple w:instr=" STYLEREF 1 \s ">
        <w:r w:rsidR="004F35AA">
          <w:rPr>
            <w:noProof/>
          </w:rPr>
          <w:t>7</w:t>
        </w:r>
      </w:fldSimple>
      <w:r w:rsidR="00C56A87">
        <w:t>.</w:t>
      </w:r>
      <w:fldSimple w:instr=" SEQ Table \* ARABIC \s 1 ">
        <w:r w:rsidR="004F35AA">
          <w:rPr>
            <w:noProof/>
          </w:rPr>
          <w:t>4</w:t>
        </w:r>
      </w:fldSimple>
      <w:bookmarkEnd w:id="307"/>
      <w:r>
        <w:tab/>
        <w:t>AER's draft decision on SP AusNet's opening tax asset base as at 1 April 2014, standard tax asset lives and remaining tax asset lives as at 1 April 2014</w:t>
      </w:r>
    </w:p>
    <w:tbl>
      <w:tblPr>
        <w:tblW w:w="9180" w:type="dxa"/>
        <w:tblBorders>
          <w:bottom w:val="single" w:sz="4" w:space="0" w:color="365F91"/>
        </w:tblBorders>
        <w:tblLook w:val="01E0" w:firstRow="1" w:lastRow="1" w:firstColumn="1" w:lastColumn="1" w:noHBand="0" w:noVBand="0"/>
      </w:tblPr>
      <w:tblGrid>
        <w:gridCol w:w="4503"/>
        <w:gridCol w:w="2409"/>
        <w:gridCol w:w="2268"/>
      </w:tblGrid>
      <w:tr w:rsidR="0088341A" w:rsidRPr="00257BC0" w:rsidTr="00501137">
        <w:trPr>
          <w:trHeight w:hRule="exact" w:val="1174"/>
        </w:trPr>
        <w:tc>
          <w:tcPr>
            <w:tcW w:w="4503" w:type="dxa"/>
            <w:shd w:val="clear" w:color="auto" w:fill="365F91"/>
            <w:vAlign w:val="center"/>
          </w:tcPr>
          <w:p w:rsidR="0088341A" w:rsidRPr="00A3424B" w:rsidRDefault="0088341A" w:rsidP="00501137">
            <w:pPr>
              <w:pStyle w:val="AERtabletextleft"/>
              <w:keepNext/>
              <w:keepLines/>
              <w:rPr>
                <w:b/>
                <w:color w:val="FFFFFF"/>
              </w:rPr>
            </w:pPr>
            <w:r w:rsidRPr="00A3424B">
              <w:rPr>
                <w:b/>
                <w:color w:val="FFFFFF"/>
              </w:rPr>
              <w:t>Asset class</w:t>
            </w:r>
          </w:p>
        </w:tc>
        <w:tc>
          <w:tcPr>
            <w:tcW w:w="2409" w:type="dxa"/>
            <w:shd w:val="clear" w:color="auto" w:fill="365F91"/>
            <w:vAlign w:val="center"/>
          </w:tcPr>
          <w:p w:rsidR="0088341A" w:rsidRPr="00A3424B" w:rsidRDefault="0088341A" w:rsidP="00501137">
            <w:pPr>
              <w:pStyle w:val="AERtabletextright"/>
              <w:keepNext/>
              <w:keepLines/>
              <w:rPr>
                <w:b/>
                <w:color w:val="FFFFFF"/>
              </w:rPr>
            </w:pPr>
            <w:r w:rsidRPr="00A3424B">
              <w:rPr>
                <w:b/>
                <w:color w:val="FFFFFF"/>
              </w:rPr>
              <w:t>Standard tax asset life (years)</w:t>
            </w:r>
          </w:p>
        </w:tc>
        <w:tc>
          <w:tcPr>
            <w:tcW w:w="2268" w:type="dxa"/>
            <w:shd w:val="clear" w:color="auto" w:fill="365F91"/>
            <w:vAlign w:val="center"/>
          </w:tcPr>
          <w:p w:rsidR="0088341A" w:rsidRPr="00A3424B" w:rsidRDefault="0088341A" w:rsidP="00501137">
            <w:pPr>
              <w:pStyle w:val="AERtabletextright"/>
              <w:keepNext/>
              <w:keepLines/>
              <w:rPr>
                <w:b/>
                <w:color w:val="FFFFFF"/>
              </w:rPr>
            </w:pPr>
            <w:r w:rsidRPr="00A3424B">
              <w:rPr>
                <w:b/>
                <w:color w:val="FFFFFF"/>
              </w:rPr>
              <w:t xml:space="preserve">Remaining tax asset life at </w:t>
            </w:r>
            <w:r w:rsidRPr="00A3424B">
              <w:rPr>
                <w:b/>
                <w:color w:val="FFFFFF"/>
              </w:rPr>
              <w:br/>
              <w:t>1 April 2014 (years)</w:t>
            </w:r>
          </w:p>
        </w:tc>
      </w:tr>
      <w:tr w:rsidR="0088341A" w:rsidRPr="00257BC0" w:rsidTr="00501137">
        <w:trPr>
          <w:trHeight w:hRule="exact" w:val="341"/>
        </w:trPr>
        <w:tc>
          <w:tcPr>
            <w:tcW w:w="4503" w:type="dxa"/>
            <w:shd w:val="clear" w:color="auto" w:fill="auto"/>
            <w:vAlign w:val="center"/>
          </w:tcPr>
          <w:p w:rsidR="0088341A" w:rsidRPr="006C3BCE" w:rsidRDefault="0088341A" w:rsidP="00501137">
            <w:pPr>
              <w:pStyle w:val="AERtabletextleft"/>
              <w:keepNext/>
              <w:keepLines/>
            </w:pPr>
            <w:r>
              <w:t>Secondary</w:t>
            </w:r>
          </w:p>
        </w:tc>
        <w:tc>
          <w:tcPr>
            <w:tcW w:w="2409" w:type="dxa"/>
            <w:shd w:val="clear" w:color="auto" w:fill="auto"/>
            <w:vAlign w:val="center"/>
          </w:tcPr>
          <w:p w:rsidR="0088341A" w:rsidRPr="006C3BCE" w:rsidRDefault="0088341A" w:rsidP="00501137">
            <w:pPr>
              <w:pStyle w:val="AERtabletextright"/>
              <w:keepNext/>
              <w:keepLines/>
            </w:pPr>
            <w:r>
              <w:t>12.5</w:t>
            </w:r>
          </w:p>
        </w:tc>
        <w:tc>
          <w:tcPr>
            <w:tcW w:w="2268" w:type="dxa"/>
            <w:shd w:val="clear" w:color="auto" w:fill="auto"/>
            <w:vAlign w:val="center"/>
          </w:tcPr>
          <w:p w:rsidR="0088341A" w:rsidRPr="006C3BCE" w:rsidRDefault="0088341A" w:rsidP="00501137">
            <w:pPr>
              <w:pStyle w:val="AERtabletextright"/>
              <w:keepNext/>
              <w:keepLines/>
            </w:pPr>
            <w:r>
              <w:t>14.9</w:t>
            </w:r>
          </w:p>
        </w:tc>
      </w:tr>
      <w:tr w:rsidR="0088341A" w:rsidRPr="00257BC0" w:rsidTr="00501137">
        <w:trPr>
          <w:trHeight w:hRule="exact" w:val="341"/>
        </w:trPr>
        <w:tc>
          <w:tcPr>
            <w:tcW w:w="4503" w:type="dxa"/>
            <w:shd w:val="clear" w:color="auto" w:fill="DBE5F1"/>
            <w:vAlign w:val="center"/>
          </w:tcPr>
          <w:p w:rsidR="0088341A" w:rsidRPr="006C3BCE" w:rsidRDefault="0088341A" w:rsidP="00501137">
            <w:pPr>
              <w:pStyle w:val="AERtabletextleft"/>
              <w:keepNext/>
              <w:keepLines/>
            </w:pPr>
            <w:r>
              <w:t>Switchgear</w:t>
            </w:r>
          </w:p>
        </w:tc>
        <w:tc>
          <w:tcPr>
            <w:tcW w:w="2409" w:type="dxa"/>
            <w:shd w:val="clear" w:color="auto" w:fill="DBE5F1"/>
            <w:vAlign w:val="center"/>
          </w:tcPr>
          <w:p w:rsidR="0088341A" w:rsidRPr="006C3BCE" w:rsidRDefault="0088341A" w:rsidP="00501137">
            <w:pPr>
              <w:pStyle w:val="AERtabletextright"/>
              <w:keepNext/>
              <w:keepLines/>
            </w:pPr>
            <w:r>
              <w:t>40.0</w:t>
            </w:r>
          </w:p>
        </w:tc>
        <w:tc>
          <w:tcPr>
            <w:tcW w:w="2268" w:type="dxa"/>
            <w:shd w:val="clear" w:color="auto" w:fill="DBE5F1"/>
            <w:vAlign w:val="center"/>
          </w:tcPr>
          <w:p w:rsidR="0088341A" w:rsidRPr="006C3BCE" w:rsidRDefault="0088341A" w:rsidP="00501137">
            <w:pPr>
              <w:pStyle w:val="AERtabletextright"/>
              <w:keepNext/>
              <w:keepLines/>
            </w:pPr>
            <w:r>
              <w:t>28.8</w:t>
            </w:r>
          </w:p>
        </w:tc>
      </w:tr>
      <w:tr w:rsidR="0088341A" w:rsidRPr="00257BC0" w:rsidTr="00501137">
        <w:trPr>
          <w:trHeight w:hRule="exact" w:val="341"/>
        </w:trPr>
        <w:tc>
          <w:tcPr>
            <w:tcW w:w="4503" w:type="dxa"/>
            <w:shd w:val="clear" w:color="auto" w:fill="auto"/>
            <w:vAlign w:val="center"/>
          </w:tcPr>
          <w:p w:rsidR="0088341A" w:rsidRPr="006C3BCE" w:rsidRDefault="0088341A" w:rsidP="00501137">
            <w:pPr>
              <w:pStyle w:val="AERtabletextleft"/>
              <w:keepNext/>
              <w:keepLines/>
            </w:pPr>
            <w:r>
              <w:t>Transformers</w:t>
            </w:r>
          </w:p>
        </w:tc>
        <w:tc>
          <w:tcPr>
            <w:tcW w:w="2409" w:type="dxa"/>
            <w:shd w:val="clear" w:color="auto" w:fill="auto"/>
            <w:vAlign w:val="center"/>
          </w:tcPr>
          <w:p w:rsidR="0088341A" w:rsidRPr="006C3BCE" w:rsidRDefault="0088341A" w:rsidP="00501137">
            <w:pPr>
              <w:pStyle w:val="AERtabletextright"/>
              <w:keepNext/>
              <w:keepLines/>
            </w:pPr>
            <w:r>
              <w:t>40.0</w:t>
            </w:r>
          </w:p>
        </w:tc>
        <w:tc>
          <w:tcPr>
            <w:tcW w:w="2268" w:type="dxa"/>
            <w:shd w:val="clear" w:color="auto" w:fill="auto"/>
            <w:vAlign w:val="center"/>
          </w:tcPr>
          <w:p w:rsidR="0088341A" w:rsidRPr="006C3BCE" w:rsidRDefault="0088341A" w:rsidP="00501137">
            <w:pPr>
              <w:pStyle w:val="AERtabletextright"/>
              <w:keepNext/>
              <w:keepLines/>
            </w:pPr>
            <w:r>
              <w:t>26.4</w:t>
            </w:r>
          </w:p>
        </w:tc>
      </w:tr>
      <w:tr w:rsidR="0088341A" w:rsidRPr="00257BC0" w:rsidTr="00501137">
        <w:trPr>
          <w:trHeight w:hRule="exact" w:val="409"/>
        </w:trPr>
        <w:tc>
          <w:tcPr>
            <w:tcW w:w="4503" w:type="dxa"/>
            <w:shd w:val="clear" w:color="auto" w:fill="DBE5F1"/>
            <w:vAlign w:val="center"/>
          </w:tcPr>
          <w:p w:rsidR="0088341A" w:rsidRPr="006C3BCE" w:rsidRDefault="0088341A" w:rsidP="00501137">
            <w:pPr>
              <w:pStyle w:val="AERtabletextleft"/>
              <w:keepNext/>
              <w:keepLines/>
            </w:pPr>
            <w:r>
              <w:t>Reactive</w:t>
            </w:r>
          </w:p>
        </w:tc>
        <w:tc>
          <w:tcPr>
            <w:tcW w:w="2409" w:type="dxa"/>
            <w:shd w:val="clear" w:color="auto" w:fill="DBE5F1"/>
            <w:vAlign w:val="center"/>
          </w:tcPr>
          <w:p w:rsidR="0088341A" w:rsidRPr="006C3BCE" w:rsidRDefault="0088341A" w:rsidP="00501137">
            <w:pPr>
              <w:pStyle w:val="AERtabletextright"/>
              <w:keepNext/>
              <w:keepLines/>
            </w:pPr>
            <w:r>
              <w:t>40.0</w:t>
            </w:r>
          </w:p>
        </w:tc>
        <w:tc>
          <w:tcPr>
            <w:tcW w:w="2268" w:type="dxa"/>
            <w:shd w:val="clear" w:color="auto" w:fill="DBE5F1"/>
            <w:vAlign w:val="center"/>
          </w:tcPr>
          <w:p w:rsidR="0088341A" w:rsidRPr="006C3BCE" w:rsidRDefault="0088341A" w:rsidP="00501137">
            <w:pPr>
              <w:pStyle w:val="AERtabletextright"/>
              <w:keepNext/>
              <w:keepLines/>
            </w:pPr>
            <w:r>
              <w:t>17.3</w:t>
            </w:r>
          </w:p>
        </w:tc>
      </w:tr>
      <w:tr w:rsidR="0088341A" w:rsidRPr="00257BC0" w:rsidTr="00501137">
        <w:trPr>
          <w:trHeight w:hRule="exact" w:val="341"/>
        </w:trPr>
        <w:tc>
          <w:tcPr>
            <w:tcW w:w="4503" w:type="dxa"/>
            <w:shd w:val="clear" w:color="auto" w:fill="auto"/>
            <w:vAlign w:val="center"/>
          </w:tcPr>
          <w:p w:rsidR="0088341A" w:rsidRPr="006C3BCE" w:rsidRDefault="0088341A" w:rsidP="00501137">
            <w:pPr>
              <w:pStyle w:val="AERtabletextleft"/>
              <w:keepNext/>
              <w:keepLines/>
            </w:pPr>
            <w:r>
              <w:t>Towers and Conductor</w:t>
            </w:r>
          </w:p>
        </w:tc>
        <w:tc>
          <w:tcPr>
            <w:tcW w:w="2409" w:type="dxa"/>
            <w:shd w:val="clear" w:color="auto" w:fill="auto"/>
            <w:vAlign w:val="center"/>
          </w:tcPr>
          <w:p w:rsidR="0088341A" w:rsidRPr="006C3BCE" w:rsidRDefault="0088341A" w:rsidP="00501137">
            <w:pPr>
              <w:pStyle w:val="AERtabletextright"/>
              <w:keepNext/>
              <w:keepLines/>
            </w:pPr>
            <w:r>
              <w:t>47.5</w:t>
            </w:r>
          </w:p>
        </w:tc>
        <w:tc>
          <w:tcPr>
            <w:tcW w:w="2268" w:type="dxa"/>
            <w:shd w:val="clear" w:color="auto" w:fill="auto"/>
            <w:vAlign w:val="center"/>
          </w:tcPr>
          <w:p w:rsidR="0088341A" w:rsidRPr="006C3BCE" w:rsidRDefault="0088341A" w:rsidP="00501137">
            <w:pPr>
              <w:pStyle w:val="AERtabletextright"/>
              <w:keepNext/>
              <w:keepLines/>
            </w:pPr>
            <w:r>
              <w:t>26.0</w:t>
            </w:r>
          </w:p>
        </w:tc>
      </w:tr>
      <w:tr w:rsidR="0088341A" w:rsidRPr="00257BC0" w:rsidTr="00501137">
        <w:trPr>
          <w:trHeight w:hRule="exact" w:val="341"/>
        </w:trPr>
        <w:tc>
          <w:tcPr>
            <w:tcW w:w="4503" w:type="dxa"/>
            <w:shd w:val="clear" w:color="auto" w:fill="DBE5F1"/>
            <w:vAlign w:val="center"/>
          </w:tcPr>
          <w:p w:rsidR="0088341A" w:rsidRPr="006C3BCE" w:rsidRDefault="0088341A" w:rsidP="00501137">
            <w:pPr>
              <w:pStyle w:val="AERtabletextleft"/>
              <w:keepNext/>
              <w:keepLines/>
            </w:pPr>
            <w:r>
              <w:t>Establishment</w:t>
            </w:r>
          </w:p>
        </w:tc>
        <w:tc>
          <w:tcPr>
            <w:tcW w:w="2409" w:type="dxa"/>
            <w:shd w:val="clear" w:color="auto" w:fill="DBE5F1"/>
            <w:vAlign w:val="center"/>
          </w:tcPr>
          <w:p w:rsidR="0088341A" w:rsidRPr="006C3BCE" w:rsidRDefault="0088341A" w:rsidP="00501137">
            <w:pPr>
              <w:pStyle w:val="AERtabletextright"/>
              <w:keepNext/>
              <w:keepLines/>
            </w:pPr>
            <w:r>
              <w:t>40.0</w:t>
            </w:r>
          </w:p>
        </w:tc>
        <w:tc>
          <w:tcPr>
            <w:tcW w:w="2268" w:type="dxa"/>
            <w:shd w:val="clear" w:color="auto" w:fill="DBE5F1"/>
            <w:vAlign w:val="center"/>
          </w:tcPr>
          <w:p w:rsidR="0088341A" w:rsidRPr="006C3BCE" w:rsidRDefault="0088341A" w:rsidP="00501137">
            <w:pPr>
              <w:pStyle w:val="AERtabletextright"/>
              <w:keepNext/>
              <w:keepLines/>
            </w:pPr>
            <w:r>
              <w:t>32.4</w:t>
            </w:r>
          </w:p>
        </w:tc>
      </w:tr>
      <w:tr w:rsidR="0088341A" w:rsidRPr="00257BC0" w:rsidTr="00501137">
        <w:trPr>
          <w:trHeight w:hRule="exact" w:val="341"/>
        </w:trPr>
        <w:tc>
          <w:tcPr>
            <w:tcW w:w="4503" w:type="dxa"/>
            <w:shd w:val="clear" w:color="auto" w:fill="auto"/>
            <w:vAlign w:val="center"/>
          </w:tcPr>
          <w:p w:rsidR="0088341A" w:rsidRPr="006C3BCE" w:rsidRDefault="0088341A" w:rsidP="00501137">
            <w:pPr>
              <w:pStyle w:val="AERtabletextleft"/>
              <w:keepNext/>
              <w:keepLines/>
            </w:pPr>
            <w:r>
              <w:t>Communications</w:t>
            </w:r>
          </w:p>
        </w:tc>
        <w:tc>
          <w:tcPr>
            <w:tcW w:w="2409" w:type="dxa"/>
            <w:shd w:val="clear" w:color="auto" w:fill="auto"/>
            <w:vAlign w:val="center"/>
          </w:tcPr>
          <w:p w:rsidR="0088341A" w:rsidRPr="006C3BCE" w:rsidRDefault="0088341A" w:rsidP="00501137">
            <w:pPr>
              <w:pStyle w:val="AERtabletextright"/>
              <w:keepNext/>
              <w:keepLines/>
            </w:pPr>
            <w:r>
              <w:t>12.5</w:t>
            </w:r>
          </w:p>
        </w:tc>
        <w:tc>
          <w:tcPr>
            <w:tcW w:w="2268" w:type="dxa"/>
            <w:shd w:val="clear" w:color="auto" w:fill="auto"/>
            <w:vAlign w:val="center"/>
          </w:tcPr>
          <w:p w:rsidR="0088341A" w:rsidRPr="006C3BCE" w:rsidRDefault="0088341A" w:rsidP="00501137">
            <w:pPr>
              <w:pStyle w:val="AERtabletextright"/>
              <w:keepNext/>
              <w:keepLines/>
            </w:pPr>
            <w:r>
              <w:t>9.8</w:t>
            </w:r>
          </w:p>
        </w:tc>
      </w:tr>
      <w:tr w:rsidR="0088341A" w:rsidRPr="00257BC0" w:rsidTr="00501137">
        <w:trPr>
          <w:trHeight w:hRule="exact" w:val="331"/>
        </w:trPr>
        <w:tc>
          <w:tcPr>
            <w:tcW w:w="4503" w:type="dxa"/>
            <w:shd w:val="clear" w:color="auto" w:fill="DBE5F1"/>
            <w:vAlign w:val="center"/>
          </w:tcPr>
          <w:p w:rsidR="0088341A" w:rsidRPr="006C3BCE" w:rsidRDefault="0088341A" w:rsidP="00501137">
            <w:pPr>
              <w:pStyle w:val="AERtabletextleft"/>
              <w:keepNext/>
              <w:keepLines/>
            </w:pPr>
            <w:r>
              <w:t>Inventory</w:t>
            </w:r>
          </w:p>
        </w:tc>
        <w:tc>
          <w:tcPr>
            <w:tcW w:w="2409" w:type="dxa"/>
            <w:shd w:val="clear" w:color="auto" w:fill="DBE5F1"/>
            <w:vAlign w:val="center"/>
          </w:tcPr>
          <w:p w:rsidR="0088341A" w:rsidRPr="006C3BCE" w:rsidRDefault="0088341A" w:rsidP="00501137">
            <w:pPr>
              <w:pStyle w:val="AERtabletextright"/>
              <w:keepNext/>
              <w:keepLines/>
            </w:pPr>
            <w:r>
              <w:t>n/a</w:t>
            </w:r>
          </w:p>
        </w:tc>
        <w:tc>
          <w:tcPr>
            <w:tcW w:w="2268" w:type="dxa"/>
            <w:shd w:val="clear" w:color="auto" w:fill="DBE5F1"/>
            <w:vAlign w:val="center"/>
          </w:tcPr>
          <w:p w:rsidR="0088341A" w:rsidRPr="006C3BCE" w:rsidRDefault="0088341A" w:rsidP="00501137">
            <w:pPr>
              <w:pStyle w:val="AERtabletextright"/>
              <w:keepNext/>
              <w:keepLines/>
            </w:pPr>
            <w:r>
              <w:t>n/a</w:t>
            </w:r>
          </w:p>
        </w:tc>
      </w:tr>
      <w:tr w:rsidR="0088341A" w:rsidRPr="00257BC0" w:rsidTr="00501137">
        <w:trPr>
          <w:trHeight w:hRule="exact" w:val="341"/>
        </w:trPr>
        <w:tc>
          <w:tcPr>
            <w:tcW w:w="4503" w:type="dxa"/>
            <w:shd w:val="clear" w:color="auto" w:fill="auto"/>
            <w:vAlign w:val="center"/>
          </w:tcPr>
          <w:p w:rsidR="0088341A" w:rsidRPr="006C3BCE" w:rsidRDefault="0088341A" w:rsidP="00501137">
            <w:pPr>
              <w:pStyle w:val="AERtabletextleft"/>
              <w:keepNext/>
              <w:keepLines/>
            </w:pPr>
            <w:r>
              <w:t>IT</w:t>
            </w:r>
          </w:p>
        </w:tc>
        <w:tc>
          <w:tcPr>
            <w:tcW w:w="2409" w:type="dxa"/>
            <w:shd w:val="clear" w:color="auto" w:fill="auto"/>
            <w:vAlign w:val="center"/>
          </w:tcPr>
          <w:p w:rsidR="0088341A" w:rsidRPr="006C3BCE" w:rsidRDefault="0088341A" w:rsidP="00501137">
            <w:pPr>
              <w:pStyle w:val="AERtabletextright"/>
              <w:keepNext/>
              <w:keepLines/>
            </w:pPr>
            <w:r>
              <w:t>3.5</w:t>
            </w:r>
          </w:p>
        </w:tc>
        <w:tc>
          <w:tcPr>
            <w:tcW w:w="2268" w:type="dxa"/>
            <w:shd w:val="clear" w:color="auto" w:fill="auto"/>
            <w:vAlign w:val="center"/>
          </w:tcPr>
          <w:p w:rsidR="0088341A" w:rsidRPr="006C3BCE" w:rsidRDefault="0088341A" w:rsidP="00501137">
            <w:pPr>
              <w:pStyle w:val="AERtabletextright"/>
              <w:keepNext/>
              <w:keepLines/>
            </w:pPr>
            <w:r>
              <w:t>2.6</w:t>
            </w:r>
          </w:p>
        </w:tc>
      </w:tr>
      <w:tr w:rsidR="0088341A" w:rsidRPr="00257BC0" w:rsidTr="00501137">
        <w:trPr>
          <w:trHeight w:hRule="exact" w:val="341"/>
        </w:trPr>
        <w:tc>
          <w:tcPr>
            <w:tcW w:w="4503" w:type="dxa"/>
            <w:shd w:val="clear" w:color="auto" w:fill="DBE5F1"/>
            <w:vAlign w:val="center"/>
          </w:tcPr>
          <w:p w:rsidR="0088341A" w:rsidRPr="006C3BCE" w:rsidRDefault="0088341A" w:rsidP="00501137">
            <w:pPr>
              <w:pStyle w:val="AERtabletextleft"/>
              <w:keepNext/>
              <w:keepLines/>
            </w:pPr>
            <w:r>
              <w:t>Vehicles</w:t>
            </w:r>
          </w:p>
        </w:tc>
        <w:tc>
          <w:tcPr>
            <w:tcW w:w="2409" w:type="dxa"/>
            <w:shd w:val="clear" w:color="auto" w:fill="DBE5F1"/>
            <w:vAlign w:val="center"/>
          </w:tcPr>
          <w:p w:rsidR="0088341A" w:rsidRPr="006C3BCE" w:rsidRDefault="0088341A" w:rsidP="00501137">
            <w:pPr>
              <w:pStyle w:val="AERtabletextright"/>
              <w:keepNext/>
              <w:keepLines/>
            </w:pPr>
            <w:r>
              <w:t>8.0</w:t>
            </w:r>
          </w:p>
        </w:tc>
        <w:tc>
          <w:tcPr>
            <w:tcW w:w="2268" w:type="dxa"/>
            <w:shd w:val="clear" w:color="auto" w:fill="DBE5F1"/>
            <w:vAlign w:val="center"/>
          </w:tcPr>
          <w:p w:rsidR="0088341A" w:rsidRPr="006C3BCE" w:rsidRDefault="0088341A" w:rsidP="00501137">
            <w:pPr>
              <w:pStyle w:val="AERtabletextright"/>
              <w:keepNext/>
              <w:keepLines/>
            </w:pPr>
            <w:r>
              <w:t>6.6</w:t>
            </w:r>
          </w:p>
        </w:tc>
      </w:tr>
      <w:tr w:rsidR="0088341A" w:rsidRPr="00257BC0" w:rsidTr="00501137">
        <w:trPr>
          <w:trHeight w:hRule="exact" w:val="420"/>
        </w:trPr>
        <w:tc>
          <w:tcPr>
            <w:tcW w:w="4503" w:type="dxa"/>
            <w:shd w:val="clear" w:color="auto" w:fill="auto"/>
            <w:vAlign w:val="center"/>
          </w:tcPr>
          <w:p w:rsidR="0088341A" w:rsidRPr="006C3BCE" w:rsidRDefault="0088341A" w:rsidP="00501137">
            <w:pPr>
              <w:pStyle w:val="AERtabletextleft"/>
              <w:keepNext/>
              <w:keepLines/>
            </w:pPr>
            <w:r>
              <w:t>Other</w:t>
            </w:r>
          </w:p>
        </w:tc>
        <w:tc>
          <w:tcPr>
            <w:tcW w:w="2409" w:type="dxa"/>
            <w:shd w:val="clear" w:color="auto" w:fill="auto"/>
            <w:vAlign w:val="center"/>
          </w:tcPr>
          <w:p w:rsidR="0088341A" w:rsidRPr="006C3BCE" w:rsidRDefault="0088341A" w:rsidP="00501137">
            <w:pPr>
              <w:pStyle w:val="AERtabletextright"/>
              <w:keepNext/>
              <w:keepLines/>
            </w:pPr>
            <w:r>
              <w:t>10.0</w:t>
            </w:r>
          </w:p>
        </w:tc>
        <w:tc>
          <w:tcPr>
            <w:tcW w:w="2268" w:type="dxa"/>
            <w:shd w:val="clear" w:color="auto" w:fill="auto"/>
            <w:vAlign w:val="center"/>
          </w:tcPr>
          <w:p w:rsidR="0088341A" w:rsidRPr="006C3BCE" w:rsidRDefault="0088341A" w:rsidP="00501137">
            <w:pPr>
              <w:pStyle w:val="AERtabletextright"/>
              <w:keepNext/>
              <w:keepLines/>
            </w:pPr>
            <w:r>
              <w:t>7.1</w:t>
            </w:r>
          </w:p>
        </w:tc>
      </w:tr>
      <w:tr w:rsidR="0088341A" w:rsidRPr="00257BC0" w:rsidTr="00501137">
        <w:trPr>
          <w:trHeight w:hRule="exact" w:val="341"/>
        </w:trPr>
        <w:tc>
          <w:tcPr>
            <w:tcW w:w="4503" w:type="dxa"/>
            <w:shd w:val="clear" w:color="auto" w:fill="DBE5F1"/>
            <w:vAlign w:val="center"/>
          </w:tcPr>
          <w:p w:rsidR="0088341A" w:rsidRPr="006C3BCE" w:rsidRDefault="0088341A" w:rsidP="00501137">
            <w:pPr>
              <w:pStyle w:val="AERtabletextleft"/>
              <w:keepNext/>
              <w:keepLines/>
            </w:pPr>
            <w:r>
              <w:t>Premises</w:t>
            </w:r>
          </w:p>
        </w:tc>
        <w:tc>
          <w:tcPr>
            <w:tcW w:w="2409" w:type="dxa"/>
            <w:shd w:val="clear" w:color="auto" w:fill="DBE5F1"/>
            <w:vAlign w:val="center"/>
          </w:tcPr>
          <w:p w:rsidR="0088341A" w:rsidRPr="006C3BCE" w:rsidRDefault="0088341A" w:rsidP="00501137">
            <w:pPr>
              <w:pStyle w:val="AERtabletextright"/>
              <w:keepNext/>
              <w:keepLines/>
            </w:pPr>
            <w:r>
              <w:t>20.0</w:t>
            </w:r>
          </w:p>
        </w:tc>
        <w:tc>
          <w:tcPr>
            <w:tcW w:w="2268" w:type="dxa"/>
            <w:shd w:val="clear" w:color="auto" w:fill="DBE5F1"/>
            <w:vAlign w:val="center"/>
          </w:tcPr>
          <w:p w:rsidR="0088341A" w:rsidRPr="006C3BCE" w:rsidRDefault="0088341A" w:rsidP="00501137">
            <w:pPr>
              <w:pStyle w:val="AERtabletextright"/>
              <w:keepNext/>
              <w:keepLines/>
            </w:pPr>
            <w:r>
              <w:t>13.6</w:t>
            </w:r>
          </w:p>
        </w:tc>
      </w:tr>
      <w:tr w:rsidR="0088341A" w:rsidRPr="00257BC0" w:rsidTr="00501137">
        <w:trPr>
          <w:trHeight w:hRule="exact" w:val="393"/>
        </w:trPr>
        <w:tc>
          <w:tcPr>
            <w:tcW w:w="4503" w:type="dxa"/>
            <w:shd w:val="clear" w:color="auto" w:fill="auto"/>
            <w:vAlign w:val="center"/>
          </w:tcPr>
          <w:p w:rsidR="0088341A" w:rsidRPr="006C3BCE" w:rsidRDefault="0088341A" w:rsidP="00501137">
            <w:pPr>
              <w:pStyle w:val="AERtabletextleft"/>
              <w:keepNext/>
              <w:keepLines/>
            </w:pPr>
            <w:r>
              <w:t>Land</w:t>
            </w:r>
          </w:p>
        </w:tc>
        <w:tc>
          <w:tcPr>
            <w:tcW w:w="2409" w:type="dxa"/>
            <w:shd w:val="clear" w:color="auto" w:fill="auto"/>
            <w:vAlign w:val="center"/>
          </w:tcPr>
          <w:p w:rsidR="0088341A" w:rsidRPr="006C3BCE" w:rsidRDefault="0088341A" w:rsidP="00501137">
            <w:pPr>
              <w:pStyle w:val="AERtabletextright"/>
              <w:keepNext/>
              <w:keepLines/>
            </w:pPr>
            <w:r>
              <w:t>n/a</w:t>
            </w:r>
          </w:p>
        </w:tc>
        <w:tc>
          <w:tcPr>
            <w:tcW w:w="2268" w:type="dxa"/>
            <w:shd w:val="clear" w:color="auto" w:fill="auto"/>
            <w:vAlign w:val="center"/>
          </w:tcPr>
          <w:p w:rsidR="0088341A" w:rsidRPr="006C3BCE" w:rsidRDefault="0088341A" w:rsidP="00501137">
            <w:pPr>
              <w:pStyle w:val="AERtabletextright"/>
              <w:keepNext/>
              <w:keepLines/>
            </w:pPr>
            <w:r>
              <w:t>n/a</w:t>
            </w:r>
          </w:p>
        </w:tc>
      </w:tr>
      <w:tr w:rsidR="0088341A" w:rsidRPr="00257BC0" w:rsidTr="00501137">
        <w:trPr>
          <w:trHeight w:hRule="exact" w:val="374"/>
        </w:trPr>
        <w:tc>
          <w:tcPr>
            <w:tcW w:w="4503" w:type="dxa"/>
            <w:shd w:val="clear" w:color="auto" w:fill="DBE5F1"/>
            <w:vAlign w:val="center"/>
          </w:tcPr>
          <w:p w:rsidR="0088341A" w:rsidRPr="006C3BCE" w:rsidRDefault="0088341A" w:rsidP="00501137">
            <w:pPr>
              <w:pStyle w:val="AERtabletextleft"/>
              <w:keepNext/>
              <w:keepLines/>
            </w:pPr>
            <w:r>
              <w:t>Easements</w:t>
            </w:r>
          </w:p>
        </w:tc>
        <w:tc>
          <w:tcPr>
            <w:tcW w:w="2409" w:type="dxa"/>
            <w:shd w:val="clear" w:color="auto" w:fill="DBE5F1"/>
            <w:vAlign w:val="center"/>
          </w:tcPr>
          <w:p w:rsidR="0088341A" w:rsidRPr="006C3BCE" w:rsidRDefault="0088341A" w:rsidP="00501137">
            <w:pPr>
              <w:pStyle w:val="AERtabletextright"/>
              <w:keepNext/>
              <w:keepLines/>
            </w:pPr>
            <w:r>
              <w:t>n/a</w:t>
            </w:r>
          </w:p>
        </w:tc>
        <w:tc>
          <w:tcPr>
            <w:tcW w:w="2268" w:type="dxa"/>
            <w:shd w:val="clear" w:color="auto" w:fill="DBE5F1"/>
            <w:vAlign w:val="center"/>
          </w:tcPr>
          <w:p w:rsidR="0088341A" w:rsidRPr="006C3BCE" w:rsidRDefault="0088341A" w:rsidP="00501137">
            <w:pPr>
              <w:pStyle w:val="AERtabletextright"/>
              <w:keepNext/>
              <w:keepLines/>
            </w:pPr>
            <w:r>
              <w:t>n/a</w:t>
            </w:r>
          </w:p>
        </w:tc>
      </w:tr>
      <w:tr w:rsidR="0088341A" w:rsidRPr="00257BC0" w:rsidTr="00501137">
        <w:trPr>
          <w:trHeight w:hRule="exact" w:val="393"/>
        </w:trPr>
        <w:tc>
          <w:tcPr>
            <w:tcW w:w="4503" w:type="dxa"/>
            <w:shd w:val="clear" w:color="auto" w:fill="auto"/>
            <w:vAlign w:val="center"/>
          </w:tcPr>
          <w:p w:rsidR="0088341A" w:rsidRPr="006C3BCE" w:rsidRDefault="0088341A" w:rsidP="00501137">
            <w:pPr>
              <w:pStyle w:val="AERtabletextleft"/>
              <w:keepNext/>
              <w:keepLines/>
            </w:pPr>
            <w:r>
              <w:t>Equity raising costs (2003–08)</w:t>
            </w:r>
          </w:p>
        </w:tc>
        <w:tc>
          <w:tcPr>
            <w:tcW w:w="2409" w:type="dxa"/>
            <w:shd w:val="clear" w:color="auto" w:fill="auto"/>
            <w:vAlign w:val="center"/>
          </w:tcPr>
          <w:p w:rsidR="0088341A" w:rsidRPr="006C3BCE" w:rsidRDefault="0088341A" w:rsidP="00501137">
            <w:pPr>
              <w:pStyle w:val="AERtabletextright"/>
              <w:keepNext/>
              <w:keepLines/>
            </w:pPr>
            <w:r>
              <w:t>5</w:t>
            </w:r>
            <w:r w:rsidR="00016E39">
              <w:t>.0</w:t>
            </w:r>
          </w:p>
        </w:tc>
        <w:tc>
          <w:tcPr>
            <w:tcW w:w="2268" w:type="dxa"/>
            <w:shd w:val="clear" w:color="auto" w:fill="auto"/>
            <w:vAlign w:val="center"/>
          </w:tcPr>
          <w:p w:rsidR="0088341A" w:rsidRPr="006C3BCE" w:rsidRDefault="0088341A" w:rsidP="00501137">
            <w:pPr>
              <w:pStyle w:val="AERtabletextright"/>
              <w:keepNext/>
              <w:keepLines/>
            </w:pPr>
            <w:r>
              <w:t>5</w:t>
            </w:r>
            <w:r w:rsidR="00016E39">
              <w:t>.0</w:t>
            </w:r>
          </w:p>
        </w:tc>
      </w:tr>
    </w:tbl>
    <w:p w:rsidR="0088341A" w:rsidRPr="003273C1" w:rsidRDefault="0088341A" w:rsidP="0088341A">
      <w:pPr>
        <w:pStyle w:val="AERtablesource"/>
        <w:keepNext/>
        <w:keepLines/>
      </w:pPr>
      <w:r>
        <w:t>Source:</w:t>
      </w:r>
      <w:r>
        <w:tab/>
        <w:t>AER analysis.</w:t>
      </w:r>
    </w:p>
    <w:p w:rsidR="0088341A" w:rsidRPr="005E07C6" w:rsidRDefault="0088341A" w:rsidP="00F82F3F">
      <w:pPr>
        <w:pStyle w:val="AERtablesource"/>
      </w:pPr>
      <w:r w:rsidRPr="005E07C6">
        <w:t>n/a:</w:t>
      </w:r>
      <w:r w:rsidRPr="005E07C6">
        <w:tab/>
        <w:t>not applicable.</w:t>
      </w:r>
    </w:p>
    <w:p w:rsidR="0088341A" w:rsidRDefault="0088341A" w:rsidP="0088341A">
      <w:pPr>
        <w:pStyle w:val="Heading2"/>
        <w:numPr>
          <w:ilvl w:val="2"/>
          <w:numId w:val="20"/>
        </w:numPr>
      </w:pPr>
      <w:bookmarkStart w:id="308" w:name="_Toc365283325"/>
      <w:r>
        <w:t>Revisions</w:t>
      </w:r>
      <w:bookmarkEnd w:id="308"/>
      <w:r>
        <w:t xml:space="preserve"> </w:t>
      </w:r>
    </w:p>
    <w:p w:rsidR="0088341A" w:rsidRDefault="0088341A" w:rsidP="0088341A">
      <w:pPr>
        <w:pStyle w:val="AERrevisionbox"/>
      </w:pPr>
      <w:r w:rsidRPr="00C87760">
        <w:rPr>
          <w:rStyle w:val="AERtextbold"/>
        </w:rPr>
        <w:t xml:space="preserve">Revision </w:t>
      </w:r>
      <w:r>
        <w:rPr>
          <w:rStyle w:val="AERtextbold"/>
        </w:rPr>
        <w:t>7.</w:t>
      </w:r>
      <w:r w:rsidRPr="00C87760">
        <w:rPr>
          <w:rStyle w:val="AERtextbold"/>
        </w:rPr>
        <w:t>1:</w:t>
      </w:r>
      <w:r>
        <w:t xml:space="preserve"> </w:t>
      </w:r>
      <w:r w:rsidR="003A099A">
        <w:tab/>
      </w:r>
      <w:r>
        <w:t xml:space="preserve">We determine SP AusNet's estimated cost of corporate income tax allowance to be $24.8 million ($ nominal) over the 2014–17 regulatory control period, as set out in </w:t>
      </w:r>
      <w:r>
        <w:fldChar w:fldCharType="begin"/>
      </w:r>
      <w:r>
        <w:instrText xml:space="preserve"> REF _Ref363747589 \h </w:instrText>
      </w:r>
      <w:r>
        <w:fldChar w:fldCharType="separate"/>
      </w:r>
      <w:r w:rsidR="004F35AA">
        <w:t xml:space="preserve">Table </w:t>
      </w:r>
      <w:r w:rsidR="004F35AA">
        <w:rPr>
          <w:noProof/>
        </w:rPr>
        <w:t>7</w:t>
      </w:r>
      <w:r w:rsidR="004F35AA">
        <w:t>.</w:t>
      </w:r>
      <w:r w:rsidR="004F35AA">
        <w:rPr>
          <w:noProof/>
        </w:rPr>
        <w:t>1</w:t>
      </w:r>
      <w:r>
        <w:fldChar w:fldCharType="end"/>
      </w:r>
      <w:r>
        <w:t>.</w:t>
      </w:r>
    </w:p>
    <w:p w:rsidR="0088341A" w:rsidRDefault="0088341A" w:rsidP="0088341A">
      <w:pPr>
        <w:pStyle w:val="AERrevisionbox"/>
      </w:pPr>
      <w:r>
        <w:rPr>
          <w:rStyle w:val="AERtextbold"/>
        </w:rPr>
        <w:t>Revision 7.2</w:t>
      </w:r>
      <w:r w:rsidRPr="00C87760">
        <w:rPr>
          <w:rStyle w:val="AERtextbold"/>
        </w:rPr>
        <w:t>:</w:t>
      </w:r>
      <w:r>
        <w:t xml:space="preserve"> </w:t>
      </w:r>
      <w:r w:rsidR="003A099A">
        <w:tab/>
      </w:r>
      <w:r>
        <w:t xml:space="preserve">We determine SP AusNet's total opening TAB as at 1 April 2014 to be $2199 million ($ nominal), as set out in </w:t>
      </w:r>
      <w:r>
        <w:fldChar w:fldCharType="begin"/>
      </w:r>
      <w:r>
        <w:instrText xml:space="preserve"> REF _Ref340070038 \h </w:instrText>
      </w:r>
      <w:r>
        <w:fldChar w:fldCharType="separate"/>
      </w:r>
      <w:r w:rsidR="004F35AA">
        <w:t xml:space="preserve">Table </w:t>
      </w:r>
      <w:r w:rsidR="004F35AA">
        <w:rPr>
          <w:noProof/>
        </w:rPr>
        <w:t>7</w:t>
      </w:r>
      <w:r w:rsidR="004F35AA">
        <w:t>.</w:t>
      </w:r>
      <w:r w:rsidR="004F35AA">
        <w:rPr>
          <w:noProof/>
        </w:rPr>
        <w:t>3</w:t>
      </w:r>
      <w:r>
        <w:fldChar w:fldCharType="end"/>
      </w:r>
      <w:r>
        <w:t>.</w:t>
      </w:r>
    </w:p>
    <w:p w:rsidR="0088341A" w:rsidRDefault="0088341A" w:rsidP="0088341A">
      <w:pPr>
        <w:pStyle w:val="AERrevisionbox"/>
      </w:pPr>
      <w:r>
        <w:rPr>
          <w:rStyle w:val="AERtextbold"/>
        </w:rPr>
        <w:t>Revision 7.3</w:t>
      </w:r>
      <w:r w:rsidRPr="00C87760">
        <w:rPr>
          <w:rStyle w:val="AERtextbold"/>
        </w:rPr>
        <w:t>:</w:t>
      </w:r>
      <w:r>
        <w:t xml:space="preserve"> </w:t>
      </w:r>
      <w:r w:rsidR="003A099A">
        <w:tab/>
      </w:r>
      <w:r>
        <w:t xml:space="preserve">We determine SP AusNet's remaining tax asset lives at the beginning of the 2014–17 regulatory control period to be those set out in </w:t>
      </w:r>
      <w:r>
        <w:fldChar w:fldCharType="begin"/>
      </w:r>
      <w:r>
        <w:instrText xml:space="preserve"> REF _Ref340070022 \h </w:instrText>
      </w:r>
      <w:r>
        <w:fldChar w:fldCharType="separate"/>
      </w:r>
      <w:r w:rsidR="004F35AA">
        <w:t xml:space="preserve">Table </w:t>
      </w:r>
      <w:r w:rsidR="004F35AA">
        <w:rPr>
          <w:noProof/>
        </w:rPr>
        <w:t>7</w:t>
      </w:r>
      <w:r w:rsidR="004F35AA">
        <w:t>.</w:t>
      </w:r>
      <w:r w:rsidR="004F35AA">
        <w:rPr>
          <w:noProof/>
        </w:rPr>
        <w:t>4</w:t>
      </w:r>
      <w:r>
        <w:fldChar w:fldCharType="end"/>
      </w:r>
      <w:r>
        <w:t>.</w:t>
      </w:r>
    </w:p>
    <w:p w:rsidR="0088341A" w:rsidRPr="00CE71F2" w:rsidRDefault="0088341A" w:rsidP="0088341A">
      <w:pPr>
        <w:pStyle w:val="AERbodytext"/>
        <w:numPr>
          <w:ilvl w:val="0"/>
          <w:numId w:val="0"/>
        </w:numPr>
      </w:pPr>
    </w:p>
    <w:p w:rsidR="0088341A" w:rsidRDefault="0088341A" w:rsidP="0088341A">
      <w:pPr>
        <w:pStyle w:val="AERbodytext"/>
        <w:numPr>
          <w:ilvl w:val="0"/>
          <w:numId w:val="1"/>
        </w:numPr>
        <w:sectPr w:rsidR="0088341A">
          <w:footerReference w:type="default" r:id="rId56"/>
          <w:pgSz w:w="11906" w:h="16838"/>
          <w:pgMar w:top="1440" w:right="1440" w:bottom="1440" w:left="1440" w:header="708" w:footer="708" w:gutter="0"/>
          <w:cols w:space="708"/>
          <w:docGrid w:linePitch="360"/>
        </w:sectPr>
      </w:pPr>
    </w:p>
    <w:p w:rsidR="0088341A" w:rsidRPr="004F32D1" w:rsidRDefault="0088341A" w:rsidP="0088341A">
      <w:pPr>
        <w:pStyle w:val="Heading1"/>
        <w:numPr>
          <w:ilvl w:val="1"/>
          <w:numId w:val="20"/>
        </w:numPr>
      </w:pPr>
      <w:bookmarkStart w:id="309" w:name="_Toc365283326"/>
      <w:bookmarkStart w:id="310" w:name="_Toc365462004"/>
      <w:r w:rsidRPr="004F32D1">
        <w:lastRenderedPageBreak/>
        <w:t>Maximum allowed revenue</w:t>
      </w:r>
      <w:bookmarkEnd w:id="309"/>
      <w:bookmarkEnd w:id="310"/>
    </w:p>
    <w:p w:rsidR="0088341A" w:rsidRDefault="0088341A" w:rsidP="0088341A">
      <w:pPr>
        <w:pStyle w:val="AERbodytext"/>
        <w:numPr>
          <w:ilvl w:val="0"/>
          <w:numId w:val="1"/>
        </w:numPr>
      </w:pPr>
      <w:r w:rsidRPr="000F0122">
        <w:t xml:space="preserve">This attachment sets out </w:t>
      </w:r>
      <w:r>
        <w:t>the AER's</w:t>
      </w:r>
      <w:r w:rsidRPr="000F0122">
        <w:t xml:space="preserve"> </w:t>
      </w:r>
      <w:r>
        <w:t>draft</w:t>
      </w:r>
      <w:r w:rsidRPr="000F0122">
        <w:t xml:space="preserve"> decision </w:t>
      </w:r>
      <w:r>
        <w:t>on</w:t>
      </w:r>
      <w:r w:rsidRPr="000F0122">
        <w:t xml:space="preserve"> </w:t>
      </w:r>
      <w:r>
        <w:t>SP AusNet's maximum allowed revenue (MAR) for</w:t>
      </w:r>
      <w:r w:rsidRPr="000F0122">
        <w:t xml:space="preserve"> the provision of prescribed transmission services during the </w:t>
      </w:r>
      <w:r>
        <w:t>2014</w:t>
      </w:r>
      <w:r w:rsidRPr="00F715EE">
        <w:t>–</w:t>
      </w:r>
      <w:r>
        <w:t>17</w:t>
      </w:r>
      <w:r w:rsidRPr="000F0122">
        <w:t xml:space="preserve"> regulatory control period</w:t>
      </w:r>
      <w:r>
        <w:t>. Specifically, the attachment addresses:</w:t>
      </w:r>
      <w:r>
        <w:rPr>
          <w:rStyle w:val="FootnoteReference"/>
        </w:rPr>
        <w:footnoteReference w:id="449"/>
      </w:r>
    </w:p>
    <w:p w:rsidR="0088341A" w:rsidRDefault="0088341A" w:rsidP="0088341A">
      <w:pPr>
        <w:pStyle w:val="AERbulletlistfirststyle"/>
      </w:pPr>
      <w:r>
        <w:t>the annual building block revenue requirement</w:t>
      </w:r>
    </w:p>
    <w:p w:rsidR="0088341A" w:rsidRDefault="0088341A" w:rsidP="0088341A">
      <w:pPr>
        <w:pStyle w:val="AERbulletlistfirststyle"/>
      </w:pPr>
      <w:r>
        <w:t>the X factor</w:t>
      </w:r>
    </w:p>
    <w:p w:rsidR="0088341A" w:rsidRDefault="0088341A" w:rsidP="0088341A">
      <w:pPr>
        <w:pStyle w:val="AERbulletlistfirststyle"/>
      </w:pPr>
      <w:r>
        <w:t>the annual expected MAR</w:t>
      </w:r>
    </w:p>
    <w:p w:rsidR="0088341A" w:rsidRDefault="0088341A" w:rsidP="0088341A">
      <w:pPr>
        <w:pStyle w:val="AERbulletlistfirststyle"/>
      </w:pPr>
      <w:r>
        <w:t>the estimated total revenue cap, which is the sum of the annual expected MAR.</w:t>
      </w:r>
    </w:p>
    <w:p w:rsidR="0088341A" w:rsidRDefault="0088341A" w:rsidP="0088341A">
      <w:pPr>
        <w:pStyle w:val="AERbodytext"/>
        <w:numPr>
          <w:ilvl w:val="0"/>
          <w:numId w:val="1"/>
        </w:numPr>
      </w:pPr>
      <w:r>
        <w:t>We determine</w:t>
      </w:r>
      <w:r w:rsidRPr="000F0122">
        <w:t xml:space="preserve"> </w:t>
      </w:r>
      <w:r>
        <w:t>SP AusNet's</w:t>
      </w:r>
      <w:r w:rsidRPr="000F0122">
        <w:t xml:space="preserve"> annual building block revenue requirement using a building block approach</w:t>
      </w:r>
      <w:r>
        <w:t xml:space="preserve"> and</w:t>
      </w:r>
      <w:r w:rsidRPr="000F0122">
        <w:t xml:space="preserve"> the X factors by smoothing the annual building block revenue requirement over the regulatory control period. The X factor is used in the CPI–X methodology to determine the annual expected MAR (smoothed) for each regulatory year of the </w:t>
      </w:r>
      <w:r>
        <w:t>2014</w:t>
      </w:r>
      <w:r w:rsidRPr="00F715EE">
        <w:t>–</w:t>
      </w:r>
      <w:r>
        <w:t>17</w:t>
      </w:r>
      <w:r w:rsidRPr="000F0122">
        <w:t xml:space="preserve"> regulatory control period.</w:t>
      </w:r>
    </w:p>
    <w:p w:rsidR="0088341A" w:rsidRPr="003800E4" w:rsidRDefault="0088341A" w:rsidP="0088341A">
      <w:pPr>
        <w:pStyle w:val="Heading2"/>
        <w:numPr>
          <w:ilvl w:val="2"/>
          <w:numId w:val="20"/>
        </w:numPr>
      </w:pPr>
      <w:bookmarkStart w:id="311" w:name="_Toc365283327"/>
      <w:r>
        <w:t>Draft decision</w:t>
      </w:r>
      <w:bookmarkEnd w:id="311"/>
    </w:p>
    <w:p w:rsidR="0088341A" w:rsidRPr="00F270BE" w:rsidRDefault="0088341A" w:rsidP="0088341A">
      <w:pPr>
        <w:pStyle w:val="AERbodytext"/>
        <w:numPr>
          <w:ilvl w:val="0"/>
          <w:numId w:val="1"/>
        </w:numPr>
      </w:pPr>
      <w:r>
        <w:t>Our</w:t>
      </w:r>
      <w:r w:rsidRPr="00F270BE">
        <w:t xml:space="preserve"> determinations </w:t>
      </w:r>
      <w:r>
        <w:t>on</w:t>
      </w:r>
      <w:r w:rsidRPr="00F270BE">
        <w:t xml:space="preserve"> </w:t>
      </w:r>
      <w:r>
        <w:t>SP AusNet's</w:t>
      </w:r>
      <w:r w:rsidRPr="00F270BE">
        <w:t xml:space="preserve"> proposed building block components have a consequential impact on the annual building block revenue requirement. </w:t>
      </w:r>
      <w:r>
        <w:t>We</w:t>
      </w:r>
      <w:r w:rsidRPr="00F270BE">
        <w:t xml:space="preserve"> </w:t>
      </w:r>
      <w:r>
        <w:t xml:space="preserve">have </w:t>
      </w:r>
      <w:r w:rsidRPr="00F270BE">
        <w:t xml:space="preserve">calculated the X factor and the annual expected MAR (smoothed) to reflect </w:t>
      </w:r>
      <w:r>
        <w:t>our</w:t>
      </w:r>
      <w:r w:rsidRPr="00F270BE">
        <w:t xml:space="preserve"> </w:t>
      </w:r>
      <w:r>
        <w:t>draft</w:t>
      </w:r>
      <w:r w:rsidRPr="00F270BE">
        <w:t xml:space="preserve"> decision on </w:t>
      </w:r>
      <w:r>
        <w:t>SP AusNet's</w:t>
      </w:r>
      <w:r w:rsidRPr="00F270BE">
        <w:t xml:space="preserve"> annual building block revenue requirement.</w:t>
      </w:r>
    </w:p>
    <w:p w:rsidR="0088341A" w:rsidRPr="00F270BE" w:rsidRDefault="0088341A" w:rsidP="0088341A">
      <w:pPr>
        <w:pStyle w:val="AERbodytext"/>
        <w:numPr>
          <w:ilvl w:val="0"/>
          <w:numId w:val="1"/>
        </w:numPr>
      </w:pPr>
      <w:r w:rsidRPr="00F270BE">
        <w:t xml:space="preserve">For this </w:t>
      </w:r>
      <w:r>
        <w:t>draft</w:t>
      </w:r>
      <w:r w:rsidRPr="00F270BE">
        <w:t xml:space="preserve"> decision, </w:t>
      </w:r>
      <w:r>
        <w:t xml:space="preserve">we </w:t>
      </w:r>
      <w:r w:rsidRPr="00F270BE">
        <w:t>approve an estimated total revenue cap of $</w:t>
      </w:r>
      <w:r>
        <w:t>1528 </w:t>
      </w:r>
      <w:r w:rsidRPr="00F270BE">
        <w:t>million (</w:t>
      </w:r>
      <w:r>
        <w:t>$ nominal</w:t>
      </w:r>
      <w:r w:rsidRPr="00F270BE">
        <w:t xml:space="preserve">) for </w:t>
      </w:r>
      <w:r>
        <w:t>SP AusNet</w:t>
      </w:r>
      <w:r w:rsidRPr="00F270BE">
        <w:t xml:space="preserve"> for</w:t>
      </w:r>
      <w:r>
        <w:t xml:space="preserve"> </w:t>
      </w:r>
      <w:r w:rsidRPr="00F270BE">
        <w:t xml:space="preserve">the </w:t>
      </w:r>
      <w:r>
        <w:t>2014</w:t>
      </w:r>
      <w:r w:rsidRPr="00EB3B21">
        <w:t>–</w:t>
      </w:r>
      <w:r>
        <w:t>17</w:t>
      </w:r>
      <w:r w:rsidRPr="00F270BE">
        <w:t xml:space="preserve"> regulatory control period.</w:t>
      </w:r>
      <w:r>
        <w:rPr>
          <w:rStyle w:val="FootnoteReference"/>
        </w:rPr>
        <w:footnoteReference w:id="450"/>
      </w:r>
      <w:r>
        <w:t xml:space="preserve"> Our approved X factor is</w:t>
      </w:r>
      <w:r>
        <w:br/>
        <w:t>4.26 per cent per annum for 2015–16 and 2016–17</w:t>
      </w:r>
      <w:r w:rsidRPr="00F270BE">
        <w:t>.</w:t>
      </w:r>
      <w:r>
        <w:rPr>
          <w:rStyle w:val="FootnoteReference"/>
        </w:rPr>
        <w:footnoteReference w:id="451"/>
      </w:r>
    </w:p>
    <w:p w:rsidR="0088341A" w:rsidRDefault="0088341A" w:rsidP="0088341A">
      <w:pPr>
        <w:pStyle w:val="AERbodytext"/>
        <w:numPr>
          <w:ilvl w:val="0"/>
          <w:numId w:val="1"/>
        </w:numPr>
      </w:pPr>
      <w:r>
        <w:fldChar w:fldCharType="begin"/>
      </w:r>
      <w:r>
        <w:instrText xml:space="preserve"> REF _Ref339361981 \h </w:instrText>
      </w:r>
      <w:r>
        <w:fldChar w:fldCharType="separate"/>
      </w:r>
      <w:r w:rsidR="004F35AA" w:rsidRPr="00337F81">
        <w:t xml:space="preserve">Table </w:t>
      </w:r>
      <w:r w:rsidR="004F35AA">
        <w:rPr>
          <w:noProof/>
        </w:rPr>
        <w:t>8</w:t>
      </w:r>
      <w:r w:rsidR="004F35AA">
        <w:t>.</w:t>
      </w:r>
      <w:r w:rsidR="004F35AA">
        <w:rPr>
          <w:noProof/>
        </w:rPr>
        <w:t>1</w:t>
      </w:r>
      <w:r>
        <w:fldChar w:fldCharType="end"/>
      </w:r>
      <w:r>
        <w:t xml:space="preserve"> </w:t>
      </w:r>
      <w:r w:rsidRPr="00F270BE">
        <w:t xml:space="preserve">sets out </w:t>
      </w:r>
      <w:r>
        <w:t>our</w:t>
      </w:r>
      <w:r w:rsidRPr="00F270BE">
        <w:t xml:space="preserve"> </w:t>
      </w:r>
      <w:r>
        <w:t>draft</w:t>
      </w:r>
      <w:r w:rsidRPr="00F270BE">
        <w:t xml:space="preserve"> decision on </w:t>
      </w:r>
      <w:r>
        <w:t>SP AusNet's</w:t>
      </w:r>
      <w:r w:rsidRPr="00F270BE">
        <w:t xml:space="preserve"> annual building block revenue requirement, the X factor, the annual expected MAR and the estimated total revenue cap for the 201</w:t>
      </w:r>
      <w:r>
        <w:t>4</w:t>
      </w:r>
      <w:r w:rsidRPr="00F270BE">
        <w:t>–1</w:t>
      </w:r>
      <w:r>
        <w:t>7</w:t>
      </w:r>
      <w:r w:rsidRPr="00F270BE">
        <w:t xml:space="preserve"> regulatory control period.</w:t>
      </w:r>
    </w:p>
    <w:p w:rsidR="0088341A" w:rsidRPr="00EB3B21" w:rsidRDefault="0088341A" w:rsidP="0088341A">
      <w:pPr>
        <w:pStyle w:val="Caption"/>
        <w:keepLines/>
      </w:pPr>
      <w:bookmarkStart w:id="312" w:name="_Ref339361981"/>
      <w:bookmarkStart w:id="313" w:name="_Ref339903380"/>
      <w:bookmarkStart w:id="314" w:name="_Ref359490629"/>
      <w:bookmarkStart w:id="315" w:name="_Ref337642488"/>
      <w:r w:rsidRPr="00337F81">
        <w:lastRenderedPageBreak/>
        <w:t xml:space="preserve">Table </w:t>
      </w:r>
      <w:fldSimple w:instr=" STYLEREF 1 \s ">
        <w:r w:rsidR="004F35AA">
          <w:rPr>
            <w:noProof/>
          </w:rPr>
          <w:t>8</w:t>
        </w:r>
      </w:fldSimple>
      <w:r w:rsidR="00C56A87">
        <w:t>.</w:t>
      </w:r>
      <w:fldSimple w:instr=" SEQ Table \* ARABIC \s 1 ">
        <w:r w:rsidR="004F35AA">
          <w:rPr>
            <w:noProof/>
          </w:rPr>
          <w:t>1</w:t>
        </w:r>
      </w:fldSimple>
      <w:bookmarkEnd w:id="312"/>
      <w:bookmarkEnd w:id="313"/>
      <w:bookmarkEnd w:id="314"/>
      <w:r w:rsidRPr="00EB3B21">
        <w:tab/>
      </w:r>
      <w:r w:rsidRPr="004C6B79">
        <w:t xml:space="preserve">AER's draft decision on </w:t>
      </w:r>
      <w:r>
        <w:t xml:space="preserve">SP AusNet's annual building block revenue </w:t>
      </w:r>
      <w:r w:rsidRPr="004C6B79">
        <w:t>requirement, annual expected MAR, estimated total revenue cap and X factor ($ million, nominal)</w:t>
      </w:r>
      <w:bookmarkEnd w:id="315"/>
    </w:p>
    <w:tbl>
      <w:tblPr>
        <w:tblW w:w="4972" w:type="pct"/>
        <w:tblBorders>
          <w:bottom w:val="single" w:sz="4" w:space="0" w:color="365F91"/>
        </w:tblBorders>
        <w:tblLook w:val="04A0" w:firstRow="1" w:lastRow="0" w:firstColumn="1" w:lastColumn="0" w:noHBand="0" w:noVBand="1"/>
      </w:tblPr>
      <w:tblGrid>
        <w:gridCol w:w="4221"/>
        <w:gridCol w:w="1230"/>
        <w:gridCol w:w="1230"/>
        <w:gridCol w:w="1228"/>
        <w:gridCol w:w="1281"/>
      </w:tblGrid>
      <w:tr w:rsidR="0088341A" w:rsidTr="00501137">
        <w:trPr>
          <w:trHeight w:val="604"/>
        </w:trPr>
        <w:tc>
          <w:tcPr>
            <w:tcW w:w="2297" w:type="pct"/>
            <w:shd w:val="clear" w:color="auto" w:fill="365F91"/>
            <w:vAlign w:val="center"/>
          </w:tcPr>
          <w:p w:rsidR="0088341A" w:rsidRPr="003158C8" w:rsidRDefault="0088341A" w:rsidP="00501137">
            <w:pPr>
              <w:pStyle w:val="AERbodytext"/>
              <w:keepNext/>
              <w:keepLines/>
              <w:numPr>
                <w:ilvl w:val="0"/>
                <w:numId w:val="1"/>
              </w:numPr>
              <w:spacing w:before="120"/>
              <w:rPr>
                <w:b/>
                <w:color w:val="FFFFFF"/>
                <w:sz w:val="16"/>
              </w:rPr>
            </w:pPr>
          </w:p>
        </w:tc>
        <w:tc>
          <w:tcPr>
            <w:tcW w:w="669" w:type="pct"/>
            <w:shd w:val="clear" w:color="auto" w:fill="365F91"/>
            <w:vAlign w:val="center"/>
          </w:tcPr>
          <w:p w:rsidR="0088341A" w:rsidRPr="003158C8" w:rsidRDefault="0088341A" w:rsidP="00501137">
            <w:pPr>
              <w:pStyle w:val="AERtabletextright"/>
              <w:keepNext/>
              <w:keepLines/>
              <w:rPr>
                <w:b/>
                <w:color w:val="FFFFFF"/>
              </w:rPr>
            </w:pPr>
            <w:r w:rsidRPr="003158C8">
              <w:rPr>
                <w:b/>
                <w:color w:val="FFFFFF"/>
              </w:rPr>
              <w:t>2014–15</w:t>
            </w:r>
          </w:p>
        </w:tc>
        <w:tc>
          <w:tcPr>
            <w:tcW w:w="669" w:type="pct"/>
            <w:shd w:val="clear" w:color="auto" w:fill="365F91"/>
            <w:vAlign w:val="center"/>
          </w:tcPr>
          <w:p w:rsidR="0088341A" w:rsidRPr="003158C8" w:rsidRDefault="0088341A" w:rsidP="00501137">
            <w:pPr>
              <w:pStyle w:val="AERtabletextright"/>
              <w:keepNext/>
              <w:keepLines/>
              <w:rPr>
                <w:b/>
                <w:color w:val="FFFFFF"/>
              </w:rPr>
            </w:pPr>
            <w:r w:rsidRPr="003158C8">
              <w:rPr>
                <w:b/>
                <w:color w:val="FFFFFF"/>
              </w:rPr>
              <w:t>2015–16</w:t>
            </w:r>
          </w:p>
        </w:tc>
        <w:tc>
          <w:tcPr>
            <w:tcW w:w="668" w:type="pct"/>
            <w:shd w:val="clear" w:color="auto" w:fill="365F91"/>
            <w:vAlign w:val="center"/>
          </w:tcPr>
          <w:p w:rsidR="0088341A" w:rsidRPr="003158C8" w:rsidRDefault="0088341A" w:rsidP="00501137">
            <w:pPr>
              <w:pStyle w:val="AERtabletextright"/>
              <w:keepNext/>
              <w:keepLines/>
              <w:rPr>
                <w:b/>
                <w:color w:val="FFFFFF"/>
              </w:rPr>
            </w:pPr>
            <w:r w:rsidRPr="003158C8">
              <w:rPr>
                <w:b/>
                <w:color w:val="FFFFFF"/>
              </w:rPr>
              <w:t>2016–17</w:t>
            </w:r>
          </w:p>
        </w:tc>
        <w:tc>
          <w:tcPr>
            <w:tcW w:w="697" w:type="pct"/>
            <w:shd w:val="clear" w:color="auto" w:fill="365F91"/>
            <w:vAlign w:val="center"/>
          </w:tcPr>
          <w:p w:rsidR="0088341A" w:rsidRPr="003158C8" w:rsidRDefault="0088341A" w:rsidP="00501137">
            <w:pPr>
              <w:pStyle w:val="AERtabletextright"/>
              <w:keepNext/>
              <w:keepLines/>
              <w:rPr>
                <w:b/>
                <w:color w:val="FFFFFF"/>
              </w:rPr>
            </w:pPr>
            <w:r w:rsidRPr="003158C8">
              <w:rPr>
                <w:b/>
                <w:color w:val="FFFFFF"/>
              </w:rPr>
              <w:t>Total</w:t>
            </w:r>
          </w:p>
        </w:tc>
      </w:tr>
      <w:tr w:rsidR="0088341A" w:rsidTr="00501137">
        <w:trPr>
          <w:trHeight w:val="437"/>
        </w:trPr>
        <w:tc>
          <w:tcPr>
            <w:tcW w:w="2297" w:type="pct"/>
            <w:shd w:val="clear" w:color="auto" w:fill="auto"/>
            <w:vAlign w:val="center"/>
          </w:tcPr>
          <w:p w:rsidR="0088341A" w:rsidRPr="00EB3B21" w:rsidRDefault="0088341A" w:rsidP="00501137">
            <w:pPr>
              <w:pStyle w:val="AERtabletextleft"/>
              <w:keepNext/>
              <w:keepLines/>
            </w:pPr>
            <w:r>
              <w:t>Return on capital</w:t>
            </w:r>
          </w:p>
        </w:tc>
        <w:tc>
          <w:tcPr>
            <w:tcW w:w="669" w:type="pct"/>
            <w:shd w:val="clear" w:color="auto" w:fill="auto"/>
            <w:vAlign w:val="center"/>
          </w:tcPr>
          <w:p w:rsidR="0088341A" w:rsidRPr="00EB3B21" w:rsidRDefault="0088341A" w:rsidP="00501137">
            <w:pPr>
              <w:pStyle w:val="AERtabletextright"/>
              <w:keepNext/>
              <w:keepLines/>
            </w:pPr>
            <w:r>
              <w:t>213.3</w:t>
            </w:r>
          </w:p>
        </w:tc>
        <w:tc>
          <w:tcPr>
            <w:tcW w:w="669" w:type="pct"/>
            <w:shd w:val="clear" w:color="auto" w:fill="auto"/>
            <w:vAlign w:val="center"/>
          </w:tcPr>
          <w:p w:rsidR="0088341A" w:rsidRPr="00EB3B21" w:rsidRDefault="0088341A" w:rsidP="00501137">
            <w:pPr>
              <w:pStyle w:val="AERtabletextright"/>
              <w:keepNext/>
              <w:keepLines/>
            </w:pPr>
            <w:r>
              <w:t>217.3</w:t>
            </w:r>
          </w:p>
        </w:tc>
        <w:tc>
          <w:tcPr>
            <w:tcW w:w="668" w:type="pct"/>
            <w:shd w:val="clear" w:color="auto" w:fill="auto"/>
            <w:vAlign w:val="center"/>
          </w:tcPr>
          <w:p w:rsidR="0088341A" w:rsidRPr="00EB3B21" w:rsidRDefault="0088341A" w:rsidP="00F82F3F">
            <w:pPr>
              <w:pStyle w:val="AERtabletextright"/>
              <w:keepNext/>
              <w:keepLines/>
              <w:rPr>
                <w:b/>
                <w:bCs/>
                <w:color w:val="E36C0A"/>
              </w:rPr>
            </w:pPr>
            <w:r>
              <w:t>221.</w:t>
            </w:r>
            <w:r w:rsidR="00016E39">
              <w:t>4</w:t>
            </w:r>
          </w:p>
        </w:tc>
        <w:tc>
          <w:tcPr>
            <w:tcW w:w="697" w:type="pct"/>
            <w:shd w:val="clear" w:color="auto" w:fill="auto"/>
            <w:vAlign w:val="center"/>
          </w:tcPr>
          <w:p w:rsidR="0088341A" w:rsidRPr="00EB3B21" w:rsidRDefault="0088341A" w:rsidP="00501137">
            <w:pPr>
              <w:pStyle w:val="AERtabletextright"/>
              <w:keepNext/>
              <w:keepLines/>
            </w:pPr>
            <w:r>
              <w:t>652.0</w:t>
            </w:r>
          </w:p>
        </w:tc>
      </w:tr>
      <w:tr w:rsidR="0088341A" w:rsidTr="00501137">
        <w:trPr>
          <w:trHeight w:val="448"/>
        </w:trPr>
        <w:tc>
          <w:tcPr>
            <w:tcW w:w="2297" w:type="pct"/>
            <w:shd w:val="clear" w:color="auto" w:fill="DBE5F1"/>
            <w:vAlign w:val="center"/>
          </w:tcPr>
          <w:p w:rsidR="0088341A" w:rsidRPr="00EB3B21" w:rsidRDefault="0088341A" w:rsidP="00501137">
            <w:pPr>
              <w:pStyle w:val="AERtabletextleft"/>
              <w:keepNext/>
              <w:keepLines/>
            </w:pPr>
            <w:r>
              <w:t>Regulatory depreciation</w:t>
            </w:r>
            <w:r w:rsidRPr="00EB3B21">
              <w:rPr>
                <w:rStyle w:val="AERsuperscript"/>
              </w:rPr>
              <w:t>a</w:t>
            </w:r>
          </w:p>
        </w:tc>
        <w:tc>
          <w:tcPr>
            <w:tcW w:w="669" w:type="pct"/>
            <w:shd w:val="clear" w:color="auto" w:fill="DBE5F1"/>
            <w:vAlign w:val="center"/>
          </w:tcPr>
          <w:p w:rsidR="0088341A" w:rsidRPr="00EB3B21" w:rsidRDefault="0088341A" w:rsidP="00501137">
            <w:pPr>
              <w:pStyle w:val="AERtabletextright"/>
              <w:keepNext/>
              <w:keepLines/>
            </w:pPr>
            <w:r>
              <w:t>75.6</w:t>
            </w:r>
          </w:p>
        </w:tc>
        <w:tc>
          <w:tcPr>
            <w:tcW w:w="669" w:type="pct"/>
            <w:shd w:val="clear" w:color="auto" w:fill="DBE5F1"/>
            <w:vAlign w:val="center"/>
          </w:tcPr>
          <w:p w:rsidR="0088341A" w:rsidRPr="00EB3B21" w:rsidRDefault="0088341A" w:rsidP="00501137">
            <w:pPr>
              <w:pStyle w:val="AERtabletextright"/>
              <w:keepNext/>
              <w:keepLines/>
            </w:pPr>
            <w:r>
              <w:t>80.0</w:t>
            </w:r>
          </w:p>
        </w:tc>
        <w:tc>
          <w:tcPr>
            <w:tcW w:w="668" w:type="pct"/>
            <w:shd w:val="clear" w:color="auto" w:fill="DBE5F1"/>
            <w:vAlign w:val="center"/>
          </w:tcPr>
          <w:p w:rsidR="0088341A" w:rsidRPr="00EB3B21" w:rsidRDefault="0088341A" w:rsidP="00501137">
            <w:pPr>
              <w:pStyle w:val="AERtabletextright"/>
              <w:keepNext/>
              <w:keepLines/>
            </w:pPr>
            <w:r>
              <w:t>85.5</w:t>
            </w:r>
          </w:p>
        </w:tc>
        <w:tc>
          <w:tcPr>
            <w:tcW w:w="697" w:type="pct"/>
            <w:shd w:val="clear" w:color="auto" w:fill="DBE5F1"/>
            <w:vAlign w:val="center"/>
          </w:tcPr>
          <w:p w:rsidR="0088341A" w:rsidRPr="00EB3B21" w:rsidRDefault="0088341A" w:rsidP="00501137">
            <w:pPr>
              <w:pStyle w:val="AERtabletextright"/>
              <w:keepNext/>
              <w:keepLines/>
            </w:pPr>
            <w:r>
              <w:t>241.2</w:t>
            </w:r>
          </w:p>
        </w:tc>
      </w:tr>
      <w:tr w:rsidR="0088341A" w:rsidTr="00501137">
        <w:trPr>
          <w:trHeight w:val="437"/>
        </w:trPr>
        <w:tc>
          <w:tcPr>
            <w:tcW w:w="2297" w:type="pct"/>
            <w:shd w:val="clear" w:color="auto" w:fill="auto"/>
            <w:vAlign w:val="center"/>
          </w:tcPr>
          <w:p w:rsidR="0088341A" w:rsidRPr="00EB3B21" w:rsidRDefault="0088341A" w:rsidP="00501137">
            <w:pPr>
              <w:pStyle w:val="AERtabletextleft"/>
              <w:keepNext/>
              <w:keepLines/>
            </w:pPr>
            <w:r>
              <w:t xml:space="preserve">Operating </w:t>
            </w:r>
            <w:r w:rsidRPr="00EB3B21">
              <w:t>expenditure</w:t>
            </w:r>
          </w:p>
        </w:tc>
        <w:tc>
          <w:tcPr>
            <w:tcW w:w="669" w:type="pct"/>
            <w:shd w:val="clear" w:color="auto" w:fill="auto"/>
            <w:vAlign w:val="center"/>
          </w:tcPr>
          <w:p w:rsidR="0088341A" w:rsidRPr="00EB3B21" w:rsidRDefault="0088341A" w:rsidP="00501137">
            <w:pPr>
              <w:pStyle w:val="AERtabletextright"/>
              <w:keepNext/>
              <w:keepLines/>
            </w:pPr>
            <w:r>
              <w:t>184.7</w:t>
            </w:r>
          </w:p>
        </w:tc>
        <w:tc>
          <w:tcPr>
            <w:tcW w:w="669" w:type="pct"/>
            <w:shd w:val="clear" w:color="auto" w:fill="auto"/>
            <w:vAlign w:val="center"/>
          </w:tcPr>
          <w:p w:rsidR="0088341A" w:rsidRPr="00EB3B21" w:rsidRDefault="0088341A" w:rsidP="00501137">
            <w:pPr>
              <w:pStyle w:val="AERtabletextright"/>
              <w:keepNext/>
              <w:keepLines/>
            </w:pPr>
            <w:r>
              <w:t>193.5</w:t>
            </w:r>
          </w:p>
        </w:tc>
        <w:tc>
          <w:tcPr>
            <w:tcW w:w="668" w:type="pct"/>
            <w:shd w:val="clear" w:color="auto" w:fill="auto"/>
            <w:vAlign w:val="center"/>
          </w:tcPr>
          <w:p w:rsidR="0088341A" w:rsidRPr="00EB3B21" w:rsidRDefault="0088341A" w:rsidP="00501137">
            <w:pPr>
              <w:pStyle w:val="AERtabletextright"/>
              <w:keepNext/>
              <w:keepLines/>
            </w:pPr>
            <w:r>
              <w:t>195.7</w:t>
            </w:r>
          </w:p>
        </w:tc>
        <w:tc>
          <w:tcPr>
            <w:tcW w:w="697" w:type="pct"/>
            <w:shd w:val="clear" w:color="auto" w:fill="auto"/>
            <w:vAlign w:val="center"/>
          </w:tcPr>
          <w:p w:rsidR="0088341A" w:rsidRPr="00EB3B21" w:rsidRDefault="0088341A" w:rsidP="00501137">
            <w:pPr>
              <w:pStyle w:val="AERtabletextright"/>
              <w:keepNext/>
              <w:keepLines/>
            </w:pPr>
            <w:r>
              <w:t>573.9</w:t>
            </w:r>
          </w:p>
        </w:tc>
      </w:tr>
      <w:tr w:rsidR="0088341A" w:rsidTr="00501137">
        <w:trPr>
          <w:trHeight w:val="660"/>
        </w:trPr>
        <w:tc>
          <w:tcPr>
            <w:tcW w:w="2297" w:type="pct"/>
            <w:shd w:val="clear" w:color="auto" w:fill="DBE5F1"/>
            <w:vAlign w:val="center"/>
          </w:tcPr>
          <w:p w:rsidR="0088341A" w:rsidRPr="00EB3B21" w:rsidRDefault="0088341A" w:rsidP="00501137">
            <w:pPr>
              <w:pStyle w:val="AERtabletextleft"/>
              <w:keepNext/>
              <w:keepLines/>
            </w:pPr>
            <w:r>
              <w:t>Efficiency benefit sharing scheme (carryover amounts)</w:t>
            </w:r>
          </w:p>
        </w:tc>
        <w:tc>
          <w:tcPr>
            <w:tcW w:w="669" w:type="pct"/>
            <w:shd w:val="clear" w:color="auto" w:fill="DBE5F1"/>
            <w:vAlign w:val="center"/>
          </w:tcPr>
          <w:p w:rsidR="0088341A" w:rsidRPr="00EB3B21" w:rsidRDefault="0088341A" w:rsidP="00501137">
            <w:pPr>
              <w:pStyle w:val="AERtabletextright"/>
              <w:keepNext/>
              <w:keepLines/>
            </w:pPr>
            <w:r>
              <w:t>18.4</w:t>
            </w:r>
          </w:p>
        </w:tc>
        <w:tc>
          <w:tcPr>
            <w:tcW w:w="669" w:type="pct"/>
            <w:shd w:val="clear" w:color="auto" w:fill="DBE5F1"/>
            <w:vAlign w:val="center"/>
          </w:tcPr>
          <w:p w:rsidR="0088341A" w:rsidRPr="00EB3B21" w:rsidRDefault="0088341A" w:rsidP="00501137">
            <w:pPr>
              <w:pStyle w:val="AERtabletextright"/>
              <w:keepNext/>
              <w:keepLines/>
            </w:pPr>
            <w:r>
              <w:t>16.2</w:t>
            </w:r>
          </w:p>
        </w:tc>
        <w:tc>
          <w:tcPr>
            <w:tcW w:w="668" w:type="pct"/>
            <w:shd w:val="clear" w:color="auto" w:fill="DBE5F1"/>
            <w:vAlign w:val="center"/>
          </w:tcPr>
          <w:p w:rsidR="0088341A" w:rsidRPr="00EB3B21" w:rsidRDefault="0088341A" w:rsidP="00501137">
            <w:pPr>
              <w:pStyle w:val="AERtabletextright"/>
              <w:keepNext/>
              <w:keepLines/>
            </w:pPr>
            <w:r>
              <w:t>4.1</w:t>
            </w:r>
          </w:p>
        </w:tc>
        <w:tc>
          <w:tcPr>
            <w:tcW w:w="697" w:type="pct"/>
            <w:shd w:val="clear" w:color="auto" w:fill="DBE5F1"/>
            <w:vAlign w:val="center"/>
          </w:tcPr>
          <w:p w:rsidR="0088341A" w:rsidRPr="00EB3B21" w:rsidRDefault="0088341A" w:rsidP="00501137">
            <w:pPr>
              <w:pStyle w:val="AERtabletextright"/>
              <w:keepNext/>
              <w:keepLines/>
            </w:pPr>
            <w:r>
              <w:t>38.7</w:t>
            </w:r>
          </w:p>
        </w:tc>
      </w:tr>
      <w:tr w:rsidR="0088341A" w:rsidTr="00501137">
        <w:trPr>
          <w:trHeight w:val="448"/>
        </w:trPr>
        <w:tc>
          <w:tcPr>
            <w:tcW w:w="2297" w:type="pct"/>
            <w:shd w:val="clear" w:color="auto" w:fill="auto"/>
            <w:vAlign w:val="center"/>
          </w:tcPr>
          <w:p w:rsidR="0088341A" w:rsidRPr="00EB3B21" w:rsidRDefault="0088341A" w:rsidP="00501137">
            <w:pPr>
              <w:pStyle w:val="AERtabletextleft"/>
              <w:keepNext/>
              <w:keepLines/>
            </w:pPr>
            <w:r>
              <w:t>Net tax allowance</w:t>
            </w:r>
          </w:p>
        </w:tc>
        <w:tc>
          <w:tcPr>
            <w:tcW w:w="669" w:type="pct"/>
            <w:shd w:val="clear" w:color="auto" w:fill="auto"/>
            <w:vAlign w:val="center"/>
          </w:tcPr>
          <w:p w:rsidR="0088341A" w:rsidRPr="00EB3B21" w:rsidRDefault="0088341A" w:rsidP="00501137">
            <w:pPr>
              <w:pStyle w:val="AERtabletextright"/>
              <w:keepNext/>
              <w:keepLines/>
            </w:pPr>
            <w:r>
              <w:t>8.2</w:t>
            </w:r>
          </w:p>
        </w:tc>
        <w:tc>
          <w:tcPr>
            <w:tcW w:w="669" w:type="pct"/>
            <w:shd w:val="clear" w:color="auto" w:fill="auto"/>
            <w:vAlign w:val="center"/>
          </w:tcPr>
          <w:p w:rsidR="0088341A" w:rsidRPr="00EB3B21" w:rsidRDefault="0088341A" w:rsidP="00501137">
            <w:pPr>
              <w:pStyle w:val="AERtabletextright"/>
              <w:keepNext/>
              <w:keepLines/>
            </w:pPr>
            <w:r>
              <w:t>8.0</w:t>
            </w:r>
          </w:p>
        </w:tc>
        <w:tc>
          <w:tcPr>
            <w:tcW w:w="668" w:type="pct"/>
            <w:shd w:val="clear" w:color="auto" w:fill="auto"/>
            <w:vAlign w:val="center"/>
          </w:tcPr>
          <w:p w:rsidR="0088341A" w:rsidRPr="00EB3B21" w:rsidRDefault="0088341A" w:rsidP="00501137">
            <w:pPr>
              <w:pStyle w:val="AERtabletextright"/>
              <w:keepNext/>
              <w:keepLines/>
            </w:pPr>
            <w:r>
              <w:t>8.6</w:t>
            </w:r>
          </w:p>
        </w:tc>
        <w:tc>
          <w:tcPr>
            <w:tcW w:w="697" w:type="pct"/>
            <w:shd w:val="clear" w:color="auto" w:fill="auto"/>
            <w:vAlign w:val="center"/>
          </w:tcPr>
          <w:p w:rsidR="0088341A" w:rsidRPr="00EB3B21" w:rsidRDefault="0088341A" w:rsidP="00501137">
            <w:pPr>
              <w:pStyle w:val="AERtabletextright"/>
              <w:keepNext/>
              <w:keepLines/>
            </w:pPr>
            <w:r>
              <w:t>24.8</w:t>
            </w:r>
          </w:p>
        </w:tc>
      </w:tr>
      <w:tr w:rsidR="0088341A" w:rsidTr="00501137">
        <w:trPr>
          <w:trHeight w:val="660"/>
        </w:trPr>
        <w:tc>
          <w:tcPr>
            <w:tcW w:w="2297" w:type="pct"/>
            <w:shd w:val="clear" w:color="auto" w:fill="DBE5F1"/>
            <w:vAlign w:val="center"/>
          </w:tcPr>
          <w:p w:rsidR="0088341A" w:rsidRPr="00EB3B21" w:rsidRDefault="0088341A" w:rsidP="00501137">
            <w:pPr>
              <w:pStyle w:val="AERtabletextleft"/>
              <w:keepNext/>
              <w:keepLines/>
            </w:pPr>
            <w:r>
              <w:t>Annual building block revenue requirement (unsmoothed)</w:t>
            </w:r>
          </w:p>
        </w:tc>
        <w:tc>
          <w:tcPr>
            <w:tcW w:w="669" w:type="pct"/>
            <w:shd w:val="clear" w:color="auto" w:fill="DBE5F1"/>
            <w:vAlign w:val="center"/>
          </w:tcPr>
          <w:p w:rsidR="0088341A" w:rsidRPr="00EB3B21" w:rsidRDefault="0088341A" w:rsidP="00501137">
            <w:pPr>
              <w:pStyle w:val="AERtabletextright"/>
              <w:keepNext/>
              <w:keepLines/>
            </w:pPr>
            <w:r>
              <w:t>500.2</w:t>
            </w:r>
          </w:p>
        </w:tc>
        <w:tc>
          <w:tcPr>
            <w:tcW w:w="669" w:type="pct"/>
            <w:shd w:val="clear" w:color="auto" w:fill="DBE5F1"/>
            <w:vAlign w:val="center"/>
          </w:tcPr>
          <w:p w:rsidR="0088341A" w:rsidRPr="00EB3B21" w:rsidRDefault="0088341A" w:rsidP="00501137">
            <w:pPr>
              <w:pStyle w:val="AERtabletextright"/>
              <w:keepNext/>
              <w:keepLines/>
            </w:pPr>
            <w:r>
              <w:t>515.0</w:t>
            </w:r>
          </w:p>
        </w:tc>
        <w:tc>
          <w:tcPr>
            <w:tcW w:w="668" w:type="pct"/>
            <w:shd w:val="clear" w:color="auto" w:fill="DBE5F1"/>
            <w:vAlign w:val="center"/>
          </w:tcPr>
          <w:p w:rsidR="0088341A" w:rsidRPr="00EB3B21" w:rsidRDefault="0088341A" w:rsidP="00501137">
            <w:pPr>
              <w:pStyle w:val="AERtabletextright"/>
              <w:keepNext/>
              <w:keepLines/>
            </w:pPr>
            <w:r>
              <w:t>515.4</w:t>
            </w:r>
          </w:p>
        </w:tc>
        <w:tc>
          <w:tcPr>
            <w:tcW w:w="697" w:type="pct"/>
            <w:shd w:val="clear" w:color="auto" w:fill="DBE5F1"/>
            <w:vAlign w:val="center"/>
          </w:tcPr>
          <w:p w:rsidR="0088341A" w:rsidRPr="00EB3B21" w:rsidRDefault="0088341A" w:rsidP="00501137">
            <w:pPr>
              <w:pStyle w:val="AERtabletextright"/>
              <w:keepNext/>
              <w:keepLines/>
            </w:pPr>
            <w:r>
              <w:t>1530.6</w:t>
            </w:r>
          </w:p>
        </w:tc>
      </w:tr>
      <w:tr w:rsidR="0088341A" w:rsidTr="00501137">
        <w:trPr>
          <w:trHeight w:val="437"/>
        </w:trPr>
        <w:tc>
          <w:tcPr>
            <w:tcW w:w="2297" w:type="pct"/>
            <w:shd w:val="clear" w:color="auto" w:fill="auto"/>
            <w:vAlign w:val="center"/>
          </w:tcPr>
          <w:p w:rsidR="0088341A" w:rsidRPr="00EB3B21" w:rsidRDefault="0088341A" w:rsidP="00501137">
            <w:pPr>
              <w:pStyle w:val="AERtabletextleft"/>
              <w:keepNext/>
              <w:keepLines/>
            </w:pPr>
            <w:r>
              <w:t>Annual expected MAR (smoothed)</w:t>
            </w:r>
          </w:p>
        </w:tc>
        <w:tc>
          <w:tcPr>
            <w:tcW w:w="669" w:type="pct"/>
            <w:shd w:val="clear" w:color="auto" w:fill="auto"/>
            <w:vAlign w:val="center"/>
          </w:tcPr>
          <w:p w:rsidR="0088341A" w:rsidRPr="00EB3B21" w:rsidRDefault="0088341A" w:rsidP="00501137">
            <w:pPr>
              <w:pStyle w:val="AERtabletextright"/>
              <w:keepNext/>
              <w:keepLines/>
            </w:pPr>
            <w:r>
              <w:t>519.0</w:t>
            </w:r>
          </w:p>
        </w:tc>
        <w:tc>
          <w:tcPr>
            <w:tcW w:w="669" w:type="pct"/>
            <w:shd w:val="clear" w:color="auto" w:fill="auto"/>
            <w:vAlign w:val="center"/>
          </w:tcPr>
          <w:p w:rsidR="0088341A" w:rsidRPr="00EB3B21" w:rsidRDefault="0088341A" w:rsidP="00501137">
            <w:pPr>
              <w:pStyle w:val="AERtabletextright"/>
              <w:keepNext/>
              <w:keepLines/>
            </w:pPr>
            <w:r>
              <w:t>509.3</w:t>
            </w:r>
          </w:p>
        </w:tc>
        <w:tc>
          <w:tcPr>
            <w:tcW w:w="668" w:type="pct"/>
            <w:shd w:val="clear" w:color="auto" w:fill="auto"/>
            <w:vAlign w:val="center"/>
          </w:tcPr>
          <w:p w:rsidR="0088341A" w:rsidRPr="00EB3B21" w:rsidRDefault="0088341A" w:rsidP="00501137">
            <w:pPr>
              <w:pStyle w:val="AERtabletextright"/>
              <w:keepNext/>
              <w:keepLines/>
            </w:pPr>
            <w:r>
              <w:t>499.8</w:t>
            </w:r>
          </w:p>
        </w:tc>
        <w:tc>
          <w:tcPr>
            <w:tcW w:w="697" w:type="pct"/>
            <w:shd w:val="clear" w:color="auto" w:fill="auto"/>
            <w:vAlign w:val="center"/>
          </w:tcPr>
          <w:p w:rsidR="0088341A" w:rsidRPr="00EB3B21" w:rsidRDefault="0088341A" w:rsidP="00F82F3F">
            <w:pPr>
              <w:pStyle w:val="AERtabletextright"/>
              <w:keepNext/>
              <w:keepLines/>
              <w:rPr>
                <w:b/>
                <w:bCs/>
                <w:color w:val="E36C0A"/>
              </w:rPr>
            </w:pPr>
            <w:r>
              <w:t>1528.</w:t>
            </w:r>
            <w:r w:rsidR="00016E39">
              <w:t>1</w:t>
            </w:r>
            <w:r w:rsidRPr="00640717">
              <w:rPr>
                <w:rStyle w:val="AERsuperscript"/>
              </w:rPr>
              <w:t>b</w:t>
            </w:r>
          </w:p>
        </w:tc>
      </w:tr>
      <w:tr w:rsidR="0088341A" w:rsidTr="00501137">
        <w:trPr>
          <w:trHeight w:val="460"/>
        </w:trPr>
        <w:tc>
          <w:tcPr>
            <w:tcW w:w="2297" w:type="pct"/>
            <w:shd w:val="clear" w:color="auto" w:fill="DBE5F1"/>
            <w:vAlign w:val="center"/>
          </w:tcPr>
          <w:p w:rsidR="0088341A" w:rsidRPr="00EB3B21" w:rsidRDefault="0088341A" w:rsidP="00501137">
            <w:pPr>
              <w:pStyle w:val="AERtabletextleft"/>
              <w:keepNext/>
              <w:keepLines/>
            </w:pPr>
            <w:r>
              <w:t>X factor (%)</w:t>
            </w:r>
          </w:p>
        </w:tc>
        <w:tc>
          <w:tcPr>
            <w:tcW w:w="669" w:type="pct"/>
            <w:shd w:val="clear" w:color="auto" w:fill="DBE5F1"/>
            <w:vAlign w:val="center"/>
          </w:tcPr>
          <w:p w:rsidR="0088341A" w:rsidRPr="00EB3B21" w:rsidRDefault="0088341A" w:rsidP="00501137">
            <w:pPr>
              <w:pStyle w:val="AERtabletextright"/>
              <w:keepNext/>
              <w:keepLines/>
            </w:pPr>
            <w:r>
              <w:t>n/a</w:t>
            </w:r>
            <w:r w:rsidRPr="00EE648B">
              <w:rPr>
                <w:rStyle w:val="AERsuperscript"/>
              </w:rPr>
              <w:t>c</w:t>
            </w:r>
          </w:p>
        </w:tc>
        <w:tc>
          <w:tcPr>
            <w:tcW w:w="669" w:type="pct"/>
            <w:shd w:val="clear" w:color="auto" w:fill="DBE5F1"/>
            <w:vAlign w:val="center"/>
          </w:tcPr>
          <w:p w:rsidR="0088341A" w:rsidRPr="00EB3B21" w:rsidRDefault="0088341A" w:rsidP="00501137">
            <w:pPr>
              <w:pStyle w:val="AERtabletextright"/>
              <w:keepNext/>
              <w:keepLines/>
            </w:pPr>
            <w:r>
              <w:t>4.26</w:t>
            </w:r>
          </w:p>
        </w:tc>
        <w:tc>
          <w:tcPr>
            <w:tcW w:w="668" w:type="pct"/>
            <w:shd w:val="clear" w:color="auto" w:fill="DBE5F1"/>
            <w:vAlign w:val="center"/>
          </w:tcPr>
          <w:p w:rsidR="0088341A" w:rsidRPr="00EB3B21" w:rsidRDefault="0088341A" w:rsidP="00501137">
            <w:pPr>
              <w:pStyle w:val="AERtabletextright"/>
              <w:keepNext/>
              <w:keepLines/>
            </w:pPr>
            <w:r>
              <w:t>4.26</w:t>
            </w:r>
          </w:p>
        </w:tc>
        <w:tc>
          <w:tcPr>
            <w:tcW w:w="697" w:type="pct"/>
            <w:shd w:val="clear" w:color="auto" w:fill="DBE5F1"/>
            <w:vAlign w:val="center"/>
          </w:tcPr>
          <w:p w:rsidR="0088341A" w:rsidRPr="00EB3B21" w:rsidRDefault="0088341A" w:rsidP="00501137">
            <w:pPr>
              <w:pStyle w:val="AERtabletextright"/>
              <w:keepNext/>
              <w:keepLines/>
            </w:pPr>
            <w:r>
              <w:t>n/a</w:t>
            </w:r>
          </w:p>
        </w:tc>
      </w:tr>
    </w:tbl>
    <w:p w:rsidR="0088341A" w:rsidRPr="003273C1" w:rsidRDefault="0088341A" w:rsidP="0088341A">
      <w:pPr>
        <w:pStyle w:val="AERtablesource"/>
        <w:keepNext/>
        <w:keepLines/>
      </w:pPr>
      <w:r>
        <w:t>Source:</w:t>
      </w:r>
      <w:r>
        <w:tab/>
        <w:t>AER analysis.</w:t>
      </w:r>
    </w:p>
    <w:p w:rsidR="0088341A" w:rsidRDefault="0088341A" w:rsidP="00F82F3F">
      <w:pPr>
        <w:pStyle w:val="AERtablesource"/>
      </w:pPr>
      <w:r>
        <w:t>(a)</w:t>
      </w:r>
      <w:r>
        <w:tab/>
        <w:t>Regulatory depreciation is straight-line depreciation net of the inflation indexation on the opening RAB.</w:t>
      </w:r>
    </w:p>
    <w:p w:rsidR="0088341A" w:rsidRDefault="0088341A" w:rsidP="00F82F3F">
      <w:pPr>
        <w:pStyle w:val="AERtablesource"/>
      </w:pPr>
      <w:r>
        <w:t>(b)</w:t>
      </w:r>
      <w:r>
        <w:tab/>
        <w:t>The estimated total revenue cap is equal to the total annual expected MAR.</w:t>
      </w:r>
    </w:p>
    <w:p w:rsidR="0088341A" w:rsidRDefault="0088341A" w:rsidP="00F82F3F">
      <w:pPr>
        <w:pStyle w:val="AERtablesource"/>
      </w:pPr>
      <w:r>
        <w:t>(c)</w:t>
      </w:r>
      <w:r>
        <w:tab/>
        <w:t>SP AusNet is not required to apply an X factor for 2014–15 because the MAR for 2014–15 will be that set in the final decision. The MAR for 2014–15 is around 7.3 per cent lower than the MAR in the final year of the 2008–14 regulatory control period (2013–14) in real terms, or 5.0 per cent lower in nominal terms.</w:t>
      </w:r>
    </w:p>
    <w:p w:rsidR="0088341A" w:rsidRDefault="0088341A" w:rsidP="0088341A">
      <w:pPr>
        <w:pStyle w:val="Heading2"/>
        <w:numPr>
          <w:ilvl w:val="2"/>
          <w:numId w:val="20"/>
        </w:numPr>
      </w:pPr>
      <w:bookmarkStart w:id="316" w:name="_Toc365283328"/>
      <w:r>
        <w:t>SP AusNet's proposal</w:t>
      </w:r>
      <w:bookmarkEnd w:id="316"/>
    </w:p>
    <w:p w:rsidR="0088341A" w:rsidRDefault="0088341A" w:rsidP="0088341A">
      <w:pPr>
        <w:pStyle w:val="AERbodytext"/>
        <w:numPr>
          <w:ilvl w:val="0"/>
          <w:numId w:val="1"/>
        </w:numPr>
      </w:pPr>
      <w:r>
        <w:t>Based on its proposed building block components, SP AusNet's proposal included a total (smoothed) revenue cap of $1598 million ($ nominal) for the 2014</w:t>
      </w:r>
      <w:r w:rsidRPr="00990CB7">
        <w:t>–</w:t>
      </w:r>
      <w:r>
        <w:t>17 regulatory control period.</w:t>
      </w:r>
    </w:p>
    <w:p w:rsidR="0088341A" w:rsidRDefault="0088341A" w:rsidP="0088341A">
      <w:pPr>
        <w:pStyle w:val="AERbodytext"/>
        <w:numPr>
          <w:ilvl w:val="0"/>
          <w:numId w:val="1"/>
        </w:numPr>
      </w:pPr>
      <w:r>
        <w:fldChar w:fldCharType="begin"/>
      </w:r>
      <w:r>
        <w:instrText xml:space="preserve"> REF _Ref339362122 \h </w:instrText>
      </w:r>
      <w:r>
        <w:fldChar w:fldCharType="separate"/>
      </w:r>
      <w:r w:rsidR="004F35AA">
        <w:t xml:space="preserve">Table </w:t>
      </w:r>
      <w:r w:rsidR="004F35AA">
        <w:rPr>
          <w:noProof/>
        </w:rPr>
        <w:t>8</w:t>
      </w:r>
      <w:r w:rsidR="004F35AA">
        <w:t>.</w:t>
      </w:r>
      <w:r w:rsidR="004F35AA">
        <w:rPr>
          <w:noProof/>
        </w:rPr>
        <w:t>2</w:t>
      </w:r>
      <w:r>
        <w:fldChar w:fldCharType="end"/>
      </w:r>
      <w:r>
        <w:t xml:space="preserve"> s</w:t>
      </w:r>
      <w:r w:rsidRPr="00F270BE">
        <w:t xml:space="preserve">ets out </w:t>
      </w:r>
      <w:r>
        <w:t>SP AusNet's proposed</w:t>
      </w:r>
      <w:r w:rsidRPr="00F270BE">
        <w:t xml:space="preserve"> annual building block revenue requirement, the X factor, the annual expected MAR and the estimate</w:t>
      </w:r>
      <w:r>
        <w:t>d total revenue cap for the 2014–17</w:t>
      </w:r>
      <w:r w:rsidRPr="00F270BE">
        <w:t xml:space="preserve"> regulatory control period.</w:t>
      </w:r>
    </w:p>
    <w:p w:rsidR="0088341A" w:rsidRDefault="0088341A" w:rsidP="0088341A">
      <w:pPr>
        <w:pStyle w:val="Caption"/>
        <w:keepLines/>
      </w:pPr>
      <w:bookmarkStart w:id="317" w:name="_Ref339362122"/>
      <w:bookmarkStart w:id="318" w:name="_Ref337644076"/>
      <w:r>
        <w:lastRenderedPageBreak/>
        <w:t xml:space="preserve">Table </w:t>
      </w:r>
      <w:fldSimple w:instr=" STYLEREF 1 \s ">
        <w:r w:rsidR="004F35AA">
          <w:rPr>
            <w:noProof/>
          </w:rPr>
          <w:t>8</w:t>
        </w:r>
      </w:fldSimple>
      <w:r w:rsidR="00C56A87">
        <w:t>.</w:t>
      </w:r>
      <w:fldSimple w:instr=" SEQ Table \* ARABIC \s 1 ">
        <w:r w:rsidR="004F35AA">
          <w:rPr>
            <w:noProof/>
          </w:rPr>
          <w:t>2</w:t>
        </w:r>
      </w:fldSimple>
      <w:bookmarkEnd w:id="317"/>
      <w:r>
        <w:tab/>
        <w:t>SP AusNet's proposed annual building block revenue requirement, annual expected MAR, estimated total revenue cap and X factor ($ million, nominal)</w:t>
      </w:r>
      <w:bookmarkEnd w:id="318"/>
    </w:p>
    <w:tbl>
      <w:tblPr>
        <w:tblW w:w="4995" w:type="pct"/>
        <w:tblBorders>
          <w:bottom w:val="single" w:sz="4" w:space="0" w:color="365F91"/>
        </w:tblBorders>
        <w:tblLook w:val="04A0" w:firstRow="1" w:lastRow="0" w:firstColumn="1" w:lastColumn="0" w:noHBand="0" w:noVBand="1"/>
      </w:tblPr>
      <w:tblGrid>
        <w:gridCol w:w="4241"/>
        <w:gridCol w:w="1235"/>
        <w:gridCol w:w="1235"/>
        <w:gridCol w:w="1235"/>
        <w:gridCol w:w="1287"/>
      </w:tblGrid>
      <w:tr w:rsidR="0088341A" w:rsidTr="00501137">
        <w:trPr>
          <w:trHeight w:val="583"/>
        </w:trPr>
        <w:tc>
          <w:tcPr>
            <w:tcW w:w="2296" w:type="pct"/>
            <w:shd w:val="clear" w:color="auto" w:fill="365F91"/>
            <w:vAlign w:val="center"/>
          </w:tcPr>
          <w:p w:rsidR="0088341A" w:rsidRPr="00BB22BB" w:rsidRDefault="0088341A" w:rsidP="00501137">
            <w:pPr>
              <w:pStyle w:val="AERbodytext"/>
              <w:keepNext/>
              <w:keepLines/>
              <w:numPr>
                <w:ilvl w:val="0"/>
                <w:numId w:val="1"/>
              </w:numPr>
              <w:spacing w:before="120"/>
              <w:rPr>
                <w:b/>
                <w:color w:val="FFFFFF"/>
                <w:sz w:val="16"/>
              </w:rPr>
            </w:pPr>
          </w:p>
        </w:tc>
        <w:tc>
          <w:tcPr>
            <w:tcW w:w="669" w:type="pct"/>
            <w:shd w:val="clear" w:color="auto" w:fill="365F91"/>
            <w:vAlign w:val="center"/>
          </w:tcPr>
          <w:p w:rsidR="0088341A" w:rsidRPr="00BB22BB" w:rsidRDefault="0088341A" w:rsidP="00501137">
            <w:pPr>
              <w:pStyle w:val="AERtabletextright"/>
              <w:keepNext/>
              <w:keepLines/>
              <w:rPr>
                <w:b/>
                <w:color w:val="FFFFFF"/>
              </w:rPr>
            </w:pPr>
            <w:r w:rsidRPr="00BB22BB">
              <w:rPr>
                <w:b/>
                <w:color w:val="FFFFFF"/>
              </w:rPr>
              <w:t>2014–15</w:t>
            </w:r>
          </w:p>
        </w:tc>
        <w:tc>
          <w:tcPr>
            <w:tcW w:w="669" w:type="pct"/>
            <w:shd w:val="clear" w:color="auto" w:fill="365F91"/>
            <w:vAlign w:val="center"/>
          </w:tcPr>
          <w:p w:rsidR="0088341A" w:rsidRPr="00BB22BB" w:rsidRDefault="0088341A" w:rsidP="00501137">
            <w:pPr>
              <w:pStyle w:val="AERtabletextright"/>
              <w:keepNext/>
              <w:keepLines/>
              <w:rPr>
                <w:b/>
                <w:color w:val="FFFFFF"/>
              </w:rPr>
            </w:pPr>
            <w:r w:rsidRPr="00BB22BB">
              <w:rPr>
                <w:b/>
                <w:color w:val="FFFFFF"/>
              </w:rPr>
              <w:t>2015–16</w:t>
            </w:r>
          </w:p>
        </w:tc>
        <w:tc>
          <w:tcPr>
            <w:tcW w:w="669" w:type="pct"/>
            <w:shd w:val="clear" w:color="auto" w:fill="365F91"/>
            <w:vAlign w:val="center"/>
          </w:tcPr>
          <w:p w:rsidR="0088341A" w:rsidRPr="00BB22BB" w:rsidRDefault="0088341A" w:rsidP="00501137">
            <w:pPr>
              <w:pStyle w:val="AERtabletextright"/>
              <w:keepNext/>
              <w:keepLines/>
              <w:rPr>
                <w:b/>
                <w:color w:val="FFFFFF"/>
              </w:rPr>
            </w:pPr>
            <w:r w:rsidRPr="00BB22BB">
              <w:rPr>
                <w:b/>
                <w:color w:val="FFFFFF"/>
              </w:rPr>
              <w:t>2016–17</w:t>
            </w:r>
          </w:p>
        </w:tc>
        <w:tc>
          <w:tcPr>
            <w:tcW w:w="697" w:type="pct"/>
            <w:shd w:val="clear" w:color="auto" w:fill="365F91"/>
            <w:vAlign w:val="center"/>
          </w:tcPr>
          <w:p w:rsidR="0088341A" w:rsidRPr="00BB22BB" w:rsidRDefault="0088341A" w:rsidP="00501137">
            <w:pPr>
              <w:pStyle w:val="AERtabletextright"/>
              <w:keepNext/>
              <w:keepLines/>
              <w:rPr>
                <w:b/>
                <w:color w:val="FFFFFF"/>
              </w:rPr>
            </w:pPr>
            <w:r w:rsidRPr="00BB22BB">
              <w:rPr>
                <w:b/>
                <w:color w:val="FFFFFF"/>
              </w:rPr>
              <w:t>Total</w:t>
            </w:r>
          </w:p>
        </w:tc>
      </w:tr>
      <w:tr w:rsidR="0088341A" w:rsidTr="00501137">
        <w:trPr>
          <w:trHeight w:val="431"/>
        </w:trPr>
        <w:tc>
          <w:tcPr>
            <w:tcW w:w="2296" w:type="pct"/>
            <w:shd w:val="clear" w:color="auto" w:fill="auto"/>
            <w:vAlign w:val="center"/>
          </w:tcPr>
          <w:p w:rsidR="0088341A" w:rsidRPr="00990CB7" w:rsidRDefault="0088341A" w:rsidP="00501137">
            <w:pPr>
              <w:pStyle w:val="AERtabletextleft"/>
              <w:keepNext/>
              <w:keepLines/>
            </w:pPr>
            <w:r>
              <w:t>Return on capital</w:t>
            </w:r>
          </w:p>
        </w:tc>
        <w:tc>
          <w:tcPr>
            <w:tcW w:w="669" w:type="pct"/>
            <w:shd w:val="clear" w:color="auto" w:fill="auto"/>
            <w:vAlign w:val="center"/>
          </w:tcPr>
          <w:p w:rsidR="0088341A" w:rsidRPr="00990CB7" w:rsidRDefault="0088341A" w:rsidP="00501137">
            <w:pPr>
              <w:pStyle w:val="AERtabletextright"/>
              <w:keepNext/>
              <w:keepLines/>
            </w:pPr>
            <w:r>
              <w:t>206.0</w:t>
            </w:r>
          </w:p>
        </w:tc>
        <w:tc>
          <w:tcPr>
            <w:tcW w:w="669" w:type="pct"/>
            <w:shd w:val="clear" w:color="auto" w:fill="auto"/>
            <w:vAlign w:val="center"/>
          </w:tcPr>
          <w:p w:rsidR="0088341A" w:rsidRPr="00990CB7" w:rsidRDefault="0088341A" w:rsidP="00501137">
            <w:pPr>
              <w:pStyle w:val="AERtabletextright"/>
              <w:keepNext/>
              <w:keepLines/>
            </w:pPr>
            <w:r>
              <w:t>214.1</w:t>
            </w:r>
          </w:p>
        </w:tc>
        <w:tc>
          <w:tcPr>
            <w:tcW w:w="669" w:type="pct"/>
            <w:shd w:val="clear" w:color="auto" w:fill="auto"/>
            <w:vAlign w:val="center"/>
          </w:tcPr>
          <w:p w:rsidR="0088341A" w:rsidRPr="00990CB7" w:rsidRDefault="0088341A" w:rsidP="00501137">
            <w:pPr>
              <w:pStyle w:val="AERtabletextright"/>
              <w:keepNext/>
              <w:keepLines/>
            </w:pPr>
            <w:r>
              <w:t>222.6</w:t>
            </w:r>
          </w:p>
        </w:tc>
        <w:tc>
          <w:tcPr>
            <w:tcW w:w="697" w:type="pct"/>
            <w:shd w:val="clear" w:color="auto" w:fill="auto"/>
            <w:vAlign w:val="center"/>
          </w:tcPr>
          <w:p w:rsidR="0088341A" w:rsidRPr="00990CB7" w:rsidRDefault="0088341A" w:rsidP="00501137">
            <w:pPr>
              <w:pStyle w:val="AERtabletextright"/>
              <w:keepNext/>
              <w:keepLines/>
            </w:pPr>
            <w:r>
              <w:t>642.7</w:t>
            </w:r>
          </w:p>
        </w:tc>
      </w:tr>
      <w:tr w:rsidR="0088341A" w:rsidTr="00501137">
        <w:trPr>
          <w:trHeight w:val="420"/>
        </w:trPr>
        <w:tc>
          <w:tcPr>
            <w:tcW w:w="2296" w:type="pct"/>
            <w:shd w:val="clear" w:color="auto" w:fill="DBE5F1"/>
            <w:vAlign w:val="center"/>
          </w:tcPr>
          <w:p w:rsidR="0088341A" w:rsidRPr="00990CB7" w:rsidRDefault="0088341A" w:rsidP="00501137">
            <w:pPr>
              <w:pStyle w:val="AERtabletextleft"/>
              <w:keepNext/>
              <w:keepLines/>
            </w:pPr>
            <w:r>
              <w:t>Regulatory depreciation</w:t>
            </w:r>
            <w:r w:rsidRPr="00990CB7">
              <w:rPr>
                <w:rStyle w:val="AERsuperscript"/>
              </w:rPr>
              <w:t>a</w:t>
            </w:r>
          </w:p>
        </w:tc>
        <w:tc>
          <w:tcPr>
            <w:tcW w:w="669" w:type="pct"/>
            <w:shd w:val="clear" w:color="auto" w:fill="DBE5F1"/>
            <w:vAlign w:val="center"/>
          </w:tcPr>
          <w:p w:rsidR="0088341A" w:rsidRPr="00990CB7" w:rsidRDefault="0088341A" w:rsidP="00501137">
            <w:pPr>
              <w:pStyle w:val="AERtabletextright"/>
              <w:keepNext/>
              <w:keepLines/>
            </w:pPr>
            <w:r>
              <w:t>73.9</w:t>
            </w:r>
          </w:p>
        </w:tc>
        <w:tc>
          <w:tcPr>
            <w:tcW w:w="669" w:type="pct"/>
            <w:shd w:val="clear" w:color="auto" w:fill="DBE5F1"/>
            <w:vAlign w:val="center"/>
          </w:tcPr>
          <w:p w:rsidR="0088341A" w:rsidRPr="00990CB7" w:rsidRDefault="0088341A" w:rsidP="00501137">
            <w:pPr>
              <w:pStyle w:val="AERtabletextright"/>
              <w:keepNext/>
              <w:keepLines/>
            </w:pPr>
            <w:r>
              <w:t>79.3</w:t>
            </w:r>
          </w:p>
        </w:tc>
        <w:tc>
          <w:tcPr>
            <w:tcW w:w="669" w:type="pct"/>
            <w:shd w:val="clear" w:color="auto" w:fill="DBE5F1"/>
            <w:vAlign w:val="center"/>
          </w:tcPr>
          <w:p w:rsidR="0088341A" w:rsidRPr="00990CB7" w:rsidRDefault="0088341A" w:rsidP="00501137">
            <w:pPr>
              <w:pStyle w:val="AERtabletextright"/>
              <w:keepNext/>
              <w:keepLines/>
            </w:pPr>
            <w:r>
              <w:t>85.9</w:t>
            </w:r>
          </w:p>
        </w:tc>
        <w:tc>
          <w:tcPr>
            <w:tcW w:w="697" w:type="pct"/>
            <w:shd w:val="clear" w:color="auto" w:fill="DBE5F1"/>
            <w:vAlign w:val="center"/>
          </w:tcPr>
          <w:p w:rsidR="0088341A" w:rsidRPr="00990CB7" w:rsidRDefault="0088341A" w:rsidP="00501137">
            <w:pPr>
              <w:pStyle w:val="AERtabletextright"/>
              <w:keepNext/>
              <w:keepLines/>
            </w:pPr>
            <w:r>
              <w:t>239.1</w:t>
            </w:r>
          </w:p>
        </w:tc>
      </w:tr>
      <w:tr w:rsidR="0088341A" w:rsidTr="00501137">
        <w:trPr>
          <w:trHeight w:val="431"/>
        </w:trPr>
        <w:tc>
          <w:tcPr>
            <w:tcW w:w="2296" w:type="pct"/>
            <w:shd w:val="clear" w:color="auto" w:fill="auto"/>
            <w:vAlign w:val="center"/>
          </w:tcPr>
          <w:p w:rsidR="0088341A" w:rsidRPr="00990CB7" w:rsidRDefault="0088341A" w:rsidP="00501137">
            <w:pPr>
              <w:pStyle w:val="AERtabletextleft"/>
              <w:keepNext/>
              <w:keepLines/>
            </w:pPr>
            <w:r>
              <w:t>Operating expenditure</w:t>
            </w:r>
          </w:p>
        </w:tc>
        <w:tc>
          <w:tcPr>
            <w:tcW w:w="669" w:type="pct"/>
            <w:shd w:val="clear" w:color="auto" w:fill="auto"/>
            <w:vAlign w:val="center"/>
          </w:tcPr>
          <w:p w:rsidR="0088341A" w:rsidRPr="00990CB7" w:rsidRDefault="0088341A" w:rsidP="00501137">
            <w:pPr>
              <w:pStyle w:val="AERtabletextright"/>
              <w:keepNext/>
              <w:keepLines/>
            </w:pPr>
            <w:r>
              <w:t>205.2</w:t>
            </w:r>
          </w:p>
        </w:tc>
        <w:tc>
          <w:tcPr>
            <w:tcW w:w="669" w:type="pct"/>
            <w:shd w:val="clear" w:color="auto" w:fill="auto"/>
            <w:vAlign w:val="center"/>
          </w:tcPr>
          <w:p w:rsidR="0088341A" w:rsidRPr="00990CB7" w:rsidRDefault="0088341A" w:rsidP="00501137">
            <w:pPr>
              <w:pStyle w:val="AERtabletextright"/>
              <w:keepNext/>
              <w:keepLines/>
            </w:pPr>
            <w:r>
              <w:t>216.2</w:t>
            </w:r>
          </w:p>
        </w:tc>
        <w:tc>
          <w:tcPr>
            <w:tcW w:w="669" w:type="pct"/>
            <w:shd w:val="clear" w:color="auto" w:fill="auto"/>
            <w:vAlign w:val="center"/>
          </w:tcPr>
          <w:p w:rsidR="0088341A" w:rsidRPr="00990CB7" w:rsidRDefault="0088341A" w:rsidP="00501137">
            <w:pPr>
              <w:pStyle w:val="AERtabletextright"/>
              <w:keepNext/>
              <w:keepLines/>
            </w:pPr>
            <w:r>
              <w:t>220.3</w:t>
            </w:r>
          </w:p>
        </w:tc>
        <w:tc>
          <w:tcPr>
            <w:tcW w:w="697" w:type="pct"/>
            <w:shd w:val="clear" w:color="auto" w:fill="auto"/>
            <w:vAlign w:val="center"/>
          </w:tcPr>
          <w:p w:rsidR="0088341A" w:rsidRPr="00990CB7" w:rsidRDefault="0088341A" w:rsidP="00501137">
            <w:pPr>
              <w:pStyle w:val="AERtabletextright"/>
              <w:keepNext/>
              <w:keepLines/>
            </w:pPr>
            <w:r>
              <w:t>641.7</w:t>
            </w:r>
          </w:p>
        </w:tc>
      </w:tr>
      <w:tr w:rsidR="0088341A" w:rsidTr="00501137">
        <w:trPr>
          <w:trHeight w:val="420"/>
        </w:trPr>
        <w:tc>
          <w:tcPr>
            <w:tcW w:w="2296" w:type="pct"/>
            <w:shd w:val="clear" w:color="auto" w:fill="DBE5F1"/>
            <w:vAlign w:val="center"/>
          </w:tcPr>
          <w:p w:rsidR="0088341A" w:rsidRDefault="0088341A" w:rsidP="00501137">
            <w:pPr>
              <w:pStyle w:val="AERtabletextleft"/>
              <w:keepNext/>
              <w:keepLines/>
            </w:pPr>
            <w:r>
              <w:t>Efficiency benefit sharing scheme (carryover amounts)</w:t>
            </w:r>
          </w:p>
        </w:tc>
        <w:tc>
          <w:tcPr>
            <w:tcW w:w="669" w:type="pct"/>
            <w:shd w:val="clear" w:color="auto" w:fill="DBE5F1"/>
            <w:vAlign w:val="center"/>
          </w:tcPr>
          <w:p w:rsidR="0088341A" w:rsidRDefault="0088341A" w:rsidP="00501137">
            <w:pPr>
              <w:pStyle w:val="AERtabletextright"/>
              <w:keepNext/>
              <w:keepLines/>
            </w:pPr>
            <w:r>
              <w:t>9.4</w:t>
            </w:r>
          </w:p>
        </w:tc>
        <w:tc>
          <w:tcPr>
            <w:tcW w:w="669" w:type="pct"/>
            <w:shd w:val="clear" w:color="auto" w:fill="DBE5F1"/>
            <w:vAlign w:val="center"/>
          </w:tcPr>
          <w:p w:rsidR="0088341A" w:rsidRDefault="0088341A" w:rsidP="00501137">
            <w:pPr>
              <w:pStyle w:val="AERtabletextright"/>
              <w:keepNext/>
              <w:keepLines/>
            </w:pPr>
            <w:r>
              <w:t>17.6</w:t>
            </w:r>
          </w:p>
        </w:tc>
        <w:tc>
          <w:tcPr>
            <w:tcW w:w="669" w:type="pct"/>
            <w:shd w:val="clear" w:color="auto" w:fill="DBE5F1"/>
            <w:vAlign w:val="center"/>
          </w:tcPr>
          <w:p w:rsidR="0088341A" w:rsidRDefault="0088341A" w:rsidP="00501137">
            <w:pPr>
              <w:pStyle w:val="AERtabletextright"/>
              <w:keepNext/>
              <w:keepLines/>
            </w:pPr>
            <w:r>
              <w:t>22.8</w:t>
            </w:r>
          </w:p>
        </w:tc>
        <w:tc>
          <w:tcPr>
            <w:tcW w:w="697" w:type="pct"/>
            <w:shd w:val="clear" w:color="auto" w:fill="DBE5F1"/>
            <w:vAlign w:val="center"/>
          </w:tcPr>
          <w:p w:rsidR="0088341A" w:rsidRDefault="0088341A" w:rsidP="00501137">
            <w:pPr>
              <w:pStyle w:val="AERtabletextright"/>
              <w:keepNext/>
              <w:keepLines/>
            </w:pPr>
            <w:r>
              <w:t>49.8</w:t>
            </w:r>
          </w:p>
        </w:tc>
      </w:tr>
      <w:tr w:rsidR="0088341A" w:rsidTr="00501137">
        <w:trPr>
          <w:trHeight w:val="420"/>
        </w:trPr>
        <w:tc>
          <w:tcPr>
            <w:tcW w:w="2296" w:type="pct"/>
            <w:shd w:val="clear" w:color="auto" w:fill="auto"/>
            <w:vAlign w:val="center"/>
          </w:tcPr>
          <w:p w:rsidR="0088341A" w:rsidRPr="00990CB7" w:rsidRDefault="0088341A" w:rsidP="00501137">
            <w:pPr>
              <w:pStyle w:val="AERtabletextleft"/>
              <w:keepNext/>
              <w:keepLines/>
            </w:pPr>
            <w:r>
              <w:t>Net tax allowance</w:t>
            </w:r>
          </w:p>
        </w:tc>
        <w:tc>
          <w:tcPr>
            <w:tcW w:w="669" w:type="pct"/>
            <w:shd w:val="clear" w:color="auto" w:fill="auto"/>
            <w:vAlign w:val="center"/>
          </w:tcPr>
          <w:p w:rsidR="0088341A" w:rsidRPr="00990CB7" w:rsidRDefault="0088341A" w:rsidP="00501137">
            <w:pPr>
              <w:pStyle w:val="AERtabletextright"/>
              <w:keepNext/>
              <w:keepLines/>
            </w:pPr>
            <w:r>
              <w:t>8.1</w:t>
            </w:r>
          </w:p>
        </w:tc>
        <w:tc>
          <w:tcPr>
            <w:tcW w:w="669" w:type="pct"/>
            <w:shd w:val="clear" w:color="auto" w:fill="auto"/>
            <w:vAlign w:val="center"/>
          </w:tcPr>
          <w:p w:rsidR="0088341A" w:rsidRPr="00990CB7" w:rsidRDefault="0088341A" w:rsidP="00501137">
            <w:pPr>
              <w:pStyle w:val="AERtabletextright"/>
              <w:keepNext/>
              <w:keepLines/>
            </w:pPr>
            <w:r>
              <w:t>7.9</w:t>
            </w:r>
          </w:p>
        </w:tc>
        <w:tc>
          <w:tcPr>
            <w:tcW w:w="669" w:type="pct"/>
            <w:shd w:val="clear" w:color="auto" w:fill="auto"/>
            <w:vAlign w:val="center"/>
          </w:tcPr>
          <w:p w:rsidR="0088341A" w:rsidRPr="00990CB7" w:rsidRDefault="0088341A" w:rsidP="00501137">
            <w:pPr>
              <w:pStyle w:val="AERtabletextright"/>
              <w:keepNext/>
              <w:keepLines/>
            </w:pPr>
            <w:r>
              <w:t>8.6</w:t>
            </w:r>
          </w:p>
        </w:tc>
        <w:tc>
          <w:tcPr>
            <w:tcW w:w="697" w:type="pct"/>
            <w:shd w:val="clear" w:color="auto" w:fill="auto"/>
            <w:vAlign w:val="center"/>
          </w:tcPr>
          <w:p w:rsidR="0088341A" w:rsidRPr="00990CB7" w:rsidRDefault="0088341A" w:rsidP="00501137">
            <w:pPr>
              <w:pStyle w:val="AERtabletextright"/>
              <w:keepNext/>
              <w:keepLines/>
            </w:pPr>
            <w:r>
              <w:t>24.6</w:t>
            </w:r>
          </w:p>
        </w:tc>
      </w:tr>
      <w:tr w:rsidR="0088341A" w:rsidTr="00501137">
        <w:trPr>
          <w:trHeight w:val="653"/>
        </w:trPr>
        <w:tc>
          <w:tcPr>
            <w:tcW w:w="2296" w:type="pct"/>
            <w:shd w:val="clear" w:color="auto" w:fill="DBE5F1"/>
            <w:vAlign w:val="center"/>
          </w:tcPr>
          <w:p w:rsidR="0088341A" w:rsidRPr="00990CB7" w:rsidRDefault="0088341A" w:rsidP="00501137">
            <w:pPr>
              <w:pStyle w:val="AERtabletextleft"/>
              <w:keepNext/>
              <w:keepLines/>
            </w:pPr>
            <w:r>
              <w:t>Annual building block revenue requirement (unsmoothed)</w:t>
            </w:r>
          </w:p>
        </w:tc>
        <w:tc>
          <w:tcPr>
            <w:tcW w:w="669" w:type="pct"/>
            <w:shd w:val="clear" w:color="auto" w:fill="DBE5F1"/>
            <w:vAlign w:val="center"/>
          </w:tcPr>
          <w:p w:rsidR="0088341A" w:rsidRPr="00990CB7" w:rsidRDefault="0088341A" w:rsidP="00501137">
            <w:pPr>
              <w:pStyle w:val="AERtabletextright"/>
              <w:keepNext/>
              <w:keepLines/>
            </w:pPr>
            <w:r>
              <w:t>502.5</w:t>
            </w:r>
          </w:p>
        </w:tc>
        <w:tc>
          <w:tcPr>
            <w:tcW w:w="669" w:type="pct"/>
            <w:shd w:val="clear" w:color="auto" w:fill="DBE5F1"/>
            <w:vAlign w:val="center"/>
          </w:tcPr>
          <w:p w:rsidR="0088341A" w:rsidRPr="00990CB7" w:rsidRDefault="0088341A" w:rsidP="00501137">
            <w:pPr>
              <w:pStyle w:val="AERtabletextright"/>
              <w:keepNext/>
              <w:keepLines/>
            </w:pPr>
            <w:r>
              <w:t>535.1</w:t>
            </w:r>
          </w:p>
        </w:tc>
        <w:tc>
          <w:tcPr>
            <w:tcW w:w="669" w:type="pct"/>
            <w:shd w:val="clear" w:color="auto" w:fill="DBE5F1"/>
            <w:vAlign w:val="center"/>
          </w:tcPr>
          <w:p w:rsidR="0088341A" w:rsidRPr="00990CB7" w:rsidRDefault="0088341A" w:rsidP="00501137">
            <w:pPr>
              <w:pStyle w:val="AERtabletextright"/>
              <w:keepNext/>
              <w:keepLines/>
            </w:pPr>
            <w:r>
              <w:t>560.1</w:t>
            </w:r>
          </w:p>
        </w:tc>
        <w:tc>
          <w:tcPr>
            <w:tcW w:w="697" w:type="pct"/>
            <w:shd w:val="clear" w:color="auto" w:fill="DBE5F1"/>
            <w:vAlign w:val="center"/>
          </w:tcPr>
          <w:p w:rsidR="0088341A" w:rsidRPr="00990CB7" w:rsidRDefault="0088341A" w:rsidP="00501137">
            <w:pPr>
              <w:pStyle w:val="AERtabletextright"/>
              <w:keepNext/>
              <w:keepLines/>
            </w:pPr>
            <w:r>
              <w:t>1597.8</w:t>
            </w:r>
          </w:p>
        </w:tc>
      </w:tr>
      <w:tr w:rsidR="0088341A" w:rsidTr="00501137">
        <w:trPr>
          <w:trHeight w:val="431"/>
        </w:trPr>
        <w:tc>
          <w:tcPr>
            <w:tcW w:w="2296" w:type="pct"/>
            <w:shd w:val="clear" w:color="auto" w:fill="auto"/>
            <w:vAlign w:val="center"/>
          </w:tcPr>
          <w:p w:rsidR="0088341A" w:rsidRPr="00990CB7" w:rsidRDefault="0088341A" w:rsidP="00501137">
            <w:pPr>
              <w:pStyle w:val="AERtabletextleft"/>
              <w:keepNext/>
              <w:keepLines/>
            </w:pPr>
            <w:r>
              <w:t>Annual expected MAR (smoothed)</w:t>
            </w:r>
          </w:p>
        </w:tc>
        <w:tc>
          <w:tcPr>
            <w:tcW w:w="669" w:type="pct"/>
            <w:shd w:val="clear" w:color="auto" w:fill="auto"/>
            <w:vAlign w:val="center"/>
          </w:tcPr>
          <w:p w:rsidR="0088341A" w:rsidRPr="00990CB7" w:rsidRDefault="0088341A" w:rsidP="00501137">
            <w:pPr>
              <w:pStyle w:val="AERtabletextright"/>
              <w:keepNext/>
              <w:keepLines/>
            </w:pPr>
            <w:r>
              <w:t>502.5</w:t>
            </w:r>
          </w:p>
        </w:tc>
        <w:tc>
          <w:tcPr>
            <w:tcW w:w="669" w:type="pct"/>
            <w:shd w:val="clear" w:color="auto" w:fill="auto"/>
            <w:vAlign w:val="center"/>
          </w:tcPr>
          <w:p w:rsidR="0088341A" w:rsidRPr="00990CB7" w:rsidRDefault="0088341A" w:rsidP="00501137">
            <w:pPr>
              <w:pStyle w:val="AERtabletextright"/>
              <w:keepNext/>
              <w:keepLines/>
            </w:pPr>
            <w:r>
              <w:t>532.1</w:t>
            </w:r>
          </w:p>
        </w:tc>
        <w:tc>
          <w:tcPr>
            <w:tcW w:w="669" w:type="pct"/>
            <w:shd w:val="clear" w:color="auto" w:fill="auto"/>
            <w:vAlign w:val="center"/>
          </w:tcPr>
          <w:p w:rsidR="0088341A" w:rsidRPr="00990CB7" w:rsidRDefault="0088341A" w:rsidP="00501137">
            <w:pPr>
              <w:pStyle w:val="AERtabletextright"/>
              <w:keepNext/>
              <w:keepLines/>
            </w:pPr>
            <w:r>
              <w:t>563.4</w:t>
            </w:r>
          </w:p>
        </w:tc>
        <w:tc>
          <w:tcPr>
            <w:tcW w:w="697" w:type="pct"/>
            <w:shd w:val="clear" w:color="auto" w:fill="auto"/>
            <w:vAlign w:val="center"/>
          </w:tcPr>
          <w:p w:rsidR="0088341A" w:rsidRPr="00990CB7" w:rsidRDefault="0088341A" w:rsidP="00501137">
            <w:pPr>
              <w:pStyle w:val="AERtabletextright"/>
              <w:keepNext/>
              <w:keepLines/>
              <w:rPr>
                <w:rStyle w:val="AERsuperscript"/>
              </w:rPr>
            </w:pPr>
            <w:r>
              <w:t>1598.0</w:t>
            </w:r>
            <w:r w:rsidRPr="00990CB7">
              <w:rPr>
                <w:rStyle w:val="AERsuperscript"/>
              </w:rPr>
              <w:t>b</w:t>
            </w:r>
          </w:p>
        </w:tc>
      </w:tr>
      <w:tr w:rsidR="0088341A" w:rsidTr="00501137">
        <w:trPr>
          <w:trHeight w:val="431"/>
        </w:trPr>
        <w:tc>
          <w:tcPr>
            <w:tcW w:w="2296" w:type="pct"/>
            <w:shd w:val="clear" w:color="auto" w:fill="DBE5F1"/>
            <w:vAlign w:val="center"/>
          </w:tcPr>
          <w:p w:rsidR="0088341A" w:rsidRPr="00990CB7" w:rsidRDefault="0088341A" w:rsidP="00501137">
            <w:pPr>
              <w:pStyle w:val="AERtabletextleft"/>
              <w:keepNext/>
              <w:keepLines/>
            </w:pPr>
            <w:r>
              <w:t>X factor (%)</w:t>
            </w:r>
          </w:p>
        </w:tc>
        <w:tc>
          <w:tcPr>
            <w:tcW w:w="669" w:type="pct"/>
            <w:shd w:val="clear" w:color="auto" w:fill="DBE5F1"/>
            <w:vAlign w:val="center"/>
          </w:tcPr>
          <w:p w:rsidR="0088341A" w:rsidRPr="00990CB7" w:rsidRDefault="0088341A" w:rsidP="00501137">
            <w:pPr>
              <w:pStyle w:val="AERtabletextright"/>
              <w:keepNext/>
              <w:keepLines/>
            </w:pPr>
            <w:r>
              <w:t>n/a</w:t>
            </w:r>
          </w:p>
        </w:tc>
        <w:tc>
          <w:tcPr>
            <w:tcW w:w="669" w:type="pct"/>
            <w:shd w:val="clear" w:color="auto" w:fill="DBE5F1"/>
            <w:vAlign w:val="center"/>
          </w:tcPr>
          <w:p w:rsidR="0088341A" w:rsidRPr="00990CB7" w:rsidRDefault="0088341A" w:rsidP="00501137">
            <w:pPr>
              <w:pStyle w:val="AERtabletextright"/>
              <w:keepNext/>
              <w:keepLines/>
            </w:pPr>
            <w:r>
              <w:t>–3.31</w:t>
            </w:r>
          </w:p>
        </w:tc>
        <w:tc>
          <w:tcPr>
            <w:tcW w:w="669" w:type="pct"/>
            <w:shd w:val="clear" w:color="auto" w:fill="DBE5F1"/>
            <w:vAlign w:val="center"/>
          </w:tcPr>
          <w:p w:rsidR="0088341A" w:rsidRPr="00990CB7" w:rsidRDefault="0088341A" w:rsidP="00501137">
            <w:pPr>
              <w:pStyle w:val="AERtabletextright"/>
              <w:keepNext/>
              <w:keepLines/>
            </w:pPr>
            <w:r>
              <w:t>–3.31</w:t>
            </w:r>
          </w:p>
        </w:tc>
        <w:tc>
          <w:tcPr>
            <w:tcW w:w="697" w:type="pct"/>
            <w:shd w:val="clear" w:color="auto" w:fill="DBE5F1"/>
            <w:vAlign w:val="center"/>
          </w:tcPr>
          <w:p w:rsidR="0088341A" w:rsidRPr="00990CB7" w:rsidRDefault="0088341A" w:rsidP="00501137">
            <w:pPr>
              <w:pStyle w:val="AERtabletextright"/>
              <w:keepNext/>
              <w:keepLines/>
            </w:pPr>
            <w:r>
              <w:t>n/a</w:t>
            </w:r>
          </w:p>
        </w:tc>
      </w:tr>
    </w:tbl>
    <w:p w:rsidR="0088341A" w:rsidRPr="00750DF8" w:rsidRDefault="0088341A" w:rsidP="0088341A">
      <w:pPr>
        <w:pStyle w:val="AERtablesource"/>
        <w:keepNext/>
        <w:keepLines/>
      </w:pPr>
      <w:r w:rsidRPr="00750DF8">
        <w:t>Source:</w:t>
      </w:r>
      <w:r w:rsidRPr="00750DF8">
        <w:tab/>
        <w:t xml:space="preserve">SP AusNet, </w:t>
      </w:r>
      <w:r w:rsidRPr="0087288F">
        <w:rPr>
          <w:rStyle w:val="AERtextitalic"/>
        </w:rPr>
        <w:t>Post-tax revenue model</w:t>
      </w:r>
      <w:r>
        <w:t>, February 2013.</w:t>
      </w:r>
    </w:p>
    <w:p w:rsidR="0088341A" w:rsidRPr="00750DF8" w:rsidRDefault="0088341A" w:rsidP="00F82F3F">
      <w:pPr>
        <w:pStyle w:val="AERtablesource"/>
      </w:pPr>
      <w:r w:rsidRPr="00750DF8">
        <w:t>(a)</w:t>
      </w:r>
      <w:r w:rsidRPr="00750DF8">
        <w:tab/>
        <w:t>Regulatory depreciation is straight-line depreciation net of the inflation indexation on the opening RAB.</w:t>
      </w:r>
    </w:p>
    <w:p w:rsidR="0088341A" w:rsidRPr="00750DF8" w:rsidRDefault="0088341A" w:rsidP="00F82F3F">
      <w:pPr>
        <w:pStyle w:val="AERtablesource"/>
      </w:pPr>
      <w:r w:rsidRPr="00750DF8">
        <w:t>(b)</w:t>
      </w:r>
      <w:r w:rsidRPr="00750DF8">
        <w:tab/>
        <w:t>The estimated total revenue cap is equal to the total annual expected MAR.</w:t>
      </w:r>
    </w:p>
    <w:p w:rsidR="0088341A" w:rsidRDefault="0088341A" w:rsidP="0088341A">
      <w:pPr>
        <w:pStyle w:val="Heading2"/>
        <w:numPr>
          <w:ilvl w:val="2"/>
          <w:numId w:val="20"/>
        </w:numPr>
      </w:pPr>
      <w:bookmarkStart w:id="319" w:name="_Toc365283329"/>
      <w:r>
        <w:t>Assessment approach</w:t>
      </w:r>
      <w:bookmarkEnd w:id="319"/>
    </w:p>
    <w:p w:rsidR="0088341A" w:rsidRPr="0071596F" w:rsidRDefault="0088341A" w:rsidP="0088341A">
      <w:pPr>
        <w:pStyle w:val="AERbodytext"/>
        <w:numPr>
          <w:ilvl w:val="0"/>
          <w:numId w:val="1"/>
        </w:numPr>
      </w:pPr>
      <w:r>
        <w:t xml:space="preserve">We </w:t>
      </w:r>
      <w:r w:rsidRPr="0071596F">
        <w:t xml:space="preserve">must </w:t>
      </w:r>
      <w:r>
        <w:t>make a decision on</w:t>
      </w:r>
      <w:r w:rsidRPr="0071596F">
        <w:t xml:space="preserve"> </w:t>
      </w:r>
      <w:r>
        <w:t>SP AusNet's total revenue cap for the 2014–17 regulatory control period and the MAR</w:t>
      </w:r>
      <w:r w:rsidRPr="0071596F">
        <w:t xml:space="preserve"> for each regulatory year o</w:t>
      </w:r>
      <w:r>
        <w:t>f the 2014–17 regulatory control period.</w:t>
      </w:r>
      <w:r>
        <w:rPr>
          <w:rStyle w:val="FootnoteReference"/>
        </w:rPr>
        <w:footnoteReference w:id="452"/>
      </w:r>
      <w:r>
        <w:t xml:space="preserve"> In making our decision, we adopt a building block approach.</w:t>
      </w:r>
      <w:r>
        <w:rPr>
          <w:rStyle w:val="FootnoteReference"/>
        </w:rPr>
        <w:footnoteReference w:id="453"/>
      </w:r>
      <w:r>
        <w:t xml:space="preserve"> Under this approach we determine the value of the building block components that make up the annual building block revenue requirement for each regulatory year. These components include:</w:t>
      </w:r>
    </w:p>
    <w:p w:rsidR="0088341A" w:rsidRPr="00765F2A" w:rsidRDefault="0088341A" w:rsidP="0088341A">
      <w:pPr>
        <w:pStyle w:val="AERbulletlistfirststyle"/>
      </w:pPr>
      <w:r>
        <w:t>t</w:t>
      </w:r>
      <w:r w:rsidRPr="00765F2A">
        <w:t xml:space="preserve">he return on capital, which is a function of the </w:t>
      </w:r>
      <w:r>
        <w:t>cost of capital</w:t>
      </w:r>
      <w:r w:rsidRPr="00765F2A">
        <w:t xml:space="preserve"> and the opening RAB (including the addition of capital expenditure)</w:t>
      </w:r>
    </w:p>
    <w:p w:rsidR="0088341A" w:rsidRDefault="0088341A" w:rsidP="0088341A">
      <w:pPr>
        <w:pStyle w:val="AERbulletlistfirststyle"/>
      </w:pPr>
      <w:r>
        <w:t>the return of capital (regulatory depreciation), which is based on straight-line depreciation net of the inflation indexation on the opening RAB</w:t>
      </w:r>
    </w:p>
    <w:p w:rsidR="0088341A" w:rsidRDefault="0088341A" w:rsidP="0088341A">
      <w:pPr>
        <w:pStyle w:val="AERbulletlistfirststyle"/>
      </w:pPr>
      <w:r>
        <w:t xml:space="preserve">operating expenditure </w:t>
      </w:r>
    </w:p>
    <w:p w:rsidR="0088341A" w:rsidRPr="00765F2A" w:rsidRDefault="0088341A" w:rsidP="0088341A">
      <w:pPr>
        <w:pStyle w:val="AERbulletlistfirststyle"/>
      </w:pPr>
      <w:r>
        <w:t>the estimated cost of corporate income tax</w:t>
      </w:r>
    </w:p>
    <w:p w:rsidR="0088341A" w:rsidRPr="00765F2A" w:rsidRDefault="0088341A" w:rsidP="0088341A">
      <w:pPr>
        <w:pStyle w:val="AERbulletlistfirststyle"/>
      </w:pPr>
      <w:r>
        <w:t>other amounts associated with any relevant schemes or carried over from a previous regulatory control period</w:t>
      </w:r>
      <w:r w:rsidRPr="00765F2A">
        <w:t>.</w:t>
      </w:r>
    </w:p>
    <w:p w:rsidR="0088341A" w:rsidRDefault="0088341A" w:rsidP="0088341A">
      <w:pPr>
        <w:pStyle w:val="AERbodytext"/>
        <w:numPr>
          <w:ilvl w:val="0"/>
          <w:numId w:val="1"/>
        </w:numPr>
      </w:pPr>
      <w:r>
        <w:t>We developed the post-tax revenue model (PTRM), which brings together the various building block components and calculates the annual</w:t>
      </w:r>
      <w:r w:rsidRPr="00B6560A">
        <w:t xml:space="preserve"> </w:t>
      </w:r>
      <w:r>
        <w:t>building block revenue requirement for each year of the regulatory control period.</w:t>
      </w:r>
      <w:r>
        <w:rPr>
          <w:rStyle w:val="FootnoteReference"/>
        </w:rPr>
        <w:footnoteReference w:id="454"/>
      </w:r>
      <w:r>
        <w:t xml:space="preserve"> The PTRM also calculates the X factors required under the CPI–X methodology which is used to escalate the MAR for each year (other than the first year) of the regulatory control period.</w:t>
      </w:r>
      <w:r>
        <w:rPr>
          <w:rStyle w:val="FootnoteReference"/>
        </w:rPr>
        <w:footnoteReference w:id="455"/>
      </w:r>
      <w:r>
        <w:t xml:space="preserve"> Using the X factors and annual building block revenue requirement, the annual expected MAR (smoothed) are forecast for each year of the regulatory control period. A </w:t>
      </w:r>
      <w:r>
        <w:lastRenderedPageBreak/>
        <w:t>T</w:t>
      </w:r>
      <w:r w:rsidRPr="0071596F">
        <w:t xml:space="preserve">NSP’s </w:t>
      </w:r>
      <w:r>
        <w:t>revenue proposal</w:t>
      </w:r>
      <w:r w:rsidRPr="0071596F">
        <w:t xml:space="preserve"> must be</w:t>
      </w:r>
      <w:r>
        <w:t xml:space="preserve"> prepared using our PTRM and </w:t>
      </w:r>
      <w:r w:rsidRPr="0071596F">
        <w:t xml:space="preserve">comply with the requirements of </w:t>
      </w:r>
      <w:r>
        <w:t>the submission guidelines</w:t>
      </w:r>
      <w:r w:rsidRPr="0071596F">
        <w:t>.</w:t>
      </w:r>
      <w:r>
        <w:rPr>
          <w:rStyle w:val="FootnoteReference"/>
        </w:rPr>
        <w:footnoteReference w:id="456"/>
      </w:r>
    </w:p>
    <w:p w:rsidR="0088341A" w:rsidRDefault="0088341A" w:rsidP="0088341A">
      <w:pPr>
        <w:pStyle w:val="AERbodytext"/>
        <w:numPr>
          <w:ilvl w:val="0"/>
          <w:numId w:val="1"/>
        </w:numPr>
      </w:pPr>
      <w:r>
        <w:t>The annual building block revenue requirement can be lumpy over the regulatory control period. To minimise price shocks, revenues are smoothed within a regulatory control period while maintaining the principle of cost recovery under the building block approach. Smoothing requires diverting some of the cost recovery to adjacent years within the regulatory control period so that the net present value of the annual expected MAR (smoothed revenues) is equal to the net present value of the annual building block revenue requirement (unsmoothed revenues). That is, a smoothed profile of the expected MAR is determined for the regulatory control period under the CPI–X methodology.</w:t>
      </w:r>
    </w:p>
    <w:p w:rsidR="0088341A" w:rsidRDefault="0088341A" w:rsidP="0088341A">
      <w:pPr>
        <w:pStyle w:val="AERbodytext"/>
        <w:numPr>
          <w:ilvl w:val="0"/>
          <w:numId w:val="1"/>
        </w:numPr>
      </w:pPr>
      <w:r>
        <w:t>The expected MAR for the first year is generally set equal to the annual building block revenue requirement for the first year of the regulatory control period or a similar amount to the MAR for the last year of the previous regulatory control period:</w:t>
      </w:r>
      <w:r>
        <w:rPr>
          <w:rStyle w:val="FootnoteReference"/>
        </w:rPr>
        <w:footnoteReference w:id="457"/>
      </w:r>
    </w:p>
    <w:p w:rsidR="0088341A" w:rsidRPr="00A6711D" w:rsidRDefault="0088341A" w:rsidP="0088341A">
      <w:pPr>
        <w:pStyle w:val="AERbodytext"/>
        <w:numPr>
          <w:ilvl w:val="0"/>
          <w:numId w:val="1"/>
        </w:numPr>
        <w:rPr>
          <w:rStyle w:val="AERsubscript"/>
        </w:rPr>
      </w:pPr>
      <w:r>
        <w:tab/>
        <w:t>MAR</w:t>
      </w:r>
      <w:r w:rsidRPr="00AE034B">
        <w:rPr>
          <w:rStyle w:val="AERsubscript"/>
        </w:rPr>
        <w:t>1</w:t>
      </w:r>
      <w:r>
        <w:tab/>
        <w:t>=</w:t>
      </w:r>
      <w:r>
        <w:tab/>
        <w:t>AR</w:t>
      </w:r>
      <w:r w:rsidRPr="00AE034B">
        <w:rPr>
          <w:rStyle w:val="AERsubscript"/>
        </w:rPr>
        <w:t>1</w:t>
      </w:r>
      <w:r w:rsidRPr="00A6711D">
        <w:t xml:space="preserve"> </w:t>
      </w:r>
      <w:r>
        <w:t>or MAR</w:t>
      </w:r>
      <w:r>
        <w:rPr>
          <w:rStyle w:val="AERsubscript"/>
        </w:rPr>
        <w:t>L</w:t>
      </w:r>
    </w:p>
    <w:p w:rsidR="0088341A" w:rsidRDefault="0088341A" w:rsidP="0088341A">
      <w:pPr>
        <w:pStyle w:val="AERbodytext"/>
        <w:numPr>
          <w:ilvl w:val="0"/>
          <w:numId w:val="1"/>
        </w:numPr>
      </w:pPr>
      <w:r>
        <w:t>where:</w:t>
      </w:r>
    </w:p>
    <w:p w:rsidR="0088341A" w:rsidRDefault="0088341A" w:rsidP="0088341A">
      <w:pPr>
        <w:pStyle w:val="AERbodytext"/>
        <w:numPr>
          <w:ilvl w:val="0"/>
          <w:numId w:val="1"/>
        </w:numPr>
      </w:pPr>
      <w:r>
        <w:tab/>
        <w:t>MAR</w:t>
      </w:r>
      <w:r w:rsidRPr="00AE034B">
        <w:rPr>
          <w:rStyle w:val="AERsubscript"/>
        </w:rPr>
        <w:t>1</w:t>
      </w:r>
      <w:r>
        <w:t xml:space="preserve"> </w:t>
      </w:r>
      <w:r>
        <w:tab/>
        <w:t>=</w:t>
      </w:r>
      <w:r>
        <w:tab/>
        <w:t xml:space="preserve">the maximum allowed revenue for year 1 of the next regulatory </w:t>
      </w:r>
      <w:r>
        <w:tab/>
      </w:r>
      <w:r>
        <w:tab/>
      </w:r>
      <w:r>
        <w:tab/>
      </w:r>
      <w:r>
        <w:tab/>
      </w:r>
      <w:r>
        <w:tab/>
        <w:t>control period</w:t>
      </w:r>
    </w:p>
    <w:p w:rsidR="0088341A" w:rsidRDefault="0088341A" w:rsidP="0088341A">
      <w:pPr>
        <w:pStyle w:val="AERbodytext"/>
        <w:numPr>
          <w:ilvl w:val="0"/>
          <w:numId w:val="1"/>
        </w:numPr>
      </w:pPr>
      <w:r>
        <w:tab/>
        <w:t>AR</w:t>
      </w:r>
      <w:r w:rsidRPr="00AE034B">
        <w:rPr>
          <w:rStyle w:val="AERsubscript"/>
        </w:rPr>
        <w:t>1</w:t>
      </w:r>
      <w:r>
        <w:t xml:space="preserve"> </w:t>
      </w:r>
      <w:r>
        <w:tab/>
        <w:t>=</w:t>
      </w:r>
      <w:r>
        <w:tab/>
        <w:t xml:space="preserve">the annual building block revenue requirement for year 1 of the next </w:t>
      </w:r>
      <w:r>
        <w:tab/>
      </w:r>
      <w:r>
        <w:tab/>
      </w:r>
      <w:r>
        <w:tab/>
      </w:r>
      <w:r>
        <w:tab/>
        <w:t>regulatory control period</w:t>
      </w:r>
    </w:p>
    <w:p w:rsidR="0088341A" w:rsidRDefault="0088341A" w:rsidP="0088341A">
      <w:pPr>
        <w:pStyle w:val="AERbodytext"/>
        <w:numPr>
          <w:ilvl w:val="0"/>
          <w:numId w:val="1"/>
        </w:numPr>
      </w:pPr>
      <w:r>
        <w:tab/>
        <w:t>MAR</w:t>
      </w:r>
      <w:r>
        <w:rPr>
          <w:rStyle w:val="AERsubscript"/>
        </w:rPr>
        <w:t>L</w:t>
      </w:r>
      <w:r>
        <w:t xml:space="preserve"> </w:t>
      </w:r>
      <w:r>
        <w:tab/>
        <w:t>=</w:t>
      </w:r>
      <w:r>
        <w:tab/>
        <w:t xml:space="preserve">the maximum allowed revenue for the last year of the previous </w:t>
      </w:r>
      <w:r>
        <w:tab/>
      </w:r>
      <w:r>
        <w:tab/>
      </w:r>
      <w:r>
        <w:tab/>
      </w:r>
      <w:r>
        <w:tab/>
      </w:r>
      <w:r>
        <w:tab/>
        <w:t>regulatory control period.</w:t>
      </w:r>
    </w:p>
    <w:p w:rsidR="0088341A" w:rsidRDefault="0088341A" w:rsidP="0088341A">
      <w:pPr>
        <w:pStyle w:val="AERbodytext"/>
        <w:numPr>
          <w:ilvl w:val="0"/>
          <w:numId w:val="1"/>
        </w:numPr>
      </w:pPr>
      <w:r>
        <w:t>We use the PTRM to</w:t>
      </w:r>
      <w:r w:rsidRPr="00803AEC">
        <w:t xml:space="preserve"> estimate the </w:t>
      </w:r>
      <w:r>
        <w:t xml:space="preserve">expected </w:t>
      </w:r>
      <w:r w:rsidRPr="00803AEC">
        <w:t>MAR for each year of the regulatory control period by</w:t>
      </w:r>
      <w:r>
        <w:t xml:space="preserve"> </w:t>
      </w:r>
      <w:r w:rsidRPr="00803AEC">
        <w:t xml:space="preserve">escalating the </w:t>
      </w:r>
      <w:r>
        <w:t>previous year’s expected MAR using a CPI</w:t>
      </w:r>
      <w:r w:rsidRPr="00803AEC">
        <w:t xml:space="preserve">–X </w:t>
      </w:r>
      <w:r>
        <w:t>method</w:t>
      </w:r>
      <w:r w:rsidRPr="00803AEC">
        <w:t>, based on the MAR</w:t>
      </w:r>
      <w:r>
        <w:t xml:space="preserve"> </w:t>
      </w:r>
      <w:r w:rsidRPr="00803AEC">
        <w:t>that applies to the TNSP in the first year of the regulatory control period. The PTRM</w:t>
      </w:r>
      <w:r>
        <w:t xml:space="preserve"> </w:t>
      </w:r>
      <w:r w:rsidRPr="00803AEC">
        <w:t>incorporates a forecast inflation rate to calculate the expected MAR</w:t>
      </w:r>
      <w:r>
        <w:t xml:space="preserve"> in nominal dollar terms</w:t>
      </w:r>
      <w:r w:rsidRPr="00803AEC">
        <w:t>, whereas the</w:t>
      </w:r>
      <w:r>
        <w:t xml:space="preserve"> </w:t>
      </w:r>
      <w:r w:rsidRPr="00803AEC">
        <w:t xml:space="preserve">actual MAR </w:t>
      </w:r>
      <w:r>
        <w:t xml:space="preserve">for each year </w:t>
      </w:r>
      <w:r w:rsidRPr="00803AEC">
        <w:t xml:space="preserve">is adjusted for actual inflation. This </w:t>
      </w:r>
      <w:r>
        <w:t xml:space="preserve">annual </w:t>
      </w:r>
      <w:r w:rsidRPr="00803AEC">
        <w:t xml:space="preserve">adjustment process is set out </w:t>
      </w:r>
      <w:r>
        <w:t>below</w:t>
      </w:r>
      <w:r w:rsidRPr="00803AEC">
        <w:t>.</w:t>
      </w:r>
      <w:r>
        <w:t xml:space="preserve"> </w:t>
      </w:r>
    </w:p>
    <w:p w:rsidR="0088341A" w:rsidRPr="00A907E9" w:rsidRDefault="0088341A" w:rsidP="0088341A">
      <w:pPr>
        <w:pStyle w:val="Heading3"/>
        <w:numPr>
          <w:ilvl w:val="3"/>
          <w:numId w:val="20"/>
        </w:numPr>
      </w:pPr>
      <w:bookmarkStart w:id="320" w:name="_Ref365384931"/>
      <w:r w:rsidRPr="00A907E9">
        <w:t>Annual adjustment process</w:t>
      </w:r>
      <w:bookmarkEnd w:id="320"/>
    </w:p>
    <w:p w:rsidR="0088341A" w:rsidRDefault="0088341A" w:rsidP="0088341A">
      <w:pPr>
        <w:pStyle w:val="AERbodytext"/>
        <w:numPr>
          <w:ilvl w:val="0"/>
          <w:numId w:val="1"/>
        </w:numPr>
      </w:pPr>
      <w:r>
        <w:t>The MAR for the subsequent year of the regulatory control period requires an annual adjustment based on the previous year’s allowed revenue (AR).</w:t>
      </w:r>
      <w:r>
        <w:rPr>
          <w:rStyle w:val="FootnoteReference"/>
        </w:rPr>
        <w:footnoteReference w:id="458"/>
      </w:r>
      <w:r>
        <w:t xml:space="preserve"> That is, the subsequent year’s AR is determined by adjusting the previous year’s AR for actual inflation and the X factor: </w:t>
      </w:r>
    </w:p>
    <w:p w:rsidR="0088341A" w:rsidRDefault="0088341A" w:rsidP="0088341A">
      <w:pPr>
        <w:pStyle w:val="AERbodytext"/>
        <w:numPr>
          <w:ilvl w:val="0"/>
          <w:numId w:val="1"/>
        </w:numPr>
      </w:pPr>
      <w:r>
        <w:t xml:space="preserve"> </w:t>
      </w:r>
      <w:r>
        <w:tab/>
        <w:t>AR</w:t>
      </w:r>
      <w:r w:rsidRPr="00F82F3F">
        <w:rPr>
          <w:rStyle w:val="AERsubscript"/>
          <w:i/>
        </w:rPr>
        <w:t>t</w:t>
      </w:r>
      <w:r>
        <w:t xml:space="preserve"> </w:t>
      </w:r>
      <w:r>
        <w:tab/>
        <w:t>=</w:t>
      </w:r>
      <w:r>
        <w:tab/>
        <w:t>AR</w:t>
      </w:r>
      <w:r w:rsidRPr="00F82F3F">
        <w:rPr>
          <w:rStyle w:val="AERsubscript"/>
          <w:i/>
        </w:rPr>
        <w:t xml:space="preserve">t-1 </w:t>
      </w:r>
      <w:r>
        <w:t>× (1 + ∆CPI) × (1 – X</w:t>
      </w:r>
      <w:r w:rsidRPr="00F82F3F">
        <w:rPr>
          <w:rStyle w:val="AERsubscript"/>
          <w:i/>
        </w:rPr>
        <w:t>t</w:t>
      </w:r>
      <w:r>
        <w:t>)</w:t>
      </w:r>
    </w:p>
    <w:p w:rsidR="0088341A" w:rsidRDefault="0088341A" w:rsidP="0088341A">
      <w:pPr>
        <w:pStyle w:val="AERbodytext"/>
        <w:numPr>
          <w:ilvl w:val="0"/>
          <w:numId w:val="1"/>
        </w:numPr>
      </w:pPr>
      <w:r>
        <w:t>where:</w:t>
      </w:r>
    </w:p>
    <w:p w:rsidR="0088341A" w:rsidRDefault="0088341A" w:rsidP="0088341A">
      <w:pPr>
        <w:pStyle w:val="AERbodytext"/>
        <w:numPr>
          <w:ilvl w:val="0"/>
          <w:numId w:val="1"/>
        </w:numPr>
      </w:pPr>
      <w:r>
        <w:t xml:space="preserve"> </w:t>
      </w:r>
      <w:r>
        <w:tab/>
        <w:t>AR</w:t>
      </w:r>
      <w:r>
        <w:tab/>
        <w:t>=</w:t>
      </w:r>
      <w:r>
        <w:tab/>
        <w:t>the allowed revenue</w:t>
      </w:r>
    </w:p>
    <w:p w:rsidR="0088341A" w:rsidRDefault="0088341A" w:rsidP="0088341A">
      <w:pPr>
        <w:pStyle w:val="AERbodytext"/>
        <w:numPr>
          <w:ilvl w:val="0"/>
          <w:numId w:val="1"/>
        </w:numPr>
      </w:pPr>
      <w:r>
        <w:t xml:space="preserve"> </w:t>
      </w:r>
      <w:r>
        <w:tab/>
      </w:r>
      <w:r w:rsidRPr="00777B5F">
        <w:rPr>
          <w:rStyle w:val="AERtextitalic"/>
        </w:rPr>
        <w:t>t</w:t>
      </w:r>
      <w:r>
        <w:tab/>
        <w:t>=</w:t>
      </w:r>
      <w:r>
        <w:tab/>
        <w:t xml:space="preserve">time period/financial year (for </w:t>
      </w:r>
      <w:r w:rsidRPr="00777B5F">
        <w:rPr>
          <w:rStyle w:val="AERtextitalic"/>
        </w:rPr>
        <w:t xml:space="preserve">t </w:t>
      </w:r>
      <w:r>
        <w:t>= 2, 3)</w:t>
      </w:r>
    </w:p>
    <w:p w:rsidR="0088341A" w:rsidRDefault="0088341A" w:rsidP="0088341A">
      <w:pPr>
        <w:pStyle w:val="AERbodytext"/>
        <w:numPr>
          <w:ilvl w:val="0"/>
          <w:numId w:val="1"/>
        </w:numPr>
      </w:pPr>
      <w:r>
        <w:lastRenderedPageBreak/>
        <w:t xml:space="preserve"> </w:t>
      </w:r>
      <w:r>
        <w:tab/>
        <w:t>∆CPI</w:t>
      </w:r>
      <w:r>
        <w:tab/>
        <w:t>=</w:t>
      </w:r>
      <w:r>
        <w:tab/>
        <w:t xml:space="preserve">the annual percentage change in the ABS </w:t>
      </w:r>
      <w:r w:rsidRPr="00D40018">
        <w:t>Consumer price index all</w:t>
      </w:r>
      <w:r w:rsidRPr="00D40018">
        <w:tab/>
      </w:r>
      <w:r w:rsidRPr="00D40018">
        <w:tab/>
      </w:r>
      <w:r w:rsidRPr="00D40018">
        <w:tab/>
      </w:r>
      <w:r>
        <w:tab/>
      </w:r>
      <w:r w:rsidRPr="00D40018">
        <w:t>groups, weighted average of eight capital cities</w:t>
      </w:r>
      <w:r>
        <w:t xml:space="preserve"> from September in </w:t>
      </w:r>
      <w:r>
        <w:br/>
      </w:r>
      <w:r>
        <w:tab/>
      </w:r>
      <w:r>
        <w:tab/>
      </w:r>
      <w:r>
        <w:tab/>
        <w:t xml:space="preserve">year </w:t>
      </w:r>
      <w:r w:rsidRPr="00777B5F">
        <w:rPr>
          <w:rStyle w:val="AERtextitalic"/>
        </w:rPr>
        <w:t>t</w:t>
      </w:r>
      <w:r>
        <w:t xml:space="preserve"> – 2 to September in year </w:t>
      </w:r>
      <w:r w:rsidRPr="00777B5F">
        <w:rPr>
          <w:rStyle w:val="AERtextitalic"/>
        </w:rPr>
        <w:t>t</w:t>
      </w:r>
      <w:r>
        <w:t xml:space="preserve"> – 1</w:t>
      </w:r>
      <w:r>
        <w:rPr>
          <w:rStyle w:val="FootnoteReference"/>
        </w:rPr>
        <w:footnoteReference w:id="459"/>
      </w:r>
    </w:p>
    <w:p w:rsidR="0088341A" w:rsidRDefault="0088341A" w:rsidP="0088341A">
      <w:pPr>
        <w:pStyle w:val="AERbodytext"/>
        <w:numPr>
          <w:ilvl w:val="0"/>
          <w:numId w:val="1"/>
        </w:numPr>
      </w:pPr>
      <w:r>
        <w:t xml:space="preserve"> </w:t>
      </w:r>
      <w:r>
        <w:tab/>
        <w:t>X</w:t>
      </w:r>
      <w:r>
        <w:tab/>
        <w:t>=</w:t>
      </w:r>
      <w:r>
        <w:tab/>
        <w:t>the smoothing factor.</w:t>
      </w:r>
    </w:p>
    <w:p w:rsidR="0088341A" w:rsidRDefault="0088341A" w:rsidP="00F82F3F">
      <w:pPr>
        <w:pStyle w:val="AERbodytext"/>
        <w:numPr>
          <w:ilvl w:val="0"/>
          <w:numId w:val="0"/>
        </w:numPr>
      </w:pPr>
      <w:r>
        <w:t>The MAR is determined annually in accordance with the NER by adding to (or deducting from) the AR:</w:t>
      </w:r>
    </w:p>
    <w:p w:rsidR="0088341A" w:rsidRDefault="0088341A" w:rsidP="00F82F3F">
      <w:pPr>
        <w:pStyle w:val="AERbulletlistfirststyle"/>
      </w:pPr>
      <w:r>
        <w:t>the service target performance incentive scheme revenue increment (or revenue decrement)</w:t>
      </w:r>
      <w:r>
        <w:rPr>
          <w:rStyle w:val="FootnoteReference"/>
        </w:rPr>
        <w:footnoteReference w:id="460"/>
      </w:r>
    </w:p>
    <w:p w:rsidR="0088341A" w:rsidRDefault="0088341A" w:rsidP="00F82F3F">
      <w:pPr>
        <w:pStyle w:val="AERbulletlistfirststyle"/>
      </w:pPr>
      <w:r>
        <w:t>any approved pass through amounts.</w:t>
      </w:r>
      <w:r>
        <w:rPr>
          <w:rStyle w:val="FootnoteReference"/>
        </w:rPr>
        <w:footnoteReference w:id="461"/>
      </w:r>
    </w:p>
    <w:p w:rsidR="0088341A" w:rsidRDefault="0088341A" w:rsidP="00F82F3F">
      <w:pPr>
        <w:pStyle w:val="AERbodytext"/>
        <w:numPr>
          <w:ilvl w:val="0"/>
          <w:numId w:val="1"/>
        </w:numPr>
      </w:pPr>
      <w:r>
        <w:fldChar w:fldCharType="begin"/>
      </w:r>
      <w:r>
        <w:instrText xml:space="preserve"> REF _Ref339369029 \h </w:instrText>
      </w:r>
      <w:r>
        <w:fldChar w:fldCharType="separate"/>
      </w:r>
      <w:r w:rsidR="004F35AA">
        <w:t xml:space="preserve">Table </w:t>
      </w:r>
      <w:r w:rsidR="004F35AA">
        <w:rPr>
          <w:noProof/>
        </w:rPr>
        <w:t>8</w:t>
      </w:r>
      <w:r w:rsidR="004F35AA">
        <w:t>.</w:t>
      </w:r>
      <w:r w:rsidR="004F35AA">
        <w:rPr>
          <w:noProof/>
        </w:rPr>
        <w:t>3</w:t>
      </w:r>
      <w:r>
        <w:fldChar w:fldCharType="end"/>
      </w:r>
      <w:r>
        <w:t xml:space="preserve"> sets out the timing of the annual calculation of the AR and performance incentive:</w:t>
      </w:r>
    </w:p>
    <w:p w:rsidR="0088341A" w:rsidRDefault="0088341A" w:rsidP="00F82F3F">
      <w:pPr>
        <w:pStyle w:val="AERbodytextindent2"/>
      </w:pPr>
      <w:r>
        <w:t>MAR</w:t>
      </w:r>
      <w:r w:rsidRPr="004F32D1">
        <w:rPr>
          <w:rStyle w:val="AERtextitalic"/>
          <w:sz w:val="16"/>
          <w:szCs w:val="16"/>
        </w:rPr>
        <w:t>t</w:t>
      </w:r>
      <w:r>
        <w:tab/>
        <w:t>=</w:t>
      </w:r>
      <w:r>
        <w:tab/>
      </w:r>
      <w:r w:rsidRPr="00FD42C9">
        <w:t>(allowed revenue) + (performance incentive) + (pass through)</w:t>
      </w:r>
    </w:p>
    <w:p w:rsidR="0088341A" w:rsidRPr="00976461" w:rsidRDefault="0088341A" w:rsidP="00F82F3F">
      <w:pPr>
        <w:pStyle w:val="AERbodytextindent2"/>
      </w:pPr>
      <w:r>
        <w:tab/>
      </w:r>
      <w:r>
        <w:tab/>
        <w:t>=</w:t>
      </w:r>
      <w:r>
        <w:tab/>
        <w:t>AR</w:t>
      </w:r>
      <w:r w:rsidRPr="004F32D1">
        <w:rPr>
          <w:rStyle w:val="AERtextitalic"/>
          <w:sz w:val="16"/>
          <w:szCs w:val="16"/>
        </w:rPr>
        <w:t>t</w:t>
      </w:r>
      <w:r w:rsidRPr="004F32D1">
        <w:rPr>
          <w:rStyle w:val="AERtextitalic"/>
        </w:rPr>
        <w:t xml:space="preserve"> </w:t>
      </w:r>
      <w:r>
        <w:t xml:space="preserve">+ </w:t>
      </w:r>
      <w:r>
        <w:rPr>
          <w:noProof/>
          <w:lang w:eastAsia="en-AU"/>
        </w:rPr>
        <w:drawing>
          <wp:inline distT="0" distB="0" distL="0" distR="0" wp14:anchorId="717EED93" wp14:editId="2D6D2447">
            <wp:extent cx="1477645" cy="446405"/>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77645" cy="446405"/>
                    </a:xfrm>
                    <a:prstGeom prst="rect">
                      <a:avLst/>
                    </a:prstGeom>
                    <a:noFill/>
                    <a:ln>
                      <a:noFill/>
                    </a:ln>
                  </pic:spPr>
                </pic:pic>
              </a:graphicData>
            </a:graphic>
          </wp:inline>
        </w:drawing>
      </w:r>
      <w:r>
        <w:t>+ P</w:t>
      </w:r>
      <w:r w:rsidRPr="004F32D1">
        <w:rPr>
          <w:rStyle w:val="AERtextitalic"/>
          <w:sz w:val="16"/>
          <w:szCs w:val="16"/>
        </w:rPr>
        <w:t>t</w:t>
      </w:r>
    </w:p>
    <w:p w:rsidR="0088341A" w:rsidRDefault="0088341A" w:rsidP="00F82F3F">
      <w:pPr>
        <w:pStyle w:val="AERbodytext"/>
        <w:numPr>
          <w:ilvl w:val="0"/>
          <w:numId w:val="1"/>
        </w:numPr>
      </w:pPr>
      <w:r>
        <w:t>where:</w:t>
      </w:r>
    </w:p>
    <w:p w:rsidR="0088341A" w:rsidRDefault="0088341A" w:rsidP="00F82F3F">
      <w:pPr>
        <w:pStyle w:val="AERbodytext"/>
        <w:numPr>
          <w:ilvl w:val="0"/>
          <w:numId w:val="1"/>
        </w:numPr>
      </w:pPr>
      <w:r>
        <w:t xml:space="preserve"> </w:t>
      </w:r>
      <w:r>
        <w:tab/>
        <w:t>MAR</w:t>
      </w:r>
      <w:r>
        <w:tab/>
        <w:t>=</w:t>
      </w:r>
      <w:r>
        <w:tab/>
        <w:t>the maximum allowed revenue</w:t>
      </w:r>
    </w:p>
    <w:p w:rsidR="0088341A" w:rsidRDefault="0088341A" w:rsidP="00F82F3F">
      <w:pPr>
        <w:pStyle w:val="AERbodytext"/>
        <w:numPr>
          <w:ilvl w:val="0"/>
          <w:numId w:val="1"/>
        </w:numPr>
      </w:pPr>
      <w:r>
        <w:t xml:space="preserve"> </w:t>
      </w:r>
      <w:r>
        <w:tab/>
        <w:t>AR</w:t>
      </w:r>
      <w:r>
        <w:tab/>
        <w:t>=</w:t>
      </w:r>
      <w:r>
        <w:tab/>
        <w:t>the allowed revenue</w:t>
      </w:r>
    </w:p>
    <w:p w:rsidR="0088341A" w:rsidRDefault="0088341A" w:rsidP="00F82F3F">
      <w:pPr>
        <w:pStyle w:val="AERbodytext"/>
        <w:numPr>
          <w:ilvl w:val="0"/>
          <w:numId w:val="1"/>
        </w:numPr>
      </w:pPr>
      <w:r>
        <w:t xml:space="preserve"> </w:t>
      </w:r>
      <w:r>
        <w:tab/>
        <w:t>S</w:t>
      </w:r>
      <w:r>
        <w:tab/>
        <w:t>=</w:t>
      </w:r>
      <w:r>
        <w:tab/>
        <w:t xml:space="preserve">the revenue increment or decrement determined in accordance with </w:t>
      </w:r>
      <w:r>
        <w:tab/>
      </w:r>
      <w:r>
        <w:tab/>
      </w:r>
      <w:r>
        <w:tab/>
        <w:t xml:space="preserve">             the service target performance incentive scheme </w:t>
      </w:r>
    </w:p>
    <w:p w:rsidR="0088341A" w:rsidRDefault="0088341A" w:rsidP="00F82F3F">
      <w:pPr>
        <w:pStyle w:val="AERbodytext"/>
        <w:numPr>
          <w:ilvl w:val="0"/>
          <w:numId w:val="1"/>
        </w:numPr>
      </w:pPr>
      <w:r>
        <w:t xml:space="preserve"> </w:t>
      </w:r>
      <w:r>
        <w:tab/>
        <w:t>P</w:t>
      </w:r>
      <w:r>
        <w:tab/>
        <w:t>=</w:t>
      </w:r>
      <w:r>
        <w:tab/>
        <w:t>the pass through amount that the AER has determined in</w:t>
      </w:r>
      <w:r>
        <w:tab/>
      </w:r>
      <w:r>
        <w:tab/>
      </w:r>
      <w:r>
        <w:tab/>
        <w:t xml:space="preserve">                          accordance with clauses 6A.7.2 and 6A.7.3 of the NER</w:t>
      </w:r>
    </w:p>
    <w:p w:rsidR="0088341A" w:rsidRDefault="0088341A" w:rsidP="00F82F3F">
      <w:pPr>
        <w:pStyle w:val="AERbodytext"/>
        <w:numPr>
          <w:ilvl w:val="0"/>
          <w:numId w:val="1"/>
        </w:numPr>
      </w:pPr>
      <w:r>
        <w:tab/>
      </w:r>
      <w:r w:rsidRPr="00B63E60">
        <w:rPr>
          <w:rStyle w:val="AERtextitalic"/>
        </w:rPr>
        <w:t>t</w:t>
      </w:r>
      <w:r>
        <w:tab/>
        <w:t>=</w:t>
      </w:r>
      <w:r>
        <w:tab/>
        <w:t>time period/financial year (for</w:t>
      </w:r>
      <w:r w:rsidRPr="00B63E60">
        <w:rPr>
          <w:rStyle w:val="AERtextitalic"/>
        </w:rPr>
        <w:t xml:space="preserve"> t</w:t>
      </w:r>
      <w:r>
        <w:t xml:space="preserve"> = 2, 3)</w:t>
      </w:r>
    </w:p>
    <w:p w:rsidR="0088341A" w:rsidRDefault="0088341A" w:rsidP="00F82F3F">
      <w:pPr>
        <w:pStyle w:val="AERbodytext"/>
        <w:numPr>
          <w:ilvl w:val="0"/>
          <w:numId w:val="1"/>
        </w:numPr>
      </w:pPr>
      <w:r>
        <w:t xml:space="preserve"> </w:t>
      </w:r>
      <w:r>
        <w:tab/>
      </w:r>
      <w:r w:rsidRPr="00B63E60">
        <w:rPr>
          <w:rStyle w:val="AERtextitalic"/>
        </w:rPr>
        <w:t>ct</w:t>
      </w:r>
      <w:r>
        <w:tab/>
        <w:t>=</w:t>
      </w:r>
      <w:r>
        <w:tab/>
        <w:t xml:space="preserve">time period/calendar year (for </w:t>
      </w:r>
      <w:r w:rsidRPr="00B63E60">
        <w:rPr>
          <w:rStyle w:val="AERtextitalic"/>
        </w:rPr>
        <w:t xml:space="preserve">ct </w:t>
      </w:r>
      <w:r>
        <w:t>= 2, 3).</w:t>
      </w:r>
    </w:p>
    <w:p w:rsidR="0088341A" w:rsidRDefault="0088341A" w:rsidP="00F82F3F">
      <w:pPr>
        <w:pStyle w:val="AERbodytext"/>
        <w:numPr>
          <w:ilvl w:val="0"/>
          <w:numId w:val="1"/>
        </w:numPr>
      </w:pPr>
      <w:bookmarkStart w:id="321" w:name="_Ref308101958"/>
      <w:r w:rsidRPr="005C0B02">
        <w:t>Under the NER, a TNSP must also adjust the MAR for under or over recovery amounts.</w:t>
      </w:r>
      <w:r w:rsidRPr="005C0B02">
        <w:rPr>
          <w:rStyle w:val="FootnoteReference"/>
        </w:rPr>
        <w:footnoteReference w:id="462"/>
      </w:r>
    </w:p>
    <w:p w:rsidR="0088341A" w:rsidRPr="00765F2A" w:rsidRDefault="0088341A" w:rsidP="0088341A">
      <w:pPr>
        <w:pStyle w:val="Caption"/>
        <w:keepLines/>
      </w:pPr>
      <w:bookmarkStart w:id="322" w:name="_Ref339369029"/>
      <w:bookmarkStart w:id="323" w:name="_Ref359493711"/>
      <w:r>
        <w:lastRenderedPageBreak/>
        <w:t xml:space="preserve">Table </w:t>
      </w:r>
      <w:fldSimple w:instr=" STYLEREF 1 \s ">
        <w:r w:rsidR="004F35AA">
          <w:rPr>
            <w:noProof/>
          </w:rPr>
          <w:t>8</w:t>
        </w:r>
      </w:fldSimple>
      <w:r w:rsidR="00C56A87">
        <w:t>.</w:t>
      </w:r>
      <w:fldSimple w:instr=" SEQ Table \* ARABIC \s 1 ">
        <w:r w:rsidR="004F35AA">
          <w:rPr>
            <w:noProof/>
          </w:rPr>
          <w:t>3</w:t>
        </w:r>
      </w:fldSimple>
      <w:bookmarkEnd w:id="322"/>
      <w:bookmarkEnd w:id="323"/>
      <w:r>
        <w:tab/>
      </w:r>
      <w:r w:rsidRPr="002C4841">
        <w:t xml:space="preserve">Timing of the calculation of allowed revenues and the performance </w:t>
      </w:r>
      <w:r w:rsidRPr="00765F2A">
        <w:t>incentive</w:t>
      </w:r>
      <w:bookmarkEnd w:id="321"/>
    </w:p>
    <w:tbl>
      <w:tblPr>
        <w:tblW w:w="5006" w:type="pct"/>
        <w:tblBorders>
          <w:bottom w:val="single" w:sz="4" w:space="0" w:color="365F91"/>
        </w:tblBorders>
        <w:tblLook w:val="04A0" w:firstRow="1" w:lastRow="0" w:firstColumn="1" w:lastColumn="0" w:noHBand="0" w:noVBand="1"/>
      </w:tblPr>
      <w:tblGrid>
        <w:gridCol w:w="703"/>
        <w:gridCol w:w="3581"/>
        <w:gridCol w:w="794"/>
        <w:gridCol w:w="4175"/>
      </w:tblGrid>
      <w:tr w:rsidR="0088341A" w:rsidRPr="00976461" w:rsidTr="00501137">
        <w:trPr>
          <w:trHeight w:val="507"/>
        </w:trPr>
        <w:tc>
          <w:tcPr>
            <w:tcW w:w="380" w:type="pct"/>
            <w:shd w:val="clear" w:color="auto" w:fill="365F91"/>
            <w:vAlign w:val="center"/>
          </w:tcPr>
          <w:p w:rsidR="0088341A" w:rsidRPr="00BB22BB" w:rsidRDefault="0088341A" w:rsidP="00501137">
            <w:pPr>
              <w:pStyle w:val="AERtabletextleft"/>
              <w:keepNext/>
              <w:keepLines/>
              <w:rPr>
                <w:rStyle w:val="AERtextitalic"/>
                <w:b/>
                <w:color w:val="FFFFFF"/>
              </w:rPr>
            </w:pPr>
            <w:r w:rsidRPr="00BB22BB">
              <w:rPr>
                <w:rStyle w:val="AERtextitalic"/>
                <w:b/>
                <w:color w:val="FFFFFF"/>
              </w:rPr>
              <w:t>t</w:t>
            </w:r>
          </w:p>
        </w:tc>
        <w:tc>
          <w:tcPr>
            <w:tcW w:w="1935" w:type="pct"/>
            <w:shd w:val="clear" w:color="auto" w:fill="365F91"/>
            <w:vAlign w:val="center"/>
          </w:tcPr>
          <w:p w:rsidR="0088341A" w:rsidRPr="00BB22BB" w:rsidRDefault="0088341A" w:rsidP="00501137">
            <w:pPr>
              <w:pStyle w:val="AERtabletextleft"/>
              <w:keepNext/>
              <w:keepLines/>
              <w:rPr>
                <w:b/>
                <w:color w:val="FFFFFF"/>
              </w:rPr>
            </w:pPr>
            <w:r w:rsidRPr="00BB22BB">
              <w:rPr>
                <w:b/>
                <w:color w:val="FFFFFF"/>
              </w:rPr>
              <w:t>Allowed revenue (financial year)</w:t>
            </w:r>
          </w:p>
        </w:tc>
        <w:tc>
          <w:tcPr>
            <w:tcW w:w="429" w:type="pct"/>
            <w:shd w:val="clear" w:color="auto" w:fill="365F91"/>
            <w:vAlign w:val="center"/>
          </w:tcPr>
          <w:p w:rsidR="0088341A" w:rsidRPr="00BB22BB" w:rsidRDefault="0088341A" w:rsidP="00501137">
            <w:pPr>
              <w:pStyle w:val="AERtabletextleft"/>
              <w:keepNext/>
              <w:keepLines/>
              <w:rPr>
                <w:rStyle w:val="AERtextitalic"/>
                <w:b/>
                <w:color w:val="FFFFFF"/>
              </w:rPr>
            </w:pPr>
            <w:r w:rsidRPr="00BB22BB">
              <w:rPr>
                <w:rStyle w:val="AERtextitalic"/>
                <w:b/>
                <w:color w:val="FFFFFF"/>
              </w:rPr>
              <w:t>ct</w:t>
            </w:r>
          </w:p>
        </w:tc>
        <w:tc>
          <w:tcPr>
            <w:tcW w:w="2256" w:type="pct"/>
            <w:shd w:val="clear" w:color="auto" w:fill="365F91"/>
            <w:vAlign w:val="center"/>
          </w:tcPr>
          <w:p w:rsidR="0088341A" w:rsidRPr="00BB22BB" w:rsidRDefault="0088341A" w:rsidP="00501137">
            <w:pPr>
              <w:pStyle w:val="AERtabletextleft"/>
              <w:keepNext/>
              <w:keepLines/>
              <w:rPr>
                <w:b/>
                <w:color w:val="FFFFFF"/>
              </w:rPr>
            </w:pPr>
            <w:r w:rsidRPr="00BB22BB">
              <w:rPr>
                <w:b/>
                <w:color w:val="FFFFFF"/>
              </w:rPr>
              <w:t>Performance incentive (calendar year)</w:t>
            </w:r>
          </w:p>
        </w:tc>
      </w:tr>
      <w:tr w:rsidR="0088341A" w:rsidRPr="00976461" w:rsidTr="00501137">
        <w:trPr>
          <w:trHeight w:val="507"/>
        </w:trPr>
        <w:tc>
          <w:tcPr>
            <w:tcW w:w="380" w:type="pct"/>
            <w:shd w:val="clear" w:color="auto" w:fill="auto"/>
            <w:vAlign w:val="center"/>
          </w:tcPr>
          <w:p w:rsidR="0088341A" w:rsidRPr="00750DF8" w:rsidRDefault="0088341A" w:rsidP="00501137">
            <w:pPr>
              <w:pStyle w:val="AERtabletextleft"/>
              <w:keepNext/>
              <w:keepLines/>
            </w:pPr>
            <w:r w:rsidRPr="003629E8">
              <w:t>2</w:t>
            </w:r>
          </w:p>
        </w:tc>
        <w:tc>
          <w:tcPr>
            <w:tcW w:w="1935" w:type="pct"/>
            <w:shd w:val="clear" w:color="auto" w:fill="auto"/>
            <w:vAlign w:val="center"/>
          </w:tcPr>
          <w:p w:rsidR="0088341A" w:rsidRPr="00750DF8" w:rsidRDefault="0088341A" w:rsidP="00501137">
            <w:pPr>
              <w:pStyle w:val="AERtabletextleft"/>
              <w:keepNext/>
              <w:keepLines/>
            </w:pPr>
            <w:r w:rsidRPr="003629E8">
              <w:t xml:space="preserve">1 </w:t>
            </w:r>
            <w:r>
              <w:t>April</w:t>
            </w:r>
            <w:r w:rsidRPr="003629E8">
              <w:t xml:space="preserve"> 201</w:t>
            </w:r>
            <w:r>
              <w:t>5</w:t>
            </w:r>
            <w:r w:rsidRPr="003629E8">
              <w:t>–</w:t>
            </w:r>
            <w:r>
              <w:t>31</w:t>
            </w:r>
            <w:r w:rsidRPr="003629E8">
              <w:t xml:space="preserve"> </w:t>
            </w:r>
            <w:r>
              <w:t>March</w:t>
            </w:r>
            <w:r w:rsidRPr="003629E8">
              <w:t xml:space="preserve"> </w:t>
            </w:r>
            <w:r>
              <w:t>2016</w:t>
            </w:r>
          </w:p>
        </w:tc>
        <w:tc>
          <w:tcPr>
            <w:tcW w:w="429" w:type="pct"/>
            <w:shd w:val="clear" w:color="auto" w:fill="auto"/>
            <w:vAlign w:val="center"/>
          </w:tcPr>
          <w:p w:rsidR="0088341A" w:rsidRPr="00750DF8" w:rsidRDefault="0088341A" w:rsidP="00501137">
            <w:pPr>
              <w:pStyle w:val="AERtabletextleft"/>
              <w:keepNext/>
              <w:keepLines/>
            </w:pPr>
            <w:r w:rsidRPr="003629E8">
              <w:t>2</w:t>
            </w:r>
          </w:p>
        </w:tc>
        <w:tc>
          <w:tcPr>
            <w:tcW w:w="2256" w:type="pct"/>
            <w:shd w:val="clear" w:color="auto" w:fill="auto"/>
            <w:vAlign w:val="center"/>
          </w:tcPr>
          <w:p w:rsidR="0088341A" w:rsidRPr="00750DF8" w:rsidRDefault="0088341A" w:rsidP="00501137">
            <w:pPr>
              <w:pStyle w:val="AERtabletextleft"/>
              <w:keepNext/>
              <w:keepLines/>
            </w:pPr>
            <w:r w:rsidRPr="003629E8">
              <w:t xml:space="preserve">1 January </w:t>
            </w:r>
            <w:r>
              <w:t>2014</w:t>
            </w:r>
            <w:r w:rsidRPr="003629E8">
              <w:t xml:space="preserve">–31 December </w:t>
            </w:r>
            <w:r>
              <w:t>2014</w:t>
            </w:r>
          </w:p>
        </w:tc>
      </w:tr>
      <w:tr w:rsidR="0088341A" w:rsidRPr="00976461" w:rsidTr="00501137">
        <w:trPr>
          <w:trHeight w:val="507"/>
        </w:trPr>
        <w:tc>
          <w:tcPr>
            <w:tcW w:w="380" w:type="pct"/>
            <w:shd w:val="clear" w:color="auto" w:fill="DBE5F1"/>
            <w:vAlign w:val="center"/>
          </w:tcPr>
          <w:p w:rsidR="0088341A" w:rsidRPr="00750DF8" w:rsidRDefault="0088341A" w:rsidP="00501137">
            <w:pPr>
              <w:pStyle w:val="AERtabletextleft"/>
              <w:keepNext/>
              <w:keepLines/>
            </w:pPr>
            <w:r w:rsidRPr="003629E8">
              <w:t>3</w:t>
            </w:r>
          </w:p>
        </w:tc>
        <w:tc>
          <w:tcPr>
            <w:tcW w:w="1935" w:type="pct"/>
            <w:shd w:val="clear" w:color="auto" w:fill="DBE5F1"/>
            <w:vAlign w:val="center"/>
          </w:tcPr>
          <w:p w:rsidR="0088341A" w:rsidRPr="00750DF8" w:rsidRDefault="0088341A" w:rsidP="00501137">
            <w:pPr>
              <w:pStyle w:val="AERtabletextleft"/>
              <w:keepNext/>
              <w:keepLines/>
            </w:pPr>
            <w:r w:rsidRPr="003629E8">
              <w:t xml:space="preserve">1 </w:t>
            </w:r>
            <w:r>
              <w:t>April</w:t>
            </w:r>
            <w:r w:rsidRPr="003629E8">
              <w:t xml:space="preserve"> </w:t>
            </w:r>
            <w:r>
              <w:t>2016</w:t>
            </w:r>
            <w:r w:rsidRPr="003629E8">
              <w:t>–</w:t>
            </w:r>
            <w:r>
              <w:t>31</w:t>
            </w:r>
            <w:r w:rsidRPr="003629E8">
              <w:t xml:space="preserve"> </w:t>
            </w:r>
            <w:r>
              <w:t>March</w:t>
            </w:r>
            <w:r w:rsidRPr="003629E8">
              <w:t xml:space="preserve"> </w:t>
            </w:r>
            <w:r>
              <w:t>2017</w:t>
            </w:r>
          </w:p>
        </w:tc>
        <w:tc>
          <w:tcPr>
            <w:tcW w:w="429" w:type="pct"/>
            <w:shd w:val="clear" w:color="auto" w:fill="DBE5F1"/>
            <w:vAlign w:val="center"/>
          </w:tcPr>
          <w:p w:rsidR="0088341A" w:rsidRPr="00750DF8" w:rsidRDefault="0088341A" w:rsidP="00501137">
            <w:pPr>
              <w:pStyle w:val="AERtabletextleft"/>
              <w:keepNext/>
              <w:keepLines/>
            </w:pPr>
            <w:r w:rsidRPr="003629E8">
              <w:t>3</w:t>
            </w:r>
          </w:p>
        </w:tc>
        <w:tc>
          <w:tcPr>
            <w:tcW w:w="2256" w:type="pct"/>
            <w:shd w:val="clear" w:color="auto" w:fill="DBE5F1"/>
            <w:vAlign w:val="center"/>
          </w:tcPr>
          <w:p w:rsidR="0088341A" w:rsidRPr="00750DF8" w:rsidRDefault="0088341A" w:rsidP="00501137">
            <w:pPr>
              <w:pStyle w:val="AERtabletextleft"/>
              <w:keepNext/>
              <w:keepLines/>
            </w:pPr>
            <w:r w:rsidRPr="003629E8">
              <w:t xml:space="preserve">1 January </w:t>
            </w:r>
            <w:r>
              <w:t>2015</w:t>
            </w:r>
            <w:r w:rsidRPr="00750DF8">
              <w:t xml:space="preserve">–31 December </w:t>
            </w:r>
            <w:r>
              <w:t>2015</w:t>
            </w:r>
          </w:p>
        </w:tc>
      </w:tr>
    </w:tbl>
    <w:p w:rsidR="0088341A" w:rsidRPr="00A907E9" w:rsidRDefault="0088341A" w:rsidP="0088341A">
      <w:pPr>
        <w:pStyle w:val="Heading3"/>
        <w:numPr>
          <w:ilvl w:val="3"/>
          <w:numId w:val="20"/>
        </w:numPr>
      </w:pPr>
      <w:r w:rsidRPr="00A907E9">
        <w:t>Average transmission charges</w:t>
      </w:r>
    </w:p>
    <w:p w:rsidR="0088341A" w:rsidRDefault="0088341A" w:rsidP="0088341A">
      <w:pPr>
        <w:pStyle w:val="AERbodytext"/>
        <w:numPr>
          <w:ilvl w:val="0"/>
          <w:numId w:val="1"/>
        </w:numPr>
      </w:pPr>
      <w:r>
        <w:t xml:space="preserve">The NER does not require an estimate of transmission price charges for a revenue determination of a TNSP. Nonetheless, we typically provide some indicative transmission price impacts flowing from the revenue determination. Although we assess SP AusNet's and AEMO's proposed pricing methodologies, </w:t>
      </w:r>
      <w:r w:rsidRPr="00A90BC9">
        <w:t xml:space="preserve">actual transmission charges established at particular connection points are not </w:t>
      </w:r>
      <w:r>
        <w:t>determined</w:t>
      </w:r>
      <w:r w:rsidRPr="00A90BC9">
        <w:t xml:space="preserve"> by us</w:t>
      </w:r>
      <w:r>
        <w:t>.  SP AusNet and AEMO establish the transmission charges in accordance with their approved pricing methodologies and the NER.</w:t>
      </w:r>
      <w:r>
        <w:rPr>
          <w:rStyle w:val="FootnoteReference"/>
        </w:rPr>
        <w:footnoteReference w:id="463"/>
      </w:r>
      <w:r>
        <w:t xml:space="preserve"> </w:t>
      </w:r>
    </w:p>
    <w:p w:rsidR="0088341A" w:rsidRDefault="0088341A" w:rsidP="0088341A">
      <w:pPr>
        <w:pStyle w:val="Heading2"/>
        <w:numPr>
          <w:ilvl w:val="2"/>
          <w:numId w:val="20"/>
        </w:numPr>
      </w:pPr>
      <w:bookmarkStart w:id="324" w:name="_Toc365283330"/>
      <w:r>
        <w:t>Reasons for draft decision</w:t>
      </w:r>
      <w:bookmarkEnd w:id="324"/>
      <w:r>
        <w:t xml:space="preserve"> </w:t>
      </w:r>
    </w:p>
    <w:p w:rsidR="0088341A" w:rsidRDefault="0088341A" w:rsidP="0088341A">
      <w:pPr>
        <w:pStyle w:val="AERbodytext"/>
        <w:numPr>
          <w:ilvl w:val="0"/>
          <w:numId w:val="1"/>
        </w:numPr>
        <w:rPr>
          <w:rStyle w:val="AERbody"/>
        </w:rPr>
      </w:pPr>
      <w:r w:rsidRPr="00217163">
        <w:t>For</w:t>
      </w:r>
      <w:r w:rsidRPr="00217163">
        <w:rPr>
          <w:rStyle w:val="AERbody"/>
        </w:rPr>
        <w:t xml:space="preserve"> this draft decision, </w:t>
      </w:r>
      <w:r>
        <w:rPr>
          <w:rStyle w:val="AERbody"/>
        </w:rPr>
        <w:t>we</w:t>
      </w:r>
      <w:r w:rsidRPr="00217163">
        <w:rPr>
          <w:rStyle w:val="AERbody"/>
        </w:rPr>
        <w:t xml:space="preserve"> determine a total annual building block revenue requirement of $</w:t>
      </w:r>
      <w:r>
        <w:rPr>
          <w:rStyle w:val="AERbody"/>
        </w:rPr>
        <w:t>1531 </w:t>
      </w:r>
      <w:r w:rsidRPr="00217163">
        <w:rPr>
          <w:rStyle w:val="AERbody"/>
        </w:rPr>
        <w:t>million (</w:t>
      </w:r>
      <w:r>
        <w:rPr>
          <w:rStyle w:val="AERbody"/>
        </w:rPr>
        <w:t>$ nominal</w:t>
      </w:r>
      <w:r w:rsidRPr="00217163">
        <w:rPr>
          <w:rStyle w:val="AERbody"/>
        </w:rPr>
        <w:t xml:space="preserve">) for </w:t>
      </w:r>
      <w:r>
        <w:rPr>
          <w:rStyle w:val="AERbody"/>
        </w:rPr>
        <w:t>SP AusNet for the 2014–17</w:t>
      </w:r>
      <w:r w:rsidRPr="00217163">
        <w:rPr>
          <w:rStyle w:val="AERbody"/>
        </w:rPr>
        <w:t xml:space="preserve"> regulatory control period. This compares to</w:t>
      </w:r>
      <w:r w:rsidRPr="00AE034B">
        <w:rPr>
          <w:rStyle w:val="AERbody"/>
        </w:rPr>
        <w:t xml:space="preserve"> </w:t>
      </w:r>
      <w:r>
        <w:rPr>
          <w:rStyle w:val="AERbody"/>
        </w:rPr>
        <w:t>SP AusNet's</w:t>
      </w:r>
      <w:r w:rsidRPr="00AE034B">
        <w:rPr>
          <w:rStyle w:val="AERbody"/>
        </w:rPr>
        <w:t xml:space="preserve"> proposed total </w:t>
      </w:r>
      <w:r>
        <w:rPr>
          <w:rStyle w:val="AERbody"/>
        </w:rPr>
        <w:t>annual building block revenue requirement</w:t>
      </w:r>
      <w:r w:rsidRPr="00AE034B">
        <w:rPr>
          <w:rStyle w:val="AERbody"/>
        </w:rPr>
        <w:t xml:space="preserve"> of </w:t>
      </w:r>
      <w:r>
        <w:rPr>
          <w:rStyle w:val="AERbody"/>
        </w:rPr>
        <w:t>$</w:t>
      </w:r>
      <w:r>
        <w:t xml:space="preserve">1598 </w:t>
      </w:r>
      <w:r w:rsidRPr="00AE034B">
        <w:rPr>
          <w:rStyle w:val="AERbody"/>
        </w:rPr>
        <w:t xml:space="preserve">million </w:t>
      </w:r>
      <w:r>
        <w:rPr>
          <w:rStyle w:val="AERbody"/>
        </w:rPr>
        <w:t xml:space="preserve">($ nominal) </w:t>
      </w:r>
      <w:r w:rsidRPr="00AE034B">
        <w:rPr>
          <w:rStyle w:val="AERbody"/>
        </w:rPr>
        <w:t xml:space="preserve">for </w:t>
      </w:r>
      <w:r>
        <w:rPr>
          <w:rStyle w:val="AERbody"/>
        </w:rPr>
        <w:t>this</w:t>
      </w:r>
      <w:r w:rsidRPr="00AE034B">
        <w:rPr>
          <w:rStyle w:val="AERbody"/>
        </w:rPr>
        <w:t xml:space="preserve"> period.</w:t>
      </w:r>
      <w:r w:rsidRPr="00AE034B">
        <w:rPr>
          <w:rStyle w:val="AERsuperscript"/>
        </w:rPr>
        <w:footnoteReference w:id="464"/>
      </w:r>
      <w:r>
        <w:rPr>
          <w:rStyle w:val="AERbody"/>
        </w:rPr>
        <w:t xml:space="preserve"> </w:t>
      </w:r>
    </w:p>
    <w:p w:rsidR="0088341A" w:rsidRDefault="00170536" w:rsidP="0088341A">
      <w:pPr>
        <w:pStyle w:val="AERbodytext"/>
        <w:numPr>
          <w:ilvl w:val="0"/>
          <w:numId w:val="1"/>
        </w:numPr>
        <w:rPr>
          <w:rStyle w:val="AERbody"/>
        </w:rPr>
      </w:pPr>
      <w:r>
        <w:rPr>
          <w:rStyle w:val="AERbody"/>
        </w:rPr>
        <w:fldChar w:fldCharType="begin"/>
      </w:r>
      <w:r>
        <w:rPr>
          <w:rStyle w:val="AERbody"/>
        </w:rPr>
        <w:instrText xml:space="preserve"> REF _Ref365384679 \h </w:instrText>
      </w:r>
      <w:r>
        <w:rPr>
          <w:rStyle w:val="AERbody"/>
        </w:rPr>
      </w:r>
      <w:r>
        <w:rPr>
          <w:rStyle w:val="AERbody"/>
        </w:rPr>
        <w:fldChar w:fldCharType="separate"/>
      </w:r>
      <w:r w:rsidR="004F35AA">
        <w:t xml:space="preserve">Figure </w:t>
      </w:r>
      <w:r w:rsidR="004F35AA">
        <w:rPr>
          <w:noProof/>
        </w:rPr>
        <w:t>8</w:t>
      </w:r>
      <w:r w:rsidR="004F35AA">
        <w:t>.</w:t>
      </w:r>
      <w:r w:rsidR="004F35AA">
        <w:rPr>
          <w:noProof/>
        </w:rPr>
        <w:t>1</w:t>
      </w:r>
      <w:r>
        <w:rPr>
          <w:rStyle w:val="AERbody"/>
        </w:rPr>
        <w:fldChar w:fldCharType="end"/>
      </w:r>
      <w:r>
        <w:rPr>
          <w:rStyle w:val="AERbody"/>
        </w:rPr>
        <w:t xml:space="preserve"> </w:t>
      </w:r>
      <w:r w:rsidR="0088341A">
        <w:rPr>
          <w:rStyle w:val="AERbody"/>
        </w:rPr>
        <w:t xml:space="preserve">shows </w:t>
      </w:r>
      <w:r w:rsidR="0088341A">
        <w:t xml:space="preserve">the building block components from our determination that make up the annual </w:t>
      </w:r>
      <w:r w:rsidR="0088341A">
        <w:rPr>
          <w:rStyle w:val="AERbody"/>
        </w:rPr>
        <w:t>building block revenue requirement for the 2014–17 regulatory control period and the corresponding components from SP AusNet's proposal.</w:t>
      </w:r>
    </w:p>
    <w:p w:rsidR="0088341A" w:rsidRDefault="0088341A" w:rsidP="0088341A">
      <w:pPr>
        <w:pStyle w:val="AERbodytext"/>
        <w:numPr>
          <w:ilvl w:val="0"/>
          <w:numId w:val="1"/>
        </w:numPr>
      </w:pPr>
      <w:r>
        <w:t>We have calculated the annual building block revenue requirement for SP AusNet based on our draft decision on these building block components. The revenues were affected by our changes to SP AusNet's proposed building blocks. These changes include:</w:t>
      </w:r>
    </w:p>
    <w:p w:rsidR="0088341A" w:rsidRPr="0012636D" w:rsidRDefault="0088341A" w:rsidP="0088341A">
      <w:pPr>
        <w:pStyle w:val="AERbulletlistfirststyle"/>
      </w:pPr>
      <w:r>
        <w:t>forecast operating expenditure (attachment 3</w:t>
      </w:r>
      <w:r w:rsidRPr="0012636D">
        <w:t>)</w:t>
      </w:r>
    </w:p>
    <w:p w:rsidR="0088341A" w:rsidRPr="0012636D" w:rsidRDefault="0088341A" w:rsidP="0088341A">
      <w:pPr>
        <w:pStyle w:val="AERbulletlistfirststyle"/>
      </w:pPr>
      <w:r>
        <w:t>the cost of capital (attachment 4</w:t>
      </w:r>
      <w:r w:rsidRPr="0012636D">
        <w:t>)</w:t>
      </w:r>
    </w:p>
    <w:p w:rsidR="0088341A" w:rsidRPr="0012636D" w:rsidRDefault="0088341A" w:rsidP="0088341A">
      <w:pPr>
        <w:pStyle w:val="AERbulletlistfirststyle"/>
      </w:pPr>
      <w:r>
        <w:t>the opening RABs over the 2014–17 regulatory control period (attachment 5</w:t>
      </w:r>
      <w:r w:rsidRPr="0012636D">
        <w:t xml:space="preserve">) and forecast capital expenditure (attachment </w:t>
      </w:r>
      <w:r>
        <w:t>2</w:t>
      </w:r>
      <w:r w:rsidRPr="0012636D">
        <w:t>)</w:t>
      </w:r>
    </w:p>
    <w:p w:rsidR="0088341A" w:rsidRPr="0012636D" w:rsidRDefault="0088341A" w:rsidP="0088341A">
      <w:pPr>
        <w:pStyle w:val="AERbulletlistfirststyle"/>
      </w:pPr>
      <w:r>
        <w:t>forecast regulatory depreciation (attachment 6)</w:t>
      </w:r>
    </w:p>
    <w:p w:rsidR="0088341A" w:rsidRPr="0012636D" w:rsidRDefault="0088341A" w:rsidP="0088341A">
      <w:pPr>
        <w:pStyle w:val="AERbulletlistfirststyle"/>
      </w:pPr>
      <w:r>
        <w:t>the estimated cost of corporate income tax (attachment 7</w:t>
      </w:r>
      <w:r w:rsidRPr="0012636D">
        <w:t>).</w:t>
      </w:r>
    </w:p>
    <w:p w:rsidR="0088341A" w:rsidRDefault="00170536" w:rsidP="00170536">
      <w:pPr>
        <w:pStyle w:val="Caption"/>
      </w:pPr>
      <w:bookmarkStart w:id="325" w:name="_Ref365384679"/>
      <w:r>
        <w:lastRenderedPageBreak/>
        <w:t xml:space="preserve">Figure </w:t>
      </w:r>
      <w:fldSimple w:instr=" STYLEREF 1 \s ">
        <w:r w:rsidR="004F35AA">
          <w:rPr>
            <w:noProof/>
          </w:rPr>
          <w:t>8</w:t>
        </w:r>
      </w:fldSimple>
      <w:r w:rsidR="00C56A87">
        <w:t>.</w:t>
      </w:r>
      <w:fldSimple w:instr=" SEQ Figure \* ARABIC \s 1 ">
        <w:r w:rsidR="004F35AA">
          <w:rPr>
            <w:noProof/>
          </w:rPr>
          <w:t>1</w:t>
        </w:r>
      </w:fldSimple>
      <w:bookmarkEnd w:id="325"/>
      <w:r w:rsidR="0088341A" w:rsidRPr="006077F9">
        <w:tab/>
        <w:t xml:space="preserve">AER's draft decision and </w:t>
      </w:r>
      <w:r w:rsidR="0088341A">
        <w:t>SP AusNet's</w:t>
      </w:r>
      <w:r w:rsidR="0088341A" w:rsidRPr="006077F9">
        <w:t xml:space="preserve"> proposed annual building block revenue requirement ($ million, nominal)</w:t>
      </w:r>
    </w:p>
    <w:p w:rsidR="0088341A" w:rsidRPr="006526FA" w:rsidRDefault="0088341A" w:rsidP="0088341A">
      <w:pPr>
        <w:pStyle w:val="AERbodytext"/>
        <w:numPr>
          <w:ilvl w:val="0"/>
          <w:numId w:val="1"/>
        </w:numPr>
      </w:pPr>
      <w:r>
        <w:rPr>
          <w:noProof/>
          <w:lang w:eastAsia="en-AU"/>
        </w:rPr>
        <w:drawing>
          <wp:inline distT="0" distB="0" distL="0" distR="0" wp14:anchorId="4F1585A5" wp14:editId="07B4DA38">
            <wp:extent cx="5720080" cy="35515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0080" cy="3551555"/>
                    </a:xfrm>
                    <a:prstGeom prst="rect">
                      <a:avLst/>
                    </a:prstGeom>
                    <a:noFill/>
                    <a:ln>
                      <a:noFill/>
                    </a:ln>
                  </pic:spPr>
                </pic:pic>
              </a:graphicData>
            </a:graphic>
          </wp:inline>
        </w:drawing>
      </w:r>
    </w:p>
    <w:p w:rsidR="0088341A" w:rsidRPr="00EC30F9" w:rsidRDefault="0088341A" w:rsidP="0088341A">
      <w:pPr>
        <w:pStyle w:val="AERtablesource"/>
      </w:pPr>
      <w:r w:rsidRPr="00EC30F9">
        <w:t xml:space="preserve">Source: </w:t>
      </w:r>
      <w:r w:rsidRPr="00EC30F9">
        <w:tab/>
        <w:t>AER analysis.</w:t>
      </w:r>
    </w:p>
    <w:p w:rsidR="0088341A" w:rsidRPr="00A907E9" w:rsidRDefault="0088341A" w:rsidP="0088341A">
      <w:pPr>
        <w:pStyle w:val="Heading3"/>
        <w:numPr>
          <w:ilvl w:val="3"/>
          <w:numId w:val="20"/>
        </w:numPr>
      </w:pPr>
      <w:r w:rsidRPr="00A907E9">
        <w:t>X factor, annual expected MAR and estimated total revenue cap</w:t>
      </w:r>
    </w:p>
    <w:p w:rsidR="0088341A" w:rsidRDefault="0088341A" w:rsidP="0088341A">
      <w:pPr>
        <w:pStyle w:val="AERbodytext"/>
        <w:numPr>
          <w:ilvl w:val="0"/>
          <w:numId w:val="1"/>
        </w:numPr>
        <w:rPr>
          <w:rStyle w:val="AERbody"/>
        </w:rPr>
      </w:pPr>
      <w:r w:rsidRPr="00F044FA">
        <w:t xml:space="preserve">For this draft decision, </w:t>
      </w:r>
      <w:r>
        <w:t>we</w:t>
      </w:r>
      <w:r w:rsidRPr="00F044FA">
        <w:t xml:space="preserve"> determine a</w:t>
      </w:r>
      <w:r>
        <w:t>n</w:t>
      </w:r>
      <w:r w:rsidRPr="00F044FA">
        <w:t xml:space="preserve"> X factor of </w:t>
      </w:r>
      <w:r>
        <w:t>4.26</w:t>
      </w:r>
      <w:r w:rsidRPr="00F044FA">
        <w:t xml:space="preserve"> per cent per annum </w:t>
      </w:r>
      <w:r>
        <w:t>for</w:t>
      </w:r>
      <w:r w:rsidRPr="00F044FA">
        <w:t xml:space="preserve"> 201</w:t>
      </w:r>
      <w:r>
        <w:t>5</w:t>
      </w:r>
      <w:r w:rsidRPr="00F044FA">
        <w:t>–1</w:t>
      </w:r>
      <w:r>
        <w:t>6</w:t>
      </w:r>
      <w:r w:rsidRPr="00F044FA">
        <w:t xml:space="preserve"> </w:t>
      </w:r>
      <w:r>
        <w:t>and</w:t>
      </w:r>
      <w:r w:rsidRPr="00F044FA">
        <w:t xml:space="preserve"> </w:t>
      </w:r>
      <w:r>
        <w:br/>
      </w:r>
      <w:r w:rsidRPr="00F044FA">
        <w:t>201</w:t>
      </w:r>
      <w:r>
        <w:t>6</w:t>
      </w:r>
      <w:r w:rsidRPr="00F044FA">
        <w:t>–1</w:t>
      </w:r>
      <w:r>
        <w:t>7</w:t>
      </w:r>
      <w:r w:rsidRPr="00F044FA">
        <w:t xml:space="preserve">. The net present value of the annual building block revenue requirement for the </w:t>
      </w:r>
      <w:r>
        <w:t>2014–17</w:t>
      </w:r>
      <w:r w:rsidRPr="00F044FA">
        <w:t xml:space="preserve"> regulatory control period is $</w:t>
      </w:r>
      <w:r>
        <w:t>1328</w:t>
      </w:r>
      <w:r w:rsidRPr="00F044FA">
        <w:t xml:space="preserve"> million (</w:t>
      </w:r>
      <w:r>
        <w:t>$ nominal</w:t>
      </w:r>
      <w:r w:rsidRPr="00F044FA">
        <w:t xml:space="preserve">) as at 1 </w:t>
      </w:r>
      <w:r>
        <w:t>April</w:t>
      </w:r>
      <w:r w:rsidRPr="00F044FA">
        <w:t xml:space="preserve"> 201</w:t>
      </w:r>
      <w:r>
        <w:t>4</w:t>
      </w:r>
      <w:r w:rsidRPr="00F044FA">
        <w:t xml:space="preserve">. Based on this net present value and applying the CPI–X method, </w:t>
      </w:r>
      <w:r>
        <w:t>we</w:t>
      </w:r>
      <w:r w:rsidRPr="00F044FA">
        <w:t xml:space="preserve"> determine</w:t>
      </w:r>
      <w:r>
        <w:t xml:space="preserve"> that</w:t>
      </w:r>
      <w:r w:rsidRPr="00F044FA">
        <w:t xml:space="preserve"> the annual expected MAR (smoothed) for </w:t>
      </w:r>
      <w:r>
        <w:t>SP AusNet de</w:t>
      </w:r>
      <w:r w:rsidRPr="00F044FA">
        <w:t>creases from $</w:t>
      </w:r>
      <w:r>
        <w:t>519.0 million in 2014–15</w:t>
      </w:r>
      <w:r w:rsidRPr="00F044FA">
        <w:t xml:space="preserve"> to $</w:t>
      </w:r>
      <w:r>
        <w:t>499.8 million in 2016–17</w:t>
      </w:r>
      <w:r w:rsidRPr="00F044FA">
        <w:t xml:space="preserve"> (</w:t>
      </w:r>
      <w:r>
        <w:t>$ nominal</w:t>
      </w:r>
      <w:r w:rsidRPr="00F044FA">
        <w:t>).</w:t>
      </w:r>
      <w:r>
        <w:t xml:space="preserve"> The resulting</w:t>
      </w:r>
      <w:r>
        <w:rPr>
          <w:rStyle w:val="AERbody"/>
        </w:rPr>
        <w:t xml:space="preserve"> </w:t>
      </w:r>
      <w:r w:rsidRPr="00AE034B">
        <w:rPr>
          <w:rStyle w:val="AERbody"/>
        </w:rPr>
        <w:t xml:space="preserve">estimated total revenue cap </w:t>
      </w:r>
      <w:r>
        <w:rPr>
          <w:rStyle w:val="AERbody"/>
        </w:rPr>
        <w:t>for SP AusNet is</w:t>
      </w:r>
      <w:r w:rsidRPr="00AE034B">
        <w:rPr>
          <w:rStyle w:val="AERbody"/>
        </w:rPr>
        <w:t xml:space="preserve"> </w:t>
      </w:r>
      <w:r>
        <w:rPr>
          <w:rStyle w:val="AERbody"/>
        </w:rPr>
        <w:t>$1528 million ($ nominal) for</w:t>
      </w:r>
      <w:r w:rsidRPr="00AE034B">
        <w:rPr>
          <w:rStyle w:val="AERbody"/>
        </w:rPr>
        <w:t xml:space="preserve"> the </w:t>
      </w:r>
      <w:r>
        <w:rPr>
          <w:rStyle w:val="AERbody"/>
        </w:rPr>
        <w:t>2014–17</w:t>
      </w:r>
      <w:r w:rsidRPr="00AE034B">
        <w:rPr>
          <w:rStyle w:val="AERbody"/>
        </w:rPr>
        <w:t xml:space="preserve"> regulatory control period. </w:t>
      </w:r>
    </w:p>
    <w:p w:rsidR="0088341A" w:rsidRDefault="00170536" w:rsidP="0088341A">
      <w:pPr>
        <w:pStyle w:val="AERbodytext"/>
        <w:numPr>
          <w:ilvl w:val="0"/>
          <w:numId w:val="1"/>
        </w:numPr>
      </w:pPr>
      <w:r>
        <w:fldChar w:fldCharType="begin"/>
      </w:r>
      <w:r>
        <w:instrText xml:space="preserve"> REF _Ref365384727 \h </w:instrText>
      </w:r>
      <w:r>
        <w:fldChar w:fldCharType="separate"/>
      </w:r>
      <w:r w:rsidR="004F35AA">
        <w:t xml:space="preserve">Figure </w:t>
      </w:r>
      <w:r w:rsidR="004F35AA">
        <w:rPr>
          <w:noProof/>
        </w:rPr>
        <w:t>8</w:t>
      </w:r>
      <w:r w:rsidR="004F35AA">
        <w:t>.</w:t>
      </w:r>
      <w:r w:rsidR="004F35AA">
        <w:rPr>
          <w:noProof/>
        </w:rPr>
        <w:t>2</w:t>
      </w:r>
      <w:r>
        <w:fldChar w:fldCharType="end"/>
      </w:r>
      <w:r>
        <w:t xml:space="preserve"> </w:t>
      </w:r>
      <w:r w:rsidR="0088341A">
        <w:t>shows our draft decision on SP AusNet's annual expected MAR (smoothed revenue) and the annual building block revenue requirement (unsmoothed revenue) for the 2014–17 regulatory control period.</w:t>
      </w:r>
    </w:p>
    <w:p w:rsidR="0088341A" w:rsidRDefault="00170536" w:rsidP="00170536">
      <w:pPr>
        <w:pStyle w:val="Caption"/>
      </w:pPr>
      <w:bookmarkStart w:id="326" w:name="_Ref365384727"/>
      <w:r>
        <w:lastRenderedPageBreak/>
        <w:t xml:space="preserve">Figure </w:t>
      </w:r>
      <w:fldSimple w:instr=" STYLEREF 1 \s ">
        <w:r w:rsidR="004F35AA">
          <w:rPr>
            <w:noProof/>
          </w:rPr>
          <w:t>8</w:t>
        </w:r>
      </w:fldSimple>
      <w:r w:rsidR="00C56A87">
        <w:t>.</w:t>
      </w:r>
      <w:fldSimple w:instr=" SEQ Figure \* ARABIC \s 1 ">
        <w:r w:rsidR="004F35AA">
          <w:rPr>
            <w:noProof/>
          </w:rPr>
          <w:t>2</w:t>
        </w:r>
      </w:fldSimple>
      <w:bookmarkEnd w:id="326"/>
      <w:r w:rsidR="0088341A">
        <w:tab/>
      </w:r>
      <w:r w:rsidR="0088341A" w:rsidRPr="00B66889">
        <w:t>AER</w:t>
      </w:r>
      <w:r w:rsidR="0088341A">
        <w:t>'s</w:t>
      </w:r>
      <w:r w:rsidR="0088341A" w:rsidRPr="00B66889">
        <w:t xml:space="preserve"> draft decision on </w:t>
      </w:r>
      <w:r w:rsidR="0088341A">
        <w:t>SP AusNet's</w:t>
      </w:r>
      <w:r w:rsidR="0088341A" w:rsidRPr="00B66889">
        <w:t xml:space="preserve"> annual expected MAR (smoothed)</w:t>
      </w:r>
      <w:r w:rsidR="0088341A" w:rsidRPr="0012636D">
        <w:t xml:space="preserve"> and annual building block revenue requirement (unsmoothed)</w:t>
      </w:r>
      <w:r w:rsidR="0088341A">
        <w:t xml:space="preserve"> ($ million, nominal)</w:t>
      </w:r>
    </w:p>
    <w:p w:rsidR="0088341A" w:rsidRDefault="0088341A" w:rsidP="0088341A">
      <w:pPr>
        <w:pStyle w:val="AERbodytext"/>
        <w:numPr>
          <w:ilvl w:val="0"/>
          <w:numId w:val="1"/>
        </w:numPr>
      </w:pPr>
      <w:r>
        <w:rPr>
          <w:noProof/>
          <w:lang w:eastAsia="en-AU"/>
        </w:rPr>
        <w:drawing>
          <wp:inline distT="0" distB="0" distL="0" distR="0" wp14:anchorId="40245090" wp14:editId="4C338352">
            <wp:extent cx="5730875" cy="3912870"/>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0875" cy="3912870"/>
                    </a:xfrm>
                    <a:prstGeom prst="rect">
                      <a:avLst/>
                    </a:prstGeom>
                    <a:noFill/>
                    <a:ln>
                      <a:noFill/>
                    </a:ln>
                  </pic:spPr>
                </pic:pic>
              </a:graphicData>
            </a:graphic>
          </wp:inline>
        </w:drawing>
      </w:r>
    </w:p>
    <w:p w:rsidR="0088341A" w:rsidRPr="008E6AA5" w:rsidRDefault="0088341A" w:rsidP="0088341A">
      <w:pPr>
        <w:pStyle w:val="AERtablesource"/>
      </w:pPr>
      <w:r w:rsidRPr="008E6AA5">
        <w:t xml:space="preserve">Source: </w:t>
      </w:r>
      <w:r w:rsidRPr="008E6AA5">
        <w:tab/>
        <w:t>AER analysis.</w:t>
      </w:r>
    </w:p>
    <w:p w:rsidR="0088341A" w:rsidRPr="00FC276A" w:rsidRDefault="0088341A" w:rsidP="0088341A">
      <w:pPr>
        <w:pStyle w:val="AERbodytext"/>
        <w:numPr>
          <w:ilvl w:val="0"/>
          <w:numId w:val="1"/>
        </w:numPr>
      </w:pPr>
      <w:r w:rsidRPr="00FC276A">
        <w:t xml:space="preserve">To determine the expected MAR over the </w:t>
      </w:r>
      <w:r>
        <w:t>2014–17</w:t>
      </w:r>
      <w:r w:rsidRPr="00FC276A">
        <w:t xml:space="preserve"> regulatory control period</w:t>
      </w:r>
      <w:r>
        <w:t>,</w:t>
      </w:r>
      <w:r w:rsidRPr="00FC276A">
        <w:t xml:space="preserve"> </w:t>
      </w:r>
      <w:r>
        <w:t xml:space="preserve">we have </w:t>
      </w:r>
      <w:r w:rsidRPr="00FC276A">
        <w:t xml:space="preserve">set the </w:t>
      </w:r>
      <w:r>
        <w:t xml:space="preserve">MAR for the </w:t>
      </w:r>
      <w:r w:rsidRPr="00FC276A">
        <w:t>first</w:t>
      </w:r>
      <w:r>
        <w:t xml:space="preserve"> regulatory</w:t>
      </w:r>
      <w:r w:rsidRPr="00FC276A">
        <w:t xml:space="preserve"> year </w:t>
      </w:r>
      <w:r>
        <w:t>(2014–15) at $519.0 million ($ nominal).</w:t>
      </w:r>
      <w:r>
        <w:rPr>
          <w:rStyle w:val="FootnoteReference"/>
        </w:rPr>
        <w:footnoteReference w:id="465"/>
      </w:r>
      <w:r>
        <w:t xml:space="preserve"> This is higher than</w:t>
      </w:r>
      <w:r w:rsidRPr="00FC276A">
        <w:t xml:space="preserve"> the annual building block revenue requirement</w:t>
      </w:r>
      <w:r>
        <w:t xml:space="preserve"> </w:t>
      </w:r>
      <w:r w:rsidRPr="00FC276A">
        <w:t xml:space="preserve">for </w:t>
      </w:r>
      <w:r>
        <w:t>2014–15, which is $500.2 million ($ nominal).</w:t>
      </w:r>
      <w:r>
        <w:rPr>
          <w:rStyle w:val="FootnoteReference"/>
        </w:rPr>
        <w:footnoteReference w:id="466"/>
      </w:r>
      <w:r>
        <w:t xml:space="preserve"> We then</w:t>
      </w:r>
      <w:r w:rsidRPr="00FC276A">
        <w:t xml:space="preserve"> applied an X factor of </w:t>
      </w:r>
      <w:r>
        <w:t>4.26</w:t>
      </w:r>
      <w:r w:rsidRPr="00FC276A">
        <w:t xml:space="preserve"> per cent </w:t>
      </w:r>
      <w:r>
        <w:t xml:space="preserve">per annum to determine the expected MAR </w:t>
      </w:r>
      <w:r w:rsidRPr="00FC276A">
        <w:t>in subsequent years.</w:t>
      </w:r>
      <w:r>
        <w:rPr>
          <w:rStyle w:val="FootnoteReference"/>
        </w:rPr>
        <w:footnoteReference w:id="467"/>
      </w:r>
      <w:r w:rsidRPr="00FC276A">
        <w:t xml:space="preserve"> </w:t>
      </w:r>
      <w:r>
        <w:t>We</w:t>
      </w:r>
      <w:r w:rsidRPr="00FC276A">
        <w:t xml:space="preserve"> consider that this profile of X factors results in an expected MAR in</w:t>
      </w:r>
      <w:r>
        <w:t xml:space="preserve"> </w:t>
      </w:r>
      <w:r w:rsidRPr="00FC276A">
        <w:t xml:space="preserve">the </w:t>
      </w:r>
      <w:r>
        <w:t>last</w:t>
      </w:r>
      <w:r w:rsidRPr="00FC276A">
        <w:t xml:space="preserve"> year of the </w:t>
      </w:r>
      <w:r>
        <w:t xml:space="preserve">2014–17 </w:t>
      </w:r>
      <w:r w:rsidRPr="00FC276A">
        <w:t>regulatory control period that is as close as reasonably possible to the</w:t>
      </w:r>
      <w:r>
        <w:t xml:space="preserve"> </w:t>
      </w:r>
      <w:r w:rsidRPr="00FC276A">
        <w:t>annual building block revenue requirement for that year</w:t>
      </w:r>
      <w:r>
        <w:t xml:space="preserve"> as required under</w:t>
      </w:r>
      <w:r w:rsidRPr="00FC276A">
        <w:t xml:space="preserve"> the NER.</w:t>
      </w:r>
      <w:r>
        <w:rPr>
          <w:rStyle w:val="FootnoteReference"/>
        </w:rPr>
        <w:footnoteReference w:id="468"/>
      </w:r>
      <w:r w:rsidRPr="00FC276A">
        <w:t xml:space="preserve"> </w:t>
      </w:r>
      <w:r>
        <w:t>We consider a divergence of up to 3 per cent between the expected MAR and annual building block revenue requirement for the last year of the 2014–17 regulatory control period is appropriate, if this can achieve smoother price changes for users over the regulatory control period. In the present circumstances, based on the X factors we have determined, this divergence is 3 per cent.</w:t>
      </w:r>
    </w:p>
    <w:p w:rsidR="0088341A" w:rsidRDefault="0088341A" w:rsidP="0088341A">
      <w:pPr>
        <w:pStyle w:val="AERbodytext"/>
        <w:numPr>
          <w:ilvl w:val="0"/>
          <w:numId w:val="1"/>
        </w:numPr>
      </w:pPr>
      <w:r>
        <w:t>We have considered stakeholder submissions, which raised concerns with the impact of SP AusNet's revenue determination on the expected electricity price.</w:t>
      </w:r>
      <w:r>
        <w:rPr>
          <w:rStyle w:val="FootnoteReference"/>
        </w:rPr>
        <w:footnoteReference w:id="469"/>
      </w:r>
      <w:r>
        <w:t xml:space="preserve"> We have smoothed the estimated total revenue cap as much as possible, consistent with the requirements of the NER and NEL.</w:t>
      </w:r>
    </w:p>
    <w:p w:rsidR="0088341A" w:rsidRDefault="0088341A" w:rsidP="0088341A">
      <w:pPr>
        <w:pStyle w:val="AERbodytext"/>
        <w:numPr>
          <w:ilvl w:val="0"/>
          <w:numId w:val="1"/>
        </w:numPr>
      </w:pPr>
      <w:r w:rsidRPr="00FC276A">
        <w:t xml:space="preserve">The </w:t>
      </w:r>
      <w:r>
        <w:t>average de</w:t>
      </w:r>
      <w:r w:rsidRPr="00FC276A">
        <w:t xml:space="preserve">crease </w:t>
      </w:r>
      <w:r>
        <w:t>in our approved expected MAR for SP AusNet</w:t>
      </w:r>
      <w:r w:rsidRPr="00FC276A">
        <w:t xml:space="preserve"> </w:t>
      </w:r>
      <w:r>
        <w:t>is</w:t>
      </w:r>
      <w:r w:rsidRPr="00FC276A">
        <w:t xml:space="preserve"> </w:t>
      </w:r>
      <w:r>
        <w:t xml:space="preserve">2.9 </w:t>
      </w:r>
      <w:r w:rsidRPr="00FC276A">
        <w:t>per cent per annum (</w:t>
      </w:r>
      <w:r>
        <w:t>$ nominal</w:t>
      </w:r>
      <w:r w:rsidRPr="00FC276A">
        <w:t xml:space="preserve">) over the </w:t>
      </w:r>
      <w:r>
        <w:t xml:space="preserve">2014–17 </w:t>
      </w:r>
      <w:r w:rsidRPr="00FC276A">
        <w:t>regulatory control period</w:t>
      </w:r>
      <w:r>
        <w:t xml:space="preserve">. This </w:t>
      </w:r>
      <w:r w:rsidRPr="00FC276A">
        <w:t xml:space="preserve">consists an initial </w:t>
      </w:r>
      <w:r>
        <w:t>decrease</w:t>
      </w:r>
      <w:r w:rsidRPr="00FC276A">
        <w:t xml:space="preserve"> of </w:t>
      </w:r>
      <w:r>
        <w:t>5</w:t>
      </w:r>
      <w:r w:rsidRPr="00FC276A">
        <w:t xml:space="preserve"> per cent </w:t>
      </w:r>
      <w:r w:rsidRPr="00FC276A">
        <w:lastRenderedPageBreak/>
        <w:t>from 20</w:t>
      </w:r>
      <w:r>
        <w:t>13</w:t>
      </w:r>
      <w:r w:rsidRPr="00FC276A">
        <w:t>–</w:t>
      </w:r>
      <w:r>
        <w:t>14</w:t>
      </w:r>
      <w:r w:rsidRPr="00FC276A">
        <w:t xml:space="preserve"> to</w:t>
      </w:r>
      <w:r>
        <w:t xml:space="preserve"> </w:t>
      </w:r>
      <w:r w:rsidRPr="00FC276A">
        <w:t>20</w:t>
      </w:r>
      <w:r>
        <w:t>14</w:t>
      </w:r>
      <w:r w:rsidRPr="00FC276A">
        <w:t>–1</w:t>
      </w:r>
      <w:r>
        <w:t>5</w:t>
      </w:r>
      <w:r w:rsidRPr="00FC276A">
        <w:t xml:space="preserve"> and a subsequent average annual </w:t>
      </w:r>
      <w:r>
        <w:t>de</w:t>
      </w:r>
      <w:r w:rsidRPr="00FC276A">
        <w:t xml:space="preserve">crease of </w:t>
      </w:r>
      <w:r>
        <w:t>1.9</w:t>
      </w:r>
      <w:r w:rsidRPr="00FC276A">
        <w:t xml:space="preserve"> per cent during the remainder</w:t>
      </w:r>
      <w:r>
        <w:t xml:space="preserve"> </w:t>
      </w:r>
      <w:r w:rsidRPr="00FC276A">
        <w:t xml:space="preserve">of the </w:t>
      </w:r>
      <w:r>
        <w:t>2014–17</w:t>
      </w:r>
      <w:r w:rsidRPr="00FC276A">
        <w:t xml:space="preserve"> regulatory control period.</w:t>
      </w:r>
      <w:r>
        <w:rPr>
          <w:rStyle w:val="FootnoteReference"/>
        </w:rPr>
        <w:footnoteReference w:id="470"/>
      </w:r>
      <w:r>
        <w:t xml:space="preserve"> Our</w:t>
      </w:r>
      <w:r w:rsidRPr="00283695">
        <w:t xml:space="preserve"> draft </w:t>
      </w:r>
      <w:r>
        <w:t xml:space="preserve">decision results in a decrease of 8.1 per cent in real terms ($2013–14) </w:t>
      </w:r>
      <w:r w:rsidRPr="00283695">
        <w:t xml:space="preserve">to </w:t>
      </w:r>
      <w:r>
        <w:t>SP AusNet's average annual revenue relative to that in the 2008–14 regulatory control period.</w:t>
      </w:r>
      <w:r>
        <w:rPr>
          <w:rStyle w:val="FootnoteReference"/>
        </w:rPr>
        <w:footnoteReference w:id="471"/>
      </w:r>
      <w:r>
        <w:t xml:space="preserve"> This decrease in revenue is primarily because of a lower WACC applied to this draft decision for the 2014–17 regulatory control period </w:t>
      </w:r>
      <w:r w:rsidRPr="00CD37C7">
        <w:t>than</w:t>
      </w:r>
      <w:r>
        <w:t xml:space="preserve"> was approved</w:t>
      </w:r>
      <w:r w:rsidRPr="00CD37C7">
        <w:t xml:space="preserve"> in the 200</w:t>
      </w:r>
      <w:r>
        <w:t>8–14</w:t>
      </w:r>
      <w:r w:rsidRPr="00CD37C7">
        <w:t xml:space="preserve"> revenue cap decision</w:t>
      </w:r>
      <w:r>
        <w:t>.</w:t>
      </w:r>
      <w:r w:rsidR="000C63AF">
        <w:rPr>
          <w:rStyle w:val="FootnoteReference"/>
        </w:rPr>
        <w:footnoteReference w:id="472"/>
      </w:r>
      <w:r>
        <w:t xml:space="preserve"> </w:t>
      </w:r>
    </w:p>
    <w:p w:rsidR="0088341A" w:rsidRDefault="00170536" w:rsidP="0088341A">
      <w:pPr>
        <w:pStyle w:val="AERbodytext"/>
        <w:numPr>
          <w:ilvl w:val="0"/>
          <w:numId w:val="1"/>
        </w:numPr>
      </w:pPr>
      <w:r>
        <w:fldChar w:fldCharType="begin"/>
      </w:r>
      <w:r>
        <w:instrText xml:space="preserve"> REF _Ref365384758 \h </w:instrText>
      </w:r>
      <w:r>
        <w:fldChar w:fldCharType="separate"/>
      </w:r>
      <w:r w:rsidR="004F35AA">
        <w:t xml:space="preserve">Figure </w:t>
      </w:r>
      <w:r w:rsidR="004F35AA">
        <w:rPr>
          <w:noProof/>
        </w:rPr>
        <w:t>8</w:t>
      </w:r>
      <w:r w:rsidR="004F35AA">
        <w:t>.</w:t>
      </w:r>
      <w:r w:rsidR="004F35AA">
        <w:rPr>
          <w:noProof/>
        </w:rPr>
        <w:t>3</w:t>
      </w:r>
      <w:r>
        <w:fldChar w:fldCharType="end"/>
      </w:r>
      <w:r w:rsidR="0088341A">
        <w:t xml:space="preserve"> </w:t>
      </w:r>
      <w:r w:rsidR="0088341A" w:rsidRPr="00D35A40">
        <w:t xml:space="preserve">compares </w:t>
      </w:r>
      <w:r w:rsidR="0088341A">
        <w:t>our draft decision building blocks for SP AusNet's 2014–17</w:t>
      </w:r>
      <w:r w:rsidR="0088341A" w:rsidRPr="00D35A40">
        <w:t xml:space="preserve"> re</w:t>
      </w:r>
      <w:r w:rsidR="0088341A">
        <w:t>gulatory control period with SP AusNet's proposed revenue requirement for that same period, and the approved</w:t>
      </w:r>
      <w:r w:rsidR="0088341A" w:rsidRPr="00D35A40">
        <w:t xml:space="preserve"> reve</w:t>
      </w:r>
      <w:r w:rsidR="0088341A">
        <w:t>nue for the 2008–14</w:t>
      </w:r>
      <w:r w:rsidR="0088341A" w:rsidRPr="00D35A40">
        <w:t xml:space="preserve"> regulatory control period.</w:t>
      </w:r>
    </w:p>
    <w:p w:rsidR="0088341A" w:rsidRDefault="00170536" w:rsidP="00170536">
      <w:pPr>
        <w:pStyle w:val="Caption"/>
      </w:pPr>
      <w:bookmarkStart w:id="327" w:name="_Ref365384758"/>
      <w:r>
        <w:t xml:space="preserve">Figure </w:t>
      </w:r>
      <w:fldSimple w:instr=" STYLEREF 1 \s ">
        <w:r w:rsidR="004F35AA">
          <w:rPr>
            <w:noProof/>
          </w:rPr>
          <w:t>8</w:t>
        </w:r>
      </w:fldSimple>
      <w:r w:rsidR="00C56A87">
        <w:t>.</w:t>
      </w:r>
      <w:fldSimple w:instr=" SEQ Figure \* ARABIC \s 1 ">
        <w:r w:rsidR="004F35AA">
          <w:rPr>
            <w:noProof/>
          </w:rPr>
          <w:t>3</w:t>
        </w:r>
      </w:fldSimple>
      <w:bookmarkEnd w:id="327"/>
      <w:r w:rsidR="0088341A">
        <w:tab/>
        <w:t>Annual average of AER's draft decision building blocks compared to SP AusNet's proposed revenue requirement and approved revenue for 2008–14 ($ million, 2013–14)</w:t>
      </w:r>
    </w:p>
    <w:p w:rsidR="0088341A" w:rsidRDefault="0088341A" w:rsidP="0088341A">
      <w:pPr>
        <w:pStyle w:val="AERbodytext"/>
        <w:numPr>
          <w:ilvl w:val="0"/>
          <w:numId w:val="1"/>
        </w:numPr>
      </w:pPr>
      <w:r>
        <w:rPr>
          <w:noProof/>
          <w:lang w:eastAsia="en-AU"/>
        </w:rPr>
        <w:drawing>
          <wp:inline distT="0" distB="0" distL="0" distR="0" wp14:anchorId="6F41C6EA" wp14:editId="4978EEF3">
            <wp:extent cx="5730875" cy="3731895"/>
            <wp:effectExtent l="0" t="0" r="3175"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875" cy="3731895"/>
                    </a:xfrm>
                    <a:prstGeom prst="rect">
                      <a:avLst/>
                    </a:prstGeom>
                    <a:noFill/>
                    <a:ln>
                      <a:noFill/>
                    </a:ln>
                  </pic:spPr>
                </pic:pic>
              </a:graphicData>
            </a:graphic>
          </wp:inline>
        </w:drawing>
      </w:r>
    </w:p>
    <w:p w:rsidR="0088341A" w:rsidRDefault="0088341A" w:rsidP="0088341A">
      <w:pPr>
        <w:pStyle w:val="AERtablesource"/>
      </w:pPr>
      <w:r>
        <w:t>Source:</w:t>
      </w:r>
      <w:r>
        <w:tab/>
        <w:t xml:space="preserve"> AER analysis.</w:t>
      </w:r>
    </w:p>
    <w:p w:rsidR="0088341A" w:rsidRPr="00A907E9" w:rsidRDefault="0088341A" w:rsidP="0088341A">
      <w:pPr>
        <w:pStyle w:val="Heading3"/>
        <w:numPr>
          <w:ilvl w:val="3"/>
          <w:numId w:val="20"/>
        </w:numPr>
      </w:pPr>
      <w:r w:rsidRPr="00A907E9">
        <w:t>Indicative average transmission price impact</w:t>
      </w:r>
    </w:p>
    <w:p w:rsidR="0088341A" w:rsidRDefault="0088341A" w:rsidP="0088341A">
      <w:pPr>
        <w:pStyle w:val="AERbodytext"/>
        <w:numPr>
          <w:ilvl w:val="0"/>
          <w:numId w:val="1"/>
        </w:numPr>
      </w:pPr>
      <w:r>
        <w:t>We</w:t>
      </w:r>
      <w:r w:rsidRPr="002854F3">
        <w:t xml:space="preserve"> estimate the effect of </w:t>
      </w:r>
      <w:r>
        <w:t xml:space="preserve">the draft decision for SP AusNet's transmission determination on </w:t>
      </w:r>
      <w:r w:rsidRPr="002854F3">
        <w:t xml:space="preserve">forecast average transmission charges </w:t>
      </w:r>
      <w:r>
        <w:t xml:space="preserve">in Victoria </w:t>
      </w:r>
      <w:r w:rsidRPr="002854F3">
        <w:t>by</w:t>
      </w:r>
      <w:r>
        <w:t>:</w:t>
      </w:r>
    </w:p>
    <w:p w:rsidR="0088341A" w:rsidRDefault="0088341A" w:rsidP="0088341A">
      <w:pPr>
        <w:pStyle w:val="AERbulletlistfirststyle"/>
      </w:pPr>
      <w:r w:rsidRPr="002854F3">
        <w:lastRenderedPageBreak/>
        <w:t xml:space="preserve">taking the </w:t>
      </w:r>
      <w:r>
        <w:t xml:space="preserve">sum of SP AusNet's </w:t>
      </w:r>
      <w:r w:rsidRPr="002854F3">
        <w:t>annual expected MAR</w:t>
      </w:r>
      <w:r>
        <w:t xml:space="preserve"> determined in this draft decision and the proportion of Murraylink's annual expected MAR for 2014–17 that is allocated to Victorian customers (55 per cent),</w:t>
      </w:r>
      <w:r>
        <w:rPr>
          <w:rStyle w:val="FootnoteReference"/>
        </w:rPr>
        <w:footnoteReference w:id="473"/>
      </w:r>
      <w:r w:rsidRPr="002854F3">
        <w:t xml:space="preserve"> and </w:t>
      </w:r>
    </w:p>
    <w:p w:rsidR="0088341A" w:rsidRDefault="0088341A" w:rsidP="0088341A">
      <w:pPr>
        <w:pStyle w:val="AERbulletlistfirststyle"/>
      </w:pPr>
      <w:r w:rsidRPr="002854F3">
        <w:t xml:space="preserve">dividing it by the forecast annual energy delivered in </w:t>
      </w:r>
      <w:r>
        <w:t>Victoria</w:t>
      </w:r>
      <w:r w:rsidRPr="002854F3">
        <w:t>.</w:t>
      </w:r>
      <w:r>
        <w:rPr>
          <w:rStyle w:val="FootnoteReference"/>
        </w:rPr>
        <w:footnoteReference w:id="474"/>
      </w:r>
    </w:p>
    <w:p w:rsidR="0088341A" w:rsidRDefault="0088341A" w:rsidP="0088341A">
      <w:pPr>
        <w:pStyle w:val="AERbodytext"/>
        <w:numPr>
          <w:ilvl w:val="0"/>
          <w:numId w:val="1"/>
        </w:numPr>
      </w:pPr>
      <w:r w:rsidRPr="00AF7BBB">
        <w:t>Based on this a</w:t>
      </w:r>
      <w:r>
        <w:t xml:space="preserve">pproach, we estimate that this </w:t>
      </w:r>
      <w:r w:rsidRPr="00AF7BBB">
        <w:t>draft</w:t>
      </w:r>
      <w:r>
        <w:t xml:space="preserve"> decision will result in a de</w:t>
      </w:r>
      <w:r w:rsidRPr="00AF7BBB">
        <w:t xml:space="preserve">crease </w:t>
      </w:r>
      <w:r>
        <w:t>to</w:t>
      </w:r>
      <w:r w:rsidRPr="00AF7BBB">
        <w:t xml:space="preserve"> average transmission</w:t>
      </w:r>
      <w:r>
        <w:t xml:space="preserve"> </w:t>
      </w:r>
      <w:r w:rsidRPr="00AF7BBB">
        <w:t xml:space="preserve">charges </w:t>
      </w:r>
      <w:r>
        <w:t xml:space="preserve">of </w:t>
      </w:r>
      <w:r w:rsidR="00616756">
        <w:t>6</w:t>
      </w:r>
      <w:r>
        <w:t>.</w:t>
      </w:r>
      <w:r w:rsidR="00616756">
        <w:t>6</w:t>
      </w:r>
      <w:r>
        <w:t xml:space="preserve"> </w:t>
      </w:r>
      <w:r w:rsidRPr="00AF7BBB">
        <w:t>per cent per annum (</w:t>
      </w:r>
      <w:r>
        <w:t xml:space="preserve">$ </w:t>
      </w:r>
      <w:r w:rsidR="0019490D">
        <w:t>2013–14</w:t>
      </w:r>
      <w:r w:rsidRPr="00AF7BBB">
        <w:t>) from 201</w:t>
      </w:r>
      <w:r>
        <w:t>3–14</w:t>
      </w:r>
      <w:r w:rsidRPr="00AF7BBB">
        <w:t xml:space="preserve"> to 201</w:t>
      </w:r>
      <w:r>
        <w:t>6–17</w:t>
      </w:r>
      <w:r w:rsidRPr="00AF7BBB">
        <w:t>.</w:t>
      </w:r>
      <w:r>
        <w:rPr>
          <w:rStyle w:val="FootnoteReference"/>
        </w:rPr>
        <w:footnoteReference w:id="475"/>
      </w:r>
      <w:r w:rsidRPr="007533AA">
        <w:t xml:space="preserve"> </w:t>
      </w:r>
      <w:r>
        <w:fldChar w:fldCharType="begin"/>
      </w:r>
      <w:r>
        <w:instrText xml:space="preserve"> REF _Ref363816331 \h </w:instrText>
      </w:r>
      <w:r>
        <w:fldChar w:fldCharType="separate"/>
      </w:r>
      <w:r w:rsidR="004F35AA">
        <w:t xml:space="preserve">Figure </w:t>
      </w:r>
      <w:r w:rsidR="004F35AA">
        <w:rPr>
          <w:noProof/>
        </w:rPr>
        <w:t>8</w:t>
      </w:r>
      <w:r w:rsidR="004F35AA">
        <w:t>.</w:t>
      </w:r>
      <w:r w:rsidR="004F35AA">
        <w:rPr>
          <w:noProof/>
        </w:rPr>
        <w:t>4</w:t>
      </w:r>
      <w:r>
        <w:fldChar w:fldCharType="end"/>
      </w:r>
      <w:r>
        <w:t xml:space="preserve"> </w:t>
      </w:r>
      <w:r w:rsidRPr="007533AA">
        <w:t xml:space="preserve">shows the </w:t>
      </w:r>
      <w:r>
        <w:t xml:space="preserve">indicative </w:t>
      </w:r>
      <w:r w:rsidRPr="007533AA">
        <w:t>average</w:t>
      </w:r>
      <w:r>
        <w:t xml:space="preserve"> transmission</w:t>
      </w:r>
      <w:r w:rsidRPr="007533AA">
        <w:t xml:space="preserve"> </w:t>
      </w:r>
      <w:r>
        <w:t>charges resulting from</w:t>
      </w:r>
      <w:r w:rsidRPr="007533AA">
        <w:t xml:space="preserve"> </w:t>
      </w:r>
      <w:r>
        <w:t>this</w:t>
      </w:r>
      <w:r w:rsidRPr="007533AA">
        <w:t xml:space="preserve"> draft decision </w:t>
      </w:r>
      <w:r>
        <w:t>for SP AusNet's</w:t>
      </w:r>
      <w:r w:rsidRPr="00C1593B">
        <w:t xml:space="preserve"> transmission determination</w:t>
      </w:r>
      <w:r w:rsidRPr="00C1593B" w:rsidDel="00C1593B">
        <w:t xml:space="preserve"> </w:t>
      </w:r>
      <w:r w:rsidRPr="007533AA">
        <w:t xml:space="preserve">compared with the </w:t>
      </w:r>
      <w:r>
        <w:t>average transmission charges from</w:t>
      </w:r>
      <w:r w:rsidRPr="007533AA">
        <w:t xml:space="preserve"> </w:t>
      </w:r>
      <w:r>
        <w:t>2008 to 2014</w:t>
      </w:r>
      <w:r w:rsidRPr="007533AA">
        <w:t xml:space="preserve"> </w:t>
      </w:r>
      <w:r>
        <w:t xml:space="preserve">in </w:t>
      </w:r>
      <w:r w:rsidR="008E4481">
        <w:t>real</w:t>
      </w:r>
      <w:r w:rsidR="00696F8D">
        <w:t xml:space="preserve"> </w:t>
      </w:r>
      <w:r>
        <w:t>dollar terms</w:t>
      </w:r>
      <w:r w:rsidRPr="007533AA">
        <w:t xml:space="preserve">. </w:t>
      </w:r>
      <w:r>
        <w:t xml:space="preserve">The </w:t>
      </w:r>
      <w:r w:rsidRPr="007533AA">
        <w:t xml:space="preserve">average transmission charges are forecast to </w:t>
      </w:r>
      <w:r>
        <w:t>decrease</w:t>
      </w:r>
      <w:r w:rsidRPr="007533AA">
        <w:t xml:space="preserve"> from around </w:t>
      </w:r>
      <w:r>
        <w:t>$11.8</w:t>
      </w:r>
      <w:r w:rsidRPr="007533AA">
        <w:t> per MWh in 20</w:t>
      </w:r>
      <w:r>
        <w:t>13–14</w:t>
      </w:r>
      <w:r w:rsidRPr="007533AA">
        <w:t xml:space="preserve"> to </w:t>
      </w:r>
      <w:r>
        <w:t>$9.6</w:t>
      </w:r>
      <w:r w:rsidRPr="007533AA">
        <w:t> per MWh in 201</w:t>
      </w:r>
      <w:r>
        <w:t>6–17</w:t>
      </w:r>
      <w:r w:rsidRPr="007533AA">
        <w:t xml:space="preserve">. </w:t>
      </w:r>
    </w:p>
    <w:p w:rsidR="0088341A" w:rsidRDefault="0088341A" w:rsidP="0088341A">
      <w:pPr>
        <w:pStyle w:val="Caption"/>
      </w:pPr>
      <w:bookmarkStart w:id="328" w:name="_Ref363816331"/>
      <w:r>
        <w:t xml:space="preserve">Figure </w:t>
      </w:r>
      <w:fldSimple w:instr=" STYLEREF 1 \s ">
        <w:r w:rsidR="004F35AA">
          <w:rPr>
            <w:noProof/>
          </w:rPr>
          <w:t>8</w:t>
        </w:r>
      </w:fldSimple>
      <w:r w:rsidR="00C56A87">
        <w:t>.</w:t>
      </w:r>
      <w:fldSimple w:instr=" SEQ Figure \* ARABIC \s 1 ">
        <w:r w:rsidR="004F35AA">
          <w:rPr>
            <w:noProof/>
          </w:rPr>
          <w:t>4</w:t>
        </w:r>
      </w:fldSimple>
      <w:bookmarkEnd w:id="328"/>
      <w:r>
        <w:tab/>
        <w:t xml:space="preserve">Indicative </w:t>
      </w:r>
      <w:r w:rsidRPr="0012636D">
        <w:t xml:space="preserve">transmission price </w:t>
      </w:r>
      <w:r>
        <w:t xml:space="preserve">path from 2008–09 to 2016–17 </w:t>
      </w:r>
      <w:r w:rsidRPr="0012636D">
        <w:t>($/MWh,</w:t>
      </w:r>
      <w:r w:rsidR="00F82F3F">
        <w:t> </w:t>
      </w:r>
      <w:r w:rsidR="00616756">
        <w:t>2013–14</w:t>
      </w:r>
      <w:r w:rsidRPr="0012636D">
        <w:t>)</w:t>
      </w:r>
    </w:p>
    <w:p w:rsidR="0088341A" w:rsidRPr="00F81BD0" w:rsidRDefault="0088341A" w:rsidP="0088341A">
      <w:pPr>
        <w:pStyle w:val="AERbodytext"/>
        <w:numPr>
          <w:ilvl w:val="0"/>
          <w:numId w:val="1"/>
        </w:numPr>
      </w:pPr>
      <w:r>
        <w:rPr>
          <w:noProof/>
          <w:lang w:eastAsia="en-AU"/>
        </w:rPr>
        <w:drawing>
          <wp:inline distT="0" distB="0" distL="0" distR="0" wp14:anchorId="3F73C85A" wp14:editId="57DA09FF">
            <wp:extent cx="5730875" cy="3923665"/>
            <wp:effectExtent l="0" t="0" r="317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0875" cy="3923665"/>
                    </a:xfrm>
                    <a:prstGeom prst="rect">
                      <a:avLst/>
                    </a:prstGeom>
                    <a:noFill/>
                    <a:ln>
                      <a:noFill/>
                    </a:ln>
                  </pic:spPr>
                </pic:pic>
              </a:graphicData>
            </a:graphic>
          </wp:inline>
        </w:drawing>
      </w:r>
    </w:p>
    <w:p w:rsidR="0088341A" w:rsidRPr="00F81BD0" w:rsidRDefault="0088341A" w:rsidP="0088341A">
      <w:pPr>
        <w:pStyle w:val="AERtablesource"/>
      </w:pPr>
      <w:r w:rsidRPr="00F81BD0">
        <w:t xml:space="preserve">Source: </w:t>
      </w:r>
      <w:r w:rsidRPr="00F81BD0">
        <w:tab/>
        <w:t>AER analysis.</w:t>
      </w:r>
    </w:p>
    <w:p w:rsidR="0088341A" w:rsidRDefault="0088341A" w:rsidP="0088341A">
      <w:pPr>
        <w:pStyle w:val="AERbodytext"/>
        <w:numPr>
          <w:ilvl w:val="0"/>
          <w:numId w:val="1"/>
        </w:numPr>
      </w:pPr>
      <w:r>
        <w:t>In Victoria, t</w:t>
      </w:r>
      <w:r w:rsidRPr="008F7025">
        <w:t>ransmission charges represent approximately</w:t>
      </w:r>
      <w:r>
        <w:t xml:space="preserve"> 5 per cent on average of a typical customer's electricity bill.</w:t>
      </w:r>
      <w:r>
        <w:rPr>
          <w:rStyle w:val="FootnoteReference"/>
        </w:rPr>
        <w:footnoteReference w:id="476"/>
      </w:r>
      <w:r>
        <w:t xml:space="preserve"> Our draft decision for SP AusNet is not expected to contribute towards </w:t>
      </w:r>
      <w:r>
        <w:lastRenderedPageBreak/>
        <w:t xml:space="preserve">any price increase on average for Victorian residential electricity customer bills. We estimate that this draft decision will result in lower transmission charges on average over the 2014–17 regulatory control period compared to SP AusNet's proposal. If these lower transmission charges were </w:t>
      </w:r>
      <w:r w:rsidR="009E166E">
        <w:t>passed</w:t>
      </w:r>
      <w:r>
        <w:t xml:space="preserve"> through to end customers, the average residential electricity bills could be expected to reduce by about $16 in total ($2013–14) or 0.3 per cent per annum during the 2014</w:t>
      </w:r>
      <w:r w:rsidRPr="00AF7BBB">
        <w:t>–</w:t>
      </w:r>
      <w:r>
        <w:t xml:space="preserve">17 regulatory control period. In comparison, SP AusNet's proposal would result in an average bill reduction of approximately $7 in total or 0.1 per cent per annum. </w:t>
      </w:r>
      <w:r>
        <w:fldChar w:fldCharType="begin"/>
      </w:r>
      <w:r>
        <w:instrText xml:space="preserve"> REF _Ref363816425 \h </w:instrText>
      </w:r>
      <w:r>
        <w:fldChar w:fldCharType="separate"/>
      </w:r>
      <w:r w:rsidR="004F35AA">
        <w:t xml:space="preserve">Table </w:t>
      </w:r>
      <w:r w:rsidR="004F35AA">
        <w:rPr>
          <w:noProof/>
        </w:rPr>
        <w:t>8</w:t>
      </w:r>
      <w:r w:rsidR="004F35AA">
        <w:t>.</w:t>
      </w:r>
      <w:r w:rsidR="004F35AA">
        <w:rPr>
          <w:noProof/>
        </w:rPr>
        <w:t>4</w:t>
      </w:r>
      <w:r>
        <w:fldChar w:fldCharType="end"/>
      </w:r>
      <w:r>
        <w:t xml:space="preserve"> shows the estimated impact of our draft decision and SP AusNet's proposal on the average Victorian residential electricity bills by tariff type.</w:t>
      </w:r>
    </w:p>
    <w:p w:rsidR="0088341A" w:rsidRDefault="0088341A" w:rsidP="0088341A">
      <w:pPr>
        <w:pStyle w:val="Caption"/>
      </w:pPr>
      <w:bookmarkStart w:id="329" w:name="_Ref363816425"/>
      <w:r>
        <w:t xml:space="preserve">Table </w:t>
      </w:r>
      <w:fldSimple w:instr=" STYLEREF 1 \s ">
        <w:r w:rsidR="004F35AA">
          <w:rPr>
            <w:noProof/>
          </w:rPr>
          <w:t>8</w:t>
        </w:r>
      </w:fldSimple>
      <w:r w:rsidR="00C56A87">
        <w:t>.</w:t>
      </w:r>
      <w:fldSimple w:instr=" SEQ Table \* ARABIC \s 1 ">
        <w:r w:rsidR="004F35AA">
          <w:rPr>
            <w:noProof/>
          </w:rPr>
          <w:t>4</w:t>
        </w:r>
      </w:fldSimple>
      <w:bookmarkEnd w:id="329"/>
      <w:r>
        <w:tab/>
        <w:t>AER estimated impact of the draft decision for SP AusNet on the average residential electricity bills in Victoria over 2014–17 ($2013–14)</w:t>
      </w:r>
    </w:p>
    <w:tbl>
      <w:tblPr>
        <w:tblW w:w="0" w:type="auto"/>
        <w:tblBorders>
          <w:bottom w:val="single" w:sz="4" w:space="0" w:color="365F91"/>
        </w:tblBorders>
        <w:tblLook w:val="04A0" w:firstRow="1" w:lastRow="0" w:firstColumn="1" w:lastColumn="0" w:noHBand="0" w:noVBand="1"/>
      </w:tblPr>
      <w:tblGrid>
        <w:gridCol w:w="1101"/>
        <w:gridCol w:w="1659"/>
        <w:gridCol w:w="1728"/>
        <w:gridCol w:w="1758"/>
        <w:gridCol w:w="1387"/>
        <w:gridCol w:w="1609"/>
      </w:tblGrid>
      <w:tr w:rsidR="0088341A" w:rsidRPr="001B64C0" w:rsidTr="00501137">
        <w:tc>
          <w:tcPr>
            <w:tcW w:w="1101" w:type="dxa"/>
            <w:shd w:val="clear" w:color="auto" w:fill="365F91"/>
            <w:vAlign w:val="center"/>
          </w:tcPr>
          <w:p w:rsidR="0088341A" w:rsidRPr="001B64C0" w:rsidRDefault="0088341A" w:rsidP="00501137">
            <w:pPr>
              <w:pStyle w:val="AERtabletextright"/>
              <w:rPr>
                <w:b/>
                <w:color w:val="FFFFFF"/>
              </w:rPr>
            </w:pPr>
            <w:r w:rsidRPr="001B64C0">
              <w:rPr>
                <w:b/>
                <w:color w:val="FFFFFF"/>
              </w:rPr>
              <w:t>Tariff type</w:t>
            </w:r>
            <w:r w:rsidRPr="001B64C0">
              <w:rPr>
                <w:rStyle w:val="AERsuperscript"/>
                <w:b/>
                <w:color w:val="FFFFFF"/>
              </w:rPr>
              <w:t>a</w:t>
            </w:r>
          </w:p>
        </w:tc>
        <w:tc>
          <w:tcPr>
            <w:tcW w:w="1659" w:type="dxa"/>
            <w:shd w:val="clear" w:color="auto" w:fill="365F91"/>
            <w:vAlign w:val="center"/>
          </w:tcPr>
          <w:p w:rsidR="0088341A" w:rsidRPr="001B64C0" w:rsidRDefault="0088341A" w:rsidP="00501137">
            <w:pPr>
              <w:pStyle w:val="AERtabletextright"/>
              <w:rPr>
                <w:b/>
                <w:color w:val="FFFFFF"/>
              </w:rPr>
            </w:pPr>
            <w:r w:rsidRPr="001B64C0">
              <w:rPr>
                <w:b/>
                <w:color w:val="FFFFFF"/>
              </w:rPr>
              <w:t>Average annual bill</w:t>
            </w:r>
            <w:r w:rsidRPr="001B64C0">
              <w:rPr>
                <w:rStyle w:val="AERsuperscript"/>
                <w:b/>
                <w:color w:val="FFFFFF"/>
              </w:rPr>
              <w:t>b</w:t>
            </w:r>
          </w:p>
        </w:tc>
        <w:tc>
          <w:tcPr>
            <w:tcW w:w="1728" w:type="dxa"/>
            <w:shd w:val="clear" w:color="auto" w:fill="365F91"/>
            <w:vAlign w:val="center"/>
          </w:tcPr>
          <w:p w:rsidR="0088341A" w:rsidRPr="001B64C0" w:rsidRDefault="0088341A" w:rsidP="00501137">
            <w:pPr>
              <w:pStyle w:val="AERtabletextright"/>
              <w:rPr>
                <w:b/>
                <w:color w:val="FFFFFF"/>
              </w:rPr>
            </w:pPr>
            <w:r w:rsidRPr="001B64C0">
              <w:rPr>
                <w:b/>
                <w:color w:val="FFFFFF"/>
              </w:rPr>
              <w:t>Total reduction over 2014–17 — SP AusNet' proposal</w:t>
            </w:r>
          </w:p>
        </w:tc>
        <w:tc>
          <w:tcPr>
            <w:tcW w:w="1758" w:type="dxa"/>
            <w:shd w:val="clear" w:color="auto" w:fill="365F91"/>
            <w:vAlign w:val="center"/>
          </w:tcPr>
          <w:p w:rsidR="0088341A" w:rsidRPr="001B64C0" w:rsidRDefault="0088341A" w:rsidP="00501137">
            <w:pPr>
              <w:pStyle w:val="AERtabletextright"/>
              <w:rPr>
                <w:b/>
                <w:color w:val="FFFFFF"/>
              </w:rPr>
            </w:pPr>
            <w:r w:rsidRPr="001B64C0">
              <w:rPr>
                <w:b/>
                <w:color w:val="FFFFFF"/>
              </w:rPr>
              <w:t>Total reduction over 2014–17 — AER's draft decision</w:t>
            </w:r>
          </w:p>
        </w:tc>
        <w:tc>
          <w:tcPr>
            <w:tcW w:w="1387" w:type="dxa"/>
            <w:shd w:val="clear" w:color="auto" w:fill="365F91"/>
            <w:vAlign w:val="center"/>
          </w:tcPr>
          <w:p w:rsidR="0088341A" w:rsidRPr="001B64C0" w:rsidRDefault="0088341A" w:rsidP="00501137">
            <w:pPr>
              <w:pStyle w:val="AERtabletextright"/>
              <w:rPr>
                <w:b/>
                <w:color w:val="FFFFFF"/>
              </w:rPr>
            </w:pPr>
            <w:r w:rsidRPr="001B64C0">
              <w:rPr>
                <w:b/>
                <w:color w:val="FFFFFF"/>
              </w:rPr>
              <w:t xml:space="preserve">Impact on annual bill—SP AusNet's proposal </w:t>
            </w:r>
          </w:p>
          <w:p w:rsidR="0088341A" w:rsidRPr="001B64C0" w:rsidRDefault="0088341A" w:rsidP="00501137">
            <w:pPr>
              <w:pStyle w:val="AERtabletextright"/>
              <w:rPr>
                <w:b/>
                <w:color w:val="FFFFFF"/>
              </w:rPr>
            </w:pPr>
            <w:r w:rsidRPr="001B64C0">
              <w:rPr>
                <w:b/>
                <w:color w:val="FFFFFF"/>
              </w:rPr>
              <w:t>(per cent, per annum)</w:t>
            </w:r>
          </w:p>
        </w:tc>
        <w:tc>
          <w:tcPr>
            <w:tcW w:w="1609" w:type="dxa"/>
            <w:shd w:val="clear" w:color="auto" w:fill="365F91"/>
            <w:vAlign w:val="center"/>
          </w:tcPr>
          <w:p w:rsidR="0088341A" w:rsidRPr="001B64C0" w:rsidRDefault="0088341A" w:rsidP="00501137">
            <w:pPr>
              <w:pStyle w:val="AERtabletextright"/>
              <w:rPr>
                <w:b/>
                <w:color w:val="FFFFFF"/>
              </w:rPr>
            </w:pPr>
            <w:r w:rsidRPr="001B64C0">
              <w:rPr>
                <w:b/>
                <w:color w:val="FFFFFF"/>
              </w:rPr>
              <w:t xml:space="preserve">Impact on annual bill—AER's draft decision </w:t>
            </w:r>
          </w:p>
          <w:p w:rsidR="0088341A" w:rsidRPr="001B64C0" w:rsidRDefault="0088341A" w:rsidP="00501137">
            <w:pPr>
              <w:pStyle w:val="AERtabletextright"/>
              <w:rPr>
                <w:b/>
                <w:color w:val="FFFFFF"/>
              </w:rPr>
            </w:pPr>
            <w:r w:rsidRPr="001B64C0">
              <w:rPr>
                <w:b/>
                <w:color w:val="FFFFFF"/>
              </w:rPr>
              <w:t>(per cent, per annum)</w:t>
            </w:r>
          </w:p>
        </w:tc>
      </w:tr>
      <w:tr w:rsidR="0088341A" w:rsidRPr="001B64C0" w:rsidTr="00501137">
        <w:tc>
          <w:tcPr>
            <w:tcW w:w="1101" w:type="dxa"/>
            <w:shd w:val="clear" w:color="auto" w:fill="auto"/>
            <w:vAlign w:val="center"/>
          </w:tcPr>
          <w:p w:rsidR="0088341A" w:rsidRPr="00191F37" w:rsidRDefault="0088341A" w:rsidP="00501137">
            <w:pPr>
              <w:pStyle w:val="AERtabletextleft"/>
            </w:pPr>
            <w:r w:rsidRPr="00191F37">
              <w:t>Single rate</w:t>
            </w:r>
          </w:p>
        </w:tc>
        <w:tc>
          <w:tcPr>
            <w:tcW w:w="1659" w:type="dxa"/>
            <w:shd w:val="clear" w:color="auto" w:fill="auto"/>
            <w:vAlign w:val="center"/>
          </w:tcPr>
          <w:p w:rsidR="0088341A" w:rsidRDefault="0088341A" w:rsidP="00501137">
            <w:pPr>
              <w:pStyle w:val="AERtabletextright"/>
            </w:pPr>
            <w:r>
              <w:t>$1347</w:t>
            </w:r>
          </w:p>
        </w:tc>
        <w:tc>
          <w:tcPr>
            <w:tcW w:w="1728" w:type="dxa"/>
            <w:shd w:val="clear" w:color="auto" w:fill="auto"/>
            <w:vAlign w:val="center"/>
          </w:tcPr>
          <w:p w:rsidR="0088341A" w:rsidRDefault="0088341A" w:rsidP="00501137">
            <w:pPr>
              <w:pStyle w:val="AERtabletextright"/>
            </w:pPr>
            <w:r>
              <w:t>–$5</w:t>
            </w:r>
          </w:p>
        </w:tc>
        <w:tc>
          <w:tcPr>
            <w:tcW w:w="1758" w:type="dxa"/>
            <w:shd w:val="clear" w:color="auto" w:fill="auto"/>
            <w:vAlign w:val="center"/>
          </w:tcPr>
          <w:p w:rsidR="0088341A" w:rsidRDefault="0088341A" w:rsidP="00501137">
            <w:pPr>
              <w:pStyle w:val="AERtabletextright"/>
            </w:pPr>
            <w:r>
              <w:t>–$12</w:t>
            </w:r>
          </w:p>
        </w:tc>
        <w:tc>
          <w:tcPr>
            <w:tcW w:w="1387" w:type="dxa"/>
            <w:shd w:val="clear" w:color="auto" w:fill="auto"/>
            <w:vAlign w:val="center"/>
          </w:tcPr>
          <w:p w:rsidR="0088341A" w:rsidRDefault="0088341A" w:rsidP="00501137">
            <w:pPr>
              <w:pStyle w:val="AERtabletextright"/>
            </w:pPr>
            <w:r>
              <w:t>–0.1</w:t>
            </w:r>
          </w:p>
        </w:tc>
        <w:tc>
          <w:tcPr>
            <w:tcW w:w="1609" w:type="dxa"/>
            <w:shd w:val="clear" w:color="auto" w:fill="auto"/>
            <w:vAlign w:val="center"/>
          </w:tcPr>
          <w:p w:rsidR="0088341A" w:rsidRDefault="0088341A" w:rsidP="00501137">
            <w:pPr>
              <w:pStyle w:val="AERtabletextright"/>
            </w:pPr>
            <w:r>
              <w:t>–0.3</w:t>
            </w:r>
          </w:p>
        </w:tc>
      </w:tr>
      <w:tr w:rsidR="0088341A" w:rsidRPr="001B64C0" w:rsidTr="00501137">
        <w:tc>
          <w:tcPr>
            <w:tcW w:w="1101" w:type="dxa"/>
            <w:shd w:val="clear" w:color="auto" w:fill="DBE5F1"/>
            <w:vAlign w:val="center"/>
          </w:tcPr>
          <w:p w:rsidR="0088341A" w:rsidRPr="00191F37" w:rsidRDefault="0088341A" w:rsidP="00501137">
            <w:pPr>
              <w:pStyle w:val="AERtabletextleft"/>
            </w:pPr>
            <w:r w:rsidRPr="00191F37">
              <w:t>Two-rate</w:t>
            </w:r>
          </w:p>
        </w:tc>
        <w:tc>
          <w:tcPr>
            <w:tcW w:w="1659" w:type="dxa"/>
            <w:shd w:val="clear" w:color="auto" w:fill="DBE5F1"/>
            <w:vAlign w:val="center"/>
          </w:tcPr>
          <w:p w:rsidR="0088341A" w:rsidRDefault="0088341A" w:rsidP="00501137">
            <w:pPr>
              <w:pStyle w:val="AERtabletextright"/>
            </w:pPr>
            <w:r>
              <w:t>$1743</w:t>
            </w:r>
          </w:p>
        </w:tc>
        <w:tc>
          <w:tcPr>
            <w:tcW w:w="1728" w:type="dxa"/>
            <w:shd w:val="clear" w:color="auto" w:fill="DBE5F1"/>
            <w:vAlign w:val="center"/>
          </w:tcPr>
          <w:p w:rsidR="0088341A" w:rsidRDefault="0088341A" w:rsidP="00501137">
            <w:pPr>
              <w:pStyle w:val="AERtabletextright"/>
            </w:pPr>
            <w:r>
              <w:t>–$7</w:t>
            </w:r>
          </w:p>
        </w:tc>
        <w:tc>
          <w:tcPr>
            <w:tcW w:w="1758" w:type="dxa"/>
            <w:shd w:val="clear" w:color="auto" w:fill="DBE5F1"/>
            <w:vAlign w:val="center"/>
          </w:tcPr>
          <w:p w:rsidR="0088341A" w:rsidRDefault="0088341A" w:rsidP="00501137">
            <w:pPr>
              <w:pStyle w:val="AERtabletextright"/>
            </w:pPr>
            <w:r>
              <w:t>–$16</w:t>
            </w:r>
          </w:p>
        </w:tc>
        <w:tc>
          <w:tcPr>
            <w:tcW w:w="1387" w:type="dxa"/>
            <w:shd w:val="clear" w:color="auto" w:fill="DBE5F1"/>
            <w:vAlign w:val="center"/>
          </w:tcPr>
          <w:p w:rsidR="0088341A" w:rsidRDefault="0088341A" w:rsidP="00501137">
            <w:pPr>
              <w:pStyle w:val="AERtabletextright"/>
            </w:pPr>
            <w:r>
              <w:t>–0.1</w:t>
            </w:r>
          </w:p>
        </w:tc>
        <w:tc>
          <w:tcPr>
            <w:tcW w:w="1609" w:type="dxa"/>
            <w:shd w:val="clear" w:color="auto" w:fill="DBE5F1"/>
            <w:vAlign w:val="center"/>
          </w:tcPr>
          <w:p w:rsidR="0088341A" w:rsidRDefault="0088341A" w:rsidP="00501137">
            <w:pPr>
              <w:pStyle w:val="AERtabletextright"/>
            </w:pPr>
            <w:r>
              <w:t>–0.3</w:t>
            </w:r>
          </w:p>
        </w:tc>
      </w:tr>
      <w:tr w:rsidR="0088341A" w:rsidRPr="001B64C0" w:rsidTr="00501137">
        <w:tc>
          <w:tcPr>
            <w:tcW w:w="1101" w:type="dxa"/>
            <w:shd w:val="clear" w:color="auto" w:fill="auto"/>
            <w:vAlign w:val="center"/>
          </w:tcPr>
          <w:p w:rsidR="0088341A" w:rsidRPr="00191F37" w:rsidRDefault="0088341A" w:rsidP="00501137">
            <w:pPr>
              <w:pStyle w:val="AERtabletextleft"/>
            </w:pPr>
            <w:r w:rsidRPr="00191F37">
              <w:t>Time-of-use</w:t>
            </w:r>
          </w:p>
        </w:tc>
        <w:tc>
          <w:tcPr>
            <w:tcW w:w="1659" w:type="dxa"/>
            <w:shd w:val="clear" w:color="auto" w:fill="auto"/>
            <w:vAlign w:val="center"/>
          </w:tcPr>
          <w:p w:rsidR="0088341A" w:rsidRDefault="0088341A" w:rsidP="00501137">
            <w:pPr>
              <w:pStyle w:val="AERtabletextright"/>
            </w:pPr>
            <w:r>
              <w:t>$2231</w:t>
            </w:r>
          </w:p>
        </w:tc>
        <w:tc>
          <w:tcPr>
            <w:tcW w:w="1728" w:type="dxa"/>
            <w:shd w:val="clear" w:color="auto" w:fill="auto"/>
            <w:vAlign w:val="center"/>
          </w:tcPr>
          <w:p w:rsidR="0088341A" w:rsidRDefault="0088341A" w:rsidP="00501137">
            <w:pPr>
              <w:pStyle w:val="AERtabletextright"/>
            </w:pPr>
            <w:r>
              <w:t>–$9</w:t>
            </w:r>
          </w:p>
        </w:tc>
        <w:tc>
          <w:tcPr>
            <w:tcW w:w="1758" w:type="dxa"/>
            <w:shd w:val="clear" w:color="auto" w:fill="auto"/>
            <w:vAlign w:val="center"/>
          </w:tcPr>
          <w:p w:rsidR="0088341A" w:rsidRDefault="0088341A" w:rsidP="00501137">
            <w:pPr>
              <w:pStyle w:val="AERtabletextright"/>
            </w:pPr>
            <w:r>
              <w:t>–$20</w:t>
            </w:r>
          </w:p>
        </w:tc>
        <w:tc>
          <w:tcPr>
            <w:tcW w:w="1387" w:type="dxa"/>
            <w:shd w:val="clear" w:color="auto" w:fill="auto"/>
            <w:vAlign w:val="center"/>
          </w:tcPr>
          <w:p w:rsidR="0088341A" w:rsidRDefault="0088341A" w:rsidP="00501137">
            <w:pPr>
              <w:pStyle w:val="AERtabletextright"/>
            </w:pPr>
            <w:r>
              <w:t>–0.1</w:t>
            </w:r>
          </w:p>
        </w:tc>
        <w:tc>
          <w:tcPr>
            <w:tcW w:w="1609" w:type="dxa"/>
            <w:shd w:val="clear" w:color="auto" w:fill="auto"/>
            <w:vAlign w:val="center"/>
          </w:tcPr>
          <w:p w:rsidR="0088341A" w:rsidRDefault="0088341A" w:rsidP="00501137">
            <w:pPr>
              <w:pStyle w:val="AERtabletextright"/>
            </w:pPr>
            <w:r>
              <w:t>–0.3</w:t>
            </w:r>
          </w:p>
        </w:tc>
      </w:tr>
    </w:tbl>
    <w:p w:rsidR="0088341A" w:rsidRDefault="0088341A" w:rsidP="0088341A">
      <w:pPr>
        <w:pStyle w:val="AERtablesource"/>
      </w:pPr>
      <w:r>
        <w:t>Source:</w:t>
      </w:r>
      <w:r>
        <w:tab/>
        <w:t xml:space="preserve">Essential services commission Victoria, </w:t>
      </w:r>
      <w:r w:rsidRPr="00052302">
        <w:rPr>
          <w:rStyle w:val="AERtextitalic"/>
        </w:rPr>
        <w:t>Energy retailers comparative performance report—pricing</w:t>
      </w:r>
      <w:r>
        <w:t>, p.4; AER analysis.</w:t>
      </w:r>
    </w:p>
    <w:p w:rsidR="0088341A" w:rsidRDefault="0088341A" w:rsidP="0088341A">
      <w:pPr>
        <w:pStyle w:val="AERtablesource"/>
      </w:pPr>
      <w:r>
        <w:t>(a)</w:t>
      </w:r>
      <w:r>
        <w:tab/>
        <w:t xml:space="preserve">The single rate tariff is based on 4000 kilowatt hours (kWh) peak consumption per year. This use is typical of a customer who has gas hot water and heating. </w:t>
      </w:r>
    </w:p>
    <w:p w:rsidR="0088341A" w:rsidRDefault="0088341A" w:rsidP="0088341A">
      <w:pPr>
        <w:pStyle w:val="AERtablesource"/>
      </w:pPr>
      <w:r>
        <w:tab/>
        <w:t xml:space="preserve">The two-rate tariff is based on 4000 kWh peak and 2500 kWh off-peak consumption per year (off-peak is between 11 pm and 7 am). This use is typical of a customer with no gas supply who has off peak electric hot water.  </w:t>
      </w:r>
    </w:p>
    <w:p w:rsidR="0088341A" w:rsidRDefault="0088341A" w:rsidP="0088341A">
      <w:pPr>
        <w:pStyle w:val="AERtablesource"/>
      </w:pPr>
      <w:r>
        <w:tab/>
        <w:t>The time-of-use tariff is based on 3000 kWh peak and 6000 kWh off-peak consumption per year. Off-peak includes the whole weekend and between 11 pm and 7 am Monday to Friday. This use is typical of a customer who uses the off-peak time for any purpose over the weekend in addition to hot water and heating overnight.</w:t>
      </w:r>
    </w:p>
    <w:p w:rsidR="0088341A" w:rsidRPr="007141BD" w:rsidRDefault="0088341A" w:rsidP="0088341A">
      <w:pPr>
        <w:pStyle w:val="AERtablesource"/>
      </w:pPr>
      <w:r>
        <w:t>(b)</w:t>
      </w:r>
      <w:r>
        <w:tab/>
      </w:r>
      <w:r w:rsidRPr="007141BD">
        <w:t xml:space="preserve">The average annual bills reflect a weighted average of the market offers and standing offers as shown on the Victorian government's electricity and gas comparator website </w:t>
      </w:r>
      <w:r>
        <w:t xml:space="preserve">as </w:t>
      </w:r>
      <w:r w:rsidRPr="007141BD">
        <w:t>at 3 July 2013 (</w:t>
      </w:r>
      <w:hyperlink r:id="rId60" w:history="1">
        <w:r w:rsidRPr="007141BD">
          <w:rPr>
            <w:rStyle w:val="Hyperlink"/>
          </w:rPr>
          <w:t>http://yourchoice.vic.gov.au/</w:t>
        </w:r>
      </w:hyperlink>
      <w:r w:rsidRPr="007141BD">
        <w:t>). They also reflect the average offer</w:t>
      </w:r>
      <w:r>
        <w:t>s</w:t>
      </w:r>
      <w:r w:rsidRPr="007141BD">
        <w:t xml:space="preserve"> across all the distribution zones in Victoria. Retailers who have less than 1000 customers in Victoria are not included </w:t>
      </w:r>
      <w:r>
        <w:t>in</w:t>
      </w:r>
      <w:r w:rsidRPr="007141BD">
        <w:t xml:space="preserve"> this analysis.</w:t>
      </w:r>
    </w:p>
    <w:p w:rsidR="0088341A" w:rsidRDefault="0088341A" w:rsidP="0088341A">
      <w:pPr>
        <w:pStyle w:val="AERbodytext"/>
        <w:numPr>
          <w:ilvl w:val="0"/>
          <w:numId w:val="1"/>
        </w:numPr>
      </w:pPr>
      <w:r>
        <w:t>Similarly, for an average electricity bill for businesses in Victoria, our draft decision is not expected to contribute towards any price increase.  We estimate that if the lower transmission charges arising from this draft decision were pass</w:t>
      </w:r>
      <w:r w:rsidR="00AB0CE0">
        <w:t>ed</w:t>
      </w:r>
      <w:r>
        <w:t xml:space="preserve"> through to end customers,  the average business electricity customer bills could be expected to reduce by about $65 in total ($2013–14) or 0.3 per cent per annum during the 2014</w:t>
      </w:r>
      <w:r w:rsidRPr="007606FD">
        <w:t>–</w:t>
      </w:r>
      <w:r>
        <w:t>17 regulatory control period. In comparison, SP AusNet's proposal would result in an average bill reduction of approximately $29 in total or 0.1 per cent per annum.</w:t>
      </w:r>
      <w:r w:rsidRPr="007533AA">
        <w:t xml:space="preserve"> </w:t>
      </w:r>
      <w:r>
        <w:fldChar w:fldCharType="begin"/>
      </w:r>
      <w:r>
        <w:instrText xml:space="preserve"> REF _Ref361409714 \h </w:instrText>
      </w:r>
      <w:r>
        <w:fldChar w:fldCharType="separate"/>
      </w:r>
      <w:r w:rsidR="004F35AA">
        <w:t xml:space="preserve">Table </w:t>
      </w:r>
      <w:r w:rsidR="004F35AA">
        <w:rPr>
          <w:noProof/>
        </w:rPr>
        <w:t>8</w:t>
      </w:r>
      <w:r w:rsidR="004F35AA">
        <w:t>.</w:t>
      </w:r>
      <w:r w:rsidR="004F35AA">
        <w:rPr>
          <w:noProof/>
        </w:rPr>
        <w:t>5</w:t>
      </w:r>
      <w:r>
        <w:fldChar w:fldCharType="end"/>
      </w:r>
      <w:r>
        <w:t xml:space="preserve"> shows our estimated impact of this draft decision and SP AusNet's proposal on the average Victorian business customer's electricity bills by tariff type.</w:t>
      </w:r>
    </w:p>
    <w:p w:rsidR="0088341A" w:rsidRDefault="0088341A" w:rsidP="00F82F3F">
      <w:pPr>
        <w:pStyle w:val="Caption"/>
        <w:keepLines/>
      </w:pPr>
      <w:bookmarkStart w:id="330" w:name="_Ref361409714"/>
      <w:r>
        <w:lastRenderedPageBreak/>
        <w:t xml:space="preserve">Table </w:t>
      </w:r>
      <w:fldSimple w:instr=" STYLEREF 1 \s ">
        <w:r w:rsidR="004F35AA">
          <w:rPr>
            <w:noProof/>
          </w:rPr>
          <w:t>8</w:t>
        </w:r>
      </w:fldSimple>
      <w:r w:rsidR="00C56A87">
        <w:t>.</w:t>
      </w:r>
      <w:fldSimple w:instr=" SEQ Table \* ARABIC \s 1 ">
        <w:r w:rsidR="004F35AA">
          <w:rPr>
            <w:noProof/>
          </w:rPr>
          <w:t>5</w:t>
        </w:r>
      </w:fldSimple>
      <w:bookmarkEnd w:id="330"/>
      <w:r>
        <w:tab/>
        <w:t>AER estimated impact of the draft decision for SP AusNet on the average electricity bills of businesses in Victoria over 2014–17 ($2013–14)</w:t>
      </w:r>
    </w:p>
    <w:tbl>
      <w:tblPr>
        <w:tblW w:w="0" w:type="auto"/>
        <w:tblBorders>
          <w:bottom w:val="single" w:sz="4" w:space="0" w:color="365F91"/>
        </w:tblBorders>
        <w:tblLook w:val="04A0" w:firstRow="1" w:lastRow="0" w:firstColumn="1" w:lastColumn="0" w:noHBand="0" w:noVBand="1"/>
      </w:tblPr>
      <w:tblGrid>
        <w:gridCol w:w="1316"/>
        <w:gridCol w:w="1497"/>
        <w:gridCol w:w="1762"/>
        <w:gridCol w:w="1793"/>
        <w:gridCol w:w="1437"/>
        <w:gridCol w:w="1437"/>
      </w:tblGrid>
      <w:tr w:rsidR="0088341A" w:rsidRPr="001B64C0" w:rsidTr="00501137">
        <w:tc>
          <w:tcPr>
            <w:tcW w:w="1316" w:type="dxa"/>
            <w:shd w:val="clear" w:color="auto" w:fill="365F91"/>
            <w:vAlign w:val="center"/>
          </w:tcPr>
          <w:p w:rsidR="0088341A" w:rsidRPr="001B64C0" w:rsidRDefault="0088341A" w:rsidP="00F82F3F">
            <w:pPr>
              <w:pStyle w:val="AERtabletextleft"/>
              <w:keepNext/>
              <w:keepLines/>
              <w:rPr>
                <w:b/>
                <w:color w:val="FFFFFF"/>
              </w:rPr>
            </w:pPr>
            <w:r w:rsidRPr="001B64C0">
              <w:rPr>
                <w:b/>
                <w:color w:val="FFFFFF"/>
              </w:rPr>
              <w:t>Tariff type</w:t>
            </w:r>
            <w:r w:rsidRPr="001B64C0">
              <w:rPr>
                <w:rStyle w:val="AERsuperscript"/>
                <w:b/>
                <w:color w:val="FFFFFF"/>
              </w:rPr>
              <w:t>a</w:t>
            </w:r>
          </w:p>
        </w:tc>
        <w:tc>
          <w:tcPr>
            <w:tcW w:w="1497" w:type="dxa"/>
            <w:shd w:val="clear" w:color="auto" w:fill="365F91"/>
            <w:vAlign w:val="center"/>
          </w:tcPr>
          <w:p w:rsidR="0088341A" w:rsidRPr="001B64C0" w:rsidRDefault="0088341A" w:rsidP="00F82F3F">
            <w:pPr>
              <w:pStyle w:val="AERtabletextright"/>
              <w:keepNext/>
              <w:keepLines/>
              <w:rPr>
                <w:b/>
                <w:color w:val="FFFFFF"/>
              </w:rPr>
            </w:pPr>
            <w:r w:rsidRPr="001B64C0">
              <w:rPr>
                <w:b/>
                <w:color w:val="FFFFFF"/>
              </w:rPr>
              <w:t>Average annual bill</w:t>
            </w:r>
            <w:r w:rsidRPr="001B64C0">
              <w:rPr>
                <w:rStyle w:val="AERsuperscript"/>
                <w:b/>
                <w:color w:val="FFFFFF"/>
              </w:rPr>
              <w:t>b</w:t>
            </w:r>
          </w:p>
        </w:tc>
        <w:tc>
          <w:tcPr>
            <w:tcW w:w="1762" w:type="dxa"/>
            <w:shd w:val="clear" w:color="auto" w:fill="365F91"/>
            <w:vAlign w:val="center"/>
          </w:tcPr>
          <w:p w:rsidR="0088341A" w:rsidRPr="001B64C0" w:rsidRDefault="0088341A" w:rsidP="00F82F3F">
            <w:pPr>
              <w:pStyle w:val="AERtabletextright"/>
              <w:keepNext/>
              <w:keepLines/>
              <w:rPr>
                <w:b/>
                <w:color w:val="FFFFFF"/>
              </w:rPr>
            </w:pPr>
            <w:r w:rsidRPr="001B64C0">
              <w:rPr>
                <w:b/>
                <w:color w:val="FFFFFF"/>
              </w:rPr>
              <w:t>Total reduction over 2014–17 — SP AusNet</w:t>
            </w:r>
          </w:p>
        </w:tc>
        <w:tc>
          <w:tcPr>
            <w:tcW w:w="1793" w:type="dxa"/>
            <w:shd w:val="clear" w:color="auto" w:fill="365F91"/>
            <w:vAlign w:val="center"/>
          </w:tcPr>
          <w:p w:rsidR="0088341A" w:rsidRPr="001B64C0" w:rsidRDefault="0088341A" w:rsidP="00F82F3F">
            <w:pPr>
              <w:pStyle w:val="AERtabletextright"/>
              <w:keepNext/>
              <w:keepLines/>
              <w:rPr>
                <w:b/>
                <w:color w:val="FFFFFF"/>
              </w:rPr>
            </w:pPr>
            <w:r w:rsidRPr="001B64C0">
              <w:rPr>
                <w:b/>
                <w:color w:val="FFFFFF"/>
              </w:rPr>
              <w:t>Total reduction over 2014–17 — AER draft decision</w:t>
            </w:r>
          </w:p>
        </w:tc>
        <w:tc>
          <w:tcPr>
            <w:tcW w:w="1437" w:type="dxa"/>
            <w:shd w:val="clear" w:color="auto" w:fill="365F91"/>
            <w:vAlign w:val="center"/>
          </w:tcPr>
          <w:p w:rsidR="0088341A" w:rsidRPr="001B64C0" w:rsidRDefault="0088341A" w:rsidP="00F82F3F">
            <w:pPr>
              <w:pStyle w:val="AERtabletextright"/>
              <w:keepNext/>
              <w:keepLines/>
              <w:rPr>
                <w:b/>
                <w:color w:val="FFFFFF"/>
              </w:rPr>
            </w:pPr>
            <w:r w:rsidRPr="001B64C0">
              <w:rPr>
                <w:b/>
                <w:color w:val="FFFFFF"/>
              </w:rPr>
              <w:t xml:space="preserve">Impact on annual bill—SP AusNet's proposal </w:t>
            </w:r>
          </w:p>
          <w:p w:rsidR="0088341A" w:rsidRPr="001B64C0" w:rsidRDefault="0088341A" w:rsidP="00F82F3F">
            <w:pPr>
              <w:pStyle w:val="AERtabletextright"/>
              <w:keepNext/>
              <w:keepLines/>
              <w:rPr>
                <w:b/>
                <w:color w:val="FFFFFF"/>
              </w:rPr>
            </w:pPr>
            <w:r w:rsidRPr="001B64C0">
              <w:rPr>
                <w:b/>
                <w:color w:val="FFFFFF"/>
              </w:rPr>
              <w:t>(per cent, per annum)</w:t>
            </w:r>
          </w:p>
        </w:tc>
        <w:tc>
          <w:tcPr>
            <w:tcW w:w="1437" w:type="dxa"/>
            <w:shd w:val="clear" w:color="auto" w:fill="365F91"/>
            <w:vAlign w:val="center"/>
          </w:tcPr>
          <w:p w:rsidR="0088341A" w:rsidRPr="001B64C0" w:rsidRDefault="0088341A" w:rsidP="00F82F3F">
            <w:pPr>
              <w:pStyle w:val="AERtabletextright"/>
              <w:keepNext/>
              <w:keepLines/>
              <w:rPr>
                <w:b/>
                <w:color w:val="FFFFFF"/>
              </w:rPr>
            </w:pPr>
            <w:r w:rsidRPr="001B64C0">
              <w:rPr>
                <w:b/>
                <w:color w:val="FFFFFF"/>
              </w:rPr>
              <w:t xml:space="preserve">Impact on annual bill—AER's draft decision </w:t>
            </w:r>
          </w:p>
          <w:p w:rsidR="0088341A" w:rsidRPr="001B64C0" w:rsidRDefault="0088341A" w:rsidP="00F82F3F">
            <w:pPr>
              <w:pStyle w:val="AERtabletextright"/>
              <w:keepNext/>
              <w:keepLines/>
              <w:rPr>
                <w:b/>
                <w:color w:val="FFFFFF"/>
              </w:rPr>
            </w:pPr>
            <w:r w:rsidRPr="001B64C0">
              <w:rPr>
                <w:b/>
                <w:color w:val="FFFFFF"/>
              </w:rPr>
              <w:t>(per cent, per annum)</w:t>
            </w:r>
          </w:p>
        </w:tc>
      </w:tr>
      <w:tr w:rsidR="0088341A" w:rsidRPr="001B64C0" w:rsidTr="00501137">
        <w:tc>
          <w:tcPr>
            <w:tcW w:w="1316" w:type="dxa"/>
            <w:shd w:val="clear" w:color="auto" w:fill="auto"/>
            <w:vAlign w:val="center"/>
          </w:tcPr>
          <w:p w:rsidR="0088341A" w:rsidRPr="001E4E0B" w:rsidRDefault="0088341A" w:rsidP="00F82F3F">
            <w:pPr>
              <w:pStyle w:val="AERtabletextleft"/>
              <w:keepNext/>
              <w:keepLines/>
            </w:pPr>
            <w:r w:rsidRPr="001E4E0B">
              <w:t>Single rate</w:t>
            </w:r>
          </w:p>
        </w:tc>
        <w:tc>
          <w:tcPr>
            <w:tcW w:w="1497" w:type="dxa"/>
            <w:shd w:val="clear" w:color="auto" w:fill="auto"/>
            <w:vAlign w:val="center"/>
          </w:tcPr>
          <w:p w:rsidR="0088341A" w:rsidRPr="002357F2" w:rsidRDefault="0088341A" w:rsidP="00F82F3F">
            <w:pPr>
              <w:pStyle w:val="AERtabletextright"/>
              <w:keepNext/>
              <w:keepLines/>
            </w:pPr>
            <w:r>
              <w:t>$3777</w:t>
            </w:r>
          </w:p>
        </w:tc>
        <w:tc>
          <w:tcPr>
            <w:tcW w:w="1762" w:type="dxa"/>
            <w:shd w:val="clear" w:color="auto" w:fill="auto"/>
            <w:vAlign w:val="center"/>
          </w:tcPr>
          <w:p w:rsidR="0088341A" w:rsidRPr="002357F2" w:rsidRDefault="0088341A" w:rsidP="00F82F3F">
            <w:pPr>
              <w:pStyle w:val="AERtabletextright"/>
              <w:keepNext/>
              <w:keepLines/>
            </w:pPr>
            <w:r>
              <w:t>–$15</w:t>
            </w:r>
          </w:p>
        </w:tc>
        <w:tc>
          <w:tcPr>
            <w:tcW w:w="1793" w:type="dxa"/>
            <w:shd w:val="clear" w:color="auto" w:fill="auto"/>
            <w:vAlign w:val="center"/>
          </w:tcPr>
          <w:p w:rsidR="0088341A" w:rsidRPr="002357F2" w:rsidRDefault="0088341A" w:rsidP="00F82F3F">
            <w:pPr>
              <w:pStyle w:val="AERtabletextright"/>
              <w:keepNext/>
              <w:keepLines/>
            </w:pPr>
            <w:r>
              <w:t>–$</w:t>
            </w:r>
            <w:r w:rsidRPr="002357F2">
              <w:t>34</w:t>
            </w:r>
          </w:p>
        </w:tc>
        <w:tc>
          <w:tcPr>
            <w:tcW w:w="1437" w:type="dxa"/>
            <w:shd w:val="clear" w:color="auto" w:fill="auto"/>
            <w:vAlign w:val="center"/>
          </w:tcPr>
          <w:p w:rsidR="0088341A" w:rsidRDefault="0088341A" w:rsidP="00F82F3F">
            <w:pPr>
              <w:pStyle w:val="AERtabletextright"/>
              <w:keepNext/>
              <w:keepLines/>
            </w:pPr>
            <w:r>
              <w:t>–0.1</w:t>
            </w:r>
          </w:p>
        </w:tc>
        <w:tc>
          <w:tcPr>
            <w:tcW w:w="1437" w:type="dxa"/>
            <w:shd w:val="clear" w:color="auto" w:fill="auto"/>
            <w:vAlign w:val="center"/>
          </w:tcPr>
          <w:p w:rsidR="0088341A" w:rsidRDefault="0088341A" w:rsidP="00F82F3F">
            <w:pPr>
              <w:pStyle w:val="AERtabletextright"/>
              <w:keepNext/>
              <w:keepLines/>
            </w:pPr>
            <w:r>
              <w:t>–0.3</w:t>
            </w:r>
          </w:p>
        </w:tc>
      </w:tr>
      <w:tr w:rsidR="0088341A" w:rsidRPr="001B64C0" w:rsidTr="00501137">
        <w:tc>
          <w:tcPr>
            <w:tcW w:w="1316" w:type="dxa"/>
            <w:shd w:val="clear" w:color="auto" w:fill="DBE5F1"/>
            <w:vAlign w:val="center"/>
          </w:tcPr>
          <w:p w:rsidR="0088341A" w:rsidRPr="001E4E0B" w:rsidRDefault="0088341A" w:rsidP="00F82F3F">
            <w:pPr>
              <w:pStyle w:val="AERtabletextleft"/>
              <w:keepNext/>
              <w:keepLines/>
            </w:pPr>
            <w:r w:rsidRPr="001E4E0B">
              <w:t>Time-of-use</w:t>
            </w:r>
          </w:p>
        </w:tc>
        <w:tc>
          <w:tcPr>
            <w:tcW w:w="1497" w:type="dxa"/>
            <w:shd w:val="clear" w:color="auto" w:fill="DBE5F1"/>
            <w:vAlign w:val="center"/>
          </w:tcPr>
          <w:p w:rsidR="0088341A" w:rsidRPr="002357F2" w:rsidRDefault="0088341A" w:rsidP="00F82F3F">
            <w:pPr>
              <w:pStyle w:val="AERtabletextright"/>
              <w:keepNext/>
              <w:keepLines/>
            </w:pPr>
            <w:r>
              <w:t>$10661</w:t>
            </w:r>
          </w:p>
        </w:tc>
        <w:tc>
          <w:tcPr>
            <w:tcW w:w="1762" w:type="dxa"/>
            <w:shd w:val="clear" w:color="auto" w:fill="DBE5F1"/>
            <w:vAlign w:val="center"/>
          </w:tcPr>
          <w:p w:rsidR="0088341A" w:rsidRPr="002357F2" w:rsidRDefault="0088341A" w:rsidP="00F82F3F">
            <w:pPr>
              <w:pStyle w:val="AERtabletextright"/>
              <w:keepNext/>
              <w:keepLines/>
            </w:pPr>
            <w:r>
              <w:t>–$43</w:t>
            </w:r>
          </w:p>
        </w:tc>
        <w:tc>
          <w:tcPr>
            <w:tcW w:w="1793" w:type="dxa"/>
            <w:shd w:val="clear" w:color="auto" w:fill="DBE5F1"/>
            <w:vAlign w:val="center"/>
          </w:tcPr>
          <w:p w:rsidR="0088341A" w:rsidRPr="002357F2" w:rsidRDefault="0088341A" w:rsidP="00F82F3F">
            <w:pPr>
              <w:pStyle w:val="AERtabletextright"/>
              <w:keepNext/>
              <w:keepLines/>
            </w:pPr>
            <w:r>
              <w:t>–$96</w:t>
            </w:r>
          </w:p>
        </w:tc>
        <w:tc>
          <w:tcPr>
            <w:tcW w:w="1437" w:type="dxa"/>
            <w:shd w:val="clear" w:color="auto" w:fill="DBE5F1"/>
            <w:vAlign w:val="center"/>
          </w:tcPr>
          <w:p w:rsidR="0088341A" w:rsidRDefault="0088341A" w:rsidP="00F82F3F">
            <w:pPr>
              <w:pStyle w:val="AERtabletextright"/>
              <w:keepNext/>
              <w:keepLines/>
            </w:pPr>
            <w:r>
              <w:t>–0.1</w:t>
            </w:r>
          </w:p>
        </w:tc>
        <w:tc>
          <w:tcPr>
            <w:tcW w:w="1437" w:type="dxa"/>
            <w:shd w:val="clear" w:color="auto" w:fill="DBE5F1"/>
            <w:vAlign w:val="center"/>
          </w:tcPr>
          <w:p w:rsidR="0088341A" w:rsidRDefault="0088341A" w:rsidP="00F82F3F">
            <w:pPr>
              <w:pStyle w:val="AERtabletextright"/>
              <w:keepNext/>
              <w:keepLines/>
            </w:pPr>
            <w:r>
              <w:t>–0.3</w:t>
            </w:r>
          </w:p>
        </w:tc>
      </w:tr>
    </w:tbl>
    <w:p w:rsidR="0088341A" w:rsidRDefault="0088341A" w:rsidP="0088341A">
      <w:pPr>
        <w:pStyle w:val="AERtablesource"/>
      </w:pPr>
    </w:p>
    <w:p w:rsidR="0088341A" w:rsidRDefault="0088341A" w:rsidP="0088341A">
      <w:pPr>
        <w:pStyle w:val="AERtablesource"/>
      </w:pPr>
      <w:r>
        <w:t>Source:</w:t>
      </w:r>
      <w:r>
        <w:tab/>
        <w:t xml:space="preserve">Essential services commission Victoria, </w:t>
      </w:r>
      <w:r w:rsidRPr="00052302">
        <w:rPr>
          <w:rStyle w:val="AERtextitalic"/>
        </w:rPr>
        <w:t>Energy retailers comparative performance report—pricing</w:t>
      </w:r>
      <w:r>
        <w:t>, p.4; AER analysis.</w:t>
      </w:r>
    </w:p>
    <w:p w:rsidR="0088341A" w:rsidRDefault="0088341A" w:rsidP="0088341A">
      <w:pPr>
        <w:pStyle w:val="AERtablesource"/>
      </w:pPr>
      <w:r>
        <w:t>(a)</w:t>
      </w:r>
      <w:r>
        <w:tab/>
        <w:t xml:space="preserve">The single rate business tariff is based on 12000 kWh peak consumption per year. This use is typical of a business that is closed on weekends. </w:t>
      </w:r>
    </w:p>
    <w:p w:rsidR="0088341A" w:rsidRDefault="0088341A" w:rsidP="0088341A">
      <w:pPr>
        <w:pStyle w:val="AERtablesource"/>
      </w:pPr>
      <w:r>
        <w:tab/>
        <w:t>The time-of-use business tariff is based on 25000 kWh peak and 15000 kWh off-peak consumption per year. Off-peak includes the whole weekend. This use is typical of a larger business that is open more than five days a week.</w:t>
      </w:r>
    </w:p>
    <w:p w:rsidR="0088341A" w:rsidRPr="007141BD" w:rsidRDefault="0088341A" w:rsidP="0088341A">
      <w:pPr>
        <w:pStyle w:val="AERtablesource"/>
      </w:pPr>
      <w:r>
        <w:t>(b)</w:t>
      </w:r>
      <w:r>
        <w:tab/>
      </w:r>
      <w:r w:rsidRPr="007141BD">
        <w:t xml:space="preserve">The average annual bills reflect a weighted average of the market offers and standing offers as shown on the Victorian government's electricity and gas comparator website </w:t>
      </w:r>
      <w:r>
        <w:t xml:space="preserve">as </w:t>
      </w:r>
      <w:r w:rsidRPr="007141BD">
        <w:t>at 3 July 2013 (</w:t>
      </w:r>
      <w:hyperlink r:id="rId61" w:history="1">
        <w:r w:rsidRPr="007141BD">
          <w:rPr>
            <w:rStyle w:val="Hyperlink"/>
          </w:rPr>
          <w:t>http://yourchoice.vic.gov.au/</w:t>
        </w:r>
      </w:hyperlink>
      <w:r w:rsidRPr="007141BD">
        <w:t>). They also reflect the average offer</w:t>
      </w:r>
      <w:r>
        <w:t>s</w:t>
      </w:r>
      <w:r w:rsidRPr="007141BD">
        <w:t xml:space="preserve"> across all the distribution zones in Victoria. Retailers who have less than 1000 customers in Victoria are not included </w:t>
      </w:r>
      <w:r>
        <w:t>in</w:t>
      </w:r>
      <w:r w:rsidRPr="007141BD">
        <w:t xml:space="preserve"> this analysis.</w:t>
      </w:r>
    </w:p>
    <w:p w:rsidR="0088341A" w:rsidRDefault="0088341A" w:rsidP="0088341A">
      <w:pPr>
        <w:pStyle w:val="Heading2"/>
        <w:numPr>
          <w:ilvl w:val="2"/>
          <w:numId w:val="20"/>
        </w:numPr>
      </w:pPr>
      <w:bookmarkStart w:id="331" w:name="_Toc365283331"/>
      <w:r>
        <w:t>Revisions</w:t>
      </w:r>
      <w:bookmarkEnd w:id="331"/>
      <w:r>
        <w:t xml:space="preserve"> </w:t>
      </w:r>
    </w:p>
    <w:p w:rsidR="0088341A" w:rsidRPr="002A1ADC" w:rsidRDefault="0088341A" w:rsidP="0088341A">
      <w:pPr>
        <w:pStyle w:val="AERrevisionbox"/>
      </w:pPr>
      <w:r>
        <w:rPr>
          <w:rStyle w:val="AERtextbold"/>
        </w:rPr>
        <w:t>Revision 8.1</w:t>
      </w:r>
      <w:r w:rsidRPr="00CD3FA6">
        <w:rPr>
          <w:rStyle w:val="AERtextbold"/>
        </w:rPr>
        <w:t xml:space="preserve">: </w:t>
      </w:r>
      <w:r>
        <w:tab/>
        <w:t xml:space="preserve">We determine SP AusNet's annual building block revenue requirement, X factor, annual expected MAR and the estimated total revenue cap over the 2014–17 regulatory control period to be as set out in </w:t>
      </w:r>
      <w:r>
        <w:fldChar w:fldCharType="begin"/>
      </w:r>
      <w:r>
        <w:instrText xml:space="preserve"> REF _Ref359490629 \h </w:instrText>
      </w:r>
      <w:r>
        <w:fldChar w:fldCharType="separate"/>
      </w:r>
      <w:r w:rsidR="004F35AA" w:rsidRPr="00337F81">
        <w:t xml:space="preserve">Table </w:t>
      </w:r>
      <w:r w:rsidR="004F35AA">
        <w:rPr>
          <w:noProof/>
        </w:rPr>
        <w:t>8</w:t>
      </w:r>
      <w:r w:rsidR="004F35AA">
        <w:t>.</w:t>
      </w:r>
      <w:r w:rsidR="004F35AA">
        <w:rPr>
          <w:noProof/>
        </w:rPr>
        <w:t>1</w:t>
      </w:r>
      <w:r>
        <w:fldChar w:fldCharType="end"/>
      </w:r>
      <w:r>
        <w:t xml:space="preserve">. </w:t>
      </w:r>
    </w:p>
    <w:p w:rsidR="0088341A" w:rsidRDefault="0088341A" w:rsidP="0088341A">
      <w:pPr>
        <w:pStyle w:val="AERrevisionbox"/>
      </w:pPr>
      <w:r>
        <w:rPr>
          <w:rStyle w:val="AERtextbold"/>
        </w:rPr>
        <w:t xml:space="preserve">Revision 8.2: </w:t>
      </w:r>
      <w:r>
        <w:tab/>
        <w:t xml:space="preserve">We determine SP AusNet's annual adjustment process for the MAR over the </w:t>
      </w:r>
      <w:r>
        <w:br/>
        <w:t>2014–17 regulatory control peri</w:t>
      </w:r>
      <w:r w:rsidR="00A80E51">
        <w:t xml:space="preserve">od to be as set out in section </w:t>
      </w:r>
      <w:r w:rsidR="00A80E51">
        <w:fldChar w:fldCharType="begin"/>
      </w:r>
      <w:r w:rsidR="00A80E51">
        <w:instrText xml:space="preserve"> REF _Ref365384931 \r \h </w:instrText>
      </w:r>
      <w:r w:rsidR="00A80E51">
        <w:fldChar w:fldCharType="separate"/>
      </w:r>
      <w:r w:rsidR="004F35AA">
        <w:t>8.3.1</w:t>
      </w:r>
      <w:r w:rsidR="00A80E51">
        <w:fldChar w:fldCharType="end"/>
      </w:r>
      <w:r>
        <w:t xml:space="preserve">. </w:t>
      </w:r>
    </w:p>
    <w:p w:rsidR="0088341A" w:rsidRPr="00CE71F2" w:rsidRDefault="0088341A" w:rsidP="0088341A">
      <w:pPr>
        <w:pStyle w:val="AERbodytext"/>
        <w:numPr>
          <w:ilvl w:val="0"/>
          <w:numId w:val="0"/>
        </w:numPr>
      </w:pPr>
    </w:p>
    <w:p w:rsidR="0088341A" w:rsidRPr="008F3D22" w:rsidRDefault="0088341A" w:rsidP="0088341A">
      <w:pPr>
        <w:pStyle w:val="AERbodytext"/>
        <w:numPr>
          <w:ilvl w:val="0"/>
          <w:numId w:val="1"/>
        </w:numPr>
        <w:rPr>
          <w:rStyle w:val="AERbody"/>
        </w:rPr>
        <w:sectPr w:rsidR="0088341A" w:rsidRPr="008F3D22">
          <w:footerReference w:type="default" r:id="rId62"/>
          <w:pgSz w:w="11906" w:h="16838"/>
          <w:pgMar w:top="1440" w:right="1440" w:bottom="1440" w:left="1440" w:header="708" w:footer="708" w:gutter="0"/>
          <w:cols w:space="708"/>
          <w:docGrid w:linePitch="360"/>
        </w:sectPr>
      </w:pPr>
    </w:p>
    <w:p w:rsidR="0088341A" w:rsidRPr="0025563A" w:rsidRDefault="0088341A" w:rsidP="0088341A">
      <w:pPr>
        <w:pStyle w:val="Heading1"/>
        <w:numPr>
          <w:ilvl w:val="1"/>
          <w:numId w:val="20"/>
        </w:numPr>
      </w:pPr>
      <w:bookmarkStart w:id="332" w:name="_Toc365283332"/>
      <w:bookmarkStart w:id="333" w:name="_Toc365462005"/>
      <w:r w:rsidRPr="0025563A">
        <w:lastRenderedPageBreak/>
        <w:t>Service target performance incentive scheme</w:t>
      </w:r>
      <w:bookmarkEnd w:id="332"/>
      <w:bookmarkEnd w:id="333"/>
    </w:p>
    <w:p w:rsidR="0088341A" w:rsidRDefault="0088341A" w:rsidP="0088341A">
      <w:pPr>
        <w:pStyle w:val="AERbodytext"/>
        <w:numPr>
          <w:ilvl w:val="0"/>
          <w:numId w:val="1"/>
        </w:numPr>
      </w:pPr>
      <w:r>
        <w:t xml:space="preserve">This attachment sets out the Australian Energy Regulator's (AER) draft decision on SP AusNet's service target performance incentive scheme (STPIS). The STPIS comprises three components: a service component, a network capability component and a market impact component. This attachment deals with each component separately. </w:t>
      </w:r>
    </w:p>
    <w:p w:rsidR="0088341A" w:rsidRDefault="0088341A" w:rsidP="0088341A">
      <w:pPr>
        <w:pStyle w:val="HeadingBoldBlue"/>
      </w:pPr>
      <w:r>
        <w:t>Service component</w:t>
      </w:r>
    </w:p>
    <w:p w:rsidR="0088341A" w:rsidRPr="00F2071B" w:rsidRDefault="0088341A" w:rsidP="0088341A">
      <w:pPr>
        <w:pStyle w:val="AERbodytext"/>
        <w:numPr>
          <w:ilvl w:val="0"/>
          <w:numId w:val="1"/>
        </w:numPr>
      </w:pPr>
      <w:r w:rsidRPr="00F2071B">
        <w:t>The</w:t>
      </w:r>
      <w:r>
        <w:t xml:space="preserve"> service component of the </w:t>
      </w:r>
      <w:r w:rsidRPr="00F2071B">
        <w:t>STPIS provides a financial incentive for transmission network service providers (TNSPs) to improve and maintain their service performance. This incentive counters the financial incentive under revenue regulation to reduce costs at the expense of service performance. A TNSP's performance is compared against the performance target for each parameter during the regulatory control period. The TNSP may receive a financial bonus for service improvements, or a financial penalty for declines in service performance. The financial bon</w:t>
      </w:r>
      <w:r>
        <w:t>us (or penalty) is limited to 1 </w:t>
      </w:r>
      <w:r w:rsidRPr="00F2071B">
        <w:t>per cent of the TNSP's maximum allowed revenue (MAR) for the relevant calendar year.</w:t>
      </w:r>
    </w:p>
    <w:p w:rsidR="0088341A" w:rsidRDefault="0088341A" w:rsidP="0088341A">
      <w:pPr>
        <w:pStyle w:val="AERbodytext"/>
        <w:numPr>
          <w:ilvl w:val="0"/>
          <w:numId w:val="1"/>
        </w:numPr>
      </w:pPr>
      <w:r>
        <w:t>We must assess whether SP AusNet's proposed performance targets, caps, collars and weightings comply with the STPIS requirements for:</w:t>
      </w:r>
      <w:r>
        <w:rPr>
          <w:rStyle w:val="FootnoteReference"/>
        </w:rPr>
        <w:footnoteReference w:id="477"/>
      </w:r>
    </w:p>
    <w:p w:rsidR="0088341A" w:rsidRDefault="0088341A" w:rsidP="0088341A">
      <w:pPr>
        <w:pStyle w:val="AERbulletlistfirststyle"/>
      </w:pPr>
      <w:r>
        <w:t>average circuit outage rate, with six sub parameters:</w:t>
      </w:r>
    </w:p>
    <w:p w:rsidR="0088341A" w:rsidRDefault="0088341A" w:rsidP="0088341A">
      <w:pPr>
        <w:pStyle w:val="AERbulletlistsecondstyle"/>
      </w:pPr>
      <w:r>
        <w:t>line outage – fault</w:t>
      </w:r>
    </w:p>
    <w:p w:rsidR="0088341A" w:rsidRDefault="0088341A" w:rsidP="0088341A">
      <w:pPr>
        <w:pStyle w:val="AERbulletlistsecondstyle"/>
      </w:pPr>
      <w:r>
        <w:t>transformer outage – fault</w:t>
      </w:r>
    </w:p>
    <w:p w:rsidR="0088341A" w:rsidRDefault="0088341A" w:rsidP="0088341A">
      <w:pPr>
        <w:pStyle w:val="AERbulletlistsecondstyle"/>
      </w:pPr>
      <w:r>
        <w:t>reactive plant – fault</w:t>
      </w:r>
    </w:p>
    <w:p w:rsidR="0088341A" w:rsidRDefault="0088341A" w:rsidP="0088341A">
      <w:pPr>
        <w:pStyle w:val="AERbulletlistsecondstyle"/>
      </w:pPr>
      <w:r>
        <w:t>line outage – forced outage</w:t>
      </w:r>
    </w:p>
    <w:p w:rsidR="0088341A" w:rsidRDefault="0088341A" w:rsidP="0088341A">
      <w:pPr>
        <w:pStyle w:val="AERbulletlistsecondstyle"/>
      </w:pPr>
      <w:r>
        <w:t>transformer outage – forced outage</w:t>
      </w:r>
    </w:p>
    <w:p w:rsidR="0088341A" w:rsidRDefault="0088341A" w:rsidP="0088341A">
      <w:pPr>
        <w:pStyle w:val="AERbulletlistsecondstyle"/>
      </w:pPr>
      <w:r>
        <w:t>reactive plant – forced outage</w:t>
      </w:r>
    </w:p>
    <w:p w:rsidR="0088341A" w:rsidRDefault="0088341A" w:rsidP="0088341A">
      <w:pPr>
        <w:pStyle w:val="AERbulletlistfirststyle"/>
      </w:pPr>
      <w:r>
        <w:t>loss of supply event frequency, with two loss of supply event subparameters:</w:t>
      </w:r>
    </w:p>
    <w:p w:rsidR="0088341A" w:rsidRDefault="0088341A" w:rsidP="0088341A">
      <w:pPr>
        <w:pStyle w:val="AERbulletlistsecondstyle"/>
      </w:pPr>
      <w:r>
        <w:t>frequency of events when loss of supply exceeds 0.3 system minutes</w:t>
      </w:r>
    </w:p>
    <w:p w:rsidR="0088341A" w:rsidRDefault="0088341A" w:rsidP="0088341A">
      <w:pPr>
        <w:pStyle w:val="AERbulletlistsecondstyle"/>
      </w:pPr>
      <w:r>
        <w:t>frequency of events when loss of supply exceeds 0.05 system minutes</w:t>
      </w:r>
    </w:p>
    <w:p w:rsidR="0088341A" w:rsidRDefault="0088341A" w:rsidP="0088341A">
      <w:pPr>
        <w:pStyle w:val="AERbulletlistfirststyle"/>
      </w:pPr>
      <w:r>
        <w:t>average outage duration</w:t>
      </w:r>
    </w:p>
    <w:p w:rsidR="0088341A" w:rsidRDefault="0088341A" w:rsidP="0088341A">
      <w:pPr>
        <w:pStyle w:val="AERbulletlistfirststyle"/>
      </w:pPr>
      <w:r>
        <w:t>proper operation of equipment, with three subparameters:</w:t>
      </w:r>
    </w:p>
    <w:p w:rsidR="0088341A" w:rsidRDefault="0088341A" w:rsidP="0088341A">
      <w:pPr>
        <w:pStyle w:val="AERbulletlistsecondstyle"/>
      </w:pPr>
      <w:r>
        <w:t>failure of protection system</w:t>
      </w:r>
    </w:p>
    <w:p w:rsidR="0088341A" w:rsidRDefault="0088341A" w:rsidP="0088341A">
      <w:pPr>
        <w:pStyle w:val="AERbulletlistsecondstyle"/>
      </w:pPr>
      <w:r>
        <w:t>material failure of supervisory control and data acquisition (SCADA) system</w:t>
      </w:r>
    </w:p>
    <w:p w:rsidR="0088341A" w:rsidRDefault="0088341A" w:rsidP="0088341A">
      <w:pPr>
        <w:pStyle w:val="AERbulletlistsecondstyle"/>
      </w:pPr>
      <w:r>
        <w:t xml:space="preserve">incorrect operational isolation of primary or secondary equipment. </w:t>
      </w:r>
    </w:p>
    <w:p w:rsidR="0088341A" w:rsidRDefault="0088341A" w:rsidP="0088341A">
      <w:pPr>
        <w:pStyle w:val="AERbodytext"/>
        <w:numPr>
          <w:ilvl w:val="0"/>
          <w:numId w:val="0"/>
        </w:numPr>
      </w:pPr>
      <w:r>
        <w:t>We must accept SP AusNet's proposed parameter values if they comply with the requirements of the STPIS.</w:t>
      </w:r>
      <w:r w:rsidRPr="00F2071B">
        <w:rPr>
          <w:rStyle w:val="FootnoteReference"/>
        </w:rPr>
        <w:footnoteReference w:id="478"/>
      </w:r>
      <w:r w:rsidRPr="00F2071B">
        <w:t xml:space="preserve"> </w:t>
      </w:r>
      <w:r>
        <w:t>We</w:t>
      </w:r>
      <w:r w:rsidRPr="00F2071B">
        <w:t xml:space="preserve"> may reject them if they are inconsistent with the objectives of the STPIS.</w:t>
      </w:r>
      <w:r w:rsidRPr="00F2071B">
        <w:rPr>
          <w:rStyle w:val="FootnoteReference"/>
        </w:rPr>
        <w:footnoteReference w:id="479"/>
      </w:r>
    </w:p>
    <w:p w:rsidR="0088341A" w:rsidRDefault="0088341A" w:rsidP="0088341A">
      <w:pPr>
        <w:pStyle w:val="AERbodytext"/>
        <w:numPr>
          <w:ilvl w:val="0"/>
          <w:numId w:val="0"/>
        </w:numPr>
      </w:pPr>
      <w:r>
        <w:lastRenderedPageBreak/>
        <w:t>We will measure actual performance for the 'average circuit outage rate' and 'average outage duration' parameters on a two year rolling average basis. SP AusNet's actual performance in 2014, for example, will be an average of its performance in 2013 and 2014.</w:t>
      </w:r>
      <w:r>
        <w:rPr>
          <w:rStyle w:val="FootnoteReference"/>
        </w:rPr>
        <w:footnoteReference w:id="480"/>
      </w:r>
      <w:r>
        <w:t xml:space="preserve"> </w:t>
      </w:r>
    </w:p>
    <w:p w:rsidR="0088341A" w:rsidRDefault="0088341A" w:rsidP="0088341A">
      <w:pPr>
        <w:pStyle w:val="HeadingBoldBlue"/>
      </w:pPr>
      <w:r>
        <w:t>Network capability component</w:t>
      </w:r>
    </w:p>
    <w:p w:rsidR="0088341A" w:rsidRDefault="0088341A" w:rsidP="0088341A">
      <w:pPr>
        <w:pStyle w:val="AERbodytext"/>
        <w:numPr>
          <w:ilvl w:val="0"/>
          <w:numId w:val="1"/>
        </w:numPr>
      </w:pPr>
      <w:r>
        <w:t>The network capability component of the STPIS funds and incentivises TNSPs to identify and implement incremental changes that would improve the capability of the network at times when it is most needed. Examples of such changes include:</w:t>
      </w:r>
    </w:p>
    <w:p w:rsidR="0088341A" w:rsidRDefault="0088341A" w:rsidP="0088341A">
      <w:pPr>
        <w:pStyle w:val="AERbulletlistfirststyle"/>
      </w:pPr>
      <w:r>
        <w:t xml:space="preserve">implementing dynamic line ratings to allow for greater network capacity at peak times </w:t>
      </w:r>
    </w:p>
    <w:p w:rsidR="0088341A" w:rsidRDefault="0088341A" w:rsidP="0088341A">
      <w:pPr>
        <w:pStyle w:val="AERbulletlistfirststyle"/>
      </w:pPr>
      <w:r>
        <w:t>updating system normal constraints to remove redundant inputs to increase flow capacity</w:t>
      </w:r>
    </w:p>
    <w:p w:rsidR="0088341A" w:rsidRPr="00037023" w:rsidRDefault="0088341A" w:rsidP="0088341A">
      <w:pPr>
        <w:pStyle w:val="AERbulletlistfirststyle"/>
      </w:pPr>
      <w:r>
        <w:t xml:space="preserve">raising the height of towers to address transmission line sag. </w:t>
      </w:r>
    </w:p>
    <w:p w:rsidR="0088341A" w:rsidRDefault="0088341A" w:rsidP="0088341A">
      <w:pPr>
        <w:pStyle w:val="AERbodytext"/>
        <w:numPr>
          <w:ilvl w:val="0"/>
          <w:numId w:val="0"/>
        </w:numPr>
      </w:pPr>
      <w:r>
        <w:t>As part of its revenue proposal, SP AusNet must submit a network capability incentive parameter action plan (NCIPAP).</w:t>
      </w:r>
      <w:r>
        <w:rPr>
          <w:rStyle w:val="FootnoteReference"/>
        </w:rPr>
        <w:footnoteReference w:id="481"/>
      </w:r>
      <w:r>
        <w:t xml:space="preserve"> This plan must identify the reason for limits on each transmission circuit and injection points in the network.</w:t>
      </w:r>
      <w:r>
        <w:rPr>
          <w:rStyle w:val="FootnoteReference"/>
        </w:rPr>
        <w:footnoteReference w:id="482"/>
      </w:r>
      <w:r>
        <w:t xml:space="preserve"> It must also list proposed priority projects and project improvement targets that SP AusNet will undertake in the 2014–17 regulatory control period to improve the capability of the transmission circuits and injection points.</w:t>
      </w:r>
      <w:r>
        <w:rPr>
          <w:rStyle w:val="FootnoteReference"/>
        </w:rPr>
        <w:footnoteReference w:id="483"/>
      </w:r>
      <w:r>
        <w:t xml:space="preserve"> We must approve a priority project if it is consistent with the requirements of the STPIS.</w:t>
      </w:r>
      <w:r>
        <w:rPr>
          <w:rStyle w:val="FootnoteReference"/>
        </w:rPr>
        <w:footnoteReference w:id="484"/>
      </w:r>
      <w:r>
        <w:t xml:space="preserve"> </w:t>
      </w:r>
    </w:p>
    <w:p w:rsidR="0088341A" w:rsidRDefault="0088341A" w:rsidP="0088341A">
      <w:pPr>
        <w:pStyle w:val="AERbodytext"/>
        <w:numPr>
          <w:ilvl w:val="0"/>
          <w:numId w:val="0"/>
        </w:numPr>
      </w:pPr>
      <w:r>
        <w:t>Each year, SP AusNet will receive an incentive payment equal to 1.5 per cent of its MAR for each year except the final year of the 2014–17 regulatory control period. If the TNSP achieves its priority project improvement target for each priority project, then it will receive an incentive payment of 1.5 per cent of its MAR in the final year. If it does not achieve each priority project target, then we may reduce the incentive payment in the final year. We can reduce the final payment to – 2 per cent of MAR if the TNSP does not achieve any of its proposed priority project improvement targets.</w:t>
      </w:r>
      <w:r>
        <w:rPr>
          <w:rStyle w:val="FootnoteReference"/>
        </w:rPr>
        <w:footnoteReference w:id="485"/>
      </w:r>
      <w:r>
        <w:t xml:space="preserve"> </w:t>
      </w:r>
    </w:p>
    <w:p w:rsidR="0088341A" w:rsidRDefault="0088341A" w:rsidP="0088341A">
      <w:pPr>
        <w:pStyle w:val="HeadingBoldBlue"/>
      </w:pPr>
      <w:r>
        <w:t>Market impact component</w:t>
      </w:r>
    </w:p>
    <w:p w:rsidR="0088341A" w:rsidRPr="000C1905" w:rsidRDefault="0088341A" w:rsidP="0088341A">
      <w:pPr>
        <w:pStyle w:val="AERbodytext"/>
        <w:numPr>
          <w:ilvl w:val="0"/>
          <w:numId w:val="1"/>
        </w:numPr>
      </w:pPr>
      <w:r w:rsidRPr="000C1905">
        <w:t xml:space="preserve">The market impact component provides financial rewards </w:t>
      </w:r>
      <w:r>
        <w:t>to TNSPs for improvements in their</w:t>
      </w:r>
      <w:r w:rsidRPr="000C1905">
        <w:t xml:space="preserve"> performance measure</w:t>
      </w:r>
      <w:r>
        <w:t xml:space="preserve">d against a performance target. SP AusNet </w:t>
      </w:r>
      <w:r w:rsidRPr="000C1905">
        <w:t>may earn an additional revenue increment of up to 2 per cent of its MAR for the relevant calendar year. Un</w:t>
      </w:r>
      <w:r>
        <w:t>like the service and network capability components</w:t>
      </w:r>
      <w:r w:rsidRPr="000C1905">
        <w:t>, the market impact component</w:t>
      </w:r>
      <w:r>
        <w:t xml:space="preserve"> has no financial penalty</w:t>
      </w:r>
      <w:r w:rsidRPr="000C1905">
        <w:t xml:space="preserve">. </w:t>
      </w:r>
    </w:p>
    <w:p w:rsidR="0088341A" w:rsidRDefault="0088341A" w:rsidP="0088341A">
      <w:pPr>
        <w:pStyle w:val="AERbodytext"/>
        <w:numPr>
          <w:ilvl w:val="0"/>
          <w:numId w:val="1"/>
        </w:numPr>
      </w:pPr>
      <w:r w:rsidRPr="000C1905">
        <w:t>The market impact parameter is defined as the nu</w:t>
      </w:r>
      <w:r>
        <w:t>mber of dispatch intervals when</w:t>
      </w:r>
      <w:r w:rsidRPr="000C1905">
        <w:t xml:space="preserve"> an outage of a TNSP's network results in a network outage constraint w</w:t>
      </w:r>
      <w:r>
        <w:t xml:space="preserve">ith a marginal value </w:t>
      </w:r>
      <w:r w:rsidRPr="000C1905">
        <w:t>greater than $10/</w:t>
      </w:r>
      <w:r>
        <w:t>MWh</w:t>
      </w:r>
      <w:r w:rsidRPr="000C1905">
        <w:t>.</w:t>
      </w:r>
      <w:r w:rsidRPr="00782DD4">
        <w:rPr>
          <w:rStyle w:val="AERsuperscript"/>
        </w:rPr>
        <w:footnoteReference w:id="486"/>
      </w:r>
      <w:r w:rsidRPr="000C1905">
        <w:t xml:space="preserve"> </w:t>
      </w:r>
    </w:p>
    <w:p w:rsidR="0088341A" w:rsidRPr="000C1905" w:rsidRDefault="0088341A" w:rsidP="0088341A">
      <w:pPr>
        <w:pStyle w:val="AERbodytext"/>
        <w:numPr>
          <w:ilvl w:val="0"/>
          <w:numId w:val="1"/>
        </w:numPr>
      </w:pPr>
      <w:r>
        <w:t>The market impact component performance target will be an average of three years of performance data. Performance will be measured as a rolling average of the most recent two years of performance data.</w:t>
      </w:r>
      <w:r>
        <w:rPr>
          <w:rStyle w:val="FootnoteReference"/>
        </w:rPr>
        <w:footnoteReference w:id="487"/>
      </w:r>
      <w:r>
        <w:t xml:space="preserve"> The target for the 2014 calendar year, for example, will be an average of SP AusNet's 2011, 2012 and 2013 market impact performance, while actual performance in 2014 will be measured as an </w:t>
      </w:r>
      <w:r>
        <w:lastRenderedPageBreak/>
        <w:t xml:space="preserve">average of the TNSP's 2013 and 2014 performance. These targets will be published annually after we have conducted the annual review of SP AusNet’s STPIS performance. </w:t>
      </w:r>
    </w:p>
    <w:p w:rsidR="0088341A" w:rsidRDefault="0088341A" w:rsidP="0088341A">
      <w:pPr>
        <w:pStyle w:val="Heading2"/>
        <w:numPr>
          <w:ilvl w:val="2"/>
          <w:numId w:val="20"/>
        </w:numPr>
      </w:pPr>
      <w:bookmarkStart w:id="334" w:name="_Toc365283333"/>
      <w:r>
        <w:t>Draft decision</w:t>
      </w:r>
      <w:bookmarkEnd w:id="334"/>
    </w:p>
    <w:p w:rsidR="0088341A" w:rsidRDefault="0088341A" w:rsidP="0088341A">
      <w:pPr>
        <w:pStyle w:val="HeadingBoldBlue"/>
      </w:pPr>
      <w:r>
        <w:t>Service component</w:t>
      </w:r>
    </w:p>
    <w:p w:rsidR="0088341A" w:rsidRDefault="0088341A" w:rsidP="0088341A">
      <w:pPr>
        <w:pStyle w:val="AERbodytext"/>
        <w:numPr>
          <w:ilvl w:val="0"/>
          <w:numId w:val="0"/>
        </w:numPr>
      </w:pPr>
      <w:r>
        <w:t xml:space="preserve">We do not accept SP AusNet's proposed service component parameter values because they do not comply with the requirements in clauses 3.3 and 3.5 of the STPIS. Specifically, SP AusNet's proposed adjustment to the loss of supply subparameter targets is not justified, and the distributions used to calculate caps and collars are inappropriate. </w:t>
      </w:r>
    </w:p>
    <w:p w:rsidR="0088341A" w:rsidRDefault="0088341A" w:rsidP="0088341A">
      <w:pPr>
        <w:pStyle w:val="AERbodytext"/>
        <w:numPr>
          <w:ilvl w:val="0"/>
          <w:numId w:val="0"/>
        </w:numPr>
      </w:pPr>
      <w:r>
        <w:fldChar w:fldCharType="begin"/>
      </w:r>
      <w:r>
        <w:instrText xml:space="preserve"> REF _Ref357435873 \h </w:instrText>
      </w:r>
      <w:r>
        <w:fldChar w:fldCharType="separate"/>
      </w:r>
      <w:r w:rsidR="004F35AA">
        <w:t xml:space="preserve">Table </w:t>
      </w:r>
      <w:r w:rsidR="004F35AA">
        <w:rPr>
          <w:noProof/>
        </w:rPr>
        <w:t>9</w:t>
      </w:r>
      <w:r w:rsidR="004F35AA">
        <w:t>.</w:t>
      </w:r>
      <w:r w:rsidR="004F35AA">
        <w:rPr>
          <w:noProof/>
        </w:rPr>
        <w:t>1</w:t>
      </w:r>
      <w:r>
        <w:fldChar w:fldCharType="end"/>
      </w:r>
      <w:r>
        <w:t xml:space="preserve"> sets out our draft decision on SP AusNet's service component parameter values. </w:t>
      </w:r>
    </w:p>
    <w:p w:rsidR="0088341A" w:rsidRDefault="0088341A" w:rsidP="0088341A">
      <w:pPr>
        <w:pStyle w:val="Caption"/>
        <w:keepLines/>
      </w:pPr>
      <w:bookmarkStart w:id="335" w:name="_Ref357435873"/>
      <w:r>
        <w:t xml:space="preserve">Table </w:t>
      </w:r>
      <w:fldSimple w:instr=" STYLEREF 1 \s ">
        <w:r w:rsidR="004F35AA">
          <w:rPr>
            <w:noProof/>
          </w:rPr>
          <w:t>9</w:t>
        </w:r>
      </w:fldSimple>
      <w:r w:rsidR="00C56A87">
        <w:t>.</w:t>
      </w:r>
      <w:fldSimple w:instr=" SEQ Table \* ARABIC \s 1 ">
        <w:r w:rsidR="004F35AA">
          <w:rPr>
            <w:noProof/>
          </w:rPr>
          <w:t>1</w:t>
        </w:r>
      </w:fldSimple>
      <w:bookmarkEnd w:id="335"/>
      <w:r>
        <w:tab/>
        <w:t>AER's draft decision on SP AusNet's parameter values and weightings for the service component of the STPIS</w:t>
      </w:r>
    </w:p>
    <w:tbl>
      <w:tblPr>
        <w:tblStyle w:val="AERtable-numbers"/>
        <w:tblW w:w="0" w:type="auto"/>
        <w:tblLook w:val="04A0" w:firstRow="1" w:lastRow="0" w:firstColumn="1" w:lastColumn="0" w:noHBand="0" w:noVBand="1"/>
      </w:tblPr>
      <w:tblGrid>
        <w:gridCol w:w="3085"/>
        <w:gridCol w:w="1539"/>
        <w:gridCol w:w="1539"/>
        <w:gridCol w:w="1539"/>
        <w:gridCol w:w="1540"/>
      </w:tblGrid>
      <w:tr w:rsidR="0088341A" w:rsidRPr="00682A64" w:rsidTr="00682A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682A64">
            <w:pPr>
              <w:pStyle w:val="AERtabletextleft"/>
            </w:pPr>
          </w:p>
        </w:tc>
        <w:tc>
          <w:tcPr>
            <w:tcW w:w="1539" w:type="dxa"/>
          </w:tcPr>
          <w:p w:rsidR="0088341A" w:rsidRPr="00682A64" w:rsidRDefault="0088341A" w:rsidP="00682A64">
            <w:pPr>
              <w:pStyle w:val="AERtabletextright"/>
              <w:cnfStyle w:val="100000000000" w:firstRow="1" w:lastRow="0" w:firstColumn="0" w:lastColumn="0" w:oddVBand="0" w:evenVBand="0" w:oddHBand="0" w:evenHBand="0" w:firstRowFirstColumn="0" w:firstRowLastColumn="0" w:lastRowFirstColumn="0" w:lastRowLastColumn="0"/>
            </w:pPr>
            <w:r w:rsidRPr="00682A64">
              <w:t>Collar</w:t>
            </w:r>
          </w:p>
        </w:tc>
        <w:tc>
          <w:tcPr>
            <w:tcW w:w="1539" w:type="dxa"/>
          </w:tcPr>
          <w:p w:rsidR="0088341A" w:rsidRPr="00682A64" w:rsidRDefault="0088341A" w:rsidP="00682A64">
            <w:pPr>
              <w:pStyle w:val="AERtabletextright"/>
              <w:cnfStyle w:val="100000000000" w:firstRow="1" w:lastRow="0" w:firstColumn="0" w:lastColumn="0" w:oddVBand="0" w:evenVBand="0" w:oddHBand="0" w:evenHBand="0" w:firstRowFirstColumn="0" w:firstRowLastColumn="0" w:lastRowFirstColumn="0" w:lastRowLastColumn="0"/>
            </w:pPr>
            <w:r w:rsidRPr="00682A64">
              <w:t>Target</w:t>
            </w:r>
          </w:p>
        </w:tc>
        <w:tc>
          <w:tcPr>
            <w:tcW w:w="1539" w:type="dxa"/>
          </w:tcPr>
          <w:p w:rsidR="0088341A" w:rsidRPr="00682A64" w:rsidRDefault="0088341A" w:rsidP="00682A64">
            <w:pPr>
              <w:pStyle w:val="AERtabletextright"/>
              <w:cnfStyle w:val="100000000000" w:firstRow="1" w:lastRow="0" w:firstColumn="0" w:lastColumn="0" w:oddVBand="0" w:evenVBand="0" w:oddHBand="0" w:evenHBand="0" w:firstRowFirstColumn="0" w:firstRowLastColumn="0" w:lastRowFirstColumn="0" w:lastRowLastColumn="0"/>
            </w:pPr>
            <w:r w:rsidRPr="00682A64">
              <w:t>Cap</w:t>
            </w:r>
          </w:p>
        </w:tc>
        <w:tc>
          <w:tcPr>
            <w:tcW w:w="1540" w:type="dxa"/>
          </w:tcPr>
          <w:p w:rsidR="0088341A" w:rsidRPr="00682A64" w:rsidRDefault="0088341A" w:rsidP="00682A64">
            <w:pPr>
              <w:pStyle w:val="AERtabletextright"/>
              <w:cnfStyle w:val="100000000000" w:firstRow="1" w:lastRow="0" w:firstColumn="0" w:lastColumn="0" w:oddVBand="0" w:evenVBand="0" w:oddHBand="0" w:evenHBand="0" w:firstRowFirstColumn="0" w:firstRowLastColumn="0" w:lastRowFirstColumn="0" w:lastRowLastColumn="0"/>
            </w:pPr>
            <w:r w:rsidRPr="00682A64">
              <w:t xml:space="preserve">Weighting </w:t>
            </w:r>
            <w:r w:rsidRPr="00682A64">
              <w:br/>
              <w:t>(% of MAR)</w:t>
            </w:r>
          </w:p>
        </w:tc>
      </w:tr>
      <w:tr w:rsidR="0088341A" w:rsidRPr="00682A64" w:rsidTr="00682A64">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682A64">
            <w:pPr>
              <w:pStyle w:val="AERtabletextleft"/>
            </w:pPr>
            <w:r w:rsidRPr="00682A64">
              <w:t>Average circuit outage rate (%)</w:t>
            </w:r>
          </w:p>
        </w:tc>
        <w:tc>
          <w:tcPr>
            <w:tcW w:w="1539" w:type="dxa"/>
          </w:tcPr>
          <w:p w:rsidR="0088341A" w:rsidRPr="00682A64" w:rsidRDefault="0088341A" w:rsidP="00682A64">
            <w:pPr>
              <w:pStyle w:val="AERtabletextright"/>
              <w:cnfStyle w:val="000000000000" w:firstRow="0" w:lastRow="0" w:firstColumn="0" w:lastColumn="0" w:oddVBand="0" w:evenVBand="0" w:oddHBand="0" w:evenHBand="0" w:firstRowFirstColumn="0" w:firstRowLastColumn="0" w:lastRowFirstColumn="0" w:lastRowLastColumn="0"/>
            </w:pPr>
          </w:p>
        </w:tc>
        <w:tc>
          <w:tcPr>
            <w:tcW w:w="1539" w:type="dxa"/>
          </w:tcPr>
          <w:p w:rsidR="0088341A" w:rsidRPr="00682A64" w:rsidRDefault="0088341A" w:rsidP="00682A64">
            <w:pPr>
              <w:pStyle w:val="AERtabletextright"/>
              <w:cnfStyle w:val="000000000000" w:firstRow="0" w:lastRow="0" w:firstColumn="0" w:lastColumn="0" w:oddVBand="0" w:evenVBand="0" w:oddHBand="0" w:evenHBand="0" w:firstRowFirstColumn="0" w:firstRowLastColumn="0" w:lastRowFirstColumn="0" w:lastRowLastColumn="0"/>
            </w:pPr>
          </w:p>
        </w:tc>
        <w:tc>
          <w:tcPr>
            <w:tcW w:w="1539" w:type="dxa"/>
          </w:tcPr>
          <w:p w:rsidR="0088341A" w:rsidRPr="00682A64" w:rsidRDefault="0088341A" w:rsidP="00682A64">
            <w:pPr>
              <w:pStyle w:val="AERtabletextright"/>
              <w:cnfStyle w:val="000000000000" w:firstRow="0" w:lastRow="0" w:firstColumn="0" w:lastColumn="0" w:oddVBand="0" w:evenVBand="0" w:oddHBand="0" w:evenHBand="0" w:firstRowFirstColumn="0" w:firstRowLastColumn="0" w:lastRowFirstColumn="0" w:lastRowLastColumn="0"/>
            </w:pPr>
          </w:p>
        </w:tc>
        <w:tc>
          <w:tcPr>
            <w:tcW w:w="1540" w:type="dxa"/>
          </w:tcPr>
          <w:p w:rsidR="0088341A" w:rsidRPr="00682A64" w:rsidRDefault="0088341A" w:rsidP="00682A64">
            <w:pPr>
              <w:pStyle w:val="AERtabletextright"/>
              <w:cnfStyle w:val="000000000000" w:firstRow="0" w:lastRow="0" w:firstColumn="0" w:lastColumn="0" w:oddVBand="0" w:evenVBand="0" w:oddHBand="0" w:evenHBand="0" w:firstRowFirstColumn="0" w:firstRowLastColumn="0" w:lastRowFirstColumn="0" w:lastRowLastColumn="0"/>
            </w:pPr>
            <w:r w:rsidRPr="00682A64">
              <w:t>0.2</w:t>
            </w:r>
          </w:p>
        </w:tc>
      </w:tr>
      <w:tr w:rsidR="0088341A" w:rsidRPr="00682A64" w:rsidTr="00682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682A64">
            <w:pPr>
              <w:pStyle w:val="AERtabletextleft"/>
            </w:pPr>
            <w:r w:rsidRPr="00682A64">
              <w:t>Line outage – fault</w:t>
            </w:r>
          </w:p>
        </w:tc>
        <w:tc>
          <w:tcPr>
            <w:tcW w:w="1539" w:type="dxa"/>
          </w:tcPr>
          <w:p w:rsidR="0088341A" w:rsidRPr="00682A64" w:rsidRDefault="0088341A" w:rsidP="00682A64">
            <w:pPr>
              <w:pStyle w:val="AERtabletextright"/>
              <w:cnfStyle w:val="000000010000" w:firstRow="0" w:lastRow="0" w:firstColumn="0" w:lastColumn="0" w:oddVBand="0" w:evenVBand="0" w:oddHBand="0" w:evenHBand="1" w:firstRowFirstColumn="0" w:firstRowLastColumn="0" w:lastRowFirstColumn="0" w:lastRowLastColumn="0"/>
            </w:pPr>
            <w:r w:rsidRPr="00682A64">
              <w:t>42.0%</w:t>
            </w:r>
          </w:p>
        </w:tc>
        <w:tc>
          <w:tcPr>
            <w:tcW w:w="1539" w:type="dxa"/>
          </w:tcPr>
          <w:p w:rsidR="0088341A" w:rsidRPr="00682A64" w:rsidRDefault="0088341A" w:rsidP="00682A64">
            <w:pPr>
              <w:pStyle w:val="AERtabletextright"/>
              <w:cnfStyle w:val="000000010000" w:firstRow="0" w:lastRow="0" w:firstColumn="0" w:lastColumn="0" w:oddVBand="0" w:evenVBand="0" w:oddHBand="0" w:evenHBand="1" w:firstRowFirstColumn="0" w:firstRowLastColumn="0" w:lastRowFirstColumn="0" w:lastRowLastColumn="0"/>
            </w:pPr>
            <w:r w:rsidRPr="00682A64">
              <w:t>25.9%</w:t>
            </w:r>
          </w:p>
        </w:tc>
        <w:tc>
          <w:tcPr>
            <w:tcW w:w="1539" w:type="dxa"/>
          </w:tcPr>
          <w:p w:rsidR="0088341A" w:rsidRPr="00682A64" w:rsidRDefault="0088341A" w:rsidP="00682A64">
            <w:pPr>
              <w:pStyle w:val="AERtabletextright"/>
              <w:cnfStyle w:val="000000010000" w:firstRow="0" w:lastRow="0" w:firstColumn="0" w:lastColumn="0" w:oddVBand="0" w:evenVBand="0" w:oddHBand="0" w:evenHBand="1" w:firstRowFirstColumn="0" w:firstRowLastColumn="0" w:lastRowFirstColumn="0" w:lastRowLastColumn="0"/>
            </w:pPr>
            <w:r w:rsidRPr="00682A64">
              <w:t>14.8%</w:t>
            </w:r>
          </w:p>
        </w:tc>
        <w:tc>
          <w:tcPr>
            <w:tcW w:w="1540" w:type="dxa"/>
          </w:tcPr>
          <w:p w:rsidR="0088341A" w:rsidRPr="00682A64" w:rsidRDefault="0088341A" w:rsidP="00682A64">
            <w:pPr>
              <w:pStyle w:val="AERtabletextright"/>
              <w:cnfStyle w:val="000000010000" w:firstRow="0" w:lastRow="0" w:firstColumn="0" w:lastColumn="0" w:oddVBand="0" w:evenVBand="0" w:oddHBand="0" w:evenHBand="1" w:firstRowFirstColumn="0" w:firstRowLastColumn="0" w:lastRowFirstColumn="0" w:lastRowLastColumn="0"/>
            </w:pPr>
            <w:r w:rsidRPr="00682A64">
              <w:t>0.2</w:t>
            </w:r>
          </w:p>
        </w:tc>
      </w:tr>
      <w:tr w:rsidR="0088341A" w:rsidRPr="00682A64" w:rsidTr="00682A64">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682A64">
            <w:pPr>
              <w:pStyle w:val="AERtabletextleft"/>
            </w:pPr>
            <w:r w:rsidRPr="00682A64">
              <w:t>Transformer outage – fault</w:t>
            </w:r>
          </w:p>
        </w:tc>
        <w:tc>
          <w:tcPr>
            <w:tcW w:w="1539" w:type="dxa"/>
          </w:tcPr>
          <w:p w:rsidR="0088341A" w:rsidRPr="00682A64" w:rsidRDefault="0088341A" w:rsidP="00682A64">
            <w:pPr>
              <w:pStyle w:val="AERtabletextright"/>
              <w:cnfStyle w:val="000000000000" w:firstRow="0" w:lastRow="0" w:firstColumn="0" w:lastColumn="0" w:oddVBand="0" w:evenVBand="0" w:oddHBand="0" w:evenHBand="0" w:firstRowFirstColumn="0" w:firstRowLastColumn="0" w:lastRowFirstColumn="0" w:lastRowLastColumn="0"/>
            </w:pPr>
            <w:r w:rsidRPr="00682A64">
              <w:t>31.7%</w:t>
            </w:r>
          </w:p>
        </w:tc>
        <w:tc>
          <w:tcPr>
            <w:tcW w:w="1539" w:type="dxa"/>
          </w:tcPr>
          <w:p w:rsidR="0088341A" w:rsidRPr="00682A64" w:rsidRDefault="0088341A" w:rsidP="00682A64">
            <w:pPr>
              <w:pStyle w:val="AERtabletextright"/>
              <w:cnfStyle w:val="000000000000" w:firstRow="0" w:lastRow="0" w:firstColumn="0" w:lastColumn="0" w:oddVBand="0" w:evenVBand="0" w:oddHBand="0" w:evenHBand="0" w:firstRowFirstColumn="0" w:firstRowLastColumn="0" w:lastRowFirstColumn="0" w:lastRowLastColumn="0"/>
            </w:pPr>
            <w:r w:rsidRPr="00682A64">
              <w:t>16.1%</w:t>
            </w:r>
          </w:p>
        </w:tc>
        <w:tc>
          <w:tcPr>
            <w:tcW w:w="1539" w:type="dxa"/>
          </w:tcPr>
          <w:p w:rsidR="0088341A" w:rsidRPr="00682A64" w:rsidRDefault="0088341A" w:rsidP="00682A64">
            <w:pPr>
              <w:pStyle w:val="AERtabletextright"/>
              <w:cnfStyle w:val="000000000000" w:firstRow="0" w:lastRow="0" w:firstColumn="0" w:lastColumn="0" w:oddVBand="0" w:evenVBand="0" w:oddHBand="0" w:evenHBand="0" w:firstRowFirstColumn="0" w:firstRowLastColumn="0" w:lastRowFirstColumn="0" w:lastRowLastColumn="0"/>
            </w:pPr>
            <w:r w:rsidRPr="00682A64">
              <w:t>7.4%</w:t>
            </w:r>
          </w:p>
        </w:tc>
        <w:tc>
          <w:tcPr>
            <w:tcW w:w="1540" w:type="dxa"/>
          </w:tcPr>
          <w:p w:rsidR="0088341A" w:rsidRPr="00682A64" w:rsidRDefault="0088341A" w:rsidP="00682A64">
            <w:pPr>
              <w:pStyle w:val="AERtabletextright"/>
              <w:cnfStyle w:val="000000000000" w:firstRow="0" w:lastRow="0" w:firstColumn="0" w:lastColumn="0" w:oddVBand="0" w:evenVBand="0" w:oddHBand="0" w:evenHBand="0" w:firstRowFirstColumn="0" w:firstRowLastColumn="0" w:lastRowFirstColumn="0" w:lastRowLastColumn="0"/>
            </w:pPr>
            <w:r w:rsidRPr="00682A64">
              <w:t>0.2</w:t>
            </w:r>
          </w:p>
        </w:tc>
      </w:tr>
      <w:tr w:rsidR="0088341A" w:rsidRPr="00682A64" w:rsidTr="00682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682A64">
            <w:pPr>
              <w:pStyle w:val="AERtabletextleft"/>
            </w:pPr>
            <w:r w:rsidRPr="00682A64">
              <w:t xml:space="preserve">Reactive plant – fault </w:t>
            </w:r>
          </w:p>
        </w:tc>
        <w:tc>
          <w:tcPr>
            <w:tcW w:w="1539" w:type="dxa"/>
          </w:tcPr>
          <w:p w:rsidR="0088341A" w:rsidRPr="00682A64" w:rsidRDefault="0088341A" w:rsidP="00682A64">
            <w:pPr>
              <w:pStyle w:val="AERtabletextright"/>
              <w:cnfStyle w:val="000000010000" w:firstRow="0" w:lastRow="0" w:firstColumn="0" w:lastColumn="0" w:oddVBand="0" w:evenVBand="0" w:oddHBand="0" w:evenHBand="1" w:firstRowFirstColumn="0" w:firstRowLastColumn="0" w:lastRowFirstColumn="0" w:lastRowLastColumn="0"/>
            </w:pPr>
            <w:r w:rsidRPr="00682A64">
              <w:t>43.8%</w:t>
            </w:r>
          </w:p>
        </w:tc>
        <w:tc>
          <w:tcPr>
            <w:tcW w:w="1539" w:type="dxa"/>
          </w:tcPr>
          <w:p w:rsidR="0088341A" w:rsidRPr="00682A64" w:rsidRDefault="0088341A" w:rsidP="00682A64">
            <w:pPr>
              <w:pStyle w:val="AERtabletextright"/>
              <w:cnfStyle w:val="000000010000" w:firstRow="0" w:lastRow="0" w:firstColumn="0" w:lastColumn="0" w:oddVBand="0" w:evenVBand="0" w:oddHBand="0" w:evenHBand="1" w:firstRowFirstColumn="0" w:firstRowLastColumn="0" w:lastRowFirstColumn="0" w:lastRowLastColumn="0"/>
            </w:pPr>
            <w:r w:rsidRPr="00682A64">
              <w:t>32.5%</w:t>
            </w:r>
          </w:p>
        </w:tc>
        <w:tc>
          <w:tcPr>
            <w:tcW w:w="1539" w:type="dxa"/>
          </w:tcPr>
          <w:p w:rsidR="0088341A" w:rsidRPr="00682A64" w:rsidRDefault="0088341A" w:rsidP="00682A64">
            <w:pPr>
              <w:pStyle w:val="AERtabletextright"/>
              <w:cnfStyle w:val="000000010000" w:firstRow="0" w:lastRow="0" w:firstColumn="0" w:lastColumn="0" w:oddVBand="0" w:evenVBand="0" w:oddHBand="0" w:evenHBand="1" w:firstRowFirstColumn="0" w:firstRowLastColumn="0" w:lastRowFirstColumn="0" w:lastRowLastColumn="0"/>
            </w:pPr>
            <w:r w:rsidRPr="00682A64">
              <w:t>23.4%</w:t>
            </w:r>
          </w:p>
        </w:tc>
        <w:tc>
          <w:tcPr>
            <w:tcW w:w="1540" w:type="dxa"/>
          </w:tcPr>
          <w:p w:rsidR="0088341A" w:rsidRPr="00682A64" w:rsidRDefault="0088341A" w:rsidP="00682A64">
            <w:pPr>
              <w:pStyle w:val="AERtabletextright"/>
              <w:cnfStyle w:val="000000010000" w:firstRow="0" w:lastRow="0" w:firstColumn="0" w:lastColumn="0" w:oddVBand="0" w:evenVBand="0" w:oddHBand="0" w:evenHBand="1" w:firstRowFirstColumn="0" w:firstRowLastColumn="0" w:lastRowFirstColumn="0" w:lastRowLastColumn="0"/>
            </w:pPr>
            <w:r w:rsidRPr="00682A64">
              <w:t>0.1</w:t>
            </w:r>
          </w:p>
        </w:tc>
      </w:tr>
      <w:tr w:rsidR="0088341A" w:rsidRPr="00682A64" w:rsidTr="00682A64">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682A64">
            <w:pPr>
              <w:pStyle w:val="AERtabletextleft"/>
            </w:pPr>
            <w:r w:rsidRPr="00682A64">
              <w:t>Line outage – forced outage</w:t>
            </w:r>
          </w:p>
        </w:tc>
        <w:tc>
          <w:tcPr>
            <w:tcW w:w="1539" w:type="dxa"/>
          </w:tcPr>
          <w:p w:rsidR="0088341A" w:rsidRPr="00682A64" w:rsidRDefault="0088341A" w:rsidP="00682A64">
            <w:pPr>
              <w:pStyle w:val="AERtabletextright"/>
              <w:cnfStyle w:val="000000000000" w:firstRow="0" w:lastRow="0" w:firstColumn="0" w:lastColumn="0" w:oddVBand="0" w:evenVBand="0" w:oddHBand="0" w:evenHBand="0" w:firstRowFirstColumn="0" w:firstRowLastColumn="0" w:lastRowFirstColumn="0" w:lastRowLastColumn="0"/>
            </w:pPr>
            <w:r w:rsidRPr="00682A64">
              <w:t>17.7%</w:t>
            </w:r>
          </w:p>
        </w:tc>
        <w:tc>
          <w:tcPr>
            <w:tcW w:w="1539" w:type="dxa"/>
          </w:tcPr>
          <w:p w:rsidR="0088341A" w:rsidRPr="00682A64" w:rsidRDefault="0088341A" w:rsidP="00682A64">
            <w:pPr>
              <w:pStyle w:val="AERtabletextright"/>
              <w:cnfStyle w:val="000000000000" w:firstRow="0" w:lastRow="0" w:firstColumn="0" w:lastColumn="0" w:oddVBand="0" w:evenVBand="0" w:oddHBand="0" w:evenHBand="0" w:firstRowFirstColumn="0" w:firstRowLastColumn="0" w:lastRowFirstColumn="0" w:lastRowLastColumn="0"/>
            </w:pPr>
            <w:r w:rsidRPr="00682A64">
              <w:t>14.9%</w:t>
            </w:r>
          </w:p>
        </w:tc>
        <w:tc>
          <w:tcPr>
            <w:tcW w:w="1539" w:type="dxa"/>
          </w:tcPr>
          <w:p w:rsidR="0088341A" w:rsidRPr="00682A64" w:rsidRDefault="0088341A" w:rsidP="00682A64">
            <w:pPr>
              <w:pStyle w:val="AERtabletextright"/>
              <w:cnfStyle w:val="000000000000" w:firstRow="0" w:lastRow="0" w:firstColumn="0" w:lastColumn="0" w:oddVBand="0" w:evenVBand="0" w:oddHBand="0" w:evenHBand="0" w:firstRowFirstColumn="0" w:firstRowLastColumn="0" w:lastRowFirstColumn="0" w:lastRowLastColumn="0"/>
            </w:pPr>
            <w:r w:rsidRPr="00682A64">
              <w:t>12.3%</w:t>
            </w:r>
          </w:p>
        </w:tc>
        <w:tc>
          <w:tcPr>
            <w:tcW w:w="1540" w:type="dxa"/>
          </w:tcPr>
          <w:p w:rsidR="0088341A" w:rsidRPr="00682A64" w:rsidRDefault="0088341A" w:rsidP="00682A64">
            <w:pPr>
              <w:pStyle w:val="AERtabletextright"/>
              <w:cnfStyle w:val="000000000000" w:firstRow="0" w:lastRow="0" w:firstColumn="0" w:lastColumn="0" w:oddVBand="0" w:evenVBand="0" w:oddHBand="0" w:evenHBand="0" w:firstRowFirstColumn="0" w:firstRowLastColumn="0" w:lastRowFirstColumn="0" w:lastRowLastColumn="0"/>
            </w:pPr>
            <w:r w:rsidRPr="00682A64">
              <w:t>0.0</w:t>
            </w:r>
          </w:p>
        </w:tc>
      </w:tr>
      <w:tr w:rsidR="0088341A" w:rsidRPr="00682A64" w:rsidTr="00682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682A64">
            <w:pPr>
              <w:pStyle w:val="AERtabletextleft"/>
            </w:pPr>
            <w:r w:rsidRPr="00682A64">
              <w:t>Transformer outage – forced outage</w:t>
            </w:r>
          </w:p>
        </w:tc>
        <w:tc>
          <w:tcPr>
            <w:tcW w:w="1539" w:type="dxa"/>
          </w:tcPr>
          <w:p w:rsidR="0088341A" w:rsidRPr="00682A64" w:rsidRDefault="0088341A" w:rsidP="00682A64">
            <w:pPr>
              <w:pStyle w:val="AERtabletextright"/>
              <w:cnfStyle w:val="000000010000" w:firstRow="0" w:lastRow="0" w:firstColumn="0" w:lastColumn="0" w:oddVBand="0" w:evenVBand="0" w:oddHBand="0" w:evenHBand="1" w:firstRowFirstColumn="0" w:firstRowLastColumn="0" w:lastRowFirstColumn="0" w:lastRowLastColumn="0"/>
            </w:pPr>
            <w:r w:rsidRPr="00682A64">
              <w:t>17.6%</w:t>
            </w:r>
          </w:p>
        </w:tc>
        <w:tc>
          <w:tcPr>
            <w:tcW w:w="1539" w:type="dxa"/>
          </w:tcPr>
          <w:p w:rsidR="0088341A" w:rsidRPr="00682A64" w:rsidRDefault="0088341A" w:rsidP="00682A64">
            <w:pPr>
              <w:pStyle w:val="AERtabletextright"/>
              <w:cnfStyle w:val="000000010000" w:firstRow="0" w:lastRow="0" w:firstColumn="0" w:lastColumn="0" w:oddVBand="0" w:evenVBand="0" w:oddHBand="0" w:evenHBand="1" w:firstRowFirstColumn="0" w:firstRowLastColumn="0" w:lastRowFirstColumn="0" w:lastRowLastColumn="0"/>
            </w:pPr>
            <w:r w:rsidRPr="00682A64">
              <w:t>12.0%</w:t>
            </w:r>
          </w:p>
        </w:tc>
        <w:tc>
          <w:tcPr>
            <w:tcW w:w="1539" w:type="dxa"/>
          </w:tcPr>
          <w:p w:rsidR="0088341A" w:rsidRPr="00682A64" w:rsidRDefault="0088341A" w:rsidP="00682A64">
            <w:pPr>
              <w:pStyle w:val="AERtabletextright"/>
              <w:cnfStyle w:val="000000010000" w:firstRow="0" w:lastRow="0" w:firstColumn="0" w:lastColumn="0" w:oddVBand="0" w:evenVBand="0" w:oddHBand="0" w:evenHBand="1" w:firstRowFirstColumn="0" w:firstRowLastColumn="0" w:lastRowFirstColumn="0" w:lastRowLastColumn="0"/>
            </w:pPr>
            <w:r w:rsidRPr="00682A64">
              <w:t>6.2%</w:t>
            </w:r>
          </w:p>
        </w:tc>
        <w:tc>
          <w:tcPr>
            <w:tcW w:w="1540" w:type="dxa"/>
          </w:tcPr>
          <w:p w:rsidR="0088341A" w:rsidRPr="00682A64" w:rsidRDefault="0088341A" w:rsidP="00682A64">
            <w:pPr>
              <w:pStyle w:val="AERtabletextright"/>
              <w:cnfStyle w:val="000000010000" w:firstRow="0" w:lastRow="0" w:firstColumn="0" w:lastColumn="0" w:oddVBand="0" w:evenVBand="0" w:oddHBand="0" w:evenHBand="1" w:firstRowFirstColumn="0" w:firstRowLastColumn="0" w:lastRowFirstColumn="0" w:lastRowLastColumn="0"/>
            </w:pPr>
            <w:r w:rsidRPr="00682A64">
              <w:t>0.0</w:t>
            </w:r>
          </w:p>
        </w:tc>
      </w:tr>
      <w:tr w:rsidR="0088341A" w:rsidRPr="00682A64" w:rsidTr="00682A64">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682A64">
            <w:pPr>
              <w:pStyle w:val="AERtabletextleft"/>
            </w:pPr>
            <w:r w:rsidRPr="00682A64">
              <w:t>Reactive plant – forced outage</w:t>
            </w:r>
          </w:p>
        </w:tc>
        <w:tc>
          <w:tcPr>
            <w:tcW w:w="1539" w:type="dxa"/>
          </w:tcPr>
          <w:p w:rsidR="0088341A" w:rsidRPr="00682A64" w:rsidRDefault="0088341A" w:rsidP="00682A64">
            <w:pPr>
              <w:pStyle w:val="AERtabletextright"/>
              <w:cnfStyle w:val="000000000000" w:firstRow="0" w:lastRow="0" w:firstColumn="0" w:lastColumn="0" w:oddVBand="0" w:evenVBand="0" w:oddHBand="0" w:evenHBand="0" w:firstRowFirstColumn="0" w:firstRowLastColumn="0" w:lastRowFirstColumn="0" w:lastRowLastColumn="0"/>
            </w:pPr>
            <w:r w:rsidRPr="00682A64">
              <w:t>28.3%</w:t>
            </w:r>
          </w:p>
        </w:tc>
        <w:tc>
          <w:tcPr>
            <w:tcW w:w="1539" w:type="dxa"/>
          </w:tcPr>
          <w:p w:rsidR="0088341A" w:rsidRPr="00682A64" w:rsidRDefault="0088341A" w:rsidP="00682A64">
            <w:pPr>
              <w:pStyle w:val="AERtabletextright"/>
              <w:cnfStyle w:val="000000000000" w:firstRow="0" w:lastRow="0" w:firstColumn="0" w:lastColumn="0" w:oddVBand="0" w:evenVBand="0" w:oddHBand="0" w:evenHBand="0" w:firstRowFirstColumn="0" w:firstRowLastColumn="0" w:lastRowFirstColumn="0" w:lastRowLastColumn="0"/>
            </w:pPr>
            <w:r w:rsidRPr="00682A64">
              <w:t>14.8%</w:t>
            </w:r>
          </w:p>
        </w:tc>
        <w:tc>
          <w:tcPr>
            <w:tcW w:w="1539" w:type="dxa"/>
          </w:tcPr>
          <w:p w:rsidR="0088341A" w:rsidRPr="00682A64" w:rsidRDefault="0088341A" w:rsidP="00682A64">
            <w:pPr>
              <w:pStyle w:val="AERtabletextright"/>
              <w:cnfStyle w:val="000000000000" w:firstRow="0" w:lastRow="0" w:firstColumn="0" w:lastColumn="0" w:oddVBand="0" w:evenVBand="0" w:oddHBand="0" w:evenHBand="0" w:firstRowFirstColumn="0" w:firstRowLastColumn="0" w:lastRowFirstColumn="0" w:lastRowLastColumn="0"/>
            </w:pPr>
            <w:r w:rsidRPr="00682A64">
              <w:t>3.7%</w:t>
            </w:r>
          </w:p>
        </w:tc>
        <w:tc>
          <w:tcPr>
            <w:tcW w:w="1540" w:type="dxa"/>
          </w:tcPr>
          <w:p w:rsidR="0088341A" w:rsidRPr="00682A64" w:rsidRDefault="0088341A" w:rsidP="00682A64">
            <w:pPr>
              <w:pStyle w:val="AERtabletextright"/>
              <w:cnfStyle w:val="000000000000" w:firstRow="0" w:lastRow="0" w:firstColumn="0" w:lastColumn="0" w:oddVBand="0" w:evenVBand="0" w:oddHBand="0" w:evenHBand="0" w:firstRowFirstColumn="0" w:firstRowLastColumn="0" w:lastRowFirstColumn="0" w:lastRowLastColumn="0"/>
            </w:pPr>
            <w:r w:rsidRPr="00682A64">
              <w:t>0.0</w:t>
            </w:r>
          </w:p>
        </w:tc>
      </w:tr>
      <w:tr w:rsidR="0088341A" w:rsidRPr="00682A64" w:rsidTr="00682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682A64">
            <w:pPr>
              <w:pStyle w:val="AERtabletextleft"/>
            </w:pPr>
            <w:r w:rsidRPr="00682A64">
              <w:t>Loss of supply event frequency</w:t>
            </w:r>
          </w:p>
        </w:tc>
        <w:tc>
          <w:tcPr>
            <w:tcW w:w="1539" w:type="dxa"/>
          </w:tcPr>
          <w:p w:rsidR="0088341A" w:rsidRPr="00682A64" w:rsidRDefault="0088341A" w:rsidP="00682A64">
            <w:pPr>
              <w:pStyle w:val="AERtabletextright"/>
              <w:cnfStyle w:val="000000010000" w:firstRow="0" w:lastRow="0" w:firstColumn="0" w:lastColumn="0" w:oddVBand="0" w:evenVBand="0" w:oddHBand="0" w:evenHBand="1" w:firstRowFirstColumn="0" w:firstRowLastColumn="0" w:lastRowFirstColumn="0" w:lastRowLastColumn="0"/>
            </w:pPr>
          </w:p>
        </w:tc>
        <w:tc>
          <w:tcPr>
            <w:tcW w:w="1539" w:type="dxa"/>
          </w:tcPr>
          <w:p w:rsidR="0088341A" w:rsidRPr="00682A64" w:rsidRDefault="0088341A" w:rsidP="00682A64">
            <w:pPr>
              <w:pStyle w:val="AERtabletextright"/>
              <w:cnfStyle w:val="000000010000" w:firstRow="0" w:lastRow="0" w:firstColumn="0" w:lastColumn="0" w:oddVBand="0" w:evenVBand="0" w:oddHBand="0" w:evenHBand="1" w:firstRowFirstColumn="0" w:firstRowLastColumn="0" w:lastRowFirstColumn="0" w:lastRowLastColumn="0"/>
            </w:pPr>
          </w:p>
        </w:tc>
        <w:tc>
          <w:tcPr>
            <w:tcW w:w="1539" w:type="dxa"/>
          </w:tcPr>
          <w:p w:rsidR="0088341A" w:rsidRPr="00682A64" w:rsidRDefault="0088341A" w:rsidP="00682A64">
            <w:pPr>
              <w:pStyle w:val="AERtabletextright"/>
              <w:cnfStyle w:val="000000010000" w:firstRow="0" w:lastRow="0" w:firstColumn="0" w:lastColumn="0" w:oddVBand="0" w:evenVBand="0" w:oddHBand="0" w:evenHBand="1" w:firstRowFirstColumn="0" w:firstRowLastColumn="0" w:lastRowFirstColumn="0" w:lastRowLastColumn="0"/>
            </w:pPr>
          </w:p>
        </w:tc>
        <w:tc>
          <w:tcPr>
            <w:tcW w:w="1540" w:type="dxa"/>
          </w:tcPr>
          <w:p w:rsidR="0088341A" w:rsidRPr="00682A64" w:rsidRDefault="0088341A" w:rsidP="00682A64">
            <w:pPr>
              <w:pStyle w:val="AERtabletextright"/>
              <w:cnfStyle w:val="000000010000" w:firstRow="0" w:lastRow="0" w:firstColumn="0" w:lastColumn="0" w:oddVBand="0" w:evenVBand="0" w:oddHBand="0" w:evenHBand="1" w:firstRowFirstColumn="0" w:firstRowLastColumn="0" w:lastRowFirstColumn="0" w:lastRowLastColumn="0"/>
            </w:pPr>
          </w:p>
        </w:tc>
      </w:tr>
      <w:tr w:rsidR="0088341A" w:rsidRPr="00682A64" w:rsidTr="00682A64">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682A64">
            <w:pPr>
              <w:pStyle w:val="AERtabletextleft"/>
            </w:pPr>
            <w:r w:rsidRPr="00682A64">
              <w:t>&gt;0.05 system minutes</w:t>
            </w:r>
          </w:p>
        </w:tc>
        <w:tc>
          <w:tcPr>
            <w:tcW w:w="1539" w:type="dxa"/>
          </w:tcPr>
          <w:p w:rsidR="0088341A" w:rsidRPr="00682A64" w:rsidRDefault="0088341A" w:rsidP="00682A64">
            <w:pPr>
              <w:pStyle w:val="AERtabletextright"/>
              <w:cnfStyle w:val="000000000000" w:firstRow="0" w:lastRow="0" w:firstColumn="0" w:lastColumn="0" w:oddVBand="0" w:evenVBand="0" w:oddHBand="0" w:evenHBand="0" w:firstRowFirstColumn="0" w:firstRowLastColumn="0" w:lastRowFirstColumn="0" w:lastRowLastColumn="0"/>
            </w:pPr>
            <w:r w:rsidRPr="00682A64">
              <w:t>6</w:t>
            </w:r>
          </w:p>
        </w:tc>
        <w:tc>
          <w:tcPr>
            <w:tcW w:w="1539" w:type="dxa"/>
          </w:tcPr>
          <w:p w:rsidR="0088341A" w:rsidRPr="00682A64" w:rsidRDefault="0088341A" w:rsidP="00682A64">
            <w:pPr>
              <w:pStyle w:val="AERtabletextright"/>
              <w:cnfStyle w:val="000000000000" w:firstRow="0" w:lastRow="0" w:firstColumn="0" w:lastColumn="0" w:oddVBand="0" w:evenVBand="0" w:oddHBand="0" w:evenHBand="0" w:firstRowFirstColumn="0" w:firstRowLastColumn="0" w:lastRowFirstColumn="0" w:lastRowLastColumn="0"/>
            </w:pPr>
            <w:r w:rsidRPr="00682A64">
              <w:t>2</w:t>
            </w:r>
          </w:p>
        </w:tc>
        <w:tc>
          <w:tcPr>
            <w:tcW w:w="1539" w:type="dxa"/>
          </w:tcPr>
          <w:p w:rsidR="0088341A" w:rsidRPr="00682A64" w:rsidRDefault="0088341A" w:rsidP="00682A64">
            <w:pPr>
              <w:pStyle w:val="AERtabletextright"/>
              <w:cnfStyle w:val="000000000000" w:firstRow="0" w:lastRow="0" w:firstColumn="0" w:lastColumn="0" w:oddVBand="0" w:evenVBand="0" w:oddHBand="0" w:evenHBand="0" w:firstRowFirstColumn="0" w:firstRowLastColumn="0" w:lastRowFirstColumn="0" w:lastRowLastColumn="0"/>
            </w:pPr>
            <w:r w:rsidRPr="00682A64">
              <w:t>0</w:t>
            </w:r>
          </w:p>
        </w:tc>
        <w:tc>
          <w:tcPr>
            <w:tcW w:w="1540" w:type="dxa"/>
          </w:tcPr>
          <w:p w:rsidR="0088341A" w:rsidRPr="00682A64" w:rsidRDefault="0088341A" w:rsidP="00682A64">
            <w:pPr>
              <w:pStyle w:val="AERtabletextright"/>
              <w:cnfStyle w:val="000000000000" w:firstRow="0" w:lastRow="0" w:firstColumn="0" w:lastColumn="0" w:oddVBand="0" w:evenVBand="0" w:oddHBand="0" w:evenHBand="0" w:firstRowFirstColumn="0" w:firstRowLastColumn="0" w:lastRowFirstColumn="0" w:lastRowLastColumn="0"/>
            </w:pPr>
            <w:r w:rsidRPr="00682A64">
              <w:t>0.15</w:t>
            </w:r>
          </w:p>
        </w:tc>
      </w:tr>
      <w:tr w:rsidR="0088341A" w:rsidRPr="00682A64" w:rsidTr="00682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682A64">
            <w:pPr>
              <w:pStyle w:val="AERtabletextleft"/>
            </w:pPr>
            <w:r w:rsidRPr="00682A64">
              <w:t>&gt;0.3 system minutes</w:t>
            </w:r>
          </w:p>
        </w:tc>
        <w:tc>
          <w:tcPr>
            <w:tcW w:w="1539" w:type="dxa"/>
          </w:tcPr>
          <w:p w:rsidR="0088341A" w:rsidRPr="00682A64" w:rsidRDefault="0088341A" w:rsidP="00682A64">
            <w:pPr>
              <w:pStyle w:val="AERtabletextright"/>
              <w:cnfStyle w:val="000000010000" w:firstRow="0" w:lastRow="0" w:firstColumn="0" w:lastColumn="0" w:oddVBand="0" w:evenVBand="0" w:oddHBand="0" w:evenHBand="1" w:firstRowFirstColumn="0" w:firstRowLastColumn="0" w:lastRowFirstColumn="0" w:lastRowLastColumn="0"/>
            </w:pPr>
            <w:r w:rsidRPr="00682A64">
              <w:t>2</w:t>
            </w:r>
          </w:p>
        </w:tc>
        <w:tc>
          <w:tcPr>
            <w:tcW w:w="1539" w:type="dxa"/>
          </w:tcPr>
          <w:p w:rsidR="0088341A" w:rsidRPr="00682A64" w:rsidRDefault="0088341A" w:rsidP="00682A64">
            <w:pPr>
              <w:pStyle w:val="AERtabletextright"/>
              <w:cnfStyle w:val="000000010000" w:firstRow="0" w:lastRow="0" w:firstColumn="0" w:lastColumn="0" w:oddVBand="0" w:evenVBand="0" w:oddHBand="0" w:evenHBand="1" w:firstRowFirstColumn="0" w:firstRowLastColumn="0" w:lastRowFirstColumn="0" w:lastRowLastColumn="0"/>
            </w:pPr>
            <w:r w:rsidRPr="00682A64">
              <w:t>1</w:t>
            </w:r>
          </w:p>
        </w:tc>
        <w:tc>
          <w:tcPr>
            <w:tcW w:w="1539" w:type="dxa"/>
          </w:tcPr>
          <w:p w:rsidR="0088341A" w:rsidRPr="00682A64" w:rsidRDefault="0088341A" w:rsidP="00682A64">
            <w:pPr>
              <w:pStyle w:val="AERtabletextright"/>
              <w:cnfStyle w:val="000000010000" w:firstRow="0" w:lastRow="0" w:firstColumn="0" w:lastColumn="0" w:oddVBand="0" w:evenVBand="0" w:oddHBand="0" w:evenHBand="1" w:firstRowFirstColumn="0" w:firstRowLastColumn="0" w:lastRowFirstColumn="0" w:lastRowLastColumn="0"/>
            </w:pPr>
            <w:r w:rsidRPr="00682A64">
              <w:t>0</w:t>
            </w:r>
          </w:p>
        </w:tc>
        <w:tc>
          <w:tcPr>
            <w:tcW w:w="1540" w:type="dxa"/>
          </w:tcPr>
          <w:p w:rsidR="0088341A" w:rsidRPr="00682A64" w:rsidRDefault="0088341A" w:rsidP="00682A64">
            <w:pPr>
              <w:pStyle w:val="AERtabletextright"/>
              <w:cnfStyle w:val="000000010000" w:firstRow="0" w:lastRow="0" w:firstColumn="0" w:lastColumn="0" w:oddVBand="0" w:evenVBand="0" w:oddHBand="0" w:evenHBand="1" w:firstRowFirstColumn="0" w:firstRowLastColumn="0" w:lastRowFirstColumn="0" w:lastRowLastColumn="0"/>
            </w:pPr>
            <w:r w:rsidRPr="00682A64">
              <w:t>0.15</w:t>
            </w:r>
          </w:p>
        </w:tc>
      </w:tr>
      <w:tr w:rsidR="0088341A" w:rsidRPr="00682A64" w:rsidTr="00682A64">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682A64">
            <w:pPr>
              <w:pStyle w:val="AERtabletextleft"/>
            </w:pPr>
            <w:r w:rsidRPr="00682A64">
              <w:t>Average outage duration</w:t>
            </w:r>
          </w:p>
        </w:tc>
        <w:tc>
          <w:tcPr>
            <w:tcW w:w="1539" w:type="dxa"/>
          </w:tcPr>
          <w:p w:rsidR="0088341A" w:rsidRPr="00682A64" w:rsidRDefault="0088341A" w:rsidP="00682A64">
            <w:pPr>
              <w:pStyle w:val="AERtabletextright"/>
              <w:cnfStyle w:val="000000000000" w:firstRow="0" w:lastRow="0" w:firstColumn="0" w:lastColumn="0" w:oddVBand="0" w:evenVBand="0" w:oddHBand="0" w:evenHBand="0" w:firstRowFirstColumn="0" w:firstRowLastColumn="0" w:lastRowFirstColumn="0" w:lastRowLastColumn="0"/>
            </w:pPr>
          </w:p>
        </w:tc>
        <w:tc>
          <w:tcPr>
            <w:tcW w:w="1539" w:type="dxa"/>
          </w:tcPr>
          <w:p w:rsidR="0088341A" w:rsidRPr="00682A64" w:rsidRDefault="0088341A" w:rsidP="00682A64">
            <w:pPr>
              <w:pStyle w:val="AERtabletextright"/>
              <w:cnfStyle w:val="000000000000" w:firstRow="0" w:lastRow="0" w:firstColumn="0" w:lastColumn="0" w:oddVBand="0" w:evenVBand="0" w:oddHBand="0" w:evenHBand="0" w:firstRowFirstColumn="0" w:firstRowLastColumn="0" w:lastRowFirstColumn="0" w:lastRowLastColumn="0"/>
            </w:pPr>
          </w:p>
        </w:tc>
        <w:tc>
          <w:tcPr>
            <w:tcW w:w="1539" w:type="dxa"/>
          </w:tcPr>
          <w:p w:rsidR="0088341A" w:rsidRPr="00682A64" w:rsidRDefault="0088341A" w:rsidP="00682A64">
            <w:pPr>
              <w:pStyle w:val="AERtabletextright"/>
              <w:cnfStyle w:val="000000000000" w:firstRow="0" w:lastRow="0" w:firstColumn="0" w:lastColumn="0" w:oddVBand="0" w:evenVBand="0" w:oddHBand="0" w:evenHBand="0" w:firstRowFirstColumn="0" w:firstRowLastColumn="0" w:lastRowFirstColumn="0" w:lastRowLastColumn="0"/>
            </w:pPr>
          </w:p>
        </w:tc>
        <w:tc>
          <w:tcPr>
            <w:tcW w:w="1540" w:type="dxa"/>
          </w:tcPr>
          <w:p w:rsidR="0088341A" w:rsidRPr="00682A64" w:rsidRDefault="0088341A" w:rsidP="00682A64">
            <w:pPr>
              <w:pStyle w:val="AERtabletextright"/>
              <w:cnfStyle w:val="000000000000" w:firstRow="0" w:lastRow="0" w:firstColumn="0" w:lastColumn="0" w:oddVBand="0" w:evenVBand="0" w:oddHBand="0" w:evenHBand="0" w:firstRowFirstColumn="0" w:firstRowLastColumn="0" w:lastRowFirstColumn="0" w:lastRowLastColumn="0"/>
            </w:pPr>
          </w:p>
        </w:tc>
      </w:tr>
      <w:tr w:rsidR="0088341A" w:rsidRPr="00682A64" w:rsidTr="00682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682A64">
            <w:pPr>
              <w:pStyle w:val="AERtabletextleft"/>
            </w:pPr>
            <w:r w:rsidRPr="00682A64">
              <w:t>Average outage duration</w:t>
            </w:r>
          </w:p>
        </w:tc>
        <w:tc>
          <w:tcPr>
            <w:tcW w:w="1539" w:type="dxa"/>
          </w:tcPr>
          <w:p w:rsidR="0088341A" w:rsidRPr="00682A64" w:rsidRDefault="0088341A" w:rsidP="00682A64">
            <w:pPr>
              <w:pStyle w:val="AERtabletextright"/>
              <w:cnfStyle w:val="000000010000" w:firstRow="0" w:lastRow="0" w:firstColumn="0" w:lastColumn="0" w:oddVBand="0" w:evenVBand="0" w:oddHBand="0" w:evenHBand="1" w:firstRowFirstColumn="0" w:firstRowLastColumn="0" w:lastRowFirstColumn="0" w:lastRowLastColumn="0"/>
            </w:pPr>
            <w:r w:rsidRPr="00682A64">
              <w:t>293.5</w:t>
            </w:r>
          </w:p>
        </w:tc>
        <w:tc>
          <w:tcPr>
            <w:tcW w:w="1539" w:type="dxa"/>
          </w:tcPr>
          <w:p w:rsidR="0088341A" w:rsidRPr="00682A64" w:rsidRDefault="0088341A" w:rsidP="00682A64">
            <w:pPr>
              <w:pStyle w:val="AERtabletextright"/>
              <w:cnfStyle w:val="000000010000" w:firstRow="0" w:lastRow="0" w:firstColumn="0" w:lastColumn="0" w:oddVBand="0" w:evenVBand="0" w:oddHBand="0" w:evenHBand="1" w:firstRowFirstColumn="0" w:firstRowLastColumn="0" w:lastRowFirstColumn="0" w:lastRowLastColumn="0"/>
            </w:pPr>
            <w:r w:rsidRPr="00682A64">
              <w:t>98.0</w:t>
            </w:r>
          </w:p>
        </w:tc>
        <w:tc>
          <w:tcPr>
            <w:tcW w:w="1539" w:type="dxa"/>
          </w:tcPr>
          <w:p w:rsidR="0088341A" w:rsidRPr="00682A64" w:rsidRDefault="0088341A" w:rsidP="00682A64">
            <w:pPr>
              <w:pStyle w:val="AERtabletextright"/>
              <w:cnfStyle w:val="000000010000" w:firstRow="0" w:lastRow="0" w:firstColumn="0" w:lastColumn="0" w:oddVBand="0" w:evenVBand="0" w:oddHBand="0" w:evenHBand="1" w:firstRowFirstColumn="0" w:firstRowLastColumn="0" w:lastRowFirstColumn="0" w:lastRowLastColumn="0"/>
            </w:pPr>
            <w:r w:rsidRPr="00682A64">
              <w:t>5</w:t>
            </w:r>
          </w:p>
        </w:tc>
        <w:tc>
          <w:tcPr>
            <w:tcW w:w="1540" w:type="dxa"/>
          </w:tcPr>
          <w:p w:rsidR="0088341A" w:rsidRPr="00682A64" w:rsidRDefault="0088341A" w:rsidP="00682A64">
            <w:pPr>
              <w:pStyle w:val="AERtabletextright"/>
              <w:cnfStyle w:val="000000010000" w:firstRow="0" w:lastRow="0" w:firstColumn="0" w:lastColumn="0" w:oddVBand="0" w:evenVBand="0" w:oddHBand="0" w:evenHBand="1" w:firstRowFirstColumn="0" w:firstRowLastColumn="0" w:lastRowFirstColumn="0" w:lastRowLastColumn="0"/>
            </w:pPr>
            <w:r w:rsidRPr="00682A64">
              <w:t>0.2</w:t>
            </w:r>
          </w:p>
        </w:tc>
      </w:tr>
      <w:tr w:rsidR="0088341A" w:rsidRPr="00682A64" w:rsidTr="00682A64">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682A64">
            <w:pPr>
              <w:pStyle w:val="AERtabletextleft"/>
            </w:pPr>
            <w:r w:rsidRPr="00682A64">
              <w:t>Proper operation of equipment</w:t>
            </w:r>
          </w:p>
        </w:tc>
        <w:tc>
          <w:tcPr>
            <w:tcW w:w="1539" w:type="dxa"/>
          </w:tcPr>
          <w:p w:rsidR="0088341A" w:rsidRPr="00682A64" w:rsidRDefault="0088341A" w:rsidP="00682A64">
            <w:pPr>
              <w:pStyle w:val="AERtabletextright"/>
              <w:cnfStyle w:val="000000000000" w:firstRow="0" w:lastRow="0" w:firstColumn="0" w:lastColumn="0" w:oddVBand="0" w:evenVBand="0" w:oddHBand="0" w:evenHBand="0" w:firstRowFirstColumn="0" w:firstRowLastColumn="0" w:lastRowFirstColumn="0" w:lastRowLastColumn="0"/>
            </w:pPr>
          </w:p>
        </w:tc>
        <w:tc>
          <w:tcPr>
            <w:tcW w:w="1539" w:type="dxa"/>
          </w:tcPr>
          <w:p w:rsidR="0088341A" w:rsidRPr="00682A64" w:rsidRDefault="0088341A" w:rsidP="00682A64">
            <w:pPr>
              <w:pStyle w:val="AERtabletextright"/>
              <w:cnfStyle w:val="000000000000" w:firstRow="0" w:lastRow="0" w:firstColumn="0" w:lastColumn="0" w:oddVBand="0" w:evenVBand="0" w:oddHBand="0" w:evenHBand="0" w:firstRowFirstColumn="0" w:firstRowLastColumn="0" w:lastRowFirstColumn="0" w:lastRowLastColumn="0"/>
            </w:pPr>
          </w:p>
        </w:tc>
        <w:tc>
          <w:tcPr>
            <w:tcW w:w="1539" w:type="dxa"/>
          </w:tcPr>
          <w:p w:rsidR="0088341A" w:rsidRPr="00682A64" w:rsidRDefault="0088341A" w:rsidP="00682A64">
            <w:pPr>
              <w:pStyle w:val="AERtabletextright"/>
              <w:cnfStyle w:val="000000000000" w:firstRow="0" w:lastRow="0" w:firstColumn="0" w:lastColumn="0" w:oddVBand="0" w:evenVBand="0" w:oddHBand="0" w:evenHBand="0" w:firstRowFirstColumn="0" w:firstRowLastColumn="0" w:lastRowFirstColumn="0" w:lastRowLastColumn="0"/>
            </w:pPr>
          </w:p>
        </w:tc>
        <w:tc>
          <w:tcPr>
            <w:tcW w:w="1540" w:type="dxa"/>
          </w:tcPr>
          <w:p w:rsidR="0088341A" w:rsidRPr="00682A64" w:rsidRDefault="0088341A" w:rsidP="00682A64">
            <w:pPr>
              <w:pStyle w:val="AERtabletextright"/>
              <w:cnfStyle w:val="000000000000" w:firstRow="0" w:lastRow="0" w:firstColumn="0" w:lastColumn="0" w:oddVBand="0" w:evenVBand="0" w:oddHBand="0" w:evenHBand="0" w:firstRowFirstColumn="0" w:firstRowLastColumn="0" w:lastRowFirstColumn="0" w:lastRowLastColumn="0"/>
            </w:pPr>
          </w:p>
        </w:tc>
      </w:tr>
      <w:tr w:rsidR="0088341A" w:rsidRPr="00682A64" w:rsidTr="00682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682A64">
            <w:pPr>
              <w:pStyle w:val="AERtabletextleft"/>
            </w:pPr>
            <w:r w:rsidRPr="00682A64">
              <w:t>Failure of protection system</w:t>
            </w:r>
          </w:p>
        </w:tc>
        <w:tc>
          <w:tcPr>
            <w:tcW w:w="1539" w:type="dxa"/>
          </w:tcPr>
          <w:p w:rsidR="0088341A" w:rsidRPr="00682A64" w:rsidRDefault="0088341A" w:rsidP="00682A64">
            <w:pPr>
              <w:pStyle w:val="AERtabletextright"/>
              <w:cnfStyle w:val="000000010000" w:firstRow="0" w:lastRow="0" w:firstColumn="0" w:lastColumn="0" w:oddVBand="0" w:evenVBand="0" w:oddHBand="0" w:evenHBand="1" w:firstRowFirstColumn="0" w:firstRowLastColumn="0" w:lastRowFirstColumn="0" w:lastRowLastColumn="0"/>
            </w:pPr>
            <w:r w:rsidRPr="00682A64">
              <w:t>n/a</w:t>
            </w:r>
          </w:p>
        </w:tc>
        <w:tc>
          <w:tcPr>
            <w:tcW w:w="1539" w:type="dxa"/>
          </w:tcPr>
          <w:p w:rsidR="0088341A" w:rsidRPr="00682A64" w:rsidRDefault="0088341A" w:rsidP="00682A64">
            <w:pPr>
              <w:pStyle w:val="AERtabletextright"/>
              <w:cnfStyle w:val="000000010000" w:firstRow="0" w:lastRow="0" w:firstColumn="0" w:lastColumn="0" w:oddVBand="0" w:evenVBand="0" w:oddHBand="0" w:evenHBand="1" w:firstRowFirstColumn="0" w:firstRowLastColumn="0" w:lastRowFirstColumn="0" w:lastRowLastColumn="0"/>
            </w:pPr>
            <w:r w:rsidRPr="00682A64">
              <w:t>n/a</w:t>
            </w:r>
          </w:p>
        </w:tc>
        <w:tc>
          <w:tcPr>
            <w:tcW w:w="1539" w:type="dxa"/>
          </w:tcPr>
          <w:p w:rsidR="0088341A" w:rsidRPr="00682A64" w:rsidRDefault="0088341A" w:rsidP="00682A64">
            <w:pPr>
              <w:pStyle w:val="AERtabletextright"/>
              <w:cnfStyle w:val="000000010000" w:firstRow="0" w:lastRow="0" w:firstColumn="0" w:lastColumn="0" w:oddVBand="0" w:evenVBand="0" w:oddHBand="0" w:evenHBand="1" w:firstRowFirstColumn="0" w:firstRowLastColumn="0" w:lastRowFirstColumn="0" w:lastRowLastColumn="0"/>
            </w:pPr>
            <w:r w:rsidRPr="00682A64">
              <w:t>n/a</w:t>
            </w:r>
          </w:p>
        </w:tc>
        <w:tc>
          <w:tcPr>
            <w:tcW w:w="1540" w:type="dxa"/>
          </w:tcPr>
          <w:p w:rsidR="0088341A" w:rsidRPr="00682A64" w:rsidRDefault="0088341A" w:rsidP="00682A64">
            <w:pPr>
              <w:pStyle w:val="AERtabletextright"/>
              <w:cnfStyle w:val="000000010000" w:firstRow="0" w:lastRow="0" w:firstColumn="0" w:lastColumn="0" w:oddVBand="0" w:evenVBand="0" w:oddHBand="0" w:evenHBand="1" w:firstRowFirstColumn="0" w:firstRowLastColumn="0" w:lastRowFirstColumn="0" w:lastRowLastColumn="0"/>
            </w:pPr>
            <w:r w:rsidRPr="00682A64">
              <w:t>0.0</w:t>
            </w:r>
          </w:p>
        </w:tc>
      </w:tr>
      <w:tr w:rsidR="0088341A" w:rsidRPr="00682A64" w:rsidTr="00682A64">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682A64">
            <w:pPr>
              <w:pStyle w:val="AERtabletextleft"/>
            </w:pPr>
            <w:r w:rsidRPr="00682A64">
              <w:t>Material failure of SCADA</w:t>
            </w:r>
          </w:p>
        </w:tc>
        <w:tc>
          <w:tcPr>
            <w:tcW w:w="1539" w:type="dxa"/>
          </w:tcPr>
          <w:p w:rsidR="0088341A" w:rsidRPr="00682A64" w:rsidRDefault="0088341A" w:rsidP="00682A64">
            <w:pPr>
              <w:pStyle w:val="AERtabletextright"/>
              <w:cnfStyle w:val="000000000000" w:firstRow="0" w:lastRow="0" w:firstColumn="0" w:lastColumn="0" w:oddVBand="0" w:evenVBand="0" w:oddHBand="0" w:evenHBand="0" w:firstRowFirstColumn="0" w:firstRowLastColumn="0" w:lastRowFirstColumn="0" w:lastRowLastColumn="0"/>
            </w:pPr>
            <w:r w:rsidRPr="00682A64">
              <w:t>2</w:t>
            </w:r>
          </w:p>
        </w:tc>
        <w:tc>
          <w:tcPr>
            <w:tcW w:w="1539" w:type="dxa"/>
          </w:tcPr>
          <w:p w:rsidR="0088341A" w:rsidRPr="00682A64" w:rsidRDefault="0088341A" w:rsidP="00682A64">
            <w:pPr>
              <w:pStyle w:val="AERtabletextright"/>
              <w:cnfStyle w:val="000000000000" w:firstRow="0" w:lastRow="0" w:firstColumn="0" w:lastColumn="0" w:oddVBand="0" w:evenVBand="0" w:oddHBand="0" w:evenHBand="0" w:firstRowFirstColumn="0" w:firstRowLastColumn="0" w:lastRowFirstColumn="0" w:lastRowLastColumn="0"/>
            </w:pPr>
            <w:r w:rsidRPr="00682A64">
              <w:t>1</w:t>
            </w:r>
          </w:p>
        </w:tc>
        <w:tc>
          <w:tcPr>
            <w:tcW w:w="1539" w:type="dxa"/>
          </w:tcPr>
          <w:p w:rsidR="0088341A" w:rsidRPr="00682A64" w:rsidRDefault="0088341A" w:rsidP="00682A64">
            <w:pPr>
              <w:pStyle w:val="AERtabletextright"/>
              <w:cnfStyle w:val="000000000000" w:firstRow="0" w:lastRow="0" w:firstColumn="0" w:lastColumn="0" w:oddVBand="0" w:evenVBand="0" w:oddHBand="0" w:evenHBand="0" w:firstRowFirstColumn="0" w:firstRowLastColumn="0" w:lastRowFirstColumn="0" w:lastRowLastColumn="0"/>
            </w:pPr>
            <w:r w:rsidRPr="00682A64">
              <w:t>0</w:t>
            </w:r>
          </w:p>
        </w:tc>
        <w:tc>
          <w:tcPr>
            <w:tcW w:w="1540" w:type="dxa"/>
          </w:tcPr>
          <w:p w:rsidR="0088341A" w:rsidRPr="00682A64" w:rsidRDefault="0088341A" w:rsidP="00682A64">
            <w:pPr>
              <w:pStyle w:val="AERtabletextright"/>
              <w:cnfStyle w:val="000000000000" w:firstRow="0" w:lastRow="0" w:firstColumn="0" w:lastColumn="0" w:oddVBand="0" w:evenVBand="0" w:oddHBand="0" w:evenHBand="0" w:firstRowFirstColumn="0" w:firstRowLastColumn="0" w:lastRowFirstColumn="0" w:lastRowLastColumn="0"/>
            </w:pPr>
            <w:r w:rsidRPr="00682A64">
              <w:t>0.0</w:t>
            </w:r>
          </w:p>
        </w:tc>
      </w:tr>
      <w:tr w:rsidR="0088341A" w:rsidRPr="00682A64" w:rsidTr="00682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682A64">
            <w:pPr>
              <w:pStyle w:val="AERtabletextleft"/>
            </w:pPr>
            <w:r w:rsidRPr="00682A64">
              <w:t>Incorrect operational isolation of primary or secondary equipment</w:t>
            </w:r>
          </w:p>
        </w:tc>
        <w:tc>
          <w:tcPr>
            <w:tcW w:w="1539" w:type="dxa"/>
          </w:tcPr>
          <w:p w:rsidR="0088341A" w:rsidRPr="00682A64" w:rsidRDefault="0088341A" w:rsidP="00682A64">
            <w:pPr>
              <w:pStyle w:val="AERtabletextright"/>
              <w:cnfStyle w:val="000000010000" w:firstRow="0" w:lastRow="0" w:firstColumn="0" w:lastColumn="0" w:oddVBand="0" w:evenVBand="0" w:oddHBand="0" w:evenHBand="1" w:firstRowFirstColumn="0" w:firstRowLastColumn="0" w:lastRowFirstColumn="0" w:lastRowLastColumn="0"/>
            </w:pPr>
            <w:r w:rsidRPr="00682A64">
              <w:t>n/a</w:t>
            </w:r>
          </w:p>
        </w:tc>
        <w:tc>
          <w:tcPr>
            <w:tcW w:w="1539" w:type="dxa"/>
          </w:tcPr>
          <w:p w:rsidR="0088341A" w:rsidRPr="00682A64" w:rsidRDefault="0088341A" w:rsidP="00682A64">
            <w:pPr>
              <w:pStyle w:val="AERtabletextright"/>
              <w:cnfStyle w:val="000000010000" w:firstRow="0" w:lastRow="0" w:firstColumn="0" w:lastColumn="0" w:oddVBand="0" w:evenVBand="0" w:oddHBand="0" w:evenHBand="1" w:firstRowFirstColumn="0" w:firstRowLastColumn="0" w:lastRowFirstColumn="0" w:lastRowLastColumn="0"/>
            </w:pPr>
            <w:r w:rsidRPr="00682A64">
              <w:t>n/a</w:t>
            </w:r>
          </w:p>
        </w:tc>
        <w:tc>
          <w:tcPr>
            <w:tcW w:w="1539" w:type="dxa"/>
          </w:tcPr>
          <w:p w:rsidR="0088341A" w:rsidRPr="00682A64" w:rsidRDefault="0088341A" w:rsidP="00682A64">
            <w:pPr>
              <w:pStyle w:val="AERtabletextright"/>
              <w:cnfStyle w:val="000000010000" w:firstRow="0" w:lastRow="0" w:firstColumn="0" w:lastColumn="0" w:oddVBand="0" w:evenVBand="0" w:oddHBand="0" w:evenHBand="1" w:firstRowFirstColumn="0" w:firstRowLastColumn="0" w:lastRowFirstColumn="0" w:lastRowLastColumn="0"/>
            </w:pPr>
            <w:r w:rsidRPr="00682A64">
              <w:t>n/a</w:t>
            </w:r>
          </w:p>
        </w:tc>
        <w:tc>
          <w:tcPr>
            <w:tcW w:w="1540" w:type="dxa"/>
          </w:tcPr>
          <w:p w:rsidR="0088341A" w:rsidRPr="00682A64" w:rsidRDefault="0088341A" w:rsidP="00682A64">
            <w:pPr>
              <w:pStyle w:val="AERtabletextright"/>
              <w:cnfStyle w:val="000000010000" w:firstRow="0" w:lastRow="0" w:firstColumn="0" w:lastColumn="0" w:oddVBand="0" w:evenVBand="0" w:oddHBand="0" w:evenHBand="1" w:firstRowFirstColumn="0" w:firstRowLastColumn="0" w:lastRowFirstColumn="0" w:lastRowLastColumn="0"/>
            </w:pPr>
            <w:r w:rsidRPr="00682A64">
              <w:t>0.0</w:t>
            </w:r>
          </w:p>
        </w:tc>
      </w:tr>
    </w:tbl>
    <w:p w:rsidR="0088341A" w:rsidRPr="00C24069" w:rsidRDefault="0088341A" w:rsidP="00682A64">
      <w:pPr>
        <w:pStyle w:val="AERtablesource"/>
      </w:pPr>
      <w:r>
        <w:t xml:space="preserve">Sources: SP AusNet, </w:t>
      </w:r>
      <w:r w:rsidRPr="0090043A">
        <w:rPr>
          <w:rStyle w:val="AERtextitalic"/>
        </w:rPr>
        <w:t>Revenue proposal</w:t>
      </w:r>
      <w:r>
        <w:t xml:space="preserve">, p. 158; AER analysis. </w:t>
      </w:r>
    </w:p>
    <w:p w:rsidR="0088341A" w:rsidRDefault="0088341A" w:rsidP="0088341A">
      <w:pPr>
        <w:pStyle w:val="HeadingBoldBlue"/>
      </w:pPr>
      <w:r>
        <w:t>Network capability component</w:t>
      </w:r>
    </w:p>
    <w:p w:rsidR="0088341A" w:rsidRPr="00E0368B" w:rsidRDefault="0088341A" w:rsidP="0088341A">
      <w:pPr>
        <w:pStyle w:val="AERbodytext"/>
        <w:numPr>
          <w:ilvl w:val="0"/>
          <w:numId w:val="1"/>
        </w:numPr>
      </w:pPr>
      <w:r w:rsidRPr="00E0368B">
        <w:t xml:space="preserve">We accept SP AusNet's proposed priority projects and improvement targets because we consider they meet the requirements of the STPIS. We considered AEMO’s review of SP AusNet’s priority </w:t>
      </w:r>
      <w:r w:rsidRPr="00E0368B">
        <w:lastRenderedPageBreak/>
        <w:t>projects when making our decision.</w:t>
      </w:r>
      <w:r>
        <w:t xml:space="preserve"> </w:t>
      </w:r>
      <w:r>
        <w:fldChar w:fldCharType="begin"/>
      </w:r>
      <w:r>
        <w:instrText xml:space="preserve"> REF _Ref363217118 \h </w:instrText>
      </w:r>
      <w:r>
        <w:fldChar w:fldCharType="separate"/>
      </w:r>
      <w:r w:rsidR="004F35AA">
        <w:t xml:space="preserve">Table </w:t>
      </w:r>
      <w:r w:rsidR="004F35AA">
        <w:rPr>
          <w:noProof/>
        </w:rPr>
        <w:t>9</w:t>
      </w:r>
      <w:r w:rsidR="004F35AA">
        <w:t>.</w:t>
      </w:r>
      <w:r w:rsidR="004F35AA">
        <w:rPr>
          <w:noProof/>
        </w:rPr>
        <w:t>2</w:t>
      </w:r>
      <w:r>
        <w:fldChar w:fldCharType="end"/>
      </w:r>
      <w:r>
        <w:t xml:space="preserve"> </w:t>
      </w:r>
      <w:r w:rsidRPr="00E0368B">
        <w:t xml:space="preserve">sets out our draft decision on SP AusNet’s proposed priority projects, improvement targets and project ranking. </w:t>
      </w:r>
    </w:p>
    <w:p w:rsidR="0088341A" w:rsidRDefault="0088341A" w:rsidP="0088341A">
      <w:pPr>
        <w:pStyle w:val="AERbodytext"/>
        <w:numPr>
          <w:ilvl w:val="0"/>
          <w:numId w:val="1"/>
        </w:numPr>
      </w:pPr>
    </w:p>
    <w:p w:rsidR="0088341A" w:rsidRDefault="0088341A" w:rsidP="0088341A">
      <w:pPr>
        <w:pStyle w:val="Caption"/>
        <w:sectPr w:rsidR="0088341A" w:rsidSect="0025563A">
          <w:footerReference w:type="default" r:id="rId63"/>
          <w:pgSz w:w="11906" w:h="16838"/>
          <w:pgMar w:top="1440" w:right="1440" w:bottom="1440" w:left="1440" w:header="708" w:footer="708" w:gutter="0"/>
          <w:cols w:space="708"/>
          <w:docGrid w:linePitch="360"/>
        </w:sectPr>
      </w:pPr>
      <w:bookmarkStart w:id="336" w:name="_Ref361833283"/>
    </w:p>
    <w:p w:rsidR="0088341A" w:rsidRDefault="0088341A" w:rsidP="0088341A">
      <w:pPr>
        <w:pStyle w:val="Caption"/>
      </w:pPr>
      <w:bookmarkStart w:id="337" w:name="_Ref363217118"/>
      <w:bookmarkEnd w:id="336"/>
      <w:r>
        <w:lastRenderedPageBreak/>
        <w:t xml:space="preserve">Table </w:t>
      </w:r>
      <w:fldSimple w:instr=" STYLEREF 1 \s ">
        <w:r w:rsidR="004F35AA">
          <w:rPr>
            <w:noProof/>
          </w:rPr>
          <w:t>9</w:t>
        </w:r>
      </w:fldSimple>
      <w:r w:rsidR="00C56A87">
        <w:t>.</w:t>
      </w:r>
      <w:fldSimple w:instr=" SEQ Table \* ARABIC \s 1 ">
        <w:r w:rsidR="004F35AA">
          <w:rPr>
            <w:noProof/>
          </w:rPr>
          <w:t>2</w:t>
        </w:r>
      </w:fldSimple>
      <w:bookmarkEnd w:id="337"/>
      <w:r>
        <w:tab/>
        <w:t>AER’s draft decision on SP AusNet’s network capability priority projects ($ 000s, 2013–14)</w:t>
      </w:r>
    </w:p>
    <w:tbl>
      <w:tblPr>
        <w:tblStyle w:val="AERtable-text"/>
        <w:tblW w:w="0" w:type="auto"/>
        <w:tblLook w:val="04A0" w:firstRow="1" w:lastRow="0" w:firstColumn="1" w:lastColumn="0" w:noHBand="0" w:noVBand="1"/>
      </w:tblPr>
      <w:tblGrid>
        <w:gridCol w:w="903"/>
        <w:gridCol w:w="3033"/>
        <w:gridCol w:w="4394"/>
        <w:gridCol w:w="4678"/>
        <w:gridCol w:w="1134"/>
      </w:tblGrid>
      <w:tr w:rsidR="0088341A" w:rsidTr="00501137">
        <w:trPr>
          <w:cnfStyle w:val="100000000000" w:firstRow="1" w:lastRow="0" w:firstColumn="0" w:lastColumn="0" w:oddVBand="0" w:evenVBand="0" w:oddHBand="0" w:evenHBand="0" w:firstRowFirstColumn="0" w:firstRowLastColumn="0" w:lastRowFirstColumn="0" w:lastRowLastColumn="0"/>
        </w:trPr>
        <w:tc>
          <w:tcPr>
            <w:tcW w:w="903" w:type="dxa"/>
          </w:tcPr>
          <w:p w:rsidR="0088341A" w:rsidRPr="00A77E6C" w:rsidRDefault="0088341A" w:rsidP="00501137">
            <w:pPr>
              <w:pStyle w:val="AERbodytext"/>
              <w:keepNext/>
              <w:numPr>
                <w:ilvl w:val="0"/>
                <w:numId w:val="1"/>
              </w:numPr>
              <w:rPr>
                <w:b w:val="0"/>
                <w:sz w:val="16"/>
              </w:rPr>
            </w:pPr>
            <w:r w:rsidRPr="00A77E6C">
              <w:rPr>
                <w:b w:val="0"/>
                <w:sz w:val="16"/>
              </w:rPr>
              <w:t>Ranking</w:t>
            </w:r>
          </w:p>
        </w:tc>
        <w:tc>
          <w:tcPr>
            <w:tcW w:w="3033" w:type="dxa"/>
          </w:tcPr>
          <w:p w:rsidR="0088341A" w:rsidRPr="00A77E6C" w:rsidRDefault="0088341A" w:rsidP="00501137">
            <w:pPr>
              <w:pStyle w:val="AERbodytext"/>
              <w:keepNext/>
              <w:numPr>
                <w:ilvl w:val="0"/>
                <w:numId w:val="1"/>
              </w:numPr>
              <w:rPr>
                <w:b w:val="0"/>
                <w:sz w:val="16"/>
              </w:rPr>
            </w:pPr>
            <w:r w:rsidRPr="00A77E6C">
              <w:rPr>
                <w:b w:val="0"/>
                <w:sz w:val="16"/>
              </w:rPr>
              <w:t>Project</w:t>
            </w:r>
          </w:p>
        </w:tc>
        <w:tc>
          <w:tcPr>
            <w:tcW w:w="4394" w:type="dxa"/>
          </w:tcPr>
          <w:p w:rsidR="0088341A" w:rsidRPr="00A77E6C" w:rsidRDefault="0088341A" w:rsidP="00501137">
            <w:pPr>
              <w:pStyle w:val="AERbodytext"/>
              <w:keepNext/>
              <w:numPr>
                <w:ilvl w:val="0"/>
                <w:numId w:val="1"/>
              </w:numPr>
              <w:rPr>
                <w:b w:val="0"/>
                <w:sz w:val="16"/>
              </w:rPr>
            </w:pPr>
            <w:r w:rsidRPr="00A77E6C">
              <w:rPr>
                <w:b w:val="0"/>
                <w:sz w:val="16"/>
              </w:rPr>
              <w:t>Description</w:t>
            </w:r>
          </w:p>
        </w:tc>
        <w:tc>
          <w:tcPr>
            <w:tcW w:w="4678" w:type="dxa"/>
          </w:tcPr>
          <w:p w:rsidR="0088341A" w:rsidRPr="00A77E6C" w:rsidRDefault="0088341A" w:rsidP="00501137">
            <w:pPr>
              <w:pStyle w:val="AERbodytext"/>
              <w:keepNext/>
              <w:numPr>
                <w:ilvl w:val="0"/>
                <w:numId w:val="1"/>
              </w:numPr>
              <w:jc w:val="right"/>
              <w:rPr>
                <w:b w:val="0"/>
                <w:sz w:val="16"/>
              </w:rPr>
            </w:pPr>
            <w:r>
              <w:rPr>
                <w:b w:val="0"/>
                <w:sz w:val="16"/>
              </w:rPr>
              <w:t>I</w:t>
            </w:r>
            <w:r w:rsidRPr="00A77E6C">
              <w:rPr>
                <w:b w:val="0"/>
                <w:sz w:val="16"/>
              </w:rPr>
              <w:t>mprovement target</w:t>
            </w:r>
          </w:p>
        </w:tc>
        <w:tc>
          <w:tcPr>
            <w:tcW w:w="1134" w:type="dxa"/>
          </w:tcPr>
          <w:p w:rsidR="0088341A" w:rsidRPr="00A77E6C" w:rsidRDefault="0088341A" w:rsidP="00501137">
            <w:pPr>
              <w:pStyle w:val="AERbodytext"/>
              <w:keepNext/>
              <w:numPr>
                <w:ilvl w:val="0"/>
                <w:numId w:val="0"/>
              </w:numPr>
              <w:jc w:val="center"/>
              <w:rPr>
                <w:b w:val="0"/>
                <w:sz w:val="16"/>
              </w:rPr>
            </w:pPr>
            <w:r w:rsidRPr="00A77E6C">
              <w:rPr>
                <w:b w:val="0"/>
                <w:sz w:val="16"/>
              </w:rPr>
              <w:t>Cost</w:t>
            </w:r>
          </w:p>
        </w:tc>
      </w:tr>
      <w:tr w:rsidR="0088341A" w:rsidTr="00501137">
        <w:tc>
          <w:tcPr>
            <w:tcW w:w="903" w:type="dxa"/>
          </w:tcPr>
          <w:p w:rsidR="0088341A" w:rsidRPr="00A77E6C" w:rsidRDefault="0088341A" w:rsidP="00501137">
            <w:pPr>
              <w:pStyle w:val="AERbodytext"/>
              <w:keepNext/>
              <w:numPr>
                <w:ilvl w:val="0"/>
                <w:numId w:val="1"/>
              </w:numPr>
              <w:rPr>
                <w:sz w:val="16"/>
              </w:rPr>
            </w:pPr>
            <w:r>
              <w:rPr>
                <w:sz w:val="16"/>
              </w:rPr>
              <w:t>1</w:t>
            </w:r>
          </w:p>
        </w:tc>
        <w:tc>
          <w:tcPr>
            <w:tcW w:w="3033" w:type="dxa"/>
          </w:tcPr>
          <w:p w:rsidR="0088341A" w:rsidRPr="008D1302" w:rsidRDefault="0088341A" w:rsidP="00501137">
            <w:pPr>
              <w:pStyle w:val="AERtabletextleft"/>
            </w:pPr>
            <w:r w:rsidRPr="008D1302">
              <w:t>Altona terminal station</w:t>
            </w:r>
          </w:p>
        </w:tc>
        <w:tc>
          <w:tcPr>
            <w:tcW w:w="4394" w:type="dxa"/>
          </w:tcPr>
          <w:p w:rsidR="0088341A" w:rsidRPr="00A77E6C" w:rsidRDefault="0088341A" w:rsidP="00501137">
            <w:pPr>
              <w:pStyle w:val="AERtabletextleft"/>
            </w:pPr>
            <w:r w:rsidRPr="00A77E6C">
              <w:t>Protection setting change</w:t>
            </w:r>
          </w:p>
        </w:tc>
        <w:tc>
          <w:tcPr>
            <w:tcW w:w="4678" w:type="dxa"/>
          </w:tcPr>
          <w:p w:rsidR="0088341A" w:rsidRPr="00A77E6C" w:rsidRDefault="0088341A" w:rsidP="00501137">
            <w:pPr>
              <w:pStyle w:val="AERtabletextleft"/>
            </w:pPr>
            <w:r>
              <w:t xml:space="preserve">ATS 220/66 kV B4 transformer capability to 174 MVA. </w:t>
            </w:r>
          </w:p>
        </w:tc>
        <w:tc>
          <w:tcPr>
            <w:tcW w:w="1134" w:type="dxa"/>
          </w:tcPr>
          <w:p w:rsidR="0088341A" w:rsidRPr="00A77E6C" w:rsidRDefault="0088341A" w:rsidP="00501137">
            <w:pPr>
              <w:pStyle w:val="AERbodytext"/>
              <w:keepNext/>
              <w:numPr>
                <w:ilvl w:val="0"/>
                <w:numId w:val="1"/>
              </w:numPr>
              <w:jc w:val="right"/>
              <w:rPr>
                <w:sz w:val="16"/>
              </w:rPr>
            </w:pPr>
            <w:r w:rsidRPr="00A77E6C">
              <w:rPr>
                <w:sz w:val="16"/>
              </w:rPr>
              <w:t>14</w:t>
            </w:r>
          </w:p>
        </w:tc>
      </w:tr>
      <w:tr w:rsidR="0088341A" w:rsidTr="00501137">
        <w:trPr>
          <w:cnfStyle w:val="000000010000" w:firstRow="0" w:lastRow="0" w:firstColumn="0" w:lastColumn="0" w:oddVBand="0" w:evenVBand="0" w:oddHBand="0" w:evenHBand="1" w:firstRowFirstColumn="0" w:firstRowLastColumn="0" w:lastRowFirstColumn="0" w:lastRowLastColumn="0"/>
        </w:trPr>
        <w:tc>
          <w:tcPr>
            <w:tcW w:w="903" w:type="dxa"/>
          </w:tcPr>
          <w:p w:rsidR="0088341A" w:rsidRPr="00A77E6C" w:rsidRDefault="0088341A" w:rsidP="00501137">
            <w:pPr>
              <w:pStyle w:val="AERbodytext"/>
              <w:keepNext/>
              <w:numPr>
                <w:ilvl w:val="0"/>
                <w:numId w:val="1"/>
              </w:numPr>
              <w:rPr>
                <w:sz w:val="16"/>
              </w:rPr>
            </w:pPr>
            <w:r>
              <w:rPr>
                <w:sz w:val="16"/>
              </w:rPr>
              <w:t>2</w:t>
            </w:r>
          </w:p>
        </w:tc>
        <w:tc>
          <w:tcPr>
            <w:tcW w:w="3033" w:type="dxa"/>
          </w:tcPr>
          <w:p w:rsidR="0088341A" w:rsidRPr="008D1302" w:rsidRDefault="0088341A" w:rsidP="00501137">
            <w:pPr>
              <w:pStyle w:val="AERtabletextleft"/>
            </w:pPr>
            <w:r w:rsidRPr="008D1302">
              <w:t>Rowville – Malvern No 1 &amp; 2 220 kV circuits</w:t>
            </w:r>
          </w:p>
        </w:tc>
        <w:tc>
          <w:tcPr>
            <w:tcW w:w="4394" w:type="dxa"/>
          </w:tcPr>
          <w:p w:rsidR="0088341A" w:rsidRPr="00A77E6C" w:rsidRDefault="0088341A" w:rsidP="00501137">
            <w:pPr>
              <w:pStyle w:val="AERtabletextleft"/>
            </w:pPr>
            <w:r w:rsidRPr="00A77E6C">
              <w:t xml:space="preserve">Installation </w:t>
            </w:r>
            <w:r>
              <w:t xml:space="preserve">wind monitoring scheme. </w:t>
            </w:r>
            <w:r w:rsidRPr="00A77E6C">
              <w:t xml:space="preserve"> </w:t>
            </w:r>
          </w:p>
        </w:tc>
        <w:tc>
          <w:tcPr>
            <w:tcW w:w="4678" w:type="dxa"/>
          </w:tcPr>
          <w:p w:rsidR="0088341A" w:rsidRPr="00A77E6C" w:rsidRDefault="0088341A" w:rsidP="00501137">
            <w:pPr>
              <w:pStyle w:val="AERtabletextleft"/>
            </w:pPr>
            <w:r>
              <w:t xml:space="preserve">Implement dynamic line ratings for the ROTS–MTS 220 kV circuits. The scheme will be designed to achieve ratings of ROTS–MOTS circuits under favourable conditions as 234 MVA for system normal operation and 267 MVA under contingent conditions provided pre–contingency loading is less than 60% of 234 MVA. </w:t>
            </w:r>
          </w:p>
        </w:tc>
        <w:tc>
          <w:tcPr>
            <w:tcW w:w="1134" w:type="dxa"/>
          </w:tcPr>
          <w:p w:rsidR="0088341A" w:rsidRPr="00A77E6C" w:rsidRDefault="0088341A" w:rsidP="00501137">
            <w:pPr>
              <w:pStyle w:val="AERbodytext"/>
              <w:keepNext/>
              <w:numPr>
                <w:ilvl w:val="0"/>
                <w:numId w:val="1"/>
              </w:numPr>
              <w:jc w:val="right"/>
              <w:rPr>
                <w:sz w:val="16"/>
              </w:rPr>
            </w:pPr>
            <w:r w:rsidRPr="00A77E6C">
              <w:rPr>
                <w:sz w:val="16"/>
              </w:rPr>
              <w:t>400</w:t>
            </w:r>
          </w:p>
        </w:tc>
      </w:tr>
      <w:tr w:rsidR="0088341A" w:rsidTr="00501137">
        <w:tc>
          <w:tcPr>
            <w:tcW w:w="903" w:type="dxa"/>
          </w:tcPr>
          <w:p w:rsidR="0088341A" w:rsidRPr="00A77E6C" w:rsidRDefault="0088341A" w:rsidP="00501137">
            <w:pPr>
              <w:pStyle w:val="AERbodytext"/>
              <w:keepNext/>
              <w:numPr>
                <w:ilvl w:val="0"/>
                <w:numId w:val="1"/>
              </w:numPr>
              <w:rPr>
                <w:sz w:val="16"/>
              </w:rPr>
            </w:pPr>
            <w:r>
              <w:rPr>
                <w:sz w:val="16"/>
              </w:rPr>
              <w:t>3</w:t>
            </w:r>
          </w:p>
        </w:tc>
        <w:tc>
          <w:tcPr>
            <w:tcW w:w="3033" w:type="dxa"/>
          </w:tcPr>
          <w:p w:rsidR="0088341A" w:rsidRPr="008D1302" w:rsidRDefault="0088341A" w:rsidP="00501137">
            <w:pPr>
              <w:pStyle w:val="AERtabletextleft"/>
            </w:pPr>
            <w:r w:rsidRPr="008D1302">
              <w:t>Dederang circuits</w:t>
            </w:r>
          </w:p>
        </w:tc>
        <w:tc>
          <w:tcPr>
            <w:tcW w:w="4394" w:type="dxa"/>
          </w:tcPr>
          <w:p w:rsidR="0088341A" w:rsidRPr="00A77E6C" w:rsidRDefault="0088341A" w:rsidP="00501137">
            <w:pPr>
              <w:pStyle w:val="AERtabletextleft"/>
            </w:pPr>
            <w:r>
              <w:t xml:space="preserve">Replacement of interplant connections and protection setting change. </w:t>
            </w:r>
          </w:p>
        </w:tc>
        <w:tc>
          <w:tcPr>
            <w:tcW w:w="4678" w:type="dxa"/>
          </w:tcPr>
          <w:p w:rsidR="0088341A" w:rsidRPr="00A77E6C" w:rsidRDefault="0088341A" w:rsidP="00501137">
            <w:pPr>
              <w:pStyle w:val="AERtabletextleft"/>
            </w:pPr>
            <w:r w:rsidRPr="00A77E6C">
              <w:t>Full use of line thermal capacity of 450MVA, 1043MVA and 977MVA of the (1) Dederang-Glenrowan No.3 220kV circuit, (2) Dederang-Murray No.1 and No.2 330kV circuit and (3) Dederang- Wodonga No.1 330kV circuit respectively during both normal and contingency conditions.</w:t>
            </w:r>
          </w:p>
        </w:tc>
        <w:tc>
          <w:tcPr>
            <w:tcW w:w="1134" w:type="dxa"/>
          </w:tcPr>
          <w:p w:rsidR="0088341A" w:rsidRPr="00A77E6C" w:rsidRDefault="0088341A" w:rsidP="00501137">
            <w:pPr>
              <w:pStyle w:val="AERbodytext"/>
              <w:keepNext/>
              <w:numPr>
                <w:ilvl w:val="0"/>
                <w:numId w:val="1"/>
              </w:numPr>
              <w:jc w:val="right"/>
              <w:rPr>
                <w:sz w:val="16"/>
              </w:rPr>
            </w:pPr>
            <w:r>
              <w:rPr>
                <w:sz w:val="16"/>
              </w:rPr>
              <w:t>5</w:t>
            </w:r>
            <w:r w:rsidRPr="00A77E6C">
              <w:rPr>
                <w:sz w:val="16"/>
              </w:rPr>
              <w:t>86</w:t>
            </w:r>
          </w:p>
        </w:tc>
      </w:tr>
      <w:tr w:rsidR="0088341A" w:rsidTr="00501137">
        <w:trPr>
          <w:cnfStyle w:val="000000010000" w:firstRow="0" w:lastRow="0" w:firstColumn="0" w:lastColumn="0" w:oddVBand="0" w:evenVBand="0" w:oddHBand="0" w:evenHBand="1" w:firstRowFirstColumn="0" w:firstRowLastColumn="0" w:lastRowFirstColumn="0" w:lastRowLastColumn="0"/>
        </w:trPr>
        <w:tc>
          <w:tcPr>
            <w:tcW w:w="903" w:type="dxa"/>
          </w:tcPr>
          <w:p w:rsidR="0088341A" w:rsidRPr="00A77E6C" w:rsidRDefault="0088341A" w:rsidP="00501137">
            <w:pPr>
              <w:pStyle w:val="AERbodytext"/>
              <w:keepNext/>
              <w:numPr>
                <w:ilvl w:val="0"/>
                <w:numId w:val="1"/>
              </w:numPr>
              <w:rPr>
                <w:sz w:val="16"/>
              </w:rPr>
            </w:pPr>
            <w:r>
              <w:rPr>
                <w:sz w:val="16"/>
              </w:rPr>
              <w:t>4</w:t>
            </w:r>
          </w:p>
        </w:tc>
        <w:tc>
          <w:tcPr>
            <w:tcW w:w="3033" w:type="dxa"/>
          </w:tcPr>
          <w:p w:rsidR="0088341A" w:rsidRPr="008D1302" w:rsidRDefault="0088341A" w:rsidP="00501137">
            <w:pPr>
              <w:pStyle w:val="AERtabletextleft"/>
            </w:pPr>
            <w:r w:rsidRPr="008D1302">
              <w:t>South Morang – Thomastown No 1 &amp; 2 220 kv circuits</w:t>
            </w:r>
          </w:p>
        </w:tc>
        <w:tc>
          <w:tcPr>
            <w:tcW w:w="4394" w:type="dxa"/>
          </w:tcPr>
          <w:p w:rsidR="0088341A" w:rsidRPr="00A77E6C" w:rsidRDefault="0088341A" w:rsidP="00501137">
            <w:pPr>
              <w:pStyle w:val="AERtabletextleft"/>
            </w:pPr>
            <w:r w:rsidRPr="00A77E6C">
              <w:t xml:space="preserve">Install wind monitoring </w:t>
            </w:r>
            <w:r>
              <w:t xml:space="preserve">scheme. </w:t>
            </w:r>
            <w:r w:rsidRPr="00A77E6C">
              <w:t xml:space="preserve"> </w:t>
            </w:r>
          </w:p>
        </w:tc>
        <w:tc>
          <w:tcPr>
            <w:tcW w:w="4678" w:type="dxa"/>
          </w:tcPr>
          <w:p w:rsidR="0088341A" w:rsidRPr="00A77E6C" w:rsidRDefault="0088341A" w:rsidP="00501137">
            <w:pPr>
              <w:pStyle w:val="AERtabletextleft"/>
            </w:pPr>
            <w:r>
              <w:t xml:space="preserve">Implement dynamic ratings for both the SMTS–TTS 220 kV circuits. The scheme will be designed to achieve ratings of SMTS–TTS circuits as 628 MVA. </w:t>
            </w:r>
          </w:p>
        </w:tc>
        <w:tc>
          <w:tcPr>
            <w:tcW w:w="1134" w:type="dxa"/>
          </w:tcPr>
          <w:p w:rsidR="0088341A" w:rsidRPr="00A77E6C" w:rsidRDefault="0088341A" w:rsidP="00501137">
            <w:pPr>
              <w:pStyle w:val="AERbodytext"/>
              <w:keepNext/>
              <w:numPr>
                <w:ilvl w:val="0"/>
                <w:numId w:val="1"/>
              </w:numPr>
              <w:jc w:val="right"/>
              <w:rPr>
                <w:sz w:val="16"/>
              </w:rPr>
            </w:pPr>
            <w:r w:rsidRPr="00A77E6C">
              <w:rPr>
                <w:sz w:val="16"/>
              </w:rPr>
              <w:t>600</w:t>
            </w:r>
          </w:p>
        </w:tc>
      </w:tr>
      <w:tr w:rsidR="0088341A" w:rsidTr="00501137">
        <w:tc>
          <w:tcPr>
            <w:tcW w:w="903" w:type="dxa"/>
          </w:tcPr>
          <w:p w:rsidR="0088341A" w:rsidRPr="00A77E6C" w:rsidRDefault="0088341A" w:rsidP="00501137">
            <w:pPr>
              <w:pStyle w:val="AERbodytext"/>
              <w:keepNext/>
              <w:numPr>
                <w:ilvl w:val="0"/>
                <w:numId w:val="1"/>
              </w:numPr>
              <w:rPr>
                <w:sz w:val="16"/>
              </w:rPr>
            </w:pPr>
            <w:r>
              <w:rPr>
                <w:sz w:val="16"/>
              </w:rPr>
              <w:t>5</w:t>
            </w:r>
          </w:p>
        </w:tc>
        <w:tc>
          <w:tcPr>
            <w:tcW w:w="3033" w:type="dxa"/>
          </w:tcPr>
          <w:p w:rsidR="0088341A" w:rsidRPr="008D1302" w:rsidRDefault="0088341A" w:rsidP="00501137">
            <w:pPr>
              <w:pStyle w:val="AERtabletextleft"/>
            </w:pPr>
            <w:r>
              <w:t>Wodonga Terminal Station (WOTS)</w:t>
            </w:r>
          </w:p>
        </w:tc>
        <w:tc>
          <w:tcPr>
            <w:tcW w:w="4394" w:type="dxa"/>
          </w:tcPr>
          <w:p w:rsidR="0088341A" w:rsidRPr="00A77E6C" w:rsidRDefault="0088341A" w:rsidP="00501137">
            <w:pPr>
              <w:pStyle w:val="AERtabletextleft"/>
            </w:pPr>
            <w:r>
              <w:t xml:space="preserve">Replace 22kV cable connections. </w:t>
            </w:r>
          </w:p>
        </w:tc>
        <w:tc>
          <w:tcPr>
            <w:tcW w:w="4678" w:type="dxa"/>
          </w:tcPr>
          <w:p w:rsidR="0088341A" w:rsidRPr="00A77E6C" w:rsidRDefault="0088341A" w:rsidP="00501137">
            <w:pPr>
              <w:pStyle w:val="AERtabletextleft"/>
            </w:pPr>
            <w:r>
              <w:t xml:space="preserve">The 22 kv side of WOTS 330/66/22 kV No 1 and No 2 transformers capability is 44 MVA. </w:t>
            </w:r>
          </w:p>
        </w:tc>
        <w:tc>
          <w:tcPr>
            <w:tcW w:w="1134" w:type="dxa"/>
          </w:tcPr>
          <w:p w:rsidR="0088341A" w:rsidRPr="00A77E6C" w:rsidRDefault="0088341A" w:rsidP="00501137">
            <w:pPr>
              <w:pStyle w:val="AERbodytext"/>
              <w:keepNext/>
              <w:numPr>
                <w:ilvl w:val="0"/>
                <w:numId w:val="1"/>
              </w:numPr>
              <w:jc w:val="right"/>
              <w:rPr>
                <w:sz w:val="16"/>
              </w:rPr>
            </w:pPr>
            <w:r>
              <w:rPr>
                <w:sz w:val="16"/>
              </w:rPr>
              <w:t>778</w:t>
            </w:r>
          </w:p>
        </w:tc>
      </w:tr>
      <w:tr w:rsidR="0088341A" w:rsidTr="00501137">
        <w:trPr>
          <w:cnfStyle w:val="000000010000" w:firstRow="0" w:lastRow="0" w:firstColumn="0" w:lastColumn="0" w:oddVBand="0" w:evenVBand="0" w:oddHBand="0" w:evenHBand="1" w:firstRowFirstColumn="0" w:firstRowLastColumn="0" w:lastRowFirstColumn="0" w:lastRowLastColumn="0"/>
        </w:trPr>
        <w:tc>
          <w:tcPr>
            <w:tcW w:w="903" w:type="dxa"/>
          </w:tcPr>
          <w:p w:rsidR="0088341A" w:rsidRPr="00A77E6C" w:rsidRDefault="0088341A" w:rsidP="00501137">
            <w:pPr>
              <w:pStyle w:val="AERbodytext"/>
              <w:keepNext/>
              <w:numPr>
                <w:ilvl w:val="0"/>
                <w:numId w:val="1"/>
              </w:numPr>
              <w:rPr>
                <w:sz w:val="16"/>
              </w:rPr>
            </w:pPr>
            <w:r>
              <w:rPr>
                <w:sz w:val="16"/>
              </w:rPr>
              <w:t>6</w:t>
            </w:r>
          </w:p>
        </w:tc>
        <w:tc>
          <w:tcPr>
            <w:tcW w:w="3033" w:type="dxa"/>
          </w:tcPr>
          <w:p w:rsidR="0088341A" w:rsidRPr="008D1302" w:rsidRDefault="0088341A" w:rsidP="00501137">
            <w:pPr>
              <w:pStyle w:val="AERtabletextleft"/>
            </w:pPr>
            <w:r w:rsidRPr="008D1302">
              <w:t>Rowville–East Rowville 220kV circuits and Rowville–Springvale 220kV circuit</w:t>
            </w:r>
          </w:p>
        </w:tc>
        <w:tc>
          <w:tcPr>
            <w:tcW w:w="4394" w:type="dxa"/>
          </w:tcPr>
          <w:p w:rsidR="0088341A" w:rsidRPr="00A77E6C" w:rsidRDefault="0088341A" w:rsidP="00501137">
            <w:pPr>
              <w:pStyle w:val="AERtabletextleft"/>
            </w:pPr>
            <w:r>
              <w:t xml:space="preserve">Replacement of two 220 kV isolators and protection setting changes. </w:t>
            </w:r>
          </w:p>
        </w:tc>
        <w:tc>
          <w:tcPr>
            <w:tcW w:w="4678" w:type="dxa"/>
          </w:tcPr>
          <w:p w:rsidR="0088341A" w:rsidRPr="00A77E6C" w:rsidRDefault="0088341A" w:rsidP="00501137">
            <w:pPr>
              <w:pStyle w:val="AERtabletextleft"/>
            </w:pPr>
            <w:r>
              <w:t xml:space="preserve">ROTS–ERTS No 1 and No 2 220 kV circuits capability limited by circuit rating of 800 MVA. Rating of isolators between ROTS No 1 220 kV bus and ROTS–SVTS No 2 line increased to 800 MVA or higher. </w:t>
            </w:r>
          </w:p>
        </w:tc>
        <w:tc>
          <w:tcPr>
            <w:tcW w:w="1134" w:type="dxa"/>
          </w:tcPr>
          <w:p w:rsidR="0088341A" w:rsidRPr="00A77E6C" w:rsidRDefault="0088341A" w:rsidP="00501137">
            <w:pPr>
              <w:pStyle w:val="AERbodytext"/>
              <w:keepNext/>
              <w:numPr>
                <w:ilvl w:val="0"/>
                <w:numId w:val="1"/>
              </w:numPr>
              <w:jc w:val="right"/>
              <w:rPr>
                <w:sz w:val="16"/>
              </w:rPr>
            </w:pPr>
            <w:r w:rsidRPr="00A77E6C">
              <w:rPr>
                <w:sz w:val="16"/>
              </w:rPr>
              <w:t>999</w:t>
            </w:r>
          </w:p>
        </w:tc>
      </w:tr>
      <w:tr w:rsidR="0088341A" w:rsidTr="00501137">
        <w:tc>
          <w:tcPr>
            <w:tcW w:w="903" w:type="dxa"/>
          </w:tcPr>
          <w:p w:rsidR="0088341A" w:rsidRPr="00A77E6C" w:rsidRDefault="0088341A" w:rsidP="00501137">
            <w:pPr>
              <w:pStyle w:val="AERbodytext"/>
              <w:keepNext/>
              <w:numPr>
                <w:ilvl w:val="0"/>
                <w:numId w:val="1"/>
              </w:numPr>
              <w:rPr>
                <w:sz w:val="16"/>
              </w:rPr>
            </w:pPr>
            <w:r>
              <w:rPr>
                <w:sz w:val="16"/>
              </w:rPr>
              <w:t>7</w:t>
            </w:r>
          </w:p>
        </w:tc>
        <w:tc>
          <w:tcPr>
            <w:tcW w:w="3033" w:type="dxa"/>
          </w:tcPr>
          <w:p w:rsidR="0088341A" w:rsidRPr="008D1302" w:rsidRDefault="0088341A" w:rsidP="00501137">
            <w:pPr>
              <w:pStyle w:val="AERtabletextleft"/>
            </w:pPr>
            <w:r w:rsidRPr="008D1302">
              <w:t>Hazelwood – Loy Yang 500kV circuits</w:t>
            </w:r>
          </w:p>
        </w:tc>
        <w:tc>
          <w:tcPr>
            <w:tcW w:w="4394" w:type="dxa"/>
          </w:tcPr>
          <w:p w:rsidR="0088341A" w:rsidRPr="00A77E6C" w:rsidRDefault="0088341A" w:rsidP="00501137">
            <w:pPr>
              <w:pStyle w:val="AERtabletextleft"/>
            </w:pPr>
            <w:r w:rsidRPr="00A77E6C">
              <w:t>Dynamic line model development and implementation</w:t>
            </w:r>
            <w:r>
              <w:t xml:space="preserve">. </w:t>
            </w:r>
          </w:p>
        </w:tc>
        <w:tc>
          <w:tcPr>
            <w:tcW w:w="4678" w:type="dxa"/>
          </w:tcPr>
          <w:p w:rsidR="0088341A" w:rsidRPr="00A77E6C" w:rsidRDefault="0088341A" w:rsidP="00501137">
            <w:pPr>
              <w:pStyle w:val="AERtabletextleft"/>
            </w:pPr>
            <w:r>
              <w:t xml:space="preserve">Hazelwood–Loy Yang No 1, 2 and 3 500 kV circuits capability implemented in the thermal line model based on ambient temperatures. This is likely to provide short term ratings under favourable ambient temperature and operating conditions, </w:t>
            </w:r>
          </w:p>
        </w:tc>
        <w:tc>
          <w:tcPr>
            <w:tcW w:w="1134" w:type="dxa"/>
          </w:tcPr>
          <w:p w:rsidR="0088341A" w:rsidRPr="00A77E6C" w:rsidRDefault="0088341A" w:rsidP="00501137">
            <w:pPr>
              <w:pStyle w:val="AERbodytext"/>
              <w:keepNext/>
              <w:numPr>
                <w:ilvl w:val="0"/>
                <w:numId w:val="1"/>
              </w:numPr>
              <w:jc w:val="right"/>
              <w:rPr>
                <w:sz w:val="16"/>
              </w:rPr>
            </w:pPr>
            <w:r w:rsidRPr="00A77E6C">
              <w:rPr>
                <w:sz w:val="16"/>
              </w:rPr>
              <w:t>2</w:t>
            </w:r>
          </w:p>
        </w:tc>
      </w:tr>
      <w:tr w:rsidR="0088341A" w:rsidTr="00501137">
        <w:trPr>
          <w:cnfStyle w:val="000000010000" w:firstRow="0" w:lastRow="0" w:firstColumn="0" w:lastColumn="0" w:oddVBand="0" w:evenVBand="0" w:oddHBand="0" w:evenHBand="1" w:firstRowFirstColumn="0" w:firstRowLastColumn="0" w:lastRowFirstColumn="0" w:lastRowLastColumn="0"/>
        </w:trPr>
        <w:tc>
          <w:tcPr>
            <w:tcW w:w="903" w:type="dxa"/>
          </w:tcPr>
          <w:p w:rsidR="0088341A" w:rsidRPr="00A77E6C" w:rsidRDefault="0088341A" w:rsidP="00501137">
            <w:pPr>
              <w:pStyle w:val="AERbodytext"/>
              <w:keepNext/>
              <w:numPr>
                <w:ilvl w:val="0"/>
                <w:numId w:val="1"/>
              </w:numPr>
              <w:rPr>
                <w:sz w:val="16"/>
              </w:rPr>
            </w:pPr>
            <w:r>
              <w:rPr>
                <w:sz w:val="16"/>
              </w:rPr>
              <w:t>8</w:t>
            </w:r>
          </w:p>
        </w:tc>
        <w:tc>
          <w:tcPr>
            <w:tcW w:w="3033" w:type="dxa"/>
          </w:tcPr>
          <w:p w:rsidR="0088341A" w:rsidRPr="008D1302" w:rsidRDefault="0088341A" w:rsidP="00501137">
            <w:pPr>
              <w:pStyle w:val="AERtabletextleft"/>
            </w:pPr>
            <w:r w:rsidRPr="008D1302">
              <w:t>Templestowe terminal station</w:t>
            </w:r>
          </w:p>
        </w:tc>
        <w:tc>
          <w:tcPr>
            <w:tcW w:w="4394" w:type="dxa"/>
          </w:tcPr>
          <w:p w:rsidR="0088341A" w:rsidRPr="00A77E6C" w:rsidRDefault="0088341A" w:rsidP="00501137">
            <w:pPr>
              <w:pStyle w:val="AERtabletextleft"/>
            </w:pPr>
            <w:r>
              <w:t xml:space="preserve">Replace 66 kV interplant connections, review and uprate equipment ratings in RADAR. </w:t>
            </w:r>
            <w:r w:rsidRPr="00A77E6C">
              <w:t xml:space="preserve"> </w:t>
            </w:r>
          </w:p>
        </w:tc>
        <w:tc>
          <w:tcPr>
            <w:tcW w:w="4678" w:type="dxa"/>
          </w:tcPr>
          <w:p w:rsidR="0088341A" w:rsidRPr="00A77E6C" w:rsidRDefault="0088341A" w:rsidP="00501137">
            <w:pPr>
              <w:pStyle w:val="AERtabletextleft"/>
            </w:pPr>
            <w:r>
              <w:t xml:space="preserve">TSTS 220/66 kV B1 transformer rating 187 MVA limited by 66 kV busbar rating of 181 MVA. TSTS 220/66 kV transformer rating 192 MVA and limited by 66 kV busbar rating of 181 MVA. TSTS 220/66 kV B2 transformer capability 175 MVA. </w:t>
            </w:r>
          </w:p>
        </w:tc>
        <w:tc>
          <w:tcPr>
            <w:tcW w:w="1134" w:type="dxa"/>
          </w:tcPr>
          <w:p w:rsidR="0088341A" w:rsidRPr="00A77E6C" w:rsidRDefault="0088341A" w:rsidP="00501137">
            <w:pPr>
              <w:pStyle w:val="AERbodytext"/>
              <w:keepNext/>
              <w:numPr>
                <w:ilvl w:val="0"/>
                <w:numId w:val="1"/>
              </w:numPr>
              <w:jc w:val="right"/>
              <w:rPr>
                <w:sz w:val="16"/>
              </w:rPr>
            </w:pPr>
            <w:r w:rsidRPr="00A77E6C">
              <w:rPr>
                <w:sz w:val="16"/>
              </w:rPr>
              <w:t>377</w:t>
            </w:r>
          </w:p>
        </w:tc>
      </w:tr>
      <w:tr w:rsidR="0088341A" w:rsidTr="00501137">
        <w:tc>
          <w:tcPr>
            <w:tcW w:w="903" w:type="dxa"/>
          </w:tcPr>
          <w:p w:rsidR="0088341A" w:rsidRPr="00A77E6C" w:rsidRDefault="0088341A" w:rsidP="00501137">
            <w:pPr>
              <w:pStyle w:val="AERbodytext"/>
              <w:keepNext/>
              <w:numPr>
                <w:ilvl w:val="0"/>
                <w:numId w:val="1"/>
              </w:numPr>
              <w:rPr>
                <w:sz w:val="16"/>
              </w:rPr>
            </w:pPr>
            <w:r>
              <w:rPr>
                <w:sz w:val="16"/>
              </w:rPr>
              <w:lastRenderedPageBreak/>
              <w:t>9</w:t>
            </w:r>
          </w:p>
        </w:tc>
        <w:tc>
          <w:tcPr>
            <w:tcW w:w="3033" w:type="dxa"/>
          </w:tcPr>
          <w:p w:rsidR="0088341A" w:rsidRPr="008D1302" w:rsidRDefault="0088341A" w:rsidP="00501137">
            <w:pPr>
              <w:pStyle w:val="AERtabletextleft"/>
            </w:pPr>
            <w:r w:rsidRPr="008D1302">
              <w:t>South Morang – Dederang 330kV circuits</w:t>
            </w:r>
          </w:p>
        </w:tc>
        <w:tc>
          <w:tcPr>
            <w:tcW w:w="4394" w:type="dxa"/>
          </w:tcPr>
          <w:p w:rsidR="0088341A" w:rsidRPr="00A77E6C" w:rsidRDefault="0088341A" w:rsidP="00501137">
            <w:pPr>
              <w:pStyle w:val="AERtabletextleft"/>
            </w:pPr>
            <w:r w:rsidRPr="00A77E6C">
              <w:t xml:space="preserve">Develop the </w:t>
            </w:r>
            <w:r>
              <w:t xml:space="preserve">SOCS layout to display combined line and series capacitor bank ratings. </w:t>
            </w:r>
          </w:p>
        </w:tc>
        <w:tc>
          <w:tcPr>
            <w:tcW w:w="4678" w:type="dxa"/>
          </w:tcPr>
          <w:p w:rsidR="0088341A" w:rsidRPr="00A77E6C" w:rsidRDefault="0088341A" w:rsidP="00501137">
            <w:pPr>
              <w:pStyle w:val="AERtabletextleft"/>
            </w:pPr>
            <w:r w:rsidRPr="00A77E6C">
              <w:t>Improved presentation of rating information for the SMTS-DDTS 330kV lines and series capacitor banks in SOCS to assist operators and minimise the risk of operators interpreting the rating information incorrectly.</w:t>
            </w:r>
          </w:p>
        </w:tc>
        <w:tc>
          <w:tcPr>
            <w:tcW w:w="1134" w:type="dxa"/>
          </w:tcPr>
          <w:p w:rsidR="0088341A" w:rsidRPr="00A77E6C" w:rsidRDefault="0088341A" w:rsidP="00501137">
            <w:pPr>
              <w:pStyle w:val="AERbodytext"/>
              <w:keepNext/>
              <w:numPr>
                <w:ilvl w:val="0"/>
                <w:numId w:val="1"/>
              </w:numPr>
              <w:jc w:val="right"/>
              <w:rPr>
                <w:sz w:val="16"/>
              </w:rPr>
            </w:pPr>
            <w:r w:rsidRPr="00A77E6C">
              <w:rPr>
                <w:sz w:val="16"/>
              </w:rPr>
              <w:t>72</w:t>
            </w:r>
          </w:p>
        </w:tc>
      </w:tr>
      <w:tr w:rsidR="0088341A" w:rsidTr="00501137">
        <w:trPr>
          <w:cnfStyle w:val="000000010000" w:firstRow="0" w:lastRow="0" w:firstColumn="0" w:lastColumn="0" w:oddVBand="0" w:evenVBand="0" w:oddHBand="0" w:evenHBand="1" w:firstRowFirstColumn="0" w:firstRowLastColumn="0" w:lastRowFirstColumn="0" w:lastRowLastColumn="0"/>
        </w:trPr>
        <w:tc>
          <w:tcPr>
            <w:tcW w:w="903" w:type="dxa"/>
          </w:tcPr>
          <w:p w:rsidR="0088341A" w:rsidRPr="00A77E6C" w:rsidRDefault="0088341A" w:rsidP="00501137">
            <w:pPr>
              <w:pStyle w:val="AERbodytext"/>
              <w:keepNext/>
              <w:numPr>
                <w:ilvl w:val="0"/>
                <w:numId w:val="1"/>
              </w:numPr>
              <w:rPr>
                <w:sz w:val="16"/>
              </w:rPr>
            </w:pPr>
            <w:r>
              <w:rPr>
                <w:sz w:val="16"/>
              </w:rPr>
              <w:t>10</w:t>
            </w:r>
          </w:p>
        </w:tc>
        <w:tc>
          <w:tcPr>
            <w:tcW w:w="3033" w:type="dxa"/>
          </w:tcPr>
          <w:p w:rsidR="0088341A" w:rsidRPr="008D1302" w:rsidRDefault="0088341A" w:rsidP="00501137">
            <w:pPr>
              <w:pStyle w:val="AERtabletextleft"/>
            </w:pPr>
            <w:r w:rsidRPr="008D1302">
              <w:t>Aluminium Customer Substation and Mortlake intertrip control schemes</w:t>
            </w:r>
          </w:p>
        </w:tc>
        <w:tc>
          <w:tcPr>
            <w:tcW w:w="4394" w:type="dxa"/>
          </w:tcPr>
          <w:p w:rsidR="0088341A" w:rsidRPr="00A77E6C" w:rsidRDefault="0088341A" w:rsidP="00501137">
            <w:pPr>
              <w:pStyle w:val="AERtabletextleft"/>
            </w:pPr>
            <w:r>
              <w:t xml:space="preserve">Establish two intertrip control schemes. </w:t>
            </w:r>
          </w:p>
        </w:tc>
        <w:tc>
          <w:tcPr>
            <w:tcW w:w="4678" w:type="dxa"/>
          </w:tcPr>
          <w:p w:rsidR="0088341A" w:rsidRPr="00A77E6C" w:rsidRDefault="0088341A" w:rsidP="00501137">
            <w:pPr>
              <w:pStyle w:val="AERtabletextleft"/>
            </w:pPr>
            <w:r>
              <w:t>Prevent potential over voltage at APD 500 kV bus during a prior outage of plan</w:t>
            </w:r>
            <w:r w:rsidR="001B34FF">
              <w:t>t connected at APD and MLTS. Min</w:t>
            </w:r>
            <w:r>
              <w:t xml:space="preserve">imise potential human error. </w:t>
            </w:r>
          </w:p>
        </w:tc>
        <w:tc>
          <w:tcPr>
            <w:tcW w:w="1134" w:type="dxa"/>
          </w:tcPr>
          <w:p w:rsidR="0088341A" w:rsidRPr="00A77E6C" w:rsidRDefault="0088341A" w:rsidP="00501137">
            <w:pPr>
              <w:pStyle w:val="AERbodytext"/>
              <w:keepNext/>
              <w:numPr>
                <w:ilvl w:val="0"/>
                <w:numId w:val="1"/>
              </w:numPr>
              <w:jc w:val="right"/>
              <w:rPr>
                <w:sz w:val="16"/>
              </w:rPr>
            </w:pPr>
            <w:r w:rsidRPr="00A77E6C">
              <w:rPr>
                <w:sz w:val="16"/>
              </w:rPr>
              <w:t>400</w:t>
            </w:r>
          </w:p>
        </w:tc>
      </w:tr>
      <w:tr w:rsidR="0088341A" w:rsidTr="00501137">
        <w:tc>
          <w:tcPr>
            <w:tcW w:w="903" w:type="dxa"/>
          </w:tcPr>
          <w:p w:rsidR="0088341A" w:rsidRPr="00A77E6C" w:rsidRDefault="0088341A" w:rsidP="00501137">
            <w:pPr>
              <w:pStyle w:val="AERbodytext"/>
              <w:keepNext/>
              <w:numPr>
                <w:ilvl w:val="0"/>
                <w:numId w:val="1"/>
              </w:numPr>
              <w:rPr>
                <w:sz w:val="16"/>
              </w:rPr>
            </w:pPr>
            <w:r>
              <w:rPr>
                <w:sz w:val="16"/>
              </w:rPr>
              <w:t>11</w:t>
            </w:r>
          </w:p>
        </w:tc>
        <w:tc>
          <w:tcPr>
            <w:tcW w:w="3033" w:type="dxa"/>
          </w:tcPr>
          <w:p w:rsidR="0088341A" w:rsidRPr="008D1302" w:rsidRDefault="0088341A" w:rsidP="00501137">
            <w:pPr>
              <w:pStyle w:val="AERtabletextleft"/>
            </w:pPr>
            <w:r w:rsidRPr="008D1302">
              <w:t>M2 contingency control scheme</w:t>
            </w:r>
          </w:p>
        </w:tc>
        <w:tc>
          <w:tcPr>
            <w:tcW w:w="4394" w:type="dxa"/>
          </w:tcPr>
          <w:p w:rsidR="0088341A" w:rsidRPr="00A77E6C" w:rsidRDefault="0088341A" w:rsidP="00501137">
            <w:pPr>
              <w:pStyle w:val="AERtabletextleft"/>
            </w:pPr>
            <w:r>
              <w:t xml:space="preserve">Establish contingency control scheme. </w:t>
            </w:r>
            <w:r w:rsidRPr="00A77E6C">
              <w:t xml:space="preserve"> </w:t>
            </w:r>
          </w:p>
        </w:tc>
        <w:tc>
          <w:tcPr>
            <w:tcW w:w="4678" w:type="dxa"/>
          </w:tcPr>
          <w:p w:rsidR="0088341A" w:rsidRPr="00A77E6C" w:rsidRDefault="0088341A" w:rsidP="00501137">
            <w:pPr>
              <w:pStyle w:val="AERtabletextleft"/>
            </w:pPr>
            <w:r>
              <w:t xml:space="preserve">During a prior outage of the HYTS–APD No 1 500 kV circuit, reduction in VIC to SA export would be minimised to manage potential over loading on HYTS M1 transformer. </w:t>
            </w:r>
          </w:p>
        </w:tc>
        <w:tc>
          <w:tcPr>
            <w:tcW w:w="1134" w:type="dxa"/>
          </w:tcPr>
          <w:p w:rsidR="0088341A" w:rsidRPr="00A77E6C" w:rsidRDefault="0088341A" w:rsidP="00501137">
            <w:pPr>
              <w:pStyle w:val="AERbodytext"/>
              <w:keepNext/>
              <w:numPr>
                <w:ilvl w:val="0"/>
                <w:numId w:val="1"/>
              </w:numPr>
              <w:jc w:val="right"/>
              <w:rPr>
                <w:sz w:val="16"/>
              </w:rPr>
            </w:pPr>
            <w:r>
              <w:rPr>
                <w:sz w:val="16"/>
              </w:rPr>
              <w:t>80</w:t>
            </w:r>
            <w:r w:rsidRPr="00A77E6C">
              <w:rPr>
                <w:sz w:val="16"/>
              </w:rPr>
              <w:t>0</w:t>
            </w:r>
          </w:p>
        </w:tc>
      </w:tr>
      <w:tr w:rsidR="0088341A" w:rsidTr="00501137">
        <w:trPr>
          <w:cnfStyle w:val="000000010000" w:firstRow="0" w:lastRow="0" w:firstColumn="0" w:lastColumn="0" w:oddVBand="0" w:evenVBand="0" w:oddHBand="0" w:evenHBand="1" w:firstRowFirstColumn="0" w:firstRowLastColumn="0" w:lastRowFirstColumn="0" w:lastRowLastColumn="0"/>
        </w:trPr>
        <w:tc>
          <w:tcPr>
            <w:tcW w:w="903" w:type="dxa"/>
          </w:tcPr>
          <w:p w:rsidR="0088341A" w:rsidRPr="00A77E6C" w:rsidRDefault="0088341A" w:rsidP="00501137">
            <w:pPr>
              <w:pStyle w:val="AERbodytext"/>
              <w:keepNext/>
              <w:numPr>
                <w:ilvl w:val="0"/>
                <w:numId w:val="1"/>
              </w:numPr>
              <w:rPr>
                <w:sz w:val="16"/>
              </w:rPr>
            </w:pPr>
            <w:r>
              <w:rPr>
                <w:sz w:val="16"/>
              </w:rPr>
              <w:t>12</w:t>
            </w:r>
          </w:p>
        </w:tc>
        <w:tc>
          <w:tcPr>
            <w:tcW w:w="3033" w:type="dxa"/>
          </w:tcPr>
          <w:p w:rsidR="0088341A" w:rsidRPr="008D1302" w:rsidRDefault="0088341A" w:rsidP="00501137">
            <w:pPr>
              <w:pStyle w:val="AERtabletextleft"/>
            </w:pPr>
            <w:r w:rsidRPr="008D1302">
              <w:t>East Rowville– Cranbourne 220kV circuits</w:t>
            </w:r>
          </w:p>
        </w:tc>
        <w:tc>
          <w:tcPr>
            <w:tcW w:w="4394" w:type="dxa"/>
          </w:tcPr>
          <w:p w:rsidR="0088341A" w:rsidRPr="00A77E6C" w:rsidRDefault="0088341A" w:rsidP="00501137">
            <w:pPr>
              <w:pStyle w:val="AERtabletextleft"/>
            </w:pPr>
            <w:r w:rsidRPr="00A77E6C">
              <w:t>Replace protection relays</w:t>
            </w:r>
          </w:p>
        </w:tc>
        <w:tc>
          <w:tcPr>
            <w:tcW w:w="4678" w:type="dxa"/>
          </w:tcPr>
          <w:p w:rsidR="0088341A" w:rsidRPr="00A77E6C" w:rsidRDefault="0088341A" w:rsidP="00501137">
            <w:pPr>
              <w:pStyle w:val="AERtabletextleft"/>
            </w:pPr>
            <w:r>
              <w:t xml:space="preserve">East Rowville–Cranbourne No 1 and No 2 220 kV circuits capability 827 MVA. </w:t>
            </w:r>
          </w:p>
        </w:tc>
        <w:tc>
          <w:tcPr>
            <w:tcW w:w="1134" w:type="dxa"/>
          </w:tcPr>
          <w:p w:rsidR="0088341A" w:rsidRPr="00A77E6C" w:rsidRDefault="0088341A" w:rsidP="00501137">
            <w:pPr>
              <w:pStyle w:val="AERbodytext"/>
              <w:keepNext/>
              <w:numPr>
                <w:ilvl w:val="0"/>
                <w:numId w:val="1"/>
              </w:numPr>
              <w:jc w:val="right"/>
              <w:rPr>
                <w:sz w:val="16"/>
              </w:rPr>
            </w:pPr>
            <w:r w:rsidRPr="00A77E6C">
              <w:rPr>
                <w:sz w:val="16"/>
              </w:rPr>
              <w:t>1033</w:t>
            </w:r>
          </w:p>
        </w:tc>
      </w:tr>
      <w:tr w:rsidR="0088341A" w:rsidTr="00501137">
        <w:tc>
          <w:tcPr>
            <w:tcW w:w="903" w:type="dxa"/>
          </w:tcPr>
          <w:p w:rsidR="0088341A" w:rsidRPr="00A77E6C" w:rsidRDefault="0088341A" w:rsidP="00501137">
            <w:pPr>
              <w:pStyle w:val="AERbodytext"/>
              <w:keepNext/>
              <w:numPr>
                <w:ilvl w:val="0"/>
                <w:numId w:val="1"/>
              </w:numPr>
              <w:rPr>
                <w:sz w:val="16"/>
              </w:rPr>
            </w:pPr>
            <w:r>
              <w:rPr>
                <w:sz w:val="16"/>
              </w:rPr>
              <w:t>13</w:t>
            </w:r>
          </w:p>
        </w:tc>
        <w:tc>
          <w:tcPr>
            <w:tcW w:w="3033" w:type="dxa"/>
          </w:tcPr>
          <w:p w:rsidR="0088341A" w:rsidRPr="008D1302" w:rsidRDefault="0088341A" w:rsidP="00501137">
            <w:pPr>
              <w:pStyle w:val="AERtabletextleft"/>
            </w:pPr>
            <w:r w:rsidRPr="008D1302">
              <w:t>Keilor – Sydenham 500kV circuit and Keilor – South Morang 500kV circuit</w:t>
            </w:r>
          </w:p>
        </w:tc>
        <w:tc>
          <w:tcPr>
            <w:tcW w:w="4394" w:type="dxa"/>
          </w:tcPr>
          <w:p w:rsidR="0088341A" w:rsidRPr="00A77E6C" w:rsidRDefault="0088341A" w:rsidP="00501137">
            <w:pPr>
              <w:pStyle w:val="AERtabletextleft"/>
            </w:pPr>
            <w:r>
              <w:t xml:space="preserve">Review and uprate equipment ratings in RADAR. </w:t>
            </w:r>
          </w:p>
        </w:tc>
        <w:tc>
          <w:tcPr>
            <w:tcW w:w="4678" w:type="dxa"/>
          </w:tcPr>
          <w:p w:rsidR="0088341A" w:rsidRPr="00A77E6C" w:rsidRDefault="0088341A" w:rsidP="00501137">
            <w:pPr>
              <w:pStyle w:val="AERtabletextleft"/>
            </w:pPr>
            <w:r>
              <w:t xml:space="preserve">Keilor–Sydenham No 1 500 kV circuit: secondary plant limit 2078 MVA, and Keilor South Morang No 1 500 kV circuit: Secondary plant limit 2078 MVA. </w:t>
            </w:r>
          </w:p>
        </w:tc>
        <w:tc>
          <w:tcPr>
            <w:tcW w:w="1134" w:type="dxa"/>
          </w:tcPr>
          <w:p w:rsidR="0088341A" w:rsidRPr="00A77E6C" w:rsidRDefault="0088341A" w:rsidP="00501137">
            <w:pPr>
              <w:pStyle w:val="AERbodytext"/>
              <w:keepNext/>
              <w:numPr>
                <w:ilvl w:val="0"/>
                <w:numId w:val="1"/>
              </w:numPr>
              <w:jc w:val="right"/>
              <w:rPr>
                <w:sz w:val="16"/>
              </w:rPr>
            </w:pPr>
            <w:r w:rsidRPr="00A77E6C">
              <w:rPr>
                <w:sz w:val="16"/>
              </w:rPr>
              <w:t>0</w:t>
            </w:r>
          </w:p>
        </w:tc>
      </w:tr>
      <w:tr w:rsidR="0088341A" w:rsidTr="00501137">
        <w:trPr>
          <w:cnfStyle w:val="000000010000" w:firstRow="0" w:lastRow="0" w:firstColumn="0" w:lastColumn="0" w:oddVBand="0" w:evenVBand="0" w:oddHBand="0" w:evenHBand="1" w:firstRowFirstColumn="0" w:firstRowLastColumn="0" w:lastRowFirstColumn="0" w:lastRowLastColumn="0"/>
        </w:trPr>
        <w:tc>
          <w:tcPr>
            <w:tcW w:w="903" w:type="dxa"/>
          </w:tcPr>
          <w:p w:rsidR="0088341A" w:rsidRPr="00A77E6C" w:rsidRDefault="0088341A" w:rsidP="00501137">
            <w:pPr>
              <w:pStyle w:val="AERbodytext"/>
              <w:keepNext/>
              <w:numPr>
                <w:ilvl w:val="0"/>
                <w:numId w:val="1"/>
              </w:numPr>
              <w:rPr>
                <w:sz w:val="16"/>
              </w:rPr>
            </w:pPr>
            <w:r>
              <w:rPr>
                <w:sz w:val="16"/>
              </w:rPr>
              <w:t>14</w:t>
            </w:r>
          </w:p>
        </w:tc>
        <w:tc>
          <w:tcPr>
            <w:tcW w:w="3033" w:type="dxa"/>
          </w:tcPr>
          <w:p w:rsidR="0088341A" w:rsidRPr="008D1302" w:rsidRDefault="0088341A" w:rsidP="00501137">
            <w:pPr>
              <w:pStyle w:val="AERtabletextleft"/>
            </w:pPr>
            <w:r w:rsidRPr="008D1302">
              <w:t>Thomastown terminal station</w:t>
            </w:r>
          </w:p>
        </w:tc>
        <w:tc>
          <w:tcPr>
            <w:tcW w:w="4394" w:type="dxa"/>
          </w:tcPr>
          <w:p w:rsidR="0088341A" w:rsidRPr="00A77E6C" w:rsidRDefault="0088341A" w:rsidP="00501137">
            <w:pPr>
              <w:pStyle w:val="AERtabletextleft"/>
            </w:pPr>
            <w:r>
              <w:t xml:space="preserve">Replace 66 kV interplant connections, review and uprate equipment ratings in RADAR. </w:t>
            </w:r>
          </w:p>
        </w:tc>
        <w:tc>
          <w:tcPr>
            <w:tcW w:w="4678" w:type="dxa"/>
          </w:tcPr>
          <w:p w:rsidR="0088341A" w:rsidRPr="00A77E6C" w:rsidRDefault="0088341A" w:rsidP="00501137">
            <w:pPr>
              <w:pStyle w:val="AERtabletextleft"/>
            </w:pPr>
            <w:r>
              <w:t xml:space="preserve">TTS 220/66 kV B1 transformer rating 201 MVA and limited by 66 kV busbar rating of 181 MVA. TTS 220/66 kV B2 transformer capability 171 MVA, and TTS 220/66 kV B5 transformer capability 172 MVA. </w:t>
            </w:r>
          </w:p>
        </w:tc>
        <w:tc>
          <w:tcPr>
            <w:tcW w:w="1134" w:type="dxa"/>
          </w:tcPr>
          <w:p w:rsidR="0088341A" w:rsidRPr="00A77E6C" w:rsidRDefault="0088341A" w:rsidP="00501137">
            <w:pPr>
              <w:pStyle w:val="AERbodytext"/>
              <w:keepNext/>
              <w:numPr>
                <w:ilvl w:val="0"/>
                <w:numId w:val="1"/>
              </w:numPr>
              <w:jc w:val="right"/>
              <w:rPr>
                <w:sz w:val="16"/>
              </w:rPr>
            </w:pPr>
            <w:r w:rsidRPr="00A77E6C">
              <w:rPr>
                <w:sz w:val="16"/>
              </w:rPr>
              <w:t>177</w:t>
            </w:r>
          </w:p>
        </w:tc>
      </w:tr>
      <w:tr w:rsidR="0088341A" w:rsidTr="00501137">
        <w:tc>
          <w:tcPr>
            <w:tcW w:w="903" w:type="dxa"/>
          </w:tcPr>
          <w:p w:rsidR="0088341A" w:rsidRPr="00A77E6C" w:rsidRDefault="0088341A" w:rsidP="00501137">
            <w:pPr>
              <w:pStyle w:val="AERbodytext"/>
              <w:keepNext/>
              <w:numPr>
                <w:ilvl w:val="0"/>
                <w:numId w:val="1"/>
              </w:numPr>
              <w:rPr>
                <w:sz w:val="16"/>
              </w:rPr>
            </w:pPr>
            <w:r>
              <w:rPr>
                <w:sz w:val="16"/>
              </w:rPr>
              <w:t>15</w:t>
            </w:r>
          </w:p>
        </w:tc>
        <w:tc>
          <w:tcPr>
            <w:tcW w:w="3033" w:type="dxa"/>
          </w:tcPr>
          <w:p w:rsidR="0088341A" w:rsidRPr="008D1302" w:rsidRDefault="0088341A" w:rsidP="00501137">
            <w:pPr>
              <w:pStyle w:val="AERtabletextleft"/>
            </w:pPr>
            <w:r w:rsidRPr="008D1302">
              <w:t>Ringwood terminal station</w:t>
            </w:r>
          </w:p>
        </w:tc>
        <w:tc>
          <w:tcPr>
            <w:tcW w:w="4394" w:type="dxa"/>
          </w:tcPr>
          <w:p w:rsidR="0088341A" w:rsidRPr="00A77E6C" w:rsidRDefault="0088341A" w:rsidP="00501137">
            <w:pPr>
              <w:pStyle w:val="AERtabletextleft"/>
            </w:pPr>
            <w:r w:rsidRPr="00A77E6C">
              <w:t>Review and uprate equipment ratings</w:t>
            </w:r>
            <w:r>
              <w:t xml:space="preserve"> in RADAR. </w:t>
            </w:r>
          </w:p>
        </w:tc>
        <w:tc>
          <w:tcPr>
            <w:tcW w:w="4678" w:type="dxa"/>
          </w:tcPr>
          <w:p w:rsidR="0088341A" w:rsidRPr="00A77E6C" w:rsidRDefault="0088341A" w:rsidP="00501137">
            <w:pPr>
              <w:pStyle w:val="AERtabletextleft"/>
            </w:pPr>
            <w:r>
              <w:t xml:space="preserve">RWTS 220/66 kV B2 transformer rating 185 MVA and limited by 66 kV busbar rating of 181 MVA and RWTS 220/66 kV B3 transformer rating 190 MVA and limited by 66 kV busbar rating of 181 MVA. </w:t>
            </w:r>
          </w:p>
        </w:tc>
        <w:tc>
          <w:tcPr>
            <w:tcW w:w="1134" w:type="dxa"/>
          </w:tcPr>
          <w:p w:rsidR="0088341A" w:rsidRPr="00A77E6C" w:rsidRDefault="0088341A" w:rsidP="00501137">
            <w:pPr>
              <w:pStyle w:val="AERbodytext"/>
              <w:keepNext/>
              <w:numPr>
                <w:ilvl w:val="0"/>
                <w:numId w:val="1"/>
              </w:numPr>
              <w:jc w:val="right"/>
              <w:rPr>
                <w:sz w:val="16"/>
              </w:rPr>
            </w:pPr>
            <w:r w:rsidRPr="00A77E6C">
              <w:rPr>
                <w:sz w:val="16"/>
              </w:rPr>
              <w:t>0</w:t>
            </w:r>
          </w:p>
        </w:tc>
      </w:tr>
      <w:tr w:rsidR="0088341A" w:rsidTr="00501137">
        <w:trPr>
          <w:cnfStyle w:val="000000010000" w:firstRow="0" w:lastRow="0" w:firstColumn="0" w:lastColumn="0" w:oddVBand="0" w:evenVBand="0" w:oddHBand="0" w:evenHBand="1" w:firstRowFirstColumn="0" w:firstRowLastColumn="0" w:lastRowFirstColumn="0" w:lastRowLastColumn="0"/>
        </w:trPr>
        <w:tc>
          <w:tcPr>
            <w:tcW w:w="903" w:type="dxa"/>
          </w:tcPr>
          <w:p w:rsidR="0088341A" w:rsidRPr="00A77E6C" w:rsidRDefault="0088341A" w:rsidP="00501137">
            <w:pPr>
              <w:pStyle w:val="AERbodytext"/>
              <w:keepNext/>
              <w:numPr>
                <w:ilvl w:val="0"/>
                <w:numId w:val="1"/>
              </w:numPr>
              <w:rPr>
                <w:sz w:val="16"/>
              </w:rPr>
            </w:pPr>
            <w:r>
              <w:rPr>
                <w:sz w:val="16"/>
              </w:rPr>
              <w:t>16</w:t>
            </w:r>
          </w:p>
        </w:tc>
        <w:tc>
          <w:tcPr>
            <w:tcW w:w="3033" w:type="dxa"/>
          </w:tcPr>
          <w:p w:rsidR="0088341A" w:rsidRPr="008D1302" w:rsidRDefault="0088341A" w:rsidP="00501137">
            <w:pPr>
              <w:pStyle w:val="AERtabletextleft"/>
            </w:pPr>
            <w:r w:rsidRPr="008D1302">
              <w:t>Increase instrumentation range</w:t>
            </w:r>
          </w:p>
        </w:tc>
        <w:tc>
          <w:tcPr>
            <w:tcW w:w="4394" w:type="dxa"/>
          </w:tcPr>
          <w:p w:rsidR="0088341A" w:rsidRPr="00A77E6C" w:rsidRDefault="0088341A" w:rsidP="00501137">
            <w:pPr>
              <w:pStyle w:val="AERtabletextleft"/>
            </w:pPr>
            <w:r w:rsidRPr="00A77E6C">
              <w:t xml:space="preserve">Increase instrumentation range of 11 transmission circuits. </w:t>
            </w:r>
          </w:p>
        </w:tc>
        <w:tc>
          <w:tcPr>
            <w:tcW w:w="4678" w:type="dxa"/>
          </w:tcPr>
          <w:p w:rsidR="0088341A" w:rsidRPr="00A77E6C" w:rsidRDefault="0088341A" w:rsidP="00501137">
            <w:pPr>
              <w:pStyle w:val="AERtabletextleft"/>
            </w:pPr>
            <w:r w:rsidRPr="00A77E6C">
              <w:t>Increase the instrumentation ran</w:t>
            </w:r>
            <w:r>
              <w:t xml:space="preserve">ge of the transmission circuits. See SP AusNet NCIPAP. </w:t>
            </w:r>
          </w:p>
        </w:tc>
        <w:tc>
          <w:tcPr>
            <w:tcW w:w="1134" w:type="dxa"/>
          </w:tcPr>
          <w:p w:rsidR="0088341A" w:rsidRPr="00A77E6C" w:rsidRDefault="0088341A" w:rsidP="00501137">
            <w:pPr>
              <w:pStyle w:val="AERbodytext"/>
              <w:keepNext/>
              <w:numPr>
                <w:ilvl w:val="0"/>
                <w:numId w:val="1"/>
              </w:numPr>
              <w:jc w:val="right"/>
              <w:rPr>
                <w:sz w:val="16"/>
              </w:rPr>
            </w:pPr>
            <w:r w:rsidRPr="00A77E6C">
              <w:rPr>
                <w:sz w:val="16"/>
              </w:rPr>
              <w:t>400</w:t>
            </w:r>
          </w:p>
        </w:tc>
      </w:tr>
      <w:tr w:rsidR="0088341A" w:rsidTr="00501137">
        <w:tc>
          <w:tcPr>
            <w:tcW w:w="903" w:type="dxa"/>
          </w:tcPr>
          <w:p w:rsidR="0088341A" w:rsidRPr="00A77E6C" w:rsidRDefault="0088341A" w:rsidP="00501137">
            <w:pPr>
              <w:pStyle w:val="AERbodytext"/>
              <w:keepNext/>
              <w:numPr>
                <w:ilvl w:val="0"/>
                <w:numId w:val="1"/>
              </w:numPr>
              <w:rPr>
                <w:sz w:val="16"/>
              </w:rPr>
            </w:pPr>
            <w:r>
              <w:rPr>
                <w:sz w:val="16"/>
              </w:rPr>
              <w:t>17</w:t>
            </w:r>
          </w:p>
        </w:tc>
        <w:tc>
          <w:tcPr>
            <w:tcW w:w="3033" w:type="dxa"/>
          </w:tcPr>
          <w:p w:rsidR="0088341A" w:rsidRPr="008D1302" w:rsidRDefault="0088341A" w:rsidP="00501137">
            <w:pPr>
              <w:pStyle w:val="AERtabletextleft"/>
            </w:pPr>
            <w:r w:rsidRPr="008D1302">
              <w:t>Investigate fault level withstand capability of 220 kV switchyards</w:t>
            </w:r>
          </w:p>
        </w:tc>
        <w:tc>
          <w:tcPr>
            <w:tcW w:w="4394" w:type="dxa"/>
          </w:tcPr>
          <w:p w:rsidR="0088341A" w:rsidRPr="00A77E6C" w:rsidRDefault="0088341A" w:rsidP="00501137">
            <w:pPr>
              <w:pStyle w:val="AERtabletextleft"/>
            </w:pPr>
            <w:r w:rsidRPr="00A77E6C">
              <w:t xml:space="preserve">Assess the fault level capability of nine terminal stations. </w:t>
            </w:r>
          </w:p>
        </w:tc>
        <w:tc>
          <w:tcPr>
            <w:tcW w:w="4678" w:type="dxa"/>
          </w:tcPr>
          <w:p w:rsidR="0088341A" w:rsidRPr="00A77E6C" w:rsidRDefault="0088341A" w:rsidP="00501137">
            <w:pPr>
              <w:pStyle w:val="AERtabletextleft"/>
            </w:pPr>
            <w:r>
              <w:t>Report on</w:t>
            </w:r>
            <w:r w:rsidRPr="00A77E6C">
              <w:t xml:space="preserve"> the fault level capability of the equipment, structures </w:t>
            </w:r>
            <w:r w:rsidRPr="008D1302">
              <w:t>and earth grid at the nine specified terminal stations.</w:t>
            </w:r>
          </w:p>
        </w:tc>
        <w:tc>
          <w:tcPr>
            <w:tcW w:w="1134" w:type="dxa"/>
          </w:tcPr>
          <w:p w:rsidR="0088341A" w:rsidRPr="00A77E6C" w:rsidRDefault="0088341A" w:rsidP="00501137">
            <w:pPr>
              <w:pStyle w:val="AERbodytext"/>
              <w:keepNext/>
              <w:numPr>
                <w:ilvl w:val="0"/>
                <w:numId w:val="1"/>
              </w:numPr>
              <w:jc w:val="right"/>
              <w:rPr>
                <w:sz w:val="16"/>
              </w:rPr>
            </w:pPr>
            <w:r w:rsidRPr="00A77E6C">
              <w:rPr>
                <w:sz w:val="16"/>
              </w:rPr>
              <w:t>5300</w:t>
            </w:r>
          </w:p>
        </w:tc>
      </w:tr>
      <w:tr w:rsidR="0088341A" w:rsidTr="00501137">
        <w:trPr>
          <w:cnfStyle w:val="000000010000" w:firstRow="0" w:lastRow="0" w:firstColumn="0" w:lastColumn="0" w:oddVBand="0" w:evenVBand="0" w:oddHBand="0" w:evenHBand="1" w:firstRowFirstColumn="0" w:firstRowLastColumn="0" w:lastRowFirstColumn="0" w:lastRowLastColumn="0"/>
        </w:trPr>
        <w:tc>
          <w:tcPr>
            <w:tcW w:w="903" w:type="dxa"/>
          </w:tcPr>
          <w:p w:rsidR="0088341A" w:rsidRPr="00A77E6C" w:rsidRDefault="0088341A" w:rsidP="00501137">
            <w:pPr>
              <w:pStyle w:val="AERbodytext"/>
              <w:keepNext/>
              <w:numPr>
                <w:ilvl w:val="0"/>
                <w:numId w:val="1"/>
              </w:numPr>
              <w:rPr>
                <w:sz w:val="16"/>
              </w:rPr>
            </w:pPr>
            <w:r>
              <w:rPr>
                <w:sz w:val="16"/>
              </w:rPr>
              <w:t>18</w:t>
            </w:r>
          </w:p>
        </w:tc>
        <w:tc>
          <w:tcPr>
            <w:tcW w:w="3033" w:type="dxa"/>
          </w:tcPr>
          <w:p w:rsidR="0088341A" w:rsidRPr="008D1302" w:rsidRDefault="0088341A" w:rsidP="00501137">
            <w:pPr>
              <w:pStyle w:val="AERtabletextleft"/>
            </w:pPr>
            <w:r w:rsidRPr="008D1302">
              <w:t>Fault level withstand capability to 40 kA at 220 kV switchyards</w:t>
            </w:r>
          </w:p>
        </w:tc>
        <w:tc>
          <w:tcPr>
            <w:tcW w:w="4394" w:type="dxa"/>
          </w:tcPr>
          <w:p w:rsidR="0088341A" w:rsidRPr="00A77E6C" w:rsidRDefault="0088341A" w:rsidP="00501137">
            <w:pPr>
              <w:pStyle w:val="AERtabletextleft"/>
            </w:pPr>
            <w:r w:rsidRPr="00A77E6C">
              <w:t xml:space="preserve">Identify works on equipment and structures at nine terminal stations to increase the 200 kV fault level withstand capability to 40 kA. </w:t>
            </w:r>
          </w:p>
        </w:tc>
        <w:tc>
          <w:tcPr>
            <w:tcW w:w="4678" w:type="dxa"/>
          </w:tcPr>
          <w:p w:rsidR="0088341A" w:rsidRPr="00A77E6C" w:rsidRDefault="0088341A" w:rsidP="00501137">
            <w:pPr>
              <w:pStyle w:val="AERtabletextleft"/>
            </w:pPr>
            <w:r w:rsidRPr="00A77E6C">
              <w:t>Provision of high level scope of works to increase the fault level withstand capability to 40kA at HTS, KTS, MLTS, ROTS, RTS, RWTS, SVTS, TTS  and WMTS.</w:t>
            </w:r>
          </w:p>
        </w:tc>
        <w:tc>
          <w:tcPr>
            <w:tcW w:w="1134" w:type="dxa"/>
          </w:tcPr>
          <w:p w:rsidR="0088341A" w:rsidRPr="00A77E6C" w:rsidRDefault="0088341A" w:rsidP="00501137">
            <w:pPr>
              <w:pStyle w:val="AERbodytext"/>
              <w:keepNext/>
              <w:numPr>
                <w:ilvl w:val="0"/>
                <w:numId w:val="1"/>
              </w:numPr>
              <w:jc w:val="right"/>
              <w:rPr>
                <w:sz w:val="16"/>
              </w:rPr>
            </w:pPr>
            <w:r w:rsidRPr="00A77E6C">
              <w:rPr>
                <w:sz w:val="16"/>
              </w:rPr>
              <w:t>400</w:t>
            </w:r>
          </w:p>
        </w:tc>
      </w:tr>
      <w:tr w:rsidR="0088341A" w:rsidTr="00501137">
        <w:tc>
          <w:tcPr>
            <w:tcW w:w="903" w:type="dxa"/>
          </w:tcPr>
          <w:p w:rsidR="0088341A" w:rsidRPr="00A77E6C" w:rsidRDefault="0088341A" w:rsidP="00501137">
            <w:pPr>
              <w:pStyle w:val="AERbodytext"/>
              <w:keepNext/>
              <w:numPr>
                <w:ilvl w:val="0"/>
                <w:numId w:val="1"/>
              </w:numPr>
              <w:rPr>
                <w:sz w:val="16"/>
              </w:rPr>
            </w:pPr>
            <w:r>
              <w:rPr>
                <w:sz w:val="16"/>
              </w:rPr>
              <w:lastRenderedPageBreak/>
              <w:t>19</w:t>
            </w:r>
          </w:p>
        </w:tc>
        <w:tc>
          <w:tcPr>
            <w:tcW w:w="3033" w:type="dxa"/>
          </w:tcPr>
          <w:p w:rsidR="0088341A" w:rsidRPr="008D1302" w:rsidRDefault="0088341A" w:rsidP="00501137">
            <w:pPr>
              <w:pStyle w:val="AERtabletextleft"/>
            </w:pPr>
            <w:r w:rsidRPr="008D1302">
              <w:t>Geelong – Moorabool 220kV circuits</w:t>
            </w:r>
          </w:p>
        </w:tc>
        <w:tc>
          <w:tcPr>
            <w:tcW w:w="4394" w:type="dxa"/>
          </w:tcPr>
          <w:p w:rsidR="0088341A" w:rsidRPr="00A77E6C" w:rsidRDefault="0088341A" w:rsidP="00501137">
            <w:pPr>
              <w:pStyle w:val="AERtabletextleft"/>
            </w:pPr>
            <w:r w:rsidRPr="00A77E6C">
              <w:t>Isolator replacements</w:t>
            </w:r>
          </w:p>
        </w:tc>
        <w:tc>
          <w:tcPr>
            <w:tcW w:w="4678" w:type="dxa"/>
          </w:tcPr>
          <w:p w:rsidR="0088341A" w:rsidRPr="00A77E6C" w:rsidRDefault="0088341A" w:rsidP="00501137">
            <w:pPr>
              <w:pStyle w:val="AERtabletextleft"/>
            </w:pPr>
            <w:r>
              <w:t xml:space="preserve">Rating of Geelong–Moorabool No 1 and No2 220 kV circuits of 827 MVA continuous. </w:t>
            </w:r>
          </w:p>
        </w:tc>
        <w:tc>
          <w:tcPr>
            <w:tcW w:w="1134" w:type="dxa"/>
          </w:tcPr>
          <w:p w:rsidR="0088341A" w:rsidRPr="00A77E6C" w:rsidRDefault="0088341A" w:rsidP="00501137">
            <w:pPr>
              <w:pStyle w:val="AERbodytext"/>
              <w:keepNext/>
              <w:numPr>
                <w:ilvl w:val="0"/>
                <w:numId w:val="1"/>
              </w:numPr>
              <w:jc w:val="right"/>
              <w:rPr>
                <w:sz w:val="16"/>
              </w:rPr>
            </w:pPr>
            <w:r w:rsidRPr="00A77E6C">
              <w:rPr>
                <w:sz w:val="16"/>
              </w:rPr>
              <w:t>871</w:t>
            </w:r>
          </w:p>
        </w:tc>
      </w:tr>
      <w:tr w:rsidR="0088341A" w:rsidTr="00501137">
        <w:trPr>
          <w:cnfStyle w:val="000000010000" w:firstRow="0" w:lastRow="0" w:firstColumn="0" w:lastColumn="0" w:oddVBand="0" w:evenVBand="0" w:oddHBand="0" w:evenHBand="1" w:firstRowFirstColumn="0" w:firstRowLastColumn="0" w:lastRowFirstColumn="0" w:lastRowLastColumn="0"/>
        </w:trPr>
        <w:tc>
          <w:tcPr>
            <w:tcW w:w="903" w:type="dxa"/>
          </w:tcPr>
          <w:p w:rsidR="0088341A" w:rsidRPr="00A77E6C" w:rsidRDefault="0088341A" w:rsidP="00501137">
            <w:pPr>
              <w:pStyle w:val="AERbodytext"/>
              <w:keepNext/>
              <w:numPr>
                <w:ilvl w:val="0"/>
                <w:numId w:val="1"/>
              </w:numPr>
              <w:rPr>
                <w:sz w:val="16"/>
              </w:rPr>
            </w:pPr>
            <w:r>
              <w:rPr>
                <w:sz w:val="16"/>
              </w:rPr>
              <w:t>20</w:t>
            </w:r>
          </w:p>
        </w:tc>
        <w:tc>
          <w:tcPr>
            <w:tcW w:w="3033" w:type="dxa"/>
          </w:tcPr>
          <w:p w:rsidR="0088341A" w:rsidRPr="008D1302" w:rsidRDefault="0088341A" w:rsidP="00501137">
            <w:pPr>
              <w:pStyle w:val="AERtabletextleft"/>
            </w:pPr>
            <w:r w:rsidRPr="008D1302">
              <w:t>Geelong terminal station</w:t>
            </w:r>
          </w:p>
        </w:tc>
        <w:tc>
          <w:tcPr>
            <w:tcW w:w="4394" w:type="dxa"/>
          </w:tcPr>
          <w:p w:rsidR="0088341A" w:rsidRPr="00A77E6C" w:rsidRDefault="0088341A" w:rsidP="00501137">
            <w:pPr>
              <w:pStyle w:val="AERtabletextleft"/>
            </w:pPr>
            <w:r w:rsidRPr="00A77E6C">
              <w:t>Review and uprate equipment ratings</w:t>
            </w:r>
          </w:p>
        </w:tc>
        <w:tc>
          <w:tcPr>
            <w:tcW w:w="4678" w:type="dxa"/>
          </w:tcPr>
          <w:p w:rsidR="0088341A" w:rsidRPr="00A77E6C" w:rsidRDefault="0088341A" w:rsidP="00501137">
            <w:pPr>
              <w:pStyle w:val="AERtabletextleft"/>
            </w:pPr>
            <w:r>
              <w:t xml:space="preserve">GTS 220/66 kV B2 transformer rating 169 MVA and GTS 220/66 kV B 4 transformer rating of 177 MVA. </w:t>
            </w:r>
          </w:p>
        </w:tc>
        <w:tc>
          <w:tcPr>
            <w:tcW w:w="1134" w:type="dxa"/>
          </w:tcPr>
          <w:p w:rsidR="0088341A" w:rsidRPr="00A77E6C" w:rsidRDefault="0088341A" w:rsidP="00501137">
            <w:pPr>
              <w:pStyle w:val="AERbodytext"/>
              <w:keepNext/>
              <w:numPr>
                <w:ilvl w:val="0"/>
                <w:numId w:val="1"/>
              </w:numPr>
              <w:jc w:val="right"/>
              <w:rPr>
                <w:sz w:val="16"/>
              </w:rPr>
            </w:pPr>
            <w:r w:rsidRPr="00A77E6C">
              <w:rPr>
                <w:sz w:val="16"/>
              </w:rPr>
              <w:t>0</w:t>
            </w:r>
          </w:p>
        </w:tc>
      </w:tr>
      <w:tr w:rsidR="0088341A" w:rsidTr="00501137">
        <w:tc>
          <w:tcPr>
            <w:tcW w:w="903" w:type="dxa"/>
          </w:tcPr>
          <w:p w:rsidR="0088341A" w:rsidRPr="00A77E6C" w:rsidRDefault="0088341A" w:rsidP="00501137">
            <w:pPr>
              <w:pStyle w:val="AERbodytext"/>
              <w:keepNext/>
              <w:numPr>
                <w:ilvl w:val="0"/>
                <w:numId w:val="1"/>
              </w:numPr>
              <w:rPr>
                <w:sz w:val="16"/>
              </w:rPr>
            </w:pPr>
            <w:r>
              <w:rPr>
                <w:sz w:val="16"/>
              </w:rPr>
              <w:t>21</w:t>
            </w:r>
          </w:p>
        </w:tc>
        <w:tc>
          <w:tcPr>
            <w:tcW w:w="3033" w:type="dxa"/>
          </w:tcPr>
          <w:p w:rsidR="0088341A" w:rsidRPr="008D1302" w:rsidRDefault="0088341A" w:rsidP="00501137">
            <w:pPr>
              <w:pStyle w:val="AERtabletextleft"/>
            </w:pPr>
            <w:r w:rsidRPr="008D1302">
              <w:t>Moorabool – Mortlake 500</w:t>
            </w:r>
            <w:r w:rsidR="001B34FF">
              <w:t>kV circuit and Moorabol – Tarrone</w:t>
            </w:r>
            <w:r w:rsidRPr="008D1302">
              <w:t xml:space="preserve"> 500kV circuit</w:t>
            </w:r>
          </w:p>
        </w:tc>
        <w:tc>
          <w:tcPr>
            <w:tcW w:w="4394" w:type="dxa"/>
          </w:tcPr>
          <w:p w:rsidR="0088341A" w:rsidRPr="00A77E6C" w:rsidRDefault="0088341A" w:rsidP="00501137">
            <w:pPr>
              <w:pStyle w:val="AERtabletextleft"/>
            </w:pPr>
            <w:r w:rsidRPr="00A77E6C">
              <w:t>Review and uprate protection settings</w:t>
            </w:r>
          </w:p>
        </w:tc>
        <w:tc>
          <w:tcPr>
            <w:tcW w:w="4678" w:type="dxa"/>
          </w:tcPr>
          <w:p w:rsidR="0088341A" w:rsidRPr="00A77E6C" w:rsidRDefault="0088341A" w:rsidP="00501137">
            <w:pPr>
              <w:pStyle w:val="AERtabletextleft"/>
            </w:pPr>
            <w:r>
              <w:t>Moorabool–Mortlake No 2 500 kV circuit capability i</w:t>
            </w:r>
            <w:r w:rsidR="001B34FF">
              <w:t>s 2858 MVA and Moorabool–Tarrone</w:t>
            </w:r>
            <w:r>
              <w:t xml:space="preserve"> No 1 500 kV circuit capability is 2858 MVA. </w:t>
            </w:r>
          </w:p>
        </w:tc>
        <w:tc>
          <w:tcPr>
            <w:tcW w:w="1134" w:type="dxa"/>
          </w:tcPr>
          <w:p w:rsidR="0088341A" w:rsidRPr="00A77E6C" w:rsidRDefault="0088341A" w:rsidP="00501137">
            <w:pPr>
              <w:pStyle w:val="AERbodytext"/>
              <w:keepNext/>
              <w:numPr>
                <w:ilvl w:val="0"/>
                <w:numId w:val="1"/>
              </w:numPr>
              <w:jc w:val="right"/>
              <w:rPr>
                <w:sz w:val="16"/>
              </w:rPr>
            </w:pPr>
            <w:r w:rsidRPr="00A77E6C">
              <w:rPr>
                <w:sz w:val="16"/>
              </w:rPr>
              <w:t>0</w:t>
            </w:r>
          </w:p>
        </w:tc>
      </w:tr>
      <w:tr w:rsidR="0088341A" w:rsidTr="00501137">
        <w:trPr>
          <w:cnfStyle w:val="000000010000" w:firstRow="0" w:lastRow="0" w:firstColumn="0" w:lastColumn="0" w:oddVBand="0" w:evenVBand="0" w:oddHBand="0" w:evenHBand="1" w:firstRowFirstColumn="0" w:firstRowLastColumn="0" w:lastRowFirstColumn="0" w:lastRowLastColumn="0"/>
        </w:trPr>
        <w:tc>
          <w:tcPr>
            <w:tcW w:w="903" w:type="dxa"/>
          </w:tcPr>
          <w:p w:rsidR="0088341A" w:rsidRPr="00A77E6C" w:rsidRDefault="0088341A" w:rsidP="00501137">
            <w:pPr>
              <w:pStyle w:val="AERbodytext"/>
              <w:keepNext/>
              <w:numPr>
                <w:ilvl w:val="0"/>
                <w:numId w:val="1"/>
              </w:numPr>
              <w:rPr>
                <w:sz w:val="16"/>
              </w:rPr>
            </w:pPr>
            <w:r>
              <w:rPr>
                <w:sz w:val="16"/>
              </w:rPr>
              <w:t>22</w:t>
            </w:r>
          </w:p>
        </w:tc>
        <w:tc>
          <w:tcPr>
            <w:tcW w:w="3033" w:type="dxa"/>
          </w:tcPr>
          <w:p w:rsidR="0088341A" w:rsidRPr="008D1302" w:rsidRDefault="0088341A" w:rsidP="00501137">
            <w:pPr>
              <w:pStyle w:val="AERtabletextleft"/>
            </w:pPr>
            <w:r w:rsidRPr="008D1302">
              <w:t>Horsham terminal station</w:t>
            </w:r>
          </w:p>
        </w:tc>
        <w:tc>
          <w:tcPr>
            <w:tcW w:w="4394" w:type="dxa"/>
          </w:tcPr>
          <w:p w:rsidR="0088341A" w:rsidRPr="00A77E6C" w:rsidRDefault="0088341A" w:rsidP="00501137">
            <w:pPr>
              <w:pStyle w:val="AERtabletextleft"/>
            </w:pPr>
            <w:r w:rsidRPr="00A77E6C">
              <w:t>Protection setting change</w:t>
            </w:r>
          </w:p>
        </w:tc>
        <w:tc>
          <w:tcPr>
            <w:tcW w:w="4678" w:type="dxa"/>
          </w:tcPr>
          <w:p w:rsidR="0088341A" w:rsidRPr="00A77E6C" w:rsidRDefault="0088341A" w:rsidP="00501137">
            <w:pPr>
              <w:pStyle w:val="AERtabletextleft"/>
            </w:pPr>
            <w:r>
              <w:t xml:space="preserve">HOTS 220/66 kV B2 and B3 transformer capability of 120 MVA. </w:t>
            </w:r>
          </w:p>
        </w:tc>
        <w:tc>
          <w:tcPr>
            <w:tcW w:w="1134" w:type="dxa"/>
          </w:tcPr>
          <w:p w:rsidR="0088341A" w:rsidRPr="00A77E6C" w:rsidRDefault="0088341A" w:rsidP="00501137">
            <w:pPr>
              <w:pStyle w:val="AERbodytext"/>
              <w:keepNext/>
              <w:numPr>
                <w:ilvl w:val="0"/>
                <w:numId w:val="1"/>
              </w:numPr>
              <w:jc w:val="right"/>
              <w:rPr>
                <w:sz w:val="16"/>
              </w:rPr>
            </w:pPr>
            <w:r w:rsidRPr="00A77E6C">
              <w:rPr>
                <w:sz w:val="16"/>
              </w:rPr>
              <w:t>14</w:t>
            </w:r>
          </w:p>
        </w:tc>
      </w:tr>
      <w:tr w:rsidR="0088341A" w:rsidTr="00501137">
        <w:tc>
          <w:tcPr>
            <w:tcW w:w="903" w:type="dxa"/>
          </w:tcPr>
          <w:p w:rsidR="0088341A" w:rsidRPr="00A77E6C" w:rsidRDefault="0088341A" w:rsidP="00501137">
            <w:pPr>
              <w:pStyle w:val="AERbodytext"/>
              <w:keepNext/>
              <w:numPr>
                <w:ilvl w:val="0"/>
                <w:numId w:val="1"/>
              </w:numPr>
              <w:rPr>
                <w:sz w:val="16"/>
              </w:rPr>
            </w:pPr>
          </w:p>
        </w:tc>
        <w:tc>
          <w:tcPr>
            <w:tcW w:w="3033" w:type="dxa"/>
          </w:tcPr>
          <w:p w:rsidR="0088341A" w:rsidRPr="008D1302" w:rsidRDefault="0088341A" w:rsidP="00501137">
            <w:pPr>
              <w:pStyle w:val="AERtabletextleft"/>
            </w:pPr>
          </w:p>
        </w:tc>
        <w:tc>
          <w:tcPr>
            <w:tcW w:w="4394" w:type="dxa"/>
          </w:tcPr>
          <w:p w:rsidR="0088341A" w:rsidRPr="00A77E6C" w:rsidRDefault="0088341A" w:rsidP="00501137">
            <w:pPr>
              <w:pStyle w:val="AERtabletextleft"/>
              <w:rPr>
                <w:b/>
              </w:rPr>
            </w:pPr>
            <w:r w:rsidRPr="00A77E6C">
              <w:rPr>
                <w:b/>
              </w:rPr>
              <w:t>Total cost</w:t>
            </w:r>
          </w:p>
        </w:tc>
        <w:tc>
          <w:tcPr>
            <w:tcW w:w="4678" w:type="dxa"/>
          </w:tcPr>
          <w:p w:rsidR="0088341A" w:rsidRPr="00A77E6C" w:rsidRDefault="0088341A" w:rsidP="00501137">
            <w:pPr>
              <w:pStyle w:val="AERbodytext"/>
              <w:keepNext/>
              <w:numPr>
                <w:ilvl w:val="0"/>
                <w:numId w:val="1"/>
              </w:numPr>
              <w:jc w:val="left"/>
              <w:rPr>
                <w:b/>
                <w:sz w:val="16"/>
              </w:rPr>
            </w:pPr>
          </w:p>
        </w:tc>
        <w:tc>
          <w:tcPr>
            <w:tcW w:w="1134" w:type="dxa"/>
          </w:tcPr>
          <w:p w:rsidR="0088341A" w:rsidRPr="00A77E6C" w:rsidRDefault="0088341A" w:rsidP="00501137">
            <w:pPr>
              <w:pStyle w:val="AERbodytext"/>
              <w:keepNext/>
              <w:numPr>
                <w:ilvl w:val="0"/>
                <w:numId w:val="1"/>
              </w:numPr>
              <w:jc w:val="right"/>
              <w:rPr>
                <w:b/>
                <w:sz w:val="16"/>
              </w:rPr>
            </w:pPr>
            <w:r w:rsidRPr="00A77E6C">
              <w:rPr>
                <w:b/>
                <w:sz w:val="16"/>
              </w:rPr>
              <w:t>13</w:t>
            </w:r>
            <w:r>
              <w:rPr>
                <w:b/>
                <w:sz w:val="16"/>
              </w:rPr>
              <w:t xml:space="preserve"> 220</w:t>
            </w:r>
          </w:p>
        </w:tc>
      </w:tr>
    </w:tbl>
    <w:p w:rsidR="0088341A" w:rsidRDefault="0088341A" w:rsidP="00682A64">
      <w:pPr>
        <w:pStyle w:val="Caption"/>
        <w:keepNext w:val="0"/>
      </w:pPr>
    </w:p>
    <w:p w:rsidR="0088341A" w:rsidRPr="003C2229" w:rsidRDefault="0088341A" w:rsidP="00682A64">
      <w:pPr>
        <w:pStyle w:val="Caption"/>
        <w:keepNext w:val="0"/>
      </w:pPr>
      <w:r w:rsidRPr="003C2229">
        <w:t xml:space="preserve"> </w:t>
      </w:r>
    </w:p>
    <w:p w:rsidR="0088341A" w:rsidRDefault="0088341A" w:rsidP="00682A64">
      <w:pPr>
        <w:pStyle w:val="HeadingBoldBlue"/>
        <w:keepNext w:val="0"/>
        <w:sectPr w:rsidR="0088341A" w:rsidSect="00682A64">
          <w:pgSz w:w="16838" w:h="11906" w:orient="landscape"/>
          <w:pgMar w:top="1440" w:right="1440" w:bottom="1276" w:left="1440" w:header="708" w:footer="708" w:gutter="0"/>
          <w:cols w:space="708"/>
          <w:docGrid w:linePitch="360"/>
        </w:sectPr>
      </w:pPr>
    </w:p>
    <w:p w:rsidR="0088341A" w:rsidRDefault="0088341A" w:rsidP="0088341A">
      <w:pPr>
        <w:pStyle w:val="HeadingBoldBlue"/>
      </w:pPr>
      <w:r>
        <w:lastRenderedPageBreak/>
        <w:t>Market impact component</w:t>
      </w:r>
    </w:p>
    <w:p w:rsidR="0088341A" w:rsidRDefault="0088341A" w:rsidP="0088341A">
      <w:pPr>
        <w:pStyle w:val="AERbodytext"/>
        <w:numPr>
          <w:ilvl w:val="0"/>
          <w:numId w:val="0"/>
        </w:numPr>
      </w:pPr>
      <w:r>
        <w:t xml:space="preserve">We have not made a decision on SP AusNet’s </w:t>
      </w:r>
      <w:r w:rsidRPr="005E5E47">
        <w:t>performance target</w:t>
      </w:r>
      <w:r>
        <w:t xml:space="preserve"> for 2014, as SP AusNet’s 2013 performance data is not yet available for this calculation.</w:t>
      </w:r>
      <w:r>
        <w:rPr>
          <w:rStyle w:val="FootnoteReference"/>
        </w:rPr>
        <w:footnoteReference w:id="488"/>
      </w:r>
      <w:r>
        <w:t xml:space="preserve"> However, we will audit SP AusNet’s 2011 and 2012 performance which will be used in the calculation of its performance target at a time in future.</w:t>
      </w:r>
    </w:p>
    <w:p w:rsidR="0088341A" w:rsidRDefault="0088341A" w:rsidP="0088341A">
      <w:pPr>
        <w:pStyle w:val="AERbodytext"/>
        <w:numPr>
          <w:ilvl w:val="0"/>
          <w:numId w:val="0"/>
        </w:numPr>
      </w:pPr>
      <w:r>
        <w:t>SP AusNet submitted market impact component data with its revenue proposal. However, it did not incorporate an exclusion in the new STPIS which was released closed to their revenue proposal submission date. SP AusNet recalculated its data in accordance with the new scheme which was provided to us recently.  We will audit this data in time for our final decision and make any adjustments necessary.</w:t>
      </w:r>
    </w:p>
    <w:p w:rsidR="0088341A" w:rsidRDefault="0088341A" w:rsidP="0088341A">
      <w:pPr>
        <w:pStyle w:val="Heading2"/>
        <w:numPr>
          <w:ilvl w:val="2"/>
          <w:numId w:val="20"/>
        </w:numPr>
      </w:pPr>
      <w:bookmarkStart w:id="338" w:name="_Toc365283334"/>
      <w:r>
        <w:t>SP AusNet's proposal</w:t>
      </w:r>
      <w:bookmarkEnd w:id="338"/>
    </w:p>
    <w:p w:rsidR="0088341A" w:rsidRDefault="0088341A" w:rsidP="0088341A">
      <w:pPr>
        <w:pStyle w:val="HeadingBoldBlue"/>
      </w:pPr>
      <w:r>
        <w:t>Service component</w:t>
      </w:r>
    </w:p>
    <w:p w:rsidR="0088341A" w:rsidRDefault="0088341A" w:rsidP="0088341A">
      <w:pPr>
        <w:pStyle w:val="AERbodytext"/>
        <w:numPr>
          <w:ilvl w:val="0"/>
          <w:numId w:val="1"/>
        </w:numPr>
      </w:pPr>
      <w:r>
        <w:t>SP AusNet proposed:</w:t>
      </w:r>
    </w:p>
    <w:p w:rsidR="0088341A" w:rsidRDefault="0088341A" w:rsidP="0088341A">
      <w:pPr>
        <w:pStyle w:val="AERbulletlistfirststyle"/>
      </w:pPr>
      <w:r>
        <w:t>performance targets set equal to the average of the last five years of performance</w:t>
      </w:r>
      <w:r>
        <w:rPr>
          <w:rStyle w:val="FootnoteReference"/>
        </w:rPr>
        <w:footnoteReference w:id="489"/>
      </w:r>
    </w:p>
    <w:p w:rsidR="0088341A" w:rsidRDefault="0088341A" w:rsidP="0088341A">
      <w:pPr>
        <w:pStyle w:val="AERbulletlistfirststyle"/>
      </w:pPr>
      <w:r>
        <w:t>adjustments to the loss of supply events performance targets to account for the volume of capital works in the 2014–17 regulatory control period</w:t>
      </w:r>
    </w:p>
    <w:p w:rsidR="0088341A" w:rsidRDefault="0088341A" w:rsidP="0088341A">
      <w:pPr>
        <w:pStyle w:val="AERbulletlistfirststyle"/>
      </w:pPr>
      <w:r>
        <w:t xml:space="preserve">changes to the distributions used to calculate the caps and collars. </w:t>
      </w:r>
    </w:p>
    <w:p w:rsidR="0088341A" w:rsidRDefault="0088341A" w:rsidP="0088341A">
      <w:pPr>
        <w:pStyle w:val="AERbodytext"/>
        <w:numPr>
          <w:ilvl w:val="0"/>
          <w:numId w:val="1"/>
        </w:numPr>
      </w:pPr>
      <w:r>
        <w:fldChar w:fldCharType="begin"/>
      </w:r>
      <w:r>
        <w:instrText xml:space="preserve"> REF _Ref356810086 \h </w:instrText>
      </w:r>
      <w:r>
        <w:fldChar w:fldCharType="separate"/>
      </w:r>
      <w:r w:rsidR="004F35AA">
        <w:t xml:space="preserve">Table </w:t>
      </w:r>
      <w:r w:rsidR="004F35AA">
        <w:rPr>
          <w:noProof/>
        </w:rPr>
        <w:t>9</w:t>
      </w:r>
      <w:r w:rsidR="004F35AA">
        <w:t>.</w:t>
      </w:r>
      <w:r w:rsidR="004F35AA">
        <w:rPr>
          <w:noProof/>
        </w:rPr>
        <w:t>3</w:t>
      </w:r>
      <w:r>
        <w:fldChar w:fldCharType="end"/>
      </w:r>
      <w:r>
        <w:t xml:space="preserve"> sets out SP AusNet's proposed performance targets, caps and collars for each parameter under the service component of the STPIS. The STPIS prescribes each subparameter’s revenue weighting.</w:t>
      </w:r>
      <w:r>
        <w:rPr>
          <w:rStyle w:val="FootnoteReference"/>
        </w:rPr>
        <w:footnoteReference w:id="490"/>
      </w:r>
      <w:r>
        <w:t xml:space="preserve"> </w:t>
      </w:r>
    </w:p>
    <w:p w:rsidR="0088341A" w:rsidRDefault="0088341A" w:rsidP="0088341A">
      <w:pPr>
        <w:pStyle w:val="Caption"/>
        <w:keepLines/>
      </w:pPr>
      <w:bookmarkStart w:id="339" w:name="_Ref356810086"/>
      <w:r>
        <w:lastRenderedPageBreak/>
        <w:t xml:space="preserve">Table </w:t>
      </w:r>
      <w:fldSimple w:instr=" STYLEREF 1 \s ">
        <w:r w:rsidR="004F35AA">
          <w:rPr>
            <w:noProof/>
          </w:rPr>
          <w:t>9</w:t>
        </w:r>
      </w:fldSimple>
      <w:r w:rsidR="00C56A87">
        <w:t>.</w:t>
      </w:r>
      <w:fldSimple w:instr=" SEQ Table \* ARABIC \s 1 ">
        <w:r w:rsidR="004F35AA">
          <w:rPr>
            <w:noProof/>
          </w:rPr>
          <w:t>3</w:t>
        </w:r>
      </w:fldSimple>
      <w:bookmarkEnd w:id="339"/>
      <w:r>
        <w:tab/>
        <w:t>SP AusNet's proposed parameter values for the service component of the STPIS</w:t>
      </w:r>
    </w:p>
    <w:tbl>
      <w:tblPr>
        <w:tblStyle w:val="AERtable-numbers"/>
        <w:tblW w:w="0" w:type="auto"/>
        <w:tblLook w:val="04A0" w:firstRow="1" w:lastRow="0" w:firstColumn="1" w:lastColumn="0" w:noHBand="0" w:noVBand="1"/>
      </w:tblPr>
      <w:tblGrid>
        <w:gridCol w:w="3085"/>
        <w:gridCol w:w="1539"/>
        <w:gridCol w:w="1539"/>
        <w:gridCol w:w="1539"/>
        <w:gridCol w:w="1540"/>
      </w:tblGrid>
      <w:tr w:rsidR="0088341A" w:rsidRPr="00682A64" w:rsidTr="00682A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DB180C">
            <w:pPr>
              <w:pStyle w:val="AERtabletextleft"/>
              <w:keepNext/>
            </w:pPr>
          </w:p>
        </w:tc>
        <w:tc>
          <w:tcPr>
            <w:tcW w:w="1539" w:type="dxa"/>
          </w:tcPr>
          <w:p w:rsidR="0088341A" w:rsidRPr="00682A64" w:rsidRDefault="0088341A" w:rsidP="00DB180C">
            <w:pPr>
              <w:pStyle w:val="AERtabletextright"/>
              <w:keepNext/>
              <w:cnfStyle w:val="100000000000" w:firstRow="1" w:lastRow="0" w:firstColumn="0" w:lastColumn="0" w:oddVBand="0" w:evenVBand="0" w:oddHBand="0" w:evenHBand="0" w:firstRowFirstColumn="0" w:firstRowLastColumn="0" w:lastRowFirstColumn="0" w:lastRowLastColumn="0"/>
            </w:pPr>
            <w:r w:rsidRPr="00682A64">
              <w:t>Collar</w:t>
            </w:r>
          </w:p>
        </w:tc>
        <w:tc>
          <w:tcPr>
            <w:tcW w:w="1539" w:type="dxa"/>
          </w:tcPr>
          <w:p w:rsidR="0088341A" w:rsidRPr="00682A64" w:rsidRDefault="0088341A" w:rsidP="00DB180C">
            <w:pPr>
              <w:pStyle w:val="AERtabletextright"/>
              <w:keepNext/>
              <w:cnfStyle w:val="100000000000" w:firstRow="1" w:lastRow="0" w:firstColumn="0" w:lastColumn="0" w:oddVBand="0" w:evenVBand="0" w:oddHBand="0" w:evenHBand="0" w:firstRowFirstColumn="0" w:firstRowLastColumn="0" w:lastRowFirstColumn="0" w:lastRowLastColumn="0"/>
            </w:pPr>
            <w:r w:rsidRPr="00682A64">
              <w:t>Target</w:t>
            </w:r>
          </w:p>
        </w:tc>
        <w:tc>
          <w:tcPr>
            <w:tcW w:w="1539" w:type="dxa"/>
          </w:tcPr>
          <w:p w:rsidR="0088341A" w:rsidRPr="00682A64" w:rsidRDefault="0088341A" w:rsidP="00DB180C">
            <w:pPr>
              <w:pStyle w:val="AERtabletextright"/>
              <w:keepNext/>
              <w:cnfStyle w:val="100000000000" w:firstRow="1" w:lastRow="0" w:firstColumn="0" w:lastColumn="0" w:oddVBand="0" w:evenVBand="0" w:oddHBand="0" w:evenHBand="0" w:firstRowFirstColumn="0" w:firstRowLastColumn="0" w:lastRowFirstColumn="0" w:lastRowLastColumn="0"/>
            </w:pPr>
            <w:r w:rsidRPr="00682A64">
              <w:t>Cap</w:t>
            </w:r>
          </w:p>
        </w:tc>
        <w:tc>
          <w:tcPr>
            <w:tcW w:w="1540" w:type="dxa"/>
          </w:tcPr>
          <w:p w:rsidR="0088341A" w:rsidRPr="00682A64" w:rsidRDefault="0088341A" w:rsidP="00DB180C">
            <w:pPr>
              <w:pStyle w:val="AERtabletextright"/>
              <w:keepNext/>
              <w:cnfStyle w:val="100000000000" w:firstRow="1" w:lastRow="0" w:firstColumn="0" w:lastColumn="0" w:oddVBand="0" w:evenVBand="0" w:oddHBand="0" w:evenHBand="0" w:firstRowFirstColumn="0" w:firstRowLastColumn="0" w:lastRowFirstColumn="0" w:lastRowLastColumn="0"/>
            </w:pPr>
            <w:r w:rsidRPr="00682A64">
              <w:t xml:space="preserve">Weighting </w:t>
            </w:r>
            <w:r w:rsidRPr="00682A64">
              <w:br/>
              <w:t>(% of MAR)</w:t>
            </w:r>
          </w:p>
        </w:tc>
      </w:tr>
      <w:tr w:rsidR="0088341A" w:rsidRPr="00682A64" w:rsidTr="00682A64">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DB180C">
            <w:pPr>
              <w:pStyle w:val="AERtabletextleft"/>
              <w:keepNext/>
            </w:pPr>
            <w:r w:rsidRPr="00682A64">
              <w:t>Average circuit outage rate</w:t>
            </w:r>
          </w:p>
        </w:tc>
        <w:tc>
          <w:tcPr>
            <w:tcW w:w="1539" w:type="dxa"/>
          </w:tcPr>
          <w:p w:rsidR="0088341A" w:rsidRPr="00682A64" w:rsidRDefault="0088341A" w:rsidP="00DB180C">
            <w:pPr>
              <w:pStyle w:val="AERtabletextright"/>
              <w:keepNext/>
              <w:cnfStyle w:val="000000000000" w:firstRow="0" w:lastRow="0" w:firstColumn="0" w:lastColumn="0" w:oddVBand="0" w:evenVBand="0" w:oddHBand="0" w:evenHBand="0" w:firstRowFirstColumn="0" w:firstRowLastColumn="0" w:lastRowFirstColumn="0" w:lastRowLastColumn="0"/>
            </w:pPr>
          </w:p>
        </w:tc>
        <w:tc>
          <w:tcPr>
            <w:tcW w:w="1539" w:type="dxa"/>
          </w:tcPr>
          <w:p w:rsidR="0088341A" w:rsidRPr="00682A64" w:rsidRDefault="0088341A" w:rsidP="00DB180C">
            <w:pPr>
              <w:pStyle w:val="AERtabletextright"/>
              <w:keepNext/>
              <w:cnfStyle w:val="000000000000" w:firstRow="0" w:lastRow="0" w:firstColumn="0" w:lastColumn="0" w:oddVBand="0" w:evenVBand="0" w:oddHBand="0" w:evenHBand="0" w:firstRowFirstColumn="0" w:firstRowLastColumn="0" w:lastRowFirstColumn="0" w:lastRowLastColumn="0"/>
            </w:pPr>
          </w:p>
        </w:tc>
        <w:tc>
          <w:tcPr>
            <w:tcW w:w="1539" w:type="dxa"/>
          </w:tcPr>
          <w:p w:rsidR="0088341A" w:rsidRPr="00682A64" w:rsidRDefault="0088341A" w:rsidP="00DB180C">
            <w:pPr>
              <w:pStyle w:val="AERtabletextright"/>
              <w:keepNext/>
              <w:cnfStyle w:val="000000000000" w:firstRow="0" w:lastRow="0" w:firstColumn="0" w:lastColumn="0" w:oddVBand="0" w:evenVBand="0" w:oddHBand="0" w:evenHBand="0" w:firstRowFirstColumn="0" w:firstRowLastColumn="0" w:lastRowFirstColumn="0" w:lastRowLastColumn="0"/>
            </w:pPr>
          </w:p>
        </w:tc>
        <w:tc>
          <w:tcPr>
            <w:tcW w:w="1540" w:type="dxa"/>
          </w:tcPr>
          <w:p w:rsidR="0088341A" w:rsidRPr="00682A64" w:rsidRDefault="0088341A" w:rsidP="00DB180C">
            <w:pPr>
              <w:pStyle w:val="AERtabletextright"/>
              <w:keepNext/>
              <w:cnfStyle w:val="000000000000" w:firstRow="0" w:lastRow="0" w:firstColumn="0" w:lastColumn="0" w:oddVBand="0" w:evenVBand="0" w:oddHBand="0" w:evenHBand="0" w:firstRowFirstColumn="0" w:firstRowLastColumn="0" w:lastRowFirstColumn="0" w:lastRowLastColumn="0"/>
            </w:pPr>
          </w:p>
        </w:tc>
      </w:tr>
      <w:tr w:rsidR="0088341A" w:rsidRPr="00682A64" w:rsidTr="00682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DB180C">
            <w:pPr>
              <w:pStyle w:val="AERtabletextleft"/>
              <w:keepNext/>
            </w:pPr>
            <w:r w:rsidRPr="00682A64">
              <w:t>Line outage – fault</w:t>
            </w:r>
          </w:p>
        </w:tc>
        <w:tc>
          <w:tcPr>
            <w:tcW w:w="1539" w:type="dxa"/>
          </w:tcPr>
          <w:p w:rsidR="0088341A" w:rsidRPr="00682A64" w:rsidRDefault="0088341A" w:rsidP="00DB180C">
            <w:pPr>
              <w:pStyle w:val="AERtabletextright"/>
              <w:keepNext/>
              <w:cnfStyle w:val="000000010000" w:firstRow="0" w:lastRow="0" w:firstColumn="0" w:lastColumn="0" w:oddVBand="0" w:evenVBand="0" w:oddHBand="0" w:evenHBand="1" w:firstRowFirstColumn="0" w:firstRowLastColumn="0" w:lastRowFirstColumn="0" w:lastRowLastColumn="0"/>
            </w:pPr>
            <w:r w:rsidRPr="00682A64">
              <w:t>43.9%</w:t>
            </w:r>
          </w:p>
        </w:tc>
        <w:tc>
          <w:tcPr>
            <w:tcW w:w="1539" w:type="dxa"/>
          </w:tcPr>
          <w:p w:rsidR="0088341A" w:rsidRPr="00682A64" w:rsidRDefault="0088341A" w:rsidP="00DB180C">
            <w:pPr>
              <w:pStyle w:val="AERtabletextright"/>
              <w:keepNext/>
              <w:cnfStyle w:val="000000010000" w:firstRow="0" w:lastRow="0" w:firstColumn="0" w:lastColumn="0" w:oddVBand="0" w:evenVBand="0" w:oddHBand="0" w:evenHBand="1" w:firstRowFirstColumn="0" w:firstRowLastColumn="0" w:lastRowFirstColumn="0" w:lastRowLastColumn="0"/>
            </w:pPr>
            <w:r w:rsidRPr="00682A64">
              <w:t>25.9%</w:t>
            </w:r>
          </w:p>
        </w:tc>
        <w:tc>
          <w:tcPr>
            <w:tcW w:w="1539" w:type="dxa"/>
          </w:tcPr>
          <w:p w:rsidR="0088341A" w:rsidRPr="00682A64" w:rsidRDefault="0088341A" w:rsidP="00DB180C">
            <w:pPr>
              <w:pStyle w:val="AERtabletextright"/>
              <w:keepNext/>
              <w:cnfStyle w:val="000000010000" w:firstRow="0" w:lastRow="0" w:firstColumn="0" w:lastColumn="0" w:oddVBand="0" w:evenVBand="0" w:oddHBand="0" w:evenHBand="1" w:firstRowFirstColumn="0" w:firstRowLastColumn="0" w:lastRowFirstColumn="0" w:lastRowLastColumn="0"/>
            </w:pPr>
            <w:r w:rsidRPr="00682A64">
              <w:t>7.9%</w:t>
            </w:r>
          </w:p>
        </w:tc>
        <w:tc>
          <w:tcPr>
            <w:tcW w:w="1540" w:type="dxa"/>
          </w:tcPr>
          <w:p w:rsidR="0088341A" w:rsidRPr="00682A64" w:rsidRDefault="0088341A" w:rsidP="00DB180C">
            <w:pPr>
              <w:pStyle w:val="AERtabletextright"/>
              <w:keepNext/>
              <w:cnfStyle w:val="000000010000" w:firstRow="0" w:lastRow="0" w:firstColumn="0" w:lastColumn="0" w:oddVBand="0" w:evenVBand="0" w:oddHBand="0" w:evenHBand="1" w:firstRowFirstColumn="0" w:firstRowLastColumn="0" w:lastRowFirstColumn="0" w:lastRowLastColumn="0"/>
            </w:pPr>
            <w:r w:rsidRPr="00682A64">
              <w:t>0.2</w:t>
            </w:r>
          </w:p>
        </w:tc>
      </w:tr>
      <w:tr w:rsidR="0088341A" w:rsidRPr="00682A64" w:rsidTr="00682A64">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DB180C">
            <w:pPr>
              <w:pStyle w:val="AERtabletextleft"/>
              <w:keepNext/>
            </w:pPr>
            <w:r w:rsidRPr="00682A64">
              <w:t>Transformer outage – fault</w:t>
            </w:r>
          </w:p>
        </w:tc>
        <w:tc>
          <w:tcPr>
            <w:tcW w:w="1539" w:type="dxa"/>
          </w:tcPr>
          <w:p w:rsidR="0088341A" w:rsidRPr="00682A64" w:rsidRDefault="0088341A" w:rsidP="00DB180C">
            <w:pPr>
              <w:pStyle w:val="AERtabletextright"/>
              <w:keepNext/>
              <w:cnfStyle w:val="000000000000" w:firstRow="0" w:lastRow="0" w:firstColumn="0" w:lastColumn="0" w:oddVBand="0" w:evenVBand="0" w:oddHBand="0" w:evenHBand="0" w:firstRowFirstColumn="0" w:firstRowLastColumn="0" w:lastRowFirstColumn="0" w:lastRowLastColumn="0"/>
            </w:pPr>
            <w:r w:rsidRPr="00682A64">
              <w:t>33.1%</w:t>
            </w:r>
          </w:p>
        </w:tc>
        <w:tc>
          <w:tcPr>
            <w:tcW w:w="1539" w:type="dxa"/>
          </w:tcPr>
          <w:p w:rsidR="0088341A" w:rsidRPr="00682A64" w:rsidRDefault="0088341A" w:rsidP="00DB180C">
            <w:pPr>
              <w:pStyle w:val="AERtabletextright"/>
              <w:keepNext/>
              <w:cnfStyle w:val="000000000000" w:firstRow="0" w:lastRow="0" w:firstColumn="0" w:lastColumn="0" w:oddVBand="0" w:evenVBand="0" w:oddHBand="0" w:evenHBand="0" w:firstRowFirstColumn="0" w:firstRowLastColumn="0" w:lastRowFirstColumn="0" w:lastRowLastColumn="0"/>
            </w:pPr>
            <w:r w:rsidRPr="00682A64">
              <w:t>16.1%</w:t>
            </w:r>
          </w:p>
        </w:tc>
        <w:tc>
          <w:tcPr>
            <w:tcW w:w="1539" w:type="dxa"/>
          </w:tcPr>
          <w:p w:rsidR="0088341A" w:rsidRPr="00682A64" w:rsidRDefault="0088341A" w:rsidP="00DB180C">
            <w:pPr>
              <w:pStyle w:val="AERtabletextright"/>
              <w:keepNext/>
              <w:cnfStyle w:val="000000000000" w:firstRow="0" w:lastRow="0" w:firstColumn="0" w:lastColumn="0" w:oddVBand="0" w:evenVBand="0" w:oddHBand="0" w:evenHBand="0" w:firstRowFirstColumn="0" w:firstRowLastColumn="0" w:lastRowFirstColumn="0" w:lastRowLastColumn="0"/>
            </w:pPr>
            <w:r w:rsidRPr="00682A64">
              <w:t>7.6%</w:t>
            </w:r>
          </w:p>
        </w:tc>
        <w:tc>
          <w:tcPr>
            <w:tcW w:w="1540" w:type="dxa"/>
          </w:tcPr>
          <w:p w:rsidR="0088341A" w:rsidRPr="00682A64" w:rsidRDefault="0088341A" w:rsidP="00DB180C">
            <w:pPr>
              <w:pStyle w:val="AERtabletextright"/>
              <w:keepNext/>
              <w:cnfStyle w:val="000000000000" w:firstRow="0" w:lastRow="0" w:firstColumn="0" w:lastColumn="0" w:oddVBand="0" w:evenVBand="0" w:oddHBand="0" w:evenHBand="0" w:firstRowFirstColumn="0" w:firstRowLastColumn="0" w:lastRowFirstColumn="0" w:lastRowLastColumn="0"/>
            </w:pPr>
            <w:r w:rsidRPr="00682A64">
              <w:t>0.2</w:t>
            </w:r>
          </w:p>
        </w:tc>
      </w:tr>
      <w:tr w:rsidR="0088341A" w:rsidRPr="00682A64" w:rsidTr="00682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DB180C">
            <w:pPr>
              <w:pStyle w:val="AERtabletextleft"/>
              <w:keepNext/>
            </w:pPr>
            <w:r w:rsidRPr="00682A64">
              <w:t xml:space="preserve">Reactive plant – fault </w:t>
            </w:r>
          </w:p>
        </w:tc>
        <w:tc>
          <w:tcPr>
            <w:tcW w:w="1539" w:type="dxa"/>
          </w:tcPr>
          <w:p w:rsidR="0088341A" w:rsidRPr="00682A64" w:rsidRDefault="0088341A" w:rsidP="00DB180C">
            <w:pPr>
              <w:pStyle w:val="AERtabletextright"/>
              <w:keepNext/>
              <w:cnfStyle w:val="000000010000" w:firstRow="0" w:lastRow="0" w:firstColumn="0" w:lastColumn="0" w:oddVBand="0" w:evenVBand="0" w:oddHBand="0" w:evenHBand="1" w:firstRowFirstColumn="0" w:firstRowLastColumn="0" w:lastRowFirstColumn="0" w:lastRowLastColumn="0"/>
            </w:pPr>
            <w:r w:rsidRPr="00682A64">
              <w:t>45.3%</w:t>
            </w:r>
          </w:p>
        </w:tc>
        <w:tc>
          <w:tcPr>
            <w:tcW w:w="1539" w:type="dxa"/>
          </w:tcPr>
          <w:p w:rsidR="0088341A" w:rsidRPr="00682A64" w:rsidRDefault="0088341A" w:rsidP="00DB180C">
            <w:pPr>
              <w:pStyle w:val="AERtabletextright"/>
              <w:keepNext/>
              <w:cnfStyle w:val="000000010000" w:firstRow="0" w:lastRow="0" w:firstColumn="0" w:lastColumn="0" w:oddVBand="0" w:evenVBand="0" w:oddHBand="0" w:evenHBand="1" w:firstRowFirstColumn="0" w:firstRowLastColumn="0" w:lastRowFirstColumn="0" w:lastRowLastColumn="0"/>
            </w:pPr>
            <w:r w:rsidRPr="00682A64">
              <w:t>32.5%</w:t>
            </w:r>
          </w:p>
        </w:tc>
        <w:tc>
          <w:tcPr>
            <w:tcW w:w="1539" w:type="dxa"/>
          </w:tcPr>
          <w:p w:rsidR="0088341A" w:rsidRPr="00682A64" w:rsidRDefault="0088341A" w:rsidP="00DB180C">
            <w:pPr>
              <w:pStyle w:val="AERtabletextright"/>
              <w:keepNext/>
              <w:cnfStyle w:val="000000010000" w:firstRow="0" w:lastRow="0" w:firstColumn="0" w:lastColumn="0" w:oddVBand="0" w:evenVBand="0" w:oddHBand="0" w:evenHBand="1" w:firstRowFirstColumn="0" w:firstRowLastColumn="0" w:lastRowFirstColumn="0" w:lastRowLastColumn="0"/>
            </w:pPr>
            <w:r w:rsidRPr="00682A64">
              <w:t>19.7%</w:t>
            </w:r>
          </w:p>
        </w:tc>
        <w:tc>
          <w:tcPr>
            <w:tcW w:w="1540" w:type="dxa"/>
          </w:tcPr>
          <w:p w:rsidR="0088341A" w:rsidRPr="00682A64" w:rsidRDefault="0088341A" w:rsidP="00DB180C">
            <w:pPr>
              <w:pStyle w:val="AERtabletextright"/>
              <w:keepNext/>
              <w:cnfStyle w:val="000000010000" w:firstRow="0" w:lastRow="0" w:firstColumn="0" w:lastColumn="0" w:oddVBand="0" w:evenVBand="0" w:oddHBand="0" w:evenHBand="1" w:firstRowFirstColumn="0" w:firstRowLastColumn="0" w:lastRowFirstColumn="0" w:lastRowLastColumn="0"/>
            </w:pPr>
            <w:r w:rsidRPr="00682A64">
              <w:t>0.1</w:t>
            </w:r>
          </w:p>
        </w:tc>
      </w:tr>
      <w:tr w:rsidR="0088341A" w:rsidRPr="00682A64" w:rsidTr="00682A64">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DB180C">
            <w:pPr>
              <w:pStyle w:val="AERtabletextleft"/>
              <w:keepNext/>
            </w:pPr>
            <w:r w:rsidRPr="00682A64">
              <w:t>Line outage – forced outage</w:t>
            </w:r>
          </w:p>
        </w:tc>
        <w:tc>
          <w:tcPr>
            <w:tcW w:w="1539" w:type="dxa"/>
          </w:tcPr>
          <w:p w:rsidR="0088341A" w:rsidRPr="00682A64" w:rsidRDefault="0088341A" w:rsidP="00DB180C">
            <w:pPr>
              <w:pStyle w:val="AERtabletextright"/>
              <w:keepNext/>
              <w:cnfStyle w:val="000000000000" w:firstRow="0" w:lastRow="0" w:firstColumn="0" w:lastColumn="0" w:oddVBand="0" w:evenVBand="0" w:oddHBand="0" w:evenHBand="0" w:firstRowFirstColumn="0" w:firstRowLastColumn="0" w:lastRowFirstColumn="0" w:lastRowLastColumn="0"/>
            </w:pPr>
            <w:r w:rsidRPr="00682A64">
              <w:t>18.3%</w:t>
            </w:r>
          </w:p>
        </w:tc>
        <w:tc>
          <w:tcPr>
            <w:tcW w:w="1539" w:type="dxa"/>
          </w:tcPr>
          <w:p w:rsidR="0088341A" w:rsidRPr="00682A64" w:rsidRDefault="0088341A" w:rsidP="00DB180C">
            <w:pPr>
              <w:pStyle w:val="AERtabletextright"/>
              <w:keepNext/>
              <w:cnfStyle w:val="000000000000" w:firstRow="0" w:lastRow="0" w:firstColumn="0" w:lastColumn="0" w:oddVBand="0" w:evenVBand="0" w:oddHBand="0" w:evenHBand="0" w:firstRowFirstColumn="0" w:firstRowLastColumn="0" w:lastRowFirstColumn="0" w:lastRowLastColumn="0"/>
            </w:pPr>
            <w:r w:rsidRPr="00682A64">
              <w:t>14.9%</w:t>
            </w:r>
          </w:p>
        </w:tc>
        <w:tc>
          <w:tcPr>
            <w:tcW w:w="1539" w:type="dxa"/>
          </w:tcPr>
          <w:p w:rsidR="0088341A" w:rsidRPr="00682A64" w:rsidRDefault="0088341A" w:rsidP="00DB180C">
            <w:pPr>
              <w:pStyle w:val="AERtabletextright"/>
              <w:keepNext/>
              <w:cnfStyle w:val="000000000000" w:firstRow="0" w:lastRow="0" w:firstColumn="0" w:lastColumn="0" w:oddVBand="0" w:evenVBand="0" w:oddHBand="0" w:evenHBand="0" w:firstRowFirstColumn="0" w:firstRowLastColumn="0" w:lastRowFirstColumn="0" w:lastRowLastColumn="0"/>
            </w:pPr>
            <w:r w:rsidRPr="00682A64">
              <w:t>11.5%</w:t>
            </w:r>
          </w:p>
        </w:tc>
        <w:tc>
          <w:tcPr>
            <w:tcW w:w="1540" w:type="dxa"/>
          </w:tcPr>
          <w:p w:rsidR="0088341A" w:rsidRPr="00682A64" w:rsidRDefault="0088341A" w:rsidP="00DB180C">
            <w:pPr>
              <w:pStyle w:val="AERtabletextright"/>
              <w:keepNext/>
              <w:cnfStyle w:val="000000000000" w:firstRow="0" w:lastRow="0" w:firstColumn="0" w:lastColumn="0" w:oddVBand="0" w:evenVBand="0" w:oddHBand="0" w:evenHBand="0" w:firstRowFirstColumn="0" w:firstRowLastColumn="0" w:lastRowFirstColumn="0" w:lastRowLastColumn="0"/>
            </w:pPr>
            <w:r w:rsidRPr="00682A64">
              <w:t>0.0</w:t>
            </w:r>
          </w:p>
        </w:tc>
      </w:tr>
      <w:tr w:rsidR="0088341A" w:rsidRPr="00682A64" w:rsidTr="00682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DB180C">
            <w:pPr>
              <w:pStyle w:val="AERtabletextleft"/>
              <w:keepNext/>
            </w:pPr>
            <w:r w:rsidRPr="00682A64">
              <w:t>Transformer outage – forced outage</w:t>
            </w:r>
          </w:p>
        </w:tc>
        <w:tc>
          <w:tcPr>
            <w:tcW w:w="1539" w:type="dxa"/>
          </w:tcPr>
          <w:p w:rsidR="0088341A" w:rsidRPr="00682A64" w:rsidRDefault="0088341A" w:rsidP="00DB180C">
            <w:pPr>
              <w:pStyle w:val="AERtabletextright"/>
              <w:keepNext/>
              <w:cnfStyle w:val="000000010000" w:firstRow="0" w:lastRow="0" w:firstColumn="0" w:lastColumn="0" w:oddVBand="0" w:evenVBand="0" w:oddHBand="0" w:evenHBand="1" w:firstRowFirstColumn="0" w:firstRowLastColumn="0" w:lastRowFirstColumn="0" w:lastRowLastColumn="0"/>
            </w:pPr>
            <w:r w:rsidRPr="00682A64">
              <w:t>18.8%</w:t>
            </w:r>
          </w:p>
        </w:tc>
        <w:tc>
          <w:tcPr>
            <w:tcW w:w="1539" w:type="dxa"/>
          </w:tcPr>
          <w:p w:rsidR="0088341A" w:rsidRPr="00682A64" w:rsidRDefault="0088341A" w:rsidP="00DB180C">
            <w:pPr>
              <w:pStyle w:val="AERtabletextright"/>
              <w:keepNext/>
              <w:cnfStyle w:val="000000010000" w:firstRow="0" w:lastRow="0" w:firstColumn="0" w:lastColumn="0" w:oddVBand="0" w:evenVBand="0" w:oddHBand="0" w:evenHBand="1" w:firstRowFirstColumn="0" w:firstRowLastColumn="0" w:lastRowFirstColumn="0" w:lastRowLastColumn="0"/>
            </w:pPr>
            <w:r w:rsidRPr="00682A64">
              <w:t>12.0%</w:t>
            </w:r>
          </w:p>
        </w:tc>
        <w:tc>
          <w:tcPr>
            <w:tcW w:w="1539" w:type="dxa"/>
          </w:tcPr>
          <w:p w:rsidR="0088341A" w:rsidRPr="00682A64" w:rsidRDefault="0088341A" w:rsidP="00DB180C">
            <w:pPr>
              <w:pStyle w:val="AERtabletextright"/>
              <w:keepNext/>
              <w:cnfStyle w:val="000000010000" w:firstRow="0" w:lastRow="0" w:firstColumn="0" w:lastColumn="0" w:oddVBand="0" w:evenVBand="0" w:oddHBand="0" w:evenHBand="1" w:firstRowFirstColumn="0" w:firstRowLastColumn="0" w:lastRowFirstColumn="0" w:lastRowLastColumn="0"/>
            </w:pPr>
            <w:r w:rsidRPr="00682A64">
              <w:t>5.2%</w:t>
            </w:r>
          </w:p>
        </w:tc>
        <w:tc>
          <w:tcPr>
            <w:tcW w:w="1540" w:type="dxa"/>
          </w:tcPr>
          <w:p w:rsidR="0088341A" w:rsidRPr="00682A64" w:rsidRDefault="0088341A" w:rsidP="00DB180C">
            <w:pPr>
              <w:pStyle w:val="AERtabletextright"/>
              <w:keepNext/>
              <w:cnfStyle w:val="000000010000" w:firstRow="0" w:lastRow="0" w:firstColumn="0" w:lastColumn="0" w:oddVBand="0" w:evenVBand="0" w:oddHBand="0" w:evenHBand="1" w:firstRowFirstColumn="0" w:firstRowLastColumn="0" w:lastRowFirstColumn="0" w:lastRowLastColumn="0"/>
            </w:pPr>
            <w:r w:rsidRPr="00682A64">
              <w:t>0.0</w:t>
            </w:r>
          </w:p>
        </w:tc>
      </w:tr>
      <w:tr w:rsidR="0088341A" w:rsidRPr="00682A64" w:rsidTr="00682A64">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DB180C">
            <w:pPr>
              <w:pStyle w:val="AERtabletextleft"/>
              <w:keepNext/>
            </w:pPr>
            <w:r w:rsidRPr="00682A64">
              <w:t>Reactive plant – forced outage</w:t>
            </w:r>
          </w:p>
        </w:tc>
        <w:tc>
          <w:tcPr>
            <w:tcW w:w="1539" w:type="dxa"/>
          </w:tcPr>
          <w:p w:rsidR="0088341A" w:rsidRPr="00682A64" w:rsidRDefault="0088341A" w:rsidP="00DB180C">
            <w:pPr>
              <w:pStyle w:val="AERtabletextright"/>
              <w:keepNext/>
              <w:cnfStyle w:val="000000000000" w:firstRow="0" w:lastRow="0" w:firstColumn="0" w:lastColumn="0" w:oddVBand="0" w:evenVBand="0" w:oddHBand="0" w:evenHBand="0" w:firstRowFirstColumn="0" w:firstRowLastColumn="0" w:lastRowFirstColumn="0" w:lastRowLastColumn="0"/>
            </w:pPr>
            <w:r w:rsidRPr="00682A64">
              <w:t>30.0%</w:t>
            </w:r>
          </w:p>
        </w:tc>
        <w:tc>
          <w:tcPr>
            <w:tcW w:w="1539" w:type="dxa"/>
          </w:tcPr>
          <w:p w:rsidR="0088341A" w:rsidRPr="00682A64" w:rsidRDefault="0088341A" w:rsidP="00DB180C">
            <w:pPr>
              <w:pStyle w:val="AERtabletextright"/>
              <w:keepNext/>
              <w:cnfStyle w:val="000000000000" w:firstRow="0" w:lastRow="0" w:firstColumn="0" w:lastColumn="0" w:oddVBand="0" w:evenVBand="0" w:oddHBand="0" w:evenHBand="0" w:firstRowFirstColumn="0" w:firstRowLastColumn="0" w:lastRowFirstColumn="0" w:lastRowLastColumn="0"/>
            </w:pPr>
            <w:r w:rsidRPr="00682A64">
              <w:t>14.8%</w:t>
            </w:r>
          </w:p>
        </w:tc>
        <w:tc>
          <w:tcPr>
            <w:tcW w:w="1539" w:type="dxa"/>
          </w:tcPr>
          <w:p w:rsidR="0088341A" w:rsidRPr="00682A64" w:rsidRDefault="0088341A" w:rsidP="00DB180C">
            <w:pPr>
              <w:pStyle w:val="AERtabletextright"/>
              <w:keepNext/>
              <w:cnfStyle w:val="000000000000" w:firstRow="0" w:lastRow="0" w:firstColumn="0" w:lastColumn="0" w:oddVBand="0" w:evenVBand="0" w:oddHBand="0" w:evenHBand="0" w:firstRowFirstColumn="0" w:firstRowLastColumn="0" w:lastRowFirstColumn="0" w:lastRowLastColumn="0"/>
            </w:pPr>
            <w:r w:rsidRPr="00682A64">
              <w:t>7.2%</w:t>
            </w:r>
          </w:p>
        </w:tc>
        <w:tc>
          <w:tcPr>
            <w:tcW w:w="1540" w:type="dxa"/>
          </w:tcPr>
          <w:p w:rsidR="0088341A" w:rsidRPr="00682A64" w:rsidRDefault="0088341A" w:rsidP="00DB180C">
            <w:pPr>
              <w:pStyle w:val="AERtabletextright"/>
              <w:keepNext/>
              <w:cnfStyle w:val="000000000000" w:firstRow="0" w:lastRow="0" w:firstColumn="0" w:lastColumn="0" w:oddVBand="0" w:evenVBand="0" w:oddHBand="0" w:evenHBand="0" w:firstRowFirstColumn="0" w:firstRowLastColumn="0" w:lastRowFirstColumn="0" w:lastRowLastColumn="0"/>
            </w:pPr>
            <w:r w:rsidRPr="00682A64">
              <w:t>0.0</w:t>
            </w:r>
          </w:p>
        </w:tc>
      </w:tr>
      <w:tr w:rsidR="0088341A" w:rsidRPr="00682A64" w:rsidTr="00682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DB180C">
            <w:pPr>
              <w:pStyle w:val="AERtabletextleft"/>
              <w:keepNext/>
            </w:pPr>
            <w:r w:rsidRPr="00682A64">
              <w:t>Loss of supply event frequency</w:t>
            </w:r>
          </w:p>
        </w:tc>
        <w:tc>
          <w:tcPr>
            <w:tcW w:w="1539" w:type="dxa"/>
          </w:tcPr>
          <w:p w:rsidR="0088341A" w:rsidRPr="00682A64" w:rsidRDefault="0088341A" w:rsidP="00DB180C">
            <w:pPr>
              <w:pStyle w:val="AERtabletextright"/>
              <w:keepNext/>
              <w:cnfStyle w:val="000000010000" w:firstRow="0" w:lastRow="0" w:firstColumn="0" w:lastColumn="0" w:oddVBand="0" w:evenVBand="0" w:oddHBand="0" w:evenHBand="1" w:firstRowFirstColumn="0" w:firstRowLastColumn="0" w:lastRowFirstColumn="0" w:lastRowLastColumn="0"/>
            </w:pPr>
          </w:p>
        </w:tc>
        <w:tc>
          <w:tcPr>
            <w:tcW w:w="1539" w:type="dxa"/>
          </w:tcPr>
          <w:p w:rsidR="0088341A" w:rsidRPr="00682A64" w:rsidRDefault="0088341A" w:rsidP="00DB180C">
            <w:pPr>
              <w:pStyle w:val="AERtabletextright"/>
              <w:keepNext/>
              <w:cnfStyle w:val="000000010000" w:firstRow="0" w:lastRow="0" w:firstColumn="0" w:lastColumn="0" w:oddVBand="0" w:evenVBand="0" w:oddHBand="0" w:evenHBand="1" w:firstRowFirstColumn="0" w:firstRowLastColumn="0" w:lastRowFirstColumn="0" w:lastRowLastColumn="0"/>
            </w:pPr>
          </w:p>
        </w:tc>
        <w:tc>
          <w:tcPr>
            <w:tcW w:w="1539" w:type="dxa"/>
          </w:tcPr>
          <w:p w:rsidR="0088341A" w:rsidRPr="00682A64" w:rsidRDefault="0088341A" w:rsidP="00DB180C">
            <w:pPr>
              <w:pStyle w:val="AERtabletextright"/>
              <w:keepNext/>
              <w:cnfStyle w:val="000000010000" w:firstRow="0" w:lastRow="0" w:firstColumn="0" w:lastColumn="0" w:oddVBand="0" w:evenVBand="0" w:oddHBand="0" w:evenHBand="1" w:firstRowFirstColumn="0" w:firstRowLastColumn="0" w:lastRowFirstColumn="0" w:lastRowLastColumn="0"/>
            </w:pPr>
          </w:p>
        </w:tc>
        <w:tc>
          <w:tcPr>
            <w:tcW w:w="1540" w:type="dxa"/>
          </w:tcPr>
          <w:p w:rsidR="0088341A" w:rsidRPr="00682A64" w:rsidRDefault="0088341A" w:rsidP="00DB180C">
            <w:pPr>
              <w:pStyle w:val="AERtabletextright"/>
              <w:keepNext/>
              <w:cnfStyle w:val="000000010000" w:firstRow="0" w:lastRow="0" w:firstColumn="0" w:lastColumn="0" w:oddVBand="0" w:evenVBand="0" w:oddHBand="0" w:evenHBand="1" w:firstRowFirstColumn="0" w:firstRowLastColumn="0" w:lastRowFirstColumn="0" w:lastRowLastColumn="0"/>
            </w:pPr>
          </w:p>
        </w:tc>
      </w:tr>
      <w:tr w:rsidR="0088341A" w:rsidRPr="00682A64" w:rsidTr="00682A64">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DB180C">
            <w:pPr>
              <w:pStyle w:val="AERtabletextleft"/>
              <w:keepNext/>
            </w:pPr>
            <w:r w:rsidRPr="00682A64">
              <w:t>&gt;0.05 system minutes</w:t>
            </w:r>
          </w:p>
        </w:tc>
        <w:tc>
          <w:tcPr>
            <w:tcW w:w="1539" w:type="dxa"/>
          </w:tcPr>
          <w:p w:rsidR="0088341A" w:rsidRPr="00682A64" w:rsidRDefault="0088341A" w:rsidP="00DB180C">
            <w:pPr>
              <w:pStyle w:val="AERtabletextright"/>
              <w:keepNext/>
              <w:cnfStyle w:val="000000000000" w:firstRow="0" w:lastRow="0" w:firstColumn="0" w:lastColumn="0" w:oddVBand="0" w:evenVBand="0" w:oddHBand="0" w:evenHBand="0" w:firstRowFirstColumn="0" w:firstRowLastColumn="0" w:lastRowFirstColumn="0" w:lastRowLastColumn="0"/>
            </w:pPr>
            <w:r w:rsidRPr="00682A64">
              <w:t>7</w:t>
            </w:r>
          </w:p>
        </w:tc>
        <w:tc>
          <w:tcPr>
            <w:tcW w:w="1539" w:type="dxa"/>
          </w:tcPr>
          <w:p w:rsidR="0088341A" w:rsidRPr="00682A64" w:rsidRDefault="0088341A" w:rsidP="00DB180C">
            <w:pPr>
              <w:pStyle w:val="AERtabletextright"/>
              <w:keepNext/>
              <w:cnfStyle w:val="000000000000" w:firstRow="0" w:lastRow="0" w:firstColumn="0" w:lastColumn="0" w:oddVBand="0" w:evenVBand="0" w:oddHBand="0" w:evenHBand="0" w:firstRowFirstColumn="0" w:firstRowLastColumn="0" w:lastRowFirstColumn="0" w:lastRowLastColumn="0"/>
            </w:pPr>
            <w:r w:rsidRPr="00682A64">
              <w:t>3</w:t>
            </w:r>
          </w:p>
        </w:tc>
        <w:tc>
          <w:tcPr>
            <w:tcW w:w="1539" w:type="dxa"/>
          </w:tcPr>
          <w:p w:rsidR="0088341A" w:rsidRPr="00682A64" w:rsidRDefault="0088341A" w:rsidP="00DB180C">
            <w:pPr>
              <w:pStyle w:val="AERtabletextright"/>
              <w:keepNext/>
              <w:cnfStyle w:val="000000000000" w:firstRow="0" w:lastRow="0" w:firstColumn="0" w:lastColumn="0" w:oddVBand="0" w:evenVBand="0" w:oddHBand="0" w:evenHBand="0" w:firstRowFirstColumn="0" w:firstRowLastColumn="0" w:lastRowFirstColumn="0" w:lastRowLastColumn="0"/>
            </w:pPr>
            <w:r w:rsidRPr="00682A64">
              <w:t>1</w:t>
            </w:r>
          </w:p>
        </w:tc>
        <w:tc>
          <w:tcPr>
            <w:tcW w:w="1540" w:type="dxa"/>
          </w:tcPr>
          <w:p w:rsidR="0088341A" w:rsidRPr="00682A64" w:rsidRDefault="0088341A" w:rsidP="00DB180C">
            <w:pPr>
              <w:pStyle w:val="AERtabletextright"/>
              <w:keepNext/>
              <w:cnfStyle w:val="000000000000" w:firstRow="0" w:lastRow="0" w:firstColumn="0" w:lastColumn="0" w:oddVBand="0" w:evenVBand="0" w:oddHBand="0" w:evenHBand="0" w:firstRowFirstColumn="0" w:firstRowLastColumn="0" w:lastRowFirstColumn="0" w:lastRowLastColumn="0"/>
            </w:pPr>
            <w:r w:rsidRPr="00682A64">
              <w:t>0.15</w:t>
            </w:r>
          </w:p>
        </w:tc>
      </w:tr>
      <w:tr w:rsidR="0088341A" w:rsidRPr="00682A64" w:rsidTr="00682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DB180C">
            <w:pPr>
              <w:pStyle w:val="AERtabletextleft"/>
              <w:keepNext/>
            </w:pPr>
            <w:r w:rsidRPr="00682A64">
              <w:t>&gt;0.3 system minutes</w:t>
            </w:r>
          </w:p>
        </w:tc>
        <w:tc>
          <w:tcPr>
            <w:tcW w:w="1539" w:type="dxa"/>
          </w:tcPr>
          <w:p w:rsidR="0088341A" w:rsidRPr="00682A64" w:rsidRDefault="0088341A" w:rsidP="00DB180C">
            <w:pPr>
              <w:pStyle w:val="AERtabletextright"/>
              <w:keepNext/>
              <w:cnfStyle w:val="000000010000" w:firstRow="0" w:lastRow="0" w:firstColumn="0" w:lastColumn="0" w:oddVBand="0" w:evenVBand="0" w:oddHBand="0" w:evenHBand="1" w:firstRowFirstColumn="0" w:firstRowLastColumn="0" w:lastRowFirstColumn="0" w:lastRowLastColumn="0"/>
            </w:pPr>
            <w:r w:rsidRPr="00682A64">
              <w:t>3</w:t>
            </w:r>
          </w:p>
        </w:tc>
        <w:tc>
          <w:tcPr>
            <w:tcW w:w="1539" w:type="dxa"/>
          </w:tcPr>
          <w:p w:rsidR="0088341A" w:rsidRPr="00682A64" w:rsidRDefault="0088341A" w:rsidP="00DB180C">
            <w:pPr>
              <w:pStyle w:val="AERtabletextright"/>
              <w:keepNext/>
              <w:cnfStyle w:val="000000010000" w:firstRow="0" w:lastRow="0" w:firstColumn="0" w:lastColumn="0" w:oddVBand="0" w:evenVBand="0" w:oddHBand="0" w:evenHBand="1" w:firstRowFirstColumn="0" w:firstRowLastColumn="0" w:lastRowFirstColumn="0" w:lastRowLastColumn="0"/>
            </w:pPr>
            <w:r w:rsidRPr="00682A64">
              <w:t>1</w:t>
            </w:r>
          </w:p>
        </w:tc>
        <w:tc>
          <w:tcPr>
            <w:tcW w:w="1539" w:type="dxa"/>
          </w:tcPr>
          <w:p w:rsidR="0088341A" w:rsidRPr="00682A64" w:rsidRDefault="0088341A" w:rsidP="00DB180C">
            <w:pPr>
              <w:pStyle w:val="AERtabletextright"/>
              <w:keepNext/>
              <w:cnfStyle w:val="000000010000" w:firstRow="0" w:lastRow="0" w:firstColumn="0" w:lastColumn="0" w:oddVBand="0" w:evenVBand="0" w:oddHBand="0" w:evenHBand="1" w:firstRowFirstColumn="0" w:firstRowLastColumn="0" w:lastRowFirstColumn="0" w:lastRowLastColumn="0"/>
            </w:pPr>
            <w:r w:rsidRPr="00682A64">
              <w:t>0</w:t>
            </w:r>
          </w:p>
        </w:tc>
        <w:tc>
          <w:tcPr>
            <w:tcW w:w="1540" w:type="dxa"/>
          </w:tcPr>
          <w:p w:rsidR="0088341A" w:rsidRPr="00682A64" w:rsidRDefault="0088341A" w:rsidP="00DB180C">
            <w:pPr>
              <w:pStyle w:val="AERtabletextright"/>
              <w:keepNext/>
              <w:cnfStyle w:val="000000010000" w:firstRow="0" w:lastRow="0" w:firstColumn="0" w:lastColumn="0" w:oddVBand="0" w:evenVBand="0" w:oddHBand="0" w:evenHBand="1" w:firstRowFirstColumn="0" w:firstRowLastColumn="0" w:lastRowFirstColumn="0" w:lastRowLastColumn="0"/>
            </w:pPr>
            <w:r w:rsidRPr="00682A64">
              <w:t>0.15</w:t>
            </w:r>
          </w:p>
        </w:tc>
      </w:tr>
      <w:tr w:rsidR="0088341A" w:rsidRPr="00682A64" w:rsidTr="00682A64">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DB180C">
            <w:pPr>
              <w:pStyle w:val="AERtabletextleft"/>
              <w:keepNext/>
            </w:pPr>
            <w:r w:rsidRPr="00682A64">
              <w:t>Average outage duration</w:t>
            </w:r>
          </w:p>
        </w:tc>
        <w:tc>
          <w:tcPr>
            <w:tcW w:w="1539" w:type="dxa"/>
          </w:tcPr>
          <w:p w:rsidR="0088341A" w:rsidRPr="00682A64" w:rsidRDefault="0088341A" w:rsidP="00DB180C">
            <w:pPr>
              <w:pStyle w:val="AERtabletextright"/>
              <w:keepNext/>
              <w:cnfStyle w:val="000000000000" w:firstRow="0" w:lastRow="0" w:firstColumn="0" w:lastColumn="0" w:oddVBand="0" w:evenVBand="0" w:oddHBand="0" w:evenHBand="0" w:firstRowFirstColumn="0" w:firstRowLastColumn="0" w:lastRowFirstColumn="0" w:lastRowLastColumn="0"/>
            </w:pPr>
          </w:p>
        </w:tc>
        <w:tc>
          <w:tcPr>
            <w:tcW w:w="1539" w:type="dxa"/>
          </w:tcPr>
          <w:p w:rsidR="0088341A" w:rsidRPr="00682A64" w:rsidRDefault="0088341A" w:rsidP="00DB180C">
            <w:pPr>
              <w:pStyle w:val="AERtabletextright"/>
              <w:keepNext/>
              <w:cnfStyle w:val="000000000000" w:firstRow="0" w:lastRow="0" w:firstColumn="0" w:lastColumn="0" w:oddVBand="0" w:evenVBand="0" w:oddHBand="0" w:evenHBand="0" w:firstRowFirstColumn="0" w:firstRowLastColumn="0" w:lastRowFirstColumn="0" w:lastRowLastColumn="0"/>
            </w:pPr>
          </w:p>
        </w:tc>
        <w:tc>
          <w:tcPr>
            <w:tcW w:w="1539" w:type="dxa"/>
          </w:tcPr>
          <w:p w:rsidR="0088341A" w:rsidRPr="00682A64" w:rsidRDefault="0088341A" w:rsidP="00DB180C">
            <w:pPr>
              <w:pStyle w:val="AERtabletextright"/>
              <w:keepNext/>
              <w:cnfStyle w:val="000000000000" w:firstRow="0" w:lastRow="0" w:firstColumn="0" w:lastColumn="0" w:oddVBand="0" w:evenVBand="0" w:oddHBand="0" w:evenHBand="0" w:firstRowFirstColumn="0" w:firstRowLastColumn="0" w:lastRowFirstColumn="0" w:lastRowLastColumn="0"/>
            </w:pPr>
          </w:p>
        </w:tc>
        <w:tc>
          <w:tcPr>
            <w:tcW w:w="1540" w:type="dxa"/>
          </w:tcPr>
          <w:p w:rsidR="0088341A" w:rsidRPr="00682A64" w:rsidRDefault="0088341A" w:rsidP="00DB180C">
            <w:pPr>
              <w:pStyle w:val="AERtabletextright"/>
              <w:keepNext/>
              <w:cnfStyle w:val="000000000000" w:firstRow="0" w:lastRow="0" w:firstColumn="0" w:lastColumn="0" w:oddVBand="0" w:evenVBand="0" w:oddHBand="0" w:evenHBand="0" w:firstRowFirstColumn="0" w:firstRowLastColumn="0" w:lastRowFirstColumn="0" w:lastRowLastColumn="0"/>
            </w:pPr>
          </w:p>
        </w:tc>
      </w:tr>
      <w:tr w:rsidR="0088341A" w:rsidRPr="00682A64" w:rsidTr="00682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DB180C">
            <w:pPr>
              <w:pStyle w:val="AERtabletextleft"/>
              <w:keepNext/>
            </w:pPr>
            <w:r w:rsidRPr="00682A64">
              <w:t>Average outage duration</w:t>
            </w:r>
          </w:p>
        </w:tc>
        <w:tc>
          <w:tcPr>
            <w:tcW w:w="1539" w:type="dxa"/>
          </w:tcPr>
          <w:p w:rsidR="0088341A" w:rsidRPr="00682A64" w:rsidRDefault="0088341A" w:rsidP="00DB180C">
            <w:pPr>
              <w:pStyle w:val="AERtabletextright"/>
              <w:keepNext/>
              <w:cnfStyle w:val="000000010000" w:firstRow="0" w:lastRow="0" w:firstColumn="0" w:lastColumn="0" w:oddVBand="0" w:evenVBand="0" w:oddHBand="0" w:evenHBand="1" w:firstRowFirstColumn="0" w:firstRowLastColumn="0" w:lastRowFirstColumn="0" w:lastRowLastColumn="0"/>
            </w:pPr>
            <w:r w:rsidRPr="00682A64">
              <w:t>293.9</w:t>
            </w:r>
          </w:p>
        </w:tc>
        <w:tc>
          <w:tcPr>
            <w:tcW w:w="1539" w:type="dxa"/>
          </w:tcPr>
          <w:p w:rsidR="0088341A" w:rsidRPr="00682A64" w:rsidRDefault="0088341A" w:rsidP="00DB180C">
            <w:pPr>
              <w:pStyle w:val="AERtabletextright"/>
              <w:keepNext/>
              <w:cnfStyle w:val="000000010000" w:firstRow="0" w:lastRow="0" w:firstColumn="0" w:lastColumn="0" w:oddVBand="0" w:evenVBand="0" w:oddHBand="0" w:evenHBand="1" w:firstRowFirstColumn="0" w:firstRowLastColumn="0" w:lastRowFirstColumn="0" w:lastRowLastColumn="0"/>
            </w:pPr>
            <w:r w:rsidRPr="00682A64">
              <w:t>98.0</w:t>
            </w:r>
          </w:p>
        </w:tc>
        <w:tc>
          <w:tcPr>
            <w:tcW w:w="1539" w:type="dxa"/>
          </w:tcPr>
          <w:p w:rsidR="0088341A" w:rsidRPr="00682A64" w:rsidRDefault="0088341A" w:rsidP="00DB180C">
            <w:pPr>
              <w:pStyle w:val="AERtabletextright"/>
              <w:keepNext/>
              <w:cnfStyle w:val="000000010000" w:firstRow="0" w:lastRow="0" w:firstColumn="0" w:lastColumn="0" w:oddVBand="0" w:evenVBand="0" w:oddHBand="0" w:evenHBand="1" w:firstRowFirstColumn="0" w:firstRowLastColumn="0" w:lastRowFirstColumn="0" w:lastRowLastColumn="0"/>
            </w:pPr>
            <w:r w:rsidRPr="00682A64">
              <w:t>0.0</w:t>
            </w:r>
          </w:p>
        </w:tc>
        <w:tc>
          <w:tcPr>
            <w:tcW w:w="1540" w:type="dxa"/>
          </w:tcPr>
          <w:p w:rsidR="0088341A" w:rsidRPr="00682A64" w:rsidRDefault="0088341A" w:rsidP="00DB180C">
            <w:pPr>
              <w:pStyle w:val="AERtabletextright"/>
              <w:keepNext/>
              <w:cnfStyle w:val="000000010000" w:firstRow="0" w:lastRow="0" w:firstColumn="0" w:lastColumn="0" w:oddVBand="0" w:evenVBand="0" w:oddHBand="0" w:evenHBand="1" w:firstRowFirstColumn="0" w:firstRowLastColumn="0" w:lastRowFirstColumn="0" w:lastRowLastColumn="0"/>
            </w:pPr>
            <w:r w:rsidRPr="00682A64">
              <w:t>0.2</w:t>
            </w:r>
          </w:p>
        </w:tc>
      </w:tr>
      <w:tr w:rsidR="0088341A" w:rsidRPr="00682A64" w:rsidTr="00682A64">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DB180C">
            <w:pPr>
              <w:pStyle w:val="AERtabletextleft"/>
              <w:keepNext/>
            </w:pPr>
            <w:r w:rsidRPr="00682A64">
              <w:t>Proper operation of equipment</w:t>
            </w:r>
          </w:p>
        </w:tc>
        <w:tc>
          <w:tcPr>
            <w:tcW w:w="1539" w:type="dxa"/>
          </w:tcPr>
          <w:p w:rsidR="0088341A" w:rsidRPr="00682A64" w:rsidRDefault="0088341A" w:rsidP="00DB180C">
            <w:pPr>
              <w:pStyle w:val="AERtabletextright"/>
              <w:keepNext/>
              <w:cnfStyle w:val="000000000000" w:firstRow="0" w:lastRow="0" w:firstColumn="0" w:lastColumn="0" w:oddVBand="0" w:evenVBand="0" w:oddHBand="0" w:evenHBand="0" w:firstRowFirstColumn="0" w:firstRowLastColumn="0" w:lastRowFirstColumn="0" w:lastRowLastColumn="0"/>
            </w:pPr>
          </w:p>
        </w:tc>
        <w:tc>
          <w:tcPr>
            <w:tcW w:w="1539" w:type="dxa"/>
          </w:tcPr>
          <w:p w:rsidR="0088341A" w:rsidRPr="00682A64" w:rsidRDefault="0088341A" w:rsidP="00DB180C">
            <w:pPr>
              <w:pStyle w:val="AERtabletextright"/>
              <w:keepNext/>
              <w:cnfStyle w:val="000000000000" w:firstRow="0" w:lastRow="0" w:firstColumn="0" w:lastColumn="0" w:oddVBand="0" w:evenVBand="0" w:oddHBand="0" w:evenHBand="0" w:firstRowFirstColumn="0" w:firstRowLastColumn="0" w:lastRowFirstColumn="0" w:lastRowLastColumn="0"/>
            </w:pPr>
          </w:p>
        </w:tc>
        <w:tc>
          <w:tcPr>
            <w:tcW w:w="1539" w:type="dxa"/>
          </w:tcPr>
          <w:p w:rsidR="0088341A" w:rsidRPr="00682A64" w:rsidRDefault="0088341A" w:rsidP="00DB180C">
            <w:pPr>
              <w:pStyle w:val="AERtabletextright"/>
              <w:keepNext/>
              <w:cnfStyle w:val="000000000000" w:firstRow="0" w:lastRow="0" w:firstColumn="0" w:lastColumn="0" w:oddVBand="0" w:evenVBand="0" w:oddHBand="0" w:evenHBand="0" w:firstRowFirstColumn="0" w:firstRowLastColumn="0" w:lastRowFirstColumn="0" w:lastRowLastColumn="0"/>
            </w:pPr>
          </w:p>
        </w:tc>
        <w:tc>
          <w:tcPr>
            <w:tcW w:w="1540" w:type="dxa"/>
          </w:tcPr>
          <w:p w:rsidR="0088341A" w:rsidRPr="00682A64" w:rsidRDefault="0088341A" w:rsidP="00DB180C">
            <w:pPr>
              <w:pStyle w:val="AERtabletextright"/>
              <w:keepNext/>
              <w:cnfStyle w:val="000000000000" w:firstRow="0" w:lastRow="0" w:firstColumn="0" w:lastColumn="0" w:oddVBand="0" w:evenVBand="0" w:oddHBand="0" w:evenHBand="0" w:firstRowFirstColumn="0" w:firstRowLastColumn="0" w:lastRowFirstColumn="0" w:lastRowLastColumn="0"/>
            </w:pPr>
          </w:p>
        </w:tc>
      </w:tr>
      <w:tr w:rsidR="0088341A" w:rsidRPr="00682A64" w:rsidTr="00682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DB180C">
            <w:pPr>
              <w:pStyle w:val="AERtabletextleft"/>
              <w:keepNext/>
            </w:pPr>
            <w:r w:rsidRPr="00682A64">
              <w:t>Failure of protection system</w:t>
            </w:r>
          </w:p>
        </w:tc>
        <w:tc>
          <w:tcPr>
            <w:tcW w:w="1539" w:type="dxa"/>
          </w:tcPr>
          <w:p w:rsidR="0088341A" w:rsidRPr="00682A64" w:rsidRDefault="0088341A" w:rsidP="00DB180C">
            <w:pPr>
              <w:pStyle w:val="AERtabletextright"/>
              <w:keepNext/>
              <w:cnfStyle w:val="000000010000" w:firstRow="0" w:lastRow="0" w:firstColumn="0" w:lastColumn="0" w:oddVBand="0" w:evenVBand="0" w:oddHBand="0" w:evenHBand="1" w:firstRowFirstColumn="0" w:firstRowLastColumn="0" w:lastRowFirstColumn="0" w:lastRowLastColumn="0"/>
            </w:pPr>
            <w:r w:rsidRPr="00682A64">
              <w:t>n/a</w:t>
            </w:r>
          </w:p>
        </w:tc>
        <w:tc>
          <w:tcPr>
            <w:tcW w:w="1539" w:type="dxa"/>
          </w:tcPr>
          <w:p w:rsidR="0088341A" w:rsidRPr="00682A64" w:rsidRDefault="0088341A" w:rsidP="00DB180C">
            <w:pPr>
              <w:pStyle w:val="AERtabletextright"/>
              <w:keepNext/>
              <w:cnfStyle w:val="000000010000" w:firstRow="0" w:lastRow="0" w:firstColumn="0" w:lastColumn="0" w:oddVBand="0" w:evenVBand="0" w:oddHBand="0" w:evenHBand="1" w:firstRowFirstColumn="0" w:firstRowLastColumn="0" w:lastRowFirstColumn="0" w:lastRowLastColumn="0"/>
            </w:pPr>
            <w:r w:rsidRPr="00682A64">
              <w:t>n/a</w:t>
            </w:r>
          </w:p>
        </w:tc>
        <w:tc>
          <w:tcPr>
            <w:tcW w:w="1539" w:type="dxa"/>
          </w:tcPr>
          <w:p w:rsidR="0088341A" w:rsidRPr="00682A64" w:rsidRDefault="0088341A" w:rsidP="00DB180C">
            <w:pPr>
              <w:pStyle w:val="AERtabletextright"/>
              <w:keepNext/>
              <w:cnfStyle w:val="000000010000" w:firstRow="0" w:lastRow="0" w:firstColumn="0" w:lastColumn="0" w:oddVBand="0" w:evenVBand="0" w:oddHBand="0" w:evenHBand="1" w:firstRowFirstColumn="0" w:firstRowLastColumn="0" w:lastRowFirstColumn="0" w:lastRowLastColumn="0"/>
            </w:pPr>
            <w:r w:rsidRPr="00682A64">
              <w:t>n/a</w:t>
            </w:r>
          </w:p>
        </w:tc>
        <w:tc>
          <w:tcPr>
            <w:tcW w:w="1540" w:type="dxa"/>
          </w:tcPr>
          <w:p w:rsidR="0088341A" w:rsidRPr="00682A64" w:rsidRDefault="0088341A" w:rsidP="00DB180C">
            <w:pPr>
              <w:pStyle w:val="AERtabletextright"/>
              <w:keepNext/>
              <w:cnfStyle w:val="000000010000" w:firstRow="0" w:lastRow="0" w:firstColumn="0" w:lastColumn="0" w:oddVBand="0" w:evenVBand="0" w:oddHBand="0" w:evenHBand="1" w:firstRowFirstColumn="0" w:firstRowLastColumn="0" w:lastRowFirstColumn="0" w:lastRowLastColumn="0"/>
            </w:pPr>
            <w:r w:rsidRPr="00682A64">
              <w:t>0.0</w:t>
            </w:r>
          </w:p>
        </w:tc>
      </w:tr>
      <w:tr w:rsidR="0088341A" w:rsidRPr="00682A64" w:rsidTr="00682A64">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DB180C">
            <w:pPr>
              <w:pStyle w:val="AERtabletextleft"/>
              <w:keepNext/>
            </w:pPr>
            <w:r w:rsidRPr="00682A64">
              <w:t>Material failure of SCADA</w:t>
            </w:r>
          </w:p>
        </w:tc>
        <w:tc>
          <w:tcPr>
            <w:tcW w:w="1539" w:type="dxa"/>
          </w:tcPr>
          <w:p w:rsidR="0088341A" w:rsidRPr="00682A64" w:rsidRDefault="0088341A" w:rsidP="00DB180C">
            <w:pPr>
              <w:pStyle w:val="AERtabletextright"/>
              <w:keepNext/>
              <w:cnfStyle w:val="000000000000" w:firstRow="0" w:lastRow="0" w:firstColumn="0" w:lastColumn="0" w:oddVBand="0" w:evenVBand="0" w:oddHBand="0" w:evenHBand="0" w:firstRowFirstColumn="0" w:firstRowLastColumn="0" w:lastRowFirstColumn="0" w:lastRowLastColumn="0"/>
            </w:pPr>
            <w:r w:rsidRPr="00682A64">
              <w:t>3</w:t>
            </w:r>
          </w:p>
        </w:tc>
        <w:tc>
          <w:tcPr>
            <w:tcW w:w="1539" w:type="dxa"/>
          </w:tcPr>
          <w:p w:rsidR="0088341A" w:rsidRPr="00682A64" w:rsidRDefault="0088341A" w:rsidP="00DB180C">
            <w:pPr>
              <w:pStyle w:val="AERtabletextright"/>
              <w:keepNext/>
              <w:cnfStyle w:val="000000000000" w:firstRow="0" w:lastRow="0" w:firstColumn="0" w:lastColumn="0" w:oddVBand="0" w:evenVBand="0" w:oddHBand="0" w:evenHBand="0" w:firstRowFirstColumn="0" w:firstRowLastColumn="0" w:lastRowFirstColumn="0" w:lastRowLastColumn="0"/>
            </w:pPr>
            <w:r w:rsidRPr="00682A64">
              <w:t>1</w:t>
            </w:r>
          </w:p>
        </w:tc>
        <w:tc>
          <w:tcPr>
            <w:tcW w:w="1539" w:type="dxa"/>
          </w:tcPr>
          <w:p w:rsidR="0088341A" w:rsidRPr="00682A64" w:rsidRDefault="0088341A" w:rsidP="00DB180C">
            <w:pPr>
              <w:pStyle w:val="AERtabletextright"/>
              <w:keepNext/>
              <w:cnfStyle w:val="000000000000" w:firstRow="0" w:lastRow="0" w:firstColumn="0" w:lastColumn="0" w:oddVBand="0" w:evenVBand="0" w:oddHBand="0" w:evenHBand="0" w:firstRowFirstColumn="0" w:firstRowLastColumn="0" w:lastRowFirstColumn="0" w:lastRowLastColumn="0"/>
            </w:pPr>
            <w:r w:rsidRPr="00682A64">
              <w:t>0</w:t>
            </w:r>
          </w:p>
        </w:tc>
        <w:tc>
          <w:tcPr>
            <w:tcW w:w="1540" w:type="dxa"/>
          </w:tcPr>
          <w:p w:rsidR="0088341A" w:rsidRPr="00682A64" w:rsidRDefault="0088341A" w:rsidP="00DB180C">
            <w:pPr>
              <w:pStyle w:val="AERtabletextright"/>
              <w:keepNext/>
              <w:cnfStyle w:val="000000000000" w:firstRow="0" w:lastRow="0" w:firstColumn="0" w:lastColumn="0" w:oddVBand="0" w:evenVBand="0" w:oddHBand="0" w:evenHBand="0" w:firstRowFirstColumn="0" w:firstRowLastColumn="0" w:lastRowFirstColumn="0" w:lastRowLastColumn="0"/>
            </w:pPr>
            <w:r w:rsidRPr="00682A64">
              <w:t>0.0</w:t>
            </w:r>
          </w:p>
        </w:tc>
      </w:tr>
      <w:tr w:rsidR="0088341A" w:rsidRPr="00682A64" w:rsidTr="00682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DB180C">
            <w:pPr>
              <w:pStyle w:val="AERtabletextleft"/>
              <w:keepNext/>
            </w:pPr>
            <w:r w:rsidRPr="00682A64">
              <w:t>Incorrect operational isolation of primary or secondary equipment</w:t>
            </w:r>
          </w:p>
        </w:tc>
        <w:tc>
          <w:tcPr>
            <w:tcW w:w="1539" w:type="dxa"/>
          </w:tcPr>
          <w:p w:rsidR="0088341A" w:rsidRPr="00682A64" w:rsidRDefault="0088341A" w:rsidP="00DB180C">
            <w:pPr>
              <w:pStyle w:val="AERtabletextright"/>
              <w:keepNext/>
              <w:cnfStyle w:val="000000010000" w:firstRow="0" w:lastRow="0" w:firstColumn="0" w:lastColumn="0" w:oddVBand="0" w:evenVBand="0" w:oddHBand="0" w:evenHBand="1" w:firstRowFirstColumn="0" w:firstRowLastColumn="0" w:lastRowFirstColumn="0" w:lastRowLastColumn="0"/>
            </w:pPr>
            <w:r w:rsidRPr="00682A64">
              <w:t>n/a</w:t>
            </w:r>
          </w:p>
        </w:tc>
        <w:tc>
          <w:tcPr>
            <w:tcW w:w="1539" w:type="dxa"/>
          </w:tcPr>
          <w:p w:rsidR="0088341A" w:rsidRPr="00682A64" w:rsidRDefault="0088341A" w:rsidP="00DB180C">
            <w:pPr>
              <w:pStyle w:val="AERtabletextright"/>
              <w:keepNext/>
              <w:cnfStyle w:val="000000010000" w:firstRow="0" w:lastRow="0" w:firstColumn="0" w:lastColumn="0" w:oddVBand="0" w:evenVBand="0" w:oddHBand="0" w:evenHBand="1" w:firstRowFirstColumn="0" w:firstRowLastColumn="0" w:lastRowFirstColumn="0" w:lastRowLastColumn="0"/>
            </w:pPr>
            <w:r w:rsidRPr="00682A64">
              <w:t>n/a</w:t>
            </w:r>
          </w:p>
        </w:tc>
        <w:tc>
          <w:tcPr>
            <w:tcW w:w="1539" w:type="dxa"/>
          </w:tcPr>
          <w:p w:rsidR="0088341A" w:rsidRPr="00682A64" w:rsidRDefault="0088341A" w:rsidP="00DB180C">
            <w:pPr>
              <w:pStyle w:val="AERtabletextright"/>
              <w:keepNext/>
              <w:cnfStyle w:val="000000010000" w:firstRow="0" w:lastRow="0" w:firstColumn="0" w:lastColumn="0" w:oddVBand="0" w:evenVBand="0" w:oddHBand="0" w:evenHBand="1" w:firstRowFirstColumn="0" w:firstRowLastColumn="0" w:lastRowFirstColumn="0" w:lastRowLastColumn="0"/>
            </w:pPr>
            <w:r w:rsidRPr="00682A64">
              <w:t>n/a</w:t>
            </w:r>
          </w:p>
        </w:tc>
        <w:tc>
          <w:tcPr>
            <w:tcW w:w="1540" w:type="dxa"/>
          </w:tcPr>
          <w:p w:rsidR="0088341A" w:rsidRPr="00682A64" w:rsidRDefault="0088341A" w:rsidP="00DB180C">
            <w:pPr>
              <w:pStyle w:val="AERtabletextright"/>
              <w:keepNext/>
              <w:cnfStyle w:val="000000010000" w:firstRow="0" w:lastRow="0" w:firstColumn="0" w:lastColumn="0" w:oddVBand="0" w:evenVBand="0" w:oddHBand="0" w:evenHBand="1" w:firstRowFirstColumn="0" w:firstRowLastColumn="0" w:lastRowFirstColumn="0" w:lastRowLastColumn="0"/>
            </w:pPr>
            <w:r w:rsidRPr="00682A64">
              <w:t>0.0</w:t>
            </w:r>
          </w:p>
        </w:tc>
      </w:tr>
    </w:tbl>
    <w:p w:rsidR="0088341A" w:rsidRDefault="0088341A" w:rsidP="00DB180C">
      <w:pPr>
        <w:pStyle w:val="AERtablesource"/>
        <w:keepNext/>
      </w:pPr>
      <w:r>
        <w:t>Source:</w:t>
      </w:r>
      <w:r w:rsidR="00DB180C">
        <w:tab/>
      </w:r>
      <w:r>
        <w:t xml:space="preserve">SP AusNet, </w:t>
      </w:r>
      <w:r w:rsidRPr="008D2793">
        <w:rPr>
          <w:rStyle w:val="AERtextitalic"/>
        </w:rPr>
        <w:t>Revenue proposal</w:t>
      </w:r>
      <w:r>
        <w:t xml:space="preserve">, p. 152. </w:t>
      </w:r>
    </w:p>
    <w:p w:rsidR="0088341A" w:rsidRPr="00D556FD" w:rsidRDefault="0088341A" w:rsidP="00682A64">
      <w:pPr>
        <w:pStyle w:val="AERtablesource"/>
      </w:pPr>
      <w:r>
        <w:t xml:space="preserve">n/a: </w:t>
      </w:r>
      <w:r w:rsidR="00DB180C">
        <w:tab/>
      </w:r>
      <w:r>
        <w:t xml:space="preserve">Not applicable.  </w:t>
      </w:r>
    </w:p>
    <w:p w:rsidR="0088341A" w:rsidRDefault="0088341A" w:rsidP="0088341A">
      <w:pPr>
        <w:pStyle w:val="HeadingBoldBlue"/>
      </w:pPr>
      <w:r>
        <w:t>Network capability component</w:t>
      </w:r>
    </w:p>
    <w:p w:rsidR="0088341A" w:rsidRDefault="0088341A" w:rsidP="0088341A">
      <w:pPr>
        <w:pStyle w:val="AERbodytext"/>
        <w:numPr>
          <w:ilvl w:val="0"/>
          <w:numId w:val="0"/>
        </w:numPr>
      </w:pPr>
      <w:r>
        <w:t>SP AusNet proposed 15 priority projects totalling $4.8 million over the 2014–17 regulatory control period (</w:t>
      </w:r>
      <w:r>
        <w:fldChar w:fldCharType="begin"/>
      </w:r>
      <w:r>
        <w:instrText xml:space="preserve"> REF _Ref363748026 \h </w:instrText>
      </w:r>
      <w:r>
        <w:fldChar w:fldCharType="separate"/>
      </w:r>
      <w:r w:rsidR="004F35AA">
        <w:t xml:space="preserve">Table </w:t>
      </w:r>
      <w:r w:rsidR="004F35AA">
        <w:rPr>
          <w:noProof/>
        </w:rPr>
        <w:t>9</w:t>
      </w:r>
      <w:r w:rsidR="004F35AA">
        <w:t>.</w:t>
      </w:r>
      <w:r w:rsidR="004F35AA">
        <w:rPr>
          <w:noProof/>
        </w:rPr>
        <w:t>4</w:t>
      </w:r>
      <w:r>
        <w:fldChar w:fldCharType="end"/>
      </w:r>
      <w:r>
        <w:t>).</w:t>
      </w:r>
      <w:r>
        <w:rPr>
          <w:rStyle w:val="FootnoteReference"/>
        </w:rPr>
        <w:footnoteReference w:id="491"/>
      </w:r>
      <w:r>
        <w:t xml:space="preserve"> </w:t>
      </w:r>
    </w:p>
    <w:p w:rsidR="0088341A" w:rsidRDefault="0088341A" w:rsidP="00682A64">
      <w:pPr>
        <w:pStyle w:val="Caption"/>
        <w:keepLines/>
      </w:pPr>
      <w:bookmarkStart w:id="340" w:name="_Ref363748026"/>
      <w:r>
        <w:lastRenderedPageBreak/>
        <w:t xml:space="preserve">Table </w:t>
      </w:r>
      <w:fldSimple w:instr=" STYLEREF 1 \s ">
        <w:r w:rsidR="004F35AA">
          <w:rPr>
            <w:noProof/>
          </w:rPr>
          <w:t>9</w:t>
        </w:r>
      </w:fldSimple>
      <w:r w:rsidR="00C56A87">
        <w:t>.</w:t>
      </w:r>
      <w:fldSimple w:instr=" SEQ Table \* ARABIC \s 1 ">
        <w:r w:rsidR="004F35AA">
          <w:rPr>
            <w:noProof/>
          </w:rPr>
          <w:t>4</w:t>
        </w:r>
      </w:fldSimple>
      <w:bookmarkEnd w:id="340"/>
      <w:r>
        <w:tab/>
        <w:t>SP AusNet’s proposed network capability projects ($ 000s, $2013–14)</w:t>
      </w:r>
    </w:p>
    <w:tbl>
      <w:tblPr>
        <w:tblStyle w:val="AERtable-text"/>
        <w:tblW w:w="0" w:type="auto"/>
        <w:tblLook w:val="04A0" w:firstRow="1" w:lastRow="0" w:firstColumn="1" w:lastColumn="0" w:noHBand="0" w:noVBand="1"/>
      </w:tblPr>
      <w:tblGrid>
        <w:gridCol w:w="3080"/>
        <w:gridCol w:w="4966"/>
        <w:gridCol w:w="1196"/>
      </w:tblGrid>
      <w:tr w:rsidR="0088341A" w:rsidRPr="00682A64" w:rsidTr="00682A64">
        <w:trPr>
          <w:cnfStyle w:val="100000000000" w:firstRow="1" w:lastRow="0" w:firstColumn="0" w:lastColumn="0" w:oddVBand="0" w:evenVBand="0" w:oddHBand="0" w:evenHBand="0" w:firstRowFirstColumn="0" w:firstRowLastColumn="0" w:lastRowFirstColumn="0" w:lastRowLastColumn="0"/>
        </w:trPr>
        <w:tc>
          <w:tcPr>
            <w:tcW w:w="3080" w:type="dxa"/>
          </w:tcPr>
          <w:p w:rsidR="0088341A" w:rsidRPr="00682A64" w:rsidRDefault="0088341A" w:rsidP="00682A64">
            <w:pPr>
              <w:pStyle w:val="AERtabletextleft"/>
              <w:keepNext/>
              <w:keepLines/>
            </w:pPr>
            <w:r w:rsidRPr="00682A64">
              <w:t>Project/injection point</w:t>
            </w:r>
          </w:p>
        </w:tc>
        <w:tc>
          <w:tcPr>
            <w:tcW w:w="4966" w:type="dxa"/>
          </w:tcPr>
          <w:p w:rsidR="0088341A" w:rsidRPr="00682A64" w:rsidRDefault="0088341A" w:rsidP="00682A64">
            <w:pPr>
              <w:pStyle w:val="AERtabletextleft"/>
              <w:keepNext/>
              <w:keepLines/>
            </w:pPr>
            <w:r w:rsidRPr="00682A64">
              <w:t>Description</w:t>
            </w:r>
          </w:p>
        </w:tc>
        <w:tc>
          <w:tcPr>
            <w:tcW w:w="1196" w:type="dxa"/>
          </w:tcPr>
          <w:p w:rsidR="0088341A" w:rsidRPr="00682A64" w:rsidRDefault="0088341A" w:rsidP="00682A64">
            <w:pPr>
              <w:pStyle w:val="AERtabletextleft"/>
              <w:keepNext/>
              <w:keepLines/>
            </w:pPr>
            <w:r w:rsidRPr="00682A64">
              <w:t>Total cost</w:t>
            </w:r>
          </w:p>
        </w:tc>
      </w:tr>
      <w:tr w:rsidR="0088341A" w:rsidRPr="00682A64" w:rsidTr="00682A64">
        <w:tc>
          <w:tcPr>
            <w:tcW w:w="3080" w:type="dxa"/>
          </w:tcPr>
          <w:p w:rsidR="0088341A" w:rsidRPr="00682A64" w:rsidRDefault="0088341A" w:rsidP="00682A64">
            <w:pPr>
              <w:pStyle w:val="AERtabletextleft"/>
              <w:keepNext/>
              <w:keepLines/>
            </w:pPr>
            <w:r w:rsidRPr="00682A64">
              <w:t>East Rowville– Cranbourne 220kV circuits</w:t>
            </w:r>
          </w:p>
        </w:tc>
        <w:tc>
          <w:tcPr>
            <w:tcW w:w="4966" w:type="dxa"/>
          </w:tcPr>
          <w:p w:rsidR="0088341A" w:rsidRPr="00682A64" w:rsidRDefault="0088341A" w:rsidP="00682A64">
            <w:pPr>
              <w:pStyle w:val="AERtabletextleft"/>
              <w:keepNext/>
              <w:keepLines/>
            </w:pPr>
            <w:r w:rsidRPr="00682A64">
              <w:t>Replace protection relays</w:t>
            </w:r>
          </w:p>
        </w:tc>
        <w:tc>
          <w:tcPr>
            <w:tcW w:w="1196" w:type="dxa"/>
          </w:tcPr>
          <w:p w:rsidR="0088341A" w:rsidRPr="00682A64" w:rsidRDefault="0088341A" w:rsidP="00682A64">
            <w:pPr>
              <w:pStyle w:val="AERtabletextleft"/>
              <w:keepNext/>
              <w:keepLines/>
            </w:pPr>
            <w:r w:rsidRPr="00682A64">
              <w:t>1033</w:t>
            </w:r>
          </w:p>
        </w:tc>
      </w:tr>
      <w:tr w:rsidR="0088341A" w:rsidRPr="00682A64" w:rsidTr="00682A64">
        <w:trPr>
          <w:cnfStyle w:val="000000010000" w:firstRow="0" w:lastRow="0" w:firstColumn="0" w:lastColumn="0" w:oddVBand="0" w:evenVBand="0" w:oddHBand="0" w:evenHBand="1" w:firstRowFirstColumn="0" w:firstRowLastColumn="0" w:lastRowFirstColumn="0" w:lastRowLastColumn="0"/>
        </w:trPr>
        <w:tc>
          <w:tcPr>
            <w:tcW w:w="3080" w:type="dxa"/>
          </w:tcPr>
          <w:p w:rsidR="0088341A" w:rsidRPr="00682A64" w:rsidRDefault="0088341A" w:rsidP="00682A64">
            <w:pPr>
              <w:pStyle w:val="AERtabletextleft"/>
              <w:keepNext/>
              <w:keepLines/>
            </w:pPr>
            <w:r w:rsidRPr="00682A64">
              <w:t>Rowville–East Rowville 220kV circuits and Rowville–Springvale 220kV circuit</w:t>
            </w:r>
          </w:p>
        </w:tc>
        <w:tc>
          <w:tcPr>
            <w:tcW w:w="4966" w:type="dxa"/>
          </w:tcPr>
          <w:p w:rsidR="0088341A" w:rsidRPr="00682A64" w:rsidRDefault="0088341A" w:rsidP="00682A64">
            <w:pPr>
              <w:pStyle w:val="AERtabletextleft"/>
              <w:keepNext/>
              <w:keepLines/>
            </w:pPr>
            <w:r w:rsidRPr="00682A64">
              <w:t>isolator replacements and protection setting changes</w:t>
            </w:r>
          </w:p>
        </w:tc>
        <w:tc>
          <w:tcPr>
            <w:tcW w:w="1196" w:type="dxa"/>
          </w:tcPr>
          <w:p w:rsidR="0088341A" w:rsidRPr="00682A64" w:rsidRDefault="0088341A" w:rsidP="00682A64">
            <w:pPr>
              <w:pStyle w:val="AERtabletextleft"/>
              <w:keepNext/>
              <w:keepLines/>
            </w:pPr>
            <w:r w:rsidRPr="00682A64">
              <w:t>999</w:t>
            </w:r>
          </w:p>
        </w:tc>
      </w:tr>
      <w:tr w:rsidR="0088341A" w:rsidRPr="00682A64" w:rsidTr="00682A64">
        <w:tc>
          <w:tcPr>
            <w:tcW w:w="3080" w:type="dxa"/>
          </w:tcPr>
          <w:p w:rsidR="0088341A" w:rsidRPr="00682A64" w:rsidRDefault="0088341A" w:rsidP="00682A64">
            <w:pPr>
              <w:pStyle w:val="AERtabletextleft"/>
              <w:keepNext/>
              <w:keepLines/>
            </w:pPr>
            <w:r w:rsidRPr="00682A64">
              <w:t>Geelong – Moorabool 220kV circuits</w:t>
            </w:r>
          </w:p>
        </w:tc>
        <w:tc>
          <w:tcPr>
            <w:tcW w:w="4966" w:type="dxa"/>
          </w:tcPr>
          <w:p w:rsidR="0088341A" w:rsidRPr="00682A64" w:rsidRDefault="0088341A" w:rsidP="00682A64">
            <w:pPr>
              <w:pStyle w:val="AERtabletextleft"/>
              <w:keepNext/>
              <w:keepLines/>
            </w:pPr>
            <w:r w:rsidRPr="00682A64">
              <w:t>Isolator replacements</w:t>
            </w:r>
          </w:p>
        </w:tc>
        <w:tc>
          <w:tcPr>
            <w:tcW w:w="1196" w:type="dxa"/>
          </w:tcPr>
          <w:p w:rsidR="0088341A" w:rsidRPr="00682A64" w:rsidRDefault="0088341A" w:rsidP="00682A64">
            <w:pPr>
              <w:pStyle w:val="AERtabletextleft"/>
              <w:keepNext/>
              <w:keepLines/>
            </w:pPr>
            <w:r w:rsidRPr="00682A64">
              <w:t>871</w:t>
            </w:r>
          </w:p>
        </w:tc>
      </w:tr>
      <w:tr w:rsidR="0088341A" w:rsidRPr="00682A64" w:rsidTr="00682A64">
        <w:trPr>
          <w:cnfStyle w:val="000000010000" w:firstRow="0" w:lastRow="0" w:firstColumn="0" w:lastColumn="0" w:oddVBand="0" w:evenVBand="0" w:oddHBand="0" w:evenHBand="1" w:firstRowFirstColumn="0" w:firstRowLastColumn="0" w:lastRowFirstColumn="0" w:lastRowLastColumn="0"/>
        </w:trPr>
        <w:tc>
          <w:tcPr>
            <w:tcW w:w="3080" w:type="dxa"/>
          </w:tcPr>
          <w:p w:rsidR="0088341A" w:rsidRPr="00682A64" w:rsidRDefault="0088341A" w:rsidP="00682A64">
            <w:pPr>
              <w:pStyle w:val="AERtabletextleft"/>
              <w:keepNext/>
              <w:keepLines/>
            </w:pPr>
            <w:r w:rsidRPr="00682A64">
              <w:t>Wodonga terminal station</w:t>
            </w:r>
          </w:p>
        </w:tc>
        <w:tc>
          <w:tcPr>
            <w:tcW w:w="4966" w:type="dxa"/>
          </w:tcPr>
          <w:p w:rsidR="0088341A" w:rsidRPr="00682A64" w:rsidRDefault="0088341A" w:rsidP="00682A64">
            <w:pPr>
              <w:pStyle w:val="AERtabletextleft"/>
              <w:keepNext/>
              <w:keepLines/>
            </w:pPr>
            <w:r w:rsidRPr="00682A64">
              <w:t>Cable connections replacement</w:t>
            </w:r>
          </w:p>
        </w:tc>
        <w:tc>
          <w:tcPr>
            <w:tcW w:w="1196" w:type="dxa"/>
          </w:tcPr>
          <w:p w:rsidR="0088341A" w:rsidRPr="00682A64" w:rsidRDefault="0088341A" w:rsidP="00682A64">
            <w:pPr>
              <w:pStyle w:val="AERtabletextleft"/>
              <w:keepNext/>
              <w:keepLines/>
            </w:pPr>
            <w:r w:rsidRPr="00682A64">
              <w:t>778</w:t>
            </w:r>
          </w:p>
        </w:tc>
      </w:tr>
      <w:tr w:rsidR="0088341A" w:rsidRPr="00682A64" w:rsidTr="00682A64">
        <w:tc>
          <w:tcPr>
            <w:tcW w:w="3080" w:type="dxa"/>
          </w:tcPr>
          <w:p w:rsidR="0088341A" w:rsidRPr="00682A64" w:rsidRDefault="0088341A" w:rsidP="00682A64">
            <w:pPr>
              <w:pStyle w:val="AERtabletextleft"/>
              <w:keepNext/>
              <w:keepLines/>
            </w:pPr>
            <w:r w:rsidRPr="00682A64">
              <w:t>Dederang circuits</w:t>
            </w:r>
          </w:p>
        </w:tc>
        <w:tc>
          <w:tcPr>
            <w:tcW w:w="4966" w:type="dxa"/>
          </w:tcPr>
          <w:p w:rsidR="0088341A" w:rsidRPr="00682A64" w:rsidRDefault="0088341A" w:rsidP="00682A64">
            <w:pPr>
              <w:pStyle w:val="AERtabletextleft"/>
              <w:keepNext/>
              <w:keepLines/>
            </w:pPr>
            <w:r w:rsidRPr="00682A64">
              <w:t>Interplant connections replacement and protection setting change</w:t>
            </w:r>
          </w:p>
        </w:tc>
        <w:tc>
          <w:tcPr>
            <w:tcW w:w="1196" w:type="dxa"/>
          </w:tcPr>
          <w:p w:rsidR="0088341A" w:rsidRPr="00682A64" w:rsidRDefault="0088341A" w:rsidP="00682A64">
            <w:pPr>
              <w:pStyle w:val="AERtabletextleft"/>
              <w:keepNext/>
              <w:keepLines/>
            </w:pPr>
            <w:r w:rsidRPr="00682A64">
              <w:t>486</w:t>
            </w:r>
          </w:p>
        </w:tc>
      </w:tr>
      <w:tr w:rsidR="0088341A" w:rsidRPr="00682A64" w:rsidTr="00682A64">
        <w:trPr>
          <w:cnfStyle w:val="000000010000" w:firstRow="0" w:lastRow="0" w:firstColumn="0" w:lastColumn="0" w:oddVBand="0" w:evenVBand="0" w:oddHBand="0" w:evenHBand="1" w:firstRowFirstColumn="0" w:firstRowLastColumn="0" w:lastRowFirstColumn="0" w:lastRowLastColumn="0"/>
        </w:trPr>
        <w:tc>
          <w:tcPr>
            <w:tcW w:w="3080" w:type="dxa"/>
          </w:tcPr>
          <w:p w:rsidR="0088341A" w:rsidRPr="00682A64" w:rsidRDefault="0088341A" w:rsidP="00682A64">
            <w:pPr>
              <w:pStyle w:val="AERtabletextleft"/>
              <w:keepNext/>
              <w:keepLines/>
            </w:pPr>
            <w:r w:rsidRPr="00682A64">
              <w:t>Templestowe terminal station</w:t>
            </w:r>
          </w:p>
        </w:tc>
        <w:tc>
          <w:tcPr>
            <w:tcW w:w="4966" w:type="dxa"/>
          </w:tcPr>
          <w:p w:rsidR="0088341A" w:rsidRPr="00682A64" w:rsidRDefault="0088341A" w:rsidP="00682A64">
            <w:pPr>
              <w:pStyle w:val="AERtabletextleft"/>
              <w:keepNext/>
              <w:keepLines/>
            </w:pPr>
            <w:r w:rsidRPr="00682A64">
              <w:t xml:space="preserve">Interplant connections replacement and review and uprate equipment ratings. </w:t>
            </w:r>
          </w:p>
        </w:tc>
        <w:tc>
          <w:tcPr>
            <w:tcW w:w="1196" w:type="dxa"/>
          </w:tcPr>
          <w:p w:rsidR="0088341A" w:rsidRPr="00682A64" w:rsidRDefault="0088341A" w:rsidP="00682A64">
            <w:pPr>
              <w:pStyle w:val="AERtabletextleft"/>
              <w:keepNext/>
              <w:keepLines/>
            </w:pPr>
            <w:r w:rsidRPr="00682A64">
              <w:t>377</w:t>
            </w:r>
          </w:p>
        </w:tc>
      </w:tr>
      <w:tr w:rsidR="0088341A" w:rsidRPr="00682A64" w:rsidTr="00682A64">
        <w:tc>
          <w:tcPr>
            <w:tcW w:w="3080" w:type="dxa"/>
          </w:tcPr>
          <w:p w:rsidR="0088341A" w:rsidRPr="00682A64" w:rsidRDefault="0088341A" w:rsidP="00682A64">
            <w:pPr>
              <w:pStyle w:val="AERtabletextleft"/>
              <w:keepNext/>
              <w:keepLines/>
            </w:pPr>
            <w:r w:rsidRPr="00682A64">
              <w:t>Thomastown terminal station</w:t>
            </w:r>
          </w:p>
        </w:tc>
        <w:tc>
          <w:tcPr>
            <w:tcW w:w="4966" w:type="dxa"/>
          </w:tcPr>
          <w:p w:rsidR="0088341A" w:rsidRPr="00682A64" w:rsidRDefault="0088341A" w:rsidP="00682A64">
            <w:pPr>
              <w:pStyle w:val="AERtabletextleft"/>
              <w:keepNext/>
              <w:keepLines/>
            </w:pPr>
            <w:r w:rsidRPr="00682A64">
              <w:t>Interplant connections replacement and review and uprate equipment ratings.</w:t>
            </w:r>
          </w:p>
        </w:tc>
        <w:tc>
          <w:tcPr>
            <w:tcW w:w="1196" w:type="dxa"/>
          </w:tcPr>
          <w:p w:rsidR="0088341A" w:rsidRPr="00682A64" w:rsidRDefault="0088341A" w:rsidP="00682A64">
            <w:pPr>
              <w:pStyle w:val="AERtabletextleft"/>
              <w:keepNext/>
              <w:keepLines/>
            </w:pPr>
            <w:r w:rsidRPr="00682A64">
              <w:t>177</w:t>
            </w:r>
          </w:p>
        </w:tc>
      </w:tr>
      <w:tr w:rsidR="0088341A" w:rsidRPr="00682A64" w:rsidTr="00682A64">
        <w:trPr>
          <w:cnfStyle w:val="000000010000" w:firstRow="0" w:lastRow="0" w:firstColumn="0" w:lastColumn="0" w:oddVBand="0" w:evenVBand="0" w:oddHBand="0" w:evenHBand="1" w:firstRowFirstColumn="0" w:firstRowLastColumn="0" w:lastRowFirstColumn="0" w:lastRowLastColumn="0"/>
        </w:trPr>
        <w:tc>
          <w:tcPr>
            <w:tcW w:w="3080" w:type="dxa"/>
          </w:tcPr>
          <w:p w:rsidR="0088341A" w:rsidRPr="00682A64" w:rsidRDefault="0088341A" w:rsidP="00682A64">
            <w:pPr>
              <w:pStyle w:val="AERtabletextleft"/>
              <w:keepNext/>
              <w:keepLines/>
            </w:pPr>
            <w:r w:rsidRPr="00682A64">
              <w:t>South Morang – Dederang 330kV circuits</w:t>
            </w:r>
          </w:p>
        </w:tc>
        <w:tc>
          <w:tcPr>
            <w:tcW w:w="4966" w:type="dxa"/>
          </w:tcPr>
          <w:p w:rsidR="0088341A" w:rsidRPr="00682A64" w:rsidRDefault="0088341A" w:rsidP="00682A64">
            <w:pPr>
              <w:pStyle w:val="AERtabletextleft"/>
              <w:keepNext/>
              <w:keepLines/>
            </w:pPr>
            <w:r w:rsidRPr="00682A64">
              <w:t>Develop the system overload control scheme layout to display combined line and series capacitor bank rating</w:t>
            </w:r>
          </w:p>
        </w:tc>
        <w:tc>
          <w:tcPr>
            <w:tcW w:w="1196" w:type="dxa"/>
          </w:tcPr>
          <w:p w:rsidR="0088341A" w:rsidRPr="00682A64" w:rsidRDefault="0088341A" w:rsidP="00682A64">
            <w:pPr>
              <w:pStyle w:val="AERtabletextleft"/>
              <w:keepNext/>
              <w:keepLines/>
            </w:pPr>
            <w:r w:rsidRPr="00682A64">
              <w:t>72</w:t>
            </w:r>
          </w:p>
        </w:tc>
      </w:tr>
      <w:tr w:rsidR="0088341A" w:rsidRPr="00682A64" w:rsidTr="00682A64">
        <w:tc>
          <w:tcPr>
            <w:tcW w:w="3080" w:type="dxa"/>
          </w:tcPr>
          <w:p w:rsidR="0088341A" w:rsidRPr="00682A64" w:rsidRDefault="0088341A" w:rsidP="00682A64">
            <w:pPr>
              <w:pStyle w:val="AERtabletextleft"/>
              <w:keepNext/>
              <w:keepLines/>
            </w:pPr>
            <w:r w:rsidRPr="00682A64">
              <w:t>Horsham terminal station</w:t>
            </w:r>
          </w:p>
        </w:tc>
        <w:tc>
          <w:tcPr>
            <w:tcW w:w="4966" w:type="dxa"/>
          </w:tcPr>
          <w:p w:rsidR="0088341A" w:rsidRPr="00682A64" w:rsidRDefault="0088341A" w:rsidP="00682A64">
            <w:pPr>
              <w:pStyle w:val="AERtabletextleft"/>
              <w:keepNext/>
              <w:keepLines/>
            </w:pPr>
            <w:r w:rsidRPr="00682A64">
              <w:t>Protection setting change</w:t>
            </w:r>
          </w:p>
        </w:tc>
        <w:tc>
          <w:tcPr>
            <w:tcW w:w="1196" w:type="dxa"/>
          </w:tcPr>
          <w:p w:rsidR="0088341A" w:rsidRPr="00682A64" w:rsidRDefault="0088341A" w:rsidP="00682A64">
            <w:pPr>
              <w:pStyle w:val="AERtabletextleft"/>
              <w:keepNext/>
              <w:keepLines/>
            </w:pPr>
            <w:r w:rsidRPr="00682A64">
              <w:t>14</w:t>
            </w:r>
          </w:p>
        </w:tc>
      </w:tr>
      <w:tr w:rsidR="0088341A" w:rsidRPr="00682A64" w:rsidTr="00682A64">
        <w:trPr>
          <w:cnfStyle w:val="000000010000" w:firstRow="0" w:lastRow="0" w:firstColumn="0" w:lastColumn="0" w:oddVBand="0" w:evenVBand="0" w:oddHBand="0" w:evenHBand="1" w:firstRowFirstColumn="0" w:firstRowLastColumn="0" w:lastRowFirstColumn="0" w:lastRowLastColumn="0"/>
        </w:trPr>
        <w:tc>
          <w:tcPr>
            <w:tcW w:w="3080" w:type="dxa"/>
          </w:tcPr>
          <w:p w:rsidR="0088341A" w:rsidRPr="00682A64" w:rsidRDefault="0088341A" w:rsidP="00682A64">
            <w:pPr>
              <w:pStyle w:val="AERtabletextleft"/>
              <w:keepNext/>
              <w:keepLines/>
            </w:pPr>
            <w:r w:rsidRPr="00682A64">
              <w:t>Altona terminal station</w:t>
            </w:r>
          </w:p>
        </w:tc>
        <w:tc>
          <w:tcPr>
            <w:tcW w:w="4966" w:type="dxa"/>
          </w:tcPr>
          <w:p w:rsidR="0088341A" w:rsidRPr="00682A64" w:rsidRDefault="0088341A" w:rsidP="00682A64">
            <w:pPr>
              <w:pStyle w:val="AERtabletextleft"/>
              <w:keepNext/>
              <w:keepLines/>
            </w:pPr>
            <w:r w:rsidRPr="00682A64">
              <w:t>Protection setting change</w:t>
            </w:r>
          </w:p>
        </w:tc>
        <w:tc>
          <w:tcPr>
            <w:tcW w:w="1196" w:type="dxa"/>
          </w:tcPr>
          <w:p w:rsidR="0088341A" w:rsidRPr="00682A64" w:rsidRDefault="0088341A" w:rsidP="00682A64">
            <w:pPr>
              <w:pStyle w:val="AERtabletextleft"/>
              <w:keepNext/>
              <w:keepLines/>
            </w:pPr>
            <w:r w:rsidRPr="00682A64">
              <w:t>14</w:t>
            </w:r>
          </w:p>
        </w:tc>
      </w:tr>
      <w:tr w:rsidR="0088341A" w:rsidRPr="00682A64" w:rsidTr="00682A64">
        <w:tc>
          <w:tcPr>
            <w:tcW w:w="3080" w:type="dxa"/>
          </w:tcPr>
          <w:p w:rsidR="0088341A" w:rsidRPr="00682A64" w:rsidRDefault="0088341A" w:rsidP="00682A64">
            <w:pPr>
              <w:pStyle w:val="AERtabletextleft"/>
              <w:keepNext/>
              <w:keepLines/>
            </w:pPr>
            <w:r w:rsidRPr="00682A64">
              <w:t>Hazelwood – Loy Yang 500kV circuits</w:t>
            </w:r>
          </w:p>
        </w:tc>
        <w:tc>
          <w:tcPr>
            <w:tcW w:w="4966" w:type="dxa"/>
          </w:tcPr>
          <w:p w:rsidR="0088341A" w:rsidRPr="00682A64" w:rsidRDefault="0088341A" w:rsidP="00682A64">
            <w:pPr>
              <w:pStyle w:val="AERtabletextleft"/>
              <w:keepNext/>
              <w:keepLines/>
            </w:pPr>
            <w:r w:rsidRPr="00682A64">
              <w:t>Dynamic line model development and implementation</w:t>
            </w:r>
          </w:p>
        </w:tc>
        <w:tc>
          <w:tcPr>
            <w:tcW w:w="1196" w:type="dxa"/>
          </w:tcPr>
          <w:p w:rsidR="0088341A" w:rsidRPr="00682A64" w:rsidRDefault="0088341A" w:rsidP="00682A64">
            <w:pPr>
              <w:pStyle w:val="AERtabletextleft"/>
              <w:keepNext/>
              <w:keepLines/>
            </w:pPr>
            <w:r w:rsidRPr="00682A64">
              <w:t>2</w:t>
            </w:r>
          </w:p>
        </w:tc>
      </w:tr>
      <w:tr w:rsidR="0088341A" w:rsidRPr="00682A64" w:rsidTr="00682A64">
        <w:trPr>
          <w:cnfStyle w:val="000000010000" w:firstRow="0" w:lastRow="0" w:firstColumn="0" w:lastColumn="0" w:oddVBand="0" w:evenVBand="0" w:oddHBand="0" w:evenHBand="1" w:firstRowFirstColumn="0" w:firstRowLastColumn="0" w:lastRowFirstColumn="0" w:lastRowLastColumn="0"/>
        </w:trPr>
        <w:tc>
          <w:tcPr>
            <w:tcW w:w="3080" w:type="dxa"/>
          </w:tcPr>
          <w:p w:rsidR="0088341A" w:rsidRPr="00682A64" w:rsidRDefault="0088341A" w:rsidP="00682A64">
            <w:pPr>
              <w:pStyle w:val="AERtabletextleft"/>
              <w:keepNext/>
              <w:keepLines/>
            </w:pPr>
            <w:r w:rsidRPr="00682A64">
              <w:t>Geelong terminal station</w:t>
            </w:r>
          </w:p>
        </w:tc>
        <w:tc>
          <w:tcPr>
            <w:tcW w:w="4966" w:type="dxa"/>
          </w:tcPr>
          <w:p w:rsidR="0088341A" w:rsidRPr="00682A64" w:rsidRDefault="0088341A" w:rsidP="00682A64">
            <w:pPr>
              <w:pStyle w:val="AERtabletextleft"/>
              <w:keepNext/>
              <w:keepLines/>
            </w:pPr>
            <w:r w:rsidRPr="00682A64">
              <w:t>Review and uprate equipment ratings</w:t>
            </w:r>
          </w:p>
        </w:tc>
        <w:tc>
          <w:tcPr>
            <w:tcW w:w="1196" w:type="dxa"/>
          </w:tcPr>
          <w:p w:rsidR="0088341A" w:rsidRPr="00682A64" w:rsidRDefault="0088341A" w:rsidP="00682A64">
            <w:pPr>
              <w:pStyle w:val="AERtabletextleft"/>
              <w:keepNext/>
              <w:keepLines/>
            </w:pPr>
            <w:r w:rsidRPr="00682A64">
              <w:t>0</w:t>
            </w:r>
          </w:p>
        </w:tc>
      </w:tr>
      <w:tr w:rsidR="0088341A" w:rsidRPr="00682A64" w:rsidTr="00682A64">
        <w:tc>
          <w:tcPr>
            <w:tcW w:w="3080" w:type="dxa"/>
          </w:tcPr>
          <w:p w:rsidR="0088341A" w:rsidRPr="00682A64" w:rsidRDefault="0088341A" w:rsidP="00682A64">
            <w:pPr>
              <w:pStyle w:val="AERtabletextleft"/>
              <w:keepNext/>
              <w:keepLines/>
            </w:pPr>
            <w:r w:rsidRPr="00682A64">
              <w:t>Ringwood terminal station</w:t>
            </w:r>
          </w:p>
        </w:tc>
        <w:tc>
          <w:tcPr>
            <w:tcW w:w="4966" w:type="dxa"/>
          </w:tcPr>
          <w:p w:rsidR="0088341A" w:rsidRPr="00682A64" w:rsidRDefault="0088341A" w:rsidP="00682A64">
            <w:pPr>
              <w:pStyle w:val="AERtabletextleft"/>
              <w:keepNext/>
              <w:keepLines/>
            </w:pPr>
            <w:r w:rsidRPr="00682A64">
              <w:t>Review and uprate equipment ratings</w:t>
            </w:r>
          </w:p>
        </w:tc>
        <w:tc>
          <w:tcPr>
            <w:tcW w:w="1196" w:type="dxa"/>
          </w:tcPr>
          <w:p w:rsidR="0088341A" w:rsidRPr="00682A64" w:rsidRDefault="0088341A" w:rsidP="00682A64">
            <w:pPr>
              <w:pStyle w:val="AERtabletextleft"/>
              <w:keepNext/>
              <w:keepLines/>
            </w:pPr>
            <w:r w:rsidRPr="00682A64">
              <w:t>0</w:t>
            </w:r>
          </w:p>
        </w:tc>
      </w:tr>
      <w:tr w:rsidR="0088341A" w:rsidRPr="00682A64" w:rsidTr="00682A64">
        <w:trPr>
          <w:cnfStyle w:val="000000010000" w:firstRow="0" w:lastRow="0" w:firstColumn="0" w:lastColumn="0" w:oddVBand="0" w:evenVBand="0" w:oddHBand="0" w:evenHBand="1" w:firstRowFirstColumn="0" w:firstRowLastColumn="0" w:lastRowFirstColumn="0" w:lastRowLastColumn="0"/>
        </w:trPr>
        <w:tc>
          <w:tcPr>
            <w:tcW w:w="3080" w:type="dxa"/>
          </w:tcPr>
          <w:p w:rsidR="0088341A" w:rsidRPr="00682A64" w:rsidRDefault="0088341A" w:rsidP="00682A64">
            <w:pPr>
              <w:pStyle w:val="AERtabletextleft"/>
              <w:keepNext/>
              <w:keepLines/>
            </w:pPr>
            <w:r w:rsidRPr="00682A64">
              <w:t>Moorabool – Mortlake 500kV circuit and Moorabol – Terang 500kV circuit</w:t>
            </w:r>
          </w:p>
        </w:tc>
        <w:tc>
          <w:tcPr>
            <w:tcW w:w="4966" w:type="dxa"/>
          </w:tcPr>
          <w:p w:rsidR="0088341A" w:rsidRPr="00682A64" w:rsidRDefault="0088341A" w:rsidP="00682A64">
            <w:pPr>
              <w:pStyle w:val="AERtabletextleft"/>
              <w:keepNext/>
              <w:keepLines/>
            </w:pPr>
            <w:r w:rsidRPr="00682A64">
              <w:t>Review and uprate protection settings</w:t>
            </w:r>
          </w:p>
        </w:tc>
        <w:tc>
          <w:tcPr>
            <w:tcW w:w="1196" w:type="dxa"/>
          </w:tcPr>
          <w:p w:rsidR="0088341A" w:rsidRPr="00682A64" w:rsidRDefault="0088341A" w:rsidP="00682A64">
            <w:pPr>
              <w:pStyle w:val="AERtabletextleft"/>
              <w:keepNext/>
              <w:keepLines/>
            </w:pPr>
            <w:r w:rsidRPr="00682A64">
              <w:t>0</w:t>
            </w:r>
          </w:p>
        </w:tc>
      </w:tr>
      <w:tr w:rsidR="0088341A" w:rsidRPr="00682A64" w:rsidTr="00682A64">
        <w:tc>
          <w:tcPr>
            <w:tcW w:w="3080" w:type="dxa"/>
          </w:tcPr>
          <w:p w:rsidR="0088341A" w:rsidRPr="00682A64" w:rsidRDefault="0088341A" w:rsidP="00682A64">
            <w:pPr>
              <w:pStyle w:val="AERtabletextleft"/>
              <w:keepNext/>
              <w:keepLines/>
            </w:pPr>
            <w:r w:rsidRPr="00682A64">
              <w:t>Keilor – Sydenham 500kV circuit and Keilor – South Morang 500kV circuit</w:t>
            </w:r>
          </w:p>
        </w:tc>
        <w:tc>
          <w:tcPr>
            <w:tcW w:w="4966" w:type="dxa"/>
          </w:tcPr>
          <w:p w:rsidR="0088341A" w:rsidRPr="00682A64" w:rsidRDefault="0088341A" w:rsidP="00682A64">
            <w:pPr>
              <w:pStyle w:val="AERtabletextleft"/>
              <w:keepNext/>
              <w:keepLines/>
            </w:pPr>
            <w:r w:rsidRPr="00682A64">
              <w:t>Protection setting change</w:t>
            </w:r>
          </w:p>
        </w:tc>
        <w:tc>
          <w:tcPr>
            <w:tcW w:w="1196" w:type="dxa"/>
          </w:tcPr>
          <w:p w:rsidR="0088341A" w:rsidRPr="00682A64" w:rsidRDefault="0088341A" w:rsidP="00682A64">
            <w:pPr>
              <w:pStyle w:val="AERtabletextleft"/>
              <w:keepNext/>
              <w:keepLines/>
            </w:pPr>
            <w:r w:rsidRPr="00682A64">
              <w:t>0</w:t>
            </w:r>
          </w:p>
        </w:tc>
      </w:tr>
    </w:tbl>
    <w:p w:rsidR="0088341A" w:rsidRPr="005C017F" w:rsidRDefault="0088341A" w:rsidP="0088341A">
      <w:pPr>
        <w:pStyle w:val="AERtablesource"/>
      </w:pPr>
      <w:r>
        <w:t xml:space="preserve">Source: SP AusNet, </w:t>
      </w:r>
      <w:r w:rsidRPr="00DB180C">
        <w:rPr>
          <w:i/>
        </w:rPr>
        <w:t>Revenue proposal</w:t>
      </w:r>
      <w:r>
        <w:t xml:space="preserve">, p. 163. </w:t>
      </w:r>
    </w:p>
    <w:p w:rsidR="0088341A" w:rsidRDefault="0088341A" w:rsidP="0088341A">
      <w:pPr>
        <w:pStyle w:val="AERbodytext"/>
        <w:numPr>
          <w:ilvl w:val="0"/>
          <w:numId w:val="1"/>
        </w:numPr>
      </w:pPr>
      <w:r>
        <w:t>Given the short time between the release of the new STPIS (December 2012) and the submission of SP AusNet’s revenue proposal (28 February 2013) SP AusNet was unable to consult with AEMO on these projects before submitting its revenue proposal. However, we worked with SP AusNet and AEMO during the draft decision process to develop a ranking of the proposed projects. During this process, AEMO identified an additional seven priority projects. AEMO provided details of these projects to SP AusNet, who estimated the cost of them. AEMO then finalised the project rankings on the net benefit of each project using these costings and their estimate of each project’s benefits. The process that SP AusNet and AEMO undertook to identify network constraints is discussed in SP AusNet’s network capability component process document. This document is published on our website with this draft decision.</w:t>
      </w:r>
      <w:r>
        <w:rPr>
          <w:rStyle w:val="FootnoteReference"/>
        </w:rPr>
        <w:footnoteReference w:id="492"/>
      </w:r>
      <w:r>
        <w:t xml:space="preserve"> The additional projects identified by AEMO are shown in </w:t>
      </w:r>
      <w:r>
        <w:fldChar w:fldCharType="begin"/>
      </w:r>
      <w:r>
        <w:instrText xml:space="preserve"> REF _Ref363811092 \h </w:instrText>
      </w:r>
      <w:r>
        <w:fldChar w:fldCharType="separate"/>
      </w:r>
      <w:r w:rsidR="004F35AA">
        <w:t xml:space="preserve">Table </w:t>
      </w:r>
      <w:r w:rsidR="004F35AA">
        <w:rPr>
          <w:noProof/>
        </w:rPr>
        <w:t>9</w:t>
      </w:r>
      <w:r w:rsidR="004F35AA">
        <w:t>.</w:t>
      </w:r>
      <w:r w:rsidR="004F35AA">
        <w:rPr>
          <w:noProof/>
        </w:rPr>
        <w:t>5</w:t>
      </w:r>
      <w:r>
        <w:fldChar w:fldCharType="end"/>
      </w:r>
      <w:r>
        <w:t xml:space="preserve">. SP AusNet accepted these projects and included them in its NCIPAP. </w:t>
      </w:r>
    </w:p>
    <w:p w:rsidR="0088341A" w:rsidRDefault="0088341A" w:rsidP="00C901D8">
      <w:pPr>
        <w:pStyle w:val="Caption"/>
      </w:pPr>
      <w:bookmarkStart w:id="341" w:name="_Ref363811092"/>
      <w:r>
        <w:lastRenderedPageBreak/>
        <w:t xml:space="preserve">Table </w:t>
      </w:r>
      <w:fldSimple w:instr=" STYLEREF 1 \s ">
        <w:r w:rsidR="004F35AA">
          <w:rPr>
            <w:noProof/>
          </w:rPr>
          <w:t>9</w:t>
        </w:r>
      </w:fldSimple>
      <w:r w:rsidR="00C56A87">
        <w:t>.</w:t>
      </w:r>
      <w:fldSimple w:instr=" SEQ Table \* ARABIC \s 1 ">
        <w:r w:rsidR="004F35AA">
          <w:rPr>
            <w:noProof/>
          </w:rPr>
          <w:t>5</w:t>
        </w:r>
      </w:fldSimple>
      <w:bookmarkEnd w:id="341"/>
      <w:r>
        <w:tab/>
        <w:t>AEMO’s identified priority projects ($ 000s, 2013–14)</w:t>
      </w:r>
    </w:p>
    <w:tbl>
      <w:tblPr>
        <w:tblStyle w:val="AERtable-text"/>
        <w:tblW w:w="9242" w:type="dxa"/>
        <w:tblLook w:val="04A0" w:firstRow="1" w:lastRow="0" w:firstColumn="1" w:lastColumn="0" w:noHBand="0" w:noVBand="1"/>
      </w:tblPr>
      <w:tblGrid>
        <w:gridCol w:w="3080"/>
        <w:gridCol w:w="4966"/>
        <w:gridCol w:w="1196"/>
      </w:tblGrid>
      <w:tr w:rsidR="0088341A" w:rsidRPr="00682A64" w:rsidTr="00682A64">
        <w:trPr>
          <w:cnfStyle w:val="100000000000" w:firstRow="1" w:lastRow="0" w:firstColumn="0" w:lastColumn="0" w:oddVBand="0" w:evenVBand="0" w:oddHBand="0" w:evenHBand="0" w:firstRowFirstColumn="0" w:firstRowLastColumn="0" w:lastRowFirstColumn="0" w:lastRowLastColumn="0"/>
        </w:trPr>
        <w:tc>
          <w:tcPr>
            <w:tcW w:w="3080" w:type="dxa"/>
          </w:tcPr>
          <w:p w:rsidR="0088341A" w:rsidRPr="00682A64" w:rsidRDefault="0088341A" w:rsidP="00C901D8">
            <w:pPr>
              <w:pStyle w:val="AERtabletextleft"/>
              <w:keepNext/>
            </w:pPr>
            <w:r w:rsidRPr="00682A64">
              <w:t>Project</w:t>
            </w:r>
          </w:p>
        </w:tc>
        <w:tc>
          <w:tcPr>
            <w:tcW w:w="4966" w:type="dxa"/>
          </w:tcPr>
          <w:p w:rsidR="0088341A" w:rsidRPr="00682A64" w:rsidRDefault="0088341A" w:rsidP="00C901D8">
            <w:pPr>
              <w:pStyle w:val="AERtabletextleft"/>
              <w:keepNext/>
            </w:pPr>
            <w:r w:rsidRPr="00682A64">
              <w:t>Description</w:t>
            </w:r>
          </w:p>
        </w:tc>
        <w:tc>
          <w:tcPr>
            <w:tcW w:w="1196" w:type="dxa"/>
          </w:tcPr>
          <w:p w:rsidR="0088341A" w:rsidRPr="00682A64" w:rsidRDefault="0088341A" w:rsidP="00C901D8">
            <w:pPr>
              <w:pStyle w:val="AERtabletextleft"/>
              <w:keepNext/>
            </w:pPr>
            <w:r w:rsidRPr="00682A64">
              <w:t>Total cost</w:t>
            </w:r>
          </w:p>
        </w:tc>
      </w:tr>
      <w:tr w:rsidR="0088341A" w:rsidRPr="00682A64" w:rsidTr="00682A64">
        <w:tc>
          <w:tcPr>
            <w:tcW w:w="3080" w:type="dxa"/>
          </w:tcPr>
          <w:p w:rsidR="0088341A" w:rsidRPr="00682A64" w:rsidRDefault="0088341A" w:rsidP="00C901D8">
            <w:pPr>
              <w:pStyle w:val="AERtabletextleft"/>
              <w:keepNext/>
            </w:pPr>
            <w:r w:rsidRPr="00682A64">
              <w:t>Rowville – Malvern No 1 &amp; 2 220 kV circuits</w:t>
            </w:r>
          </w:p>
        </w:tc>
        <w:tc>
          <w:tcPr>
            <w:tcW w:w="4966" w:type="dxa"/>
          </w:tcPr>
          <w:p w:rsidR="0088341A" w:rsidRPr="00682A64" w:rsidRDefault="0088341A" w:rsidP="00C901D8">
            <w:pPr>
              <w:pStyle w:val="AERtabletextleft"/>
              <w:keepNext/>
            </w:pPr>
            <w:r w:rsidRPr="00682A64">
              <w:t xml:space="preserve">Installation of wind monitoring station at Malvern Terminal Station. Changes to the control and protection schemes to incorporate wind monitoring stations outputs. </w:t>
            </w:r>
          </w:p>
        </w:tc>
        <w:tc>
          <w:tcPr>
            <w:tcW w:w="1196" w:type="dxa"/>
          </w:tcPr>
          <w:p w:rsidR="0088341A" w:rsidRPr="00682A64" w:rsidRDefault="0088341A" w:rsidP="00C901D8">
            <w:pPr>
              <w:pStyle w:val="AERtabletextleft"/>
              <w:keepNext/>
            </w:pPr>
            <w:r w:rsidRPr="00682A64">
              <w:t>400</w:t>
            </w:r>
          </w:p>
        </w:tc>
      </w:tr>
      <w:tr w:rsidR="0088341A" w:rsidRPr="00682A64" w:rsidTr="00682A64">
        <w:trPr>
          <w:cnfStyle w:val="000000010000" w:firstRow="0" w:lastRow="0" w:firstColumn="0" w:lastColumn="0" w:oddVBand="0" w:evenVBand="0" w:oddHBand="0" w:evenHBand="1" w:firstRowFirstColumn="0" w:firstRowLastColumn="0" w:lastRowFirstColumn="0" w:lastRowLastColumn="0"/>
        </w:trPr>
        <w:tc>
          <w:tcPr>
            <w:tcW w:w="3080" w:type="dxa"/>
          </w:tcPr>
          <w:p w:rsidR="0088341A" w:rsidRPr="00682A64" w:rsidRDefault="0088341A" w:rsidP="00C901D8">
            <w:pPr>
              <w:pStyle w:val="AERtabletextleft"/>
              <w:keepNext/>
            </w:pPr>
            <w:r w:rsidRPr="00682A64">
              <w:t>South Morang – Thomastown No 1 &amp; 2 220 kv circuits</w:t>
            </w:r>
          </w:p>
        </w:tc>
        <w:tc>
          <w:tcPr>
            <w:tcW w:w="4966" w:type="dxa"/>
          </w:tcPr>
          <w:p w:rsidR="0088341A" w:rsidRPr="00682A64" w:rsidRDefault="0088341A" w:rsidP="00C901D8">
            <w:pPr>
              <w:pStyle w:val="AERtabletextleft"/>
              <w:keepNext/>
            </w:pPr>
            <w:r w:rsidRPr="00682A64">
              <w:t xml:space="preserve">Install wind monitoring scheme for South Morang – Thomastown No 1 &amp; 2 220 kV circuits. </w:t>
            </w:r>
          </w:p>
        </w:tc>
        <w:tc>
          <w:tcPr>
            <w:tcW w:w="1196" w:type="dxa"/>
          </w:tcPr>
          <w:p w:rsidR="0088341A" w:rsidRPr="00682A64" w:rsidRDefault="0088341A" w:rsidP="00C901D8">
            <w:pPr>
              <w:pStyle w:val="AERtabletextleft"/>
              <w:keepNext/>
            </w:pPr>
            <w:r w:rsidRPr="00682A64">
              <w:t>600</w:t>
            </w:r>
          </w:p>
        </w:tc>
      </w:tr>
      <w:tr w:rsidR="0088341A" w:rsidRPr="00682A64" w:rsidTr="00682A64">
        <w:tc>
          <w:tcPr>
            <w:tcW w:w="3080" w:type="dxa"/>
          </w:tcPr>
          <w:p w:rsidR="0088341A" w:rsidRPr="00682A64" w:rsidRDefault="0088341A" w:rsidP="00C901D8">
            <w:pPr>
              <w:pStyle w:val="AERtabletextleft"/>
              <w:keepNext/>
            </w:pPr>
            <w:r w:rsidRPr="00682A64">
              <w:t>Aluminium Customer Substation and Mortlake intertrip control schemes</w:t>
            </w:r>
          </w:p>
        </w:tc>
        <w:tc>
          <w:tcPr>
            <w:tcW w:w="4966" w:type="dxa"/>
          </w:tcPr>
          <w:p w:rsidR="0088341A" w:rsidRPr="00682A64" w:rsidRDefault="0088341A" w:rsidP="00C901D8">
            <w:pPr>
              <w:pStyle w:val="AERtabletextleft"/>
              <w:keepNext/>
            </w:pPr>
            <w:r w:rsidRPr="00682A64">
              <w:t>APS and MOPS intertrip control schemes</w:t>
            </w:r>
          </w:p>
        </w:tc>
        <w:tc>
          <w:tcPr>
            <w:tcW w:w="1196" w:type="dxa"/>
          </w:tcPr>
          <w:p w:rsidR="0088341A" w:rsidRPr="00682A64" w:rsidRDefault="0088341A" w:rsidP="00C901D8">
            <w:pPr>
              <w:pStyle w:val="AERtabletextleft"/>
              <w:keepNext/>
            </w:pPr>
            <w:r w:rsidRPr="00682A64">
              <w:t>400</w:t>
            </w:r>
          </w:p>
        </w:tc>
      </w:tr>
      <w:tr w:rsidR="0088341A" w:rsidRPr="00682A64" w:rsidTr="00682A64">
        <w:trPr>
          <w:cnfStyle w:val="000000010000" w:firstRow="0" w:lastRow="0" w:firstColumn="0" w:lastColumn="0" w:oddVBand="0" w:evenVBand="0" w:oddHBand="0" w:evenHBand="1" w:firstRowFirstColumn="0" w:firstRowLastColumn="0" w:lastRowFirstColumn="0" w:lastRowLastColumn="0"/>
        </w:trPr>
        <w:tc>
          <w:tcPr>
            <w:tcW w:w="3080" w:type="dxa"/>
          </w:tcPr>
          <w:p w:rsidR="0088341A" w:rsidRPr="00682A64" w:rsidRDefault="0088341A" w:rsidP="00C901D8">
            <w:pPr>
              <w:pStyle w:val="AERtabletextleft"/>
              <w:keepNext/>
            </w:pPr>
            <w:r w:rsidRPr="00682A64">
              <w:t>M2 contingency control scheme</w:t>
            </w:r>
          </w:p>
        </w:tc>
        <w:tc>
          <w:tcPr>
            <w:tcW w:w="4966" w:type="dxa"/>
          </w:tcPr>
          <w:p w:rsidR="0088341A" w:rsidRPr="00682A64" w:rsidRDefault="0088341A" w:rsidP="00C901D8">
            <w:pPr>
              <w:pStyle w:val="AERtabletextleft"/>
              <w:keepNext/>
            </w:pPr>
            <w:r w:rsidRPr="00682A64">
              <w:t xml:space="preserve">Control scheme to detect the specified conditions and trip the APD potlines. </w:t>
            </w:r>
          </w:p>
        </w:tc>
        <w:tc>
          <w:tcPr>
            <w:tcW w:w="1196" w:type="dxa"/>
          </w:tcPr>
          <w:p w:rsidR="0088341A" w:rsidRPr="00682A64" w:rsidRDefault="0088341A" w:rsidP="00C901D8">
            <w:pPr>
              <w:pStyle w:val="AERtabletextleft"/>
              <w:keepNext/>
            </w:pPr>
            <w:r w:rsidRPr="00682A64">
              <w:t>0</w:t>
            </w:r>
          </w:p>
        </w:tc>
      </w:tr>
      <w:tr w:rsidR="0088341A" w:rsidRPr="00682A64" w:rsidTr="00682A64">
        <w:tc>
          <w:tcPr>
            <w:tcW w:w="3080" w:type="dxa"/>
          </w:tcPr>
          <w:p w:rsidR="0088341A" w:rsidRPr="00682A64" w:rsidRDefault="0088341A" w:rsidP="00C901D8">
            <w:pPr>
              <w:pStyle w:val="AERtabletextleft"/>
              <w:keepNext/>
            </w:pPr>
            <w:r w:rsidRPr="00682A64">
              <w:t>Investigate fault level withstand capability of 220 kV switchyards</w:t>
            </w:r>
          </w:p>
        </w:tc>
        <w:tc>
          <w:tcPr>
            <w:tcW w:w="4966" w:type="dxa"/>
          </w:tcPr>
          <w:p w:rsidR="0088341A" w:rsidRPr="00682A64" w:rsidRDefault="0088341A" w:rsidP="00C901D8">
            <w:pPr>
              <w:pStyle w:val="AERtabletextleft"/>
              <w:keepNext/>
            </w:pPr>
            <w:r w:rsidRPr="00682A64">
              <w:t xml:space="preserve">Assess the fault level capability of nine terminal stations. </w:t>
            </w:r>
          </w:p>
        </w:tc>
        <w:tc>
          <w:tcPr>
            <w:tcW w:w="1196" w:type="dxa"/>
          </w:tcPr>
          <w:p w:rsidR="0088341A" w:rsidRPr="00682A64" w:rsidRDefault="0088341A" w:rsidP="00C901D8">
            <w:pPr>
              <w:pStyle w:val="AERtabletextleft"/>
              <w:keepNext/>
            </w:pPr>
            <w:r w:rsidRPr="00682A64">
              <w:t>5300</w:t>
            </w:r>
          </w:p>
        </w:tc>
      </w:tr>
      <w:tr w:rsidR="0088341A" w:rsidRPr="00682A64" w:rsidTr="00682A64">
        <w:trPr>
          <w:cnfStyle w:val="000000010000" w:firstRow="0" w:lastRow="0" w:firstColumn="0" w:lastColumn="0" w:oddVBand="0" w:evenVBand="0" w:oddHBand="0" w:evenHBand="1" w:firstRowFirstColumn="0" w:firstRowLastColumn="0" w:lastRowFirstColumn="0" w:lastRowLastColumn="0"/>
        </w:trPr>
        <w:tc>
          <w:tcPr>
            <w:tcW w:w="3080" w:type="dxa"/>
          </w:tcPr>
          <w:p w:rsidR="0088341A" w:rsidRPr="00682A64" w:rsidRDefault="0088341A" w:rsidP="00C901D8">
            <w:pPr>
              <w:pStyle w:val="AERtabletextleft"/>
              <w:keepNext/>
            </w:pPr>
            <w:r w:rsidRPr="00682A64">
              <w:t>Identify works to increase fault level withstand capability to 40 kA at 220 kV switchyards</w:t>
            </w:r>
          </w:p>
        </w:tc>
        <w:tc>
          <w:tcPr>
            <w:tcW w:w="4966" w:type="dxa"/>
          </w:tcPr>
          <w:p w:rsidR="0088341A" w:rsidRPr="00682A64" w:rsidRDefault="0088341A" w:rsidP="00C901D8">
            <w:pPr>
              <w:pStyle w:val="AERtabletextleft"/>
              <w:keepNext/>
            </w:pPr>
            <w:r w:rsidRPr="00682A64">
              <w:t xml:space="preserve">Identify works to be carried out on equipment and structures at nine terminal stations to increase the 200 kV fault level withstand capability to 40 kA. </w:t>
            </w:r>
          </w:p>
        </w:tc>
        <w:tc>
          <w:tcPr>
            <w:tcW w:w="1196" w:type="dxa"/>
          </w:tcPr>
          <w:p w:rsidR="0088341A" w:rsidRPr="00682A64" w:rsidRDefault="0088341A" w:rsidP="00C901D8">
            <w:pPr>
              <w:pStyle w:val="AERtabletextleft"/>
              <w:keepNext/>
            </w:pPr>
            <w:r w:rsidRPr="00682A64">
              <w:t>400</w:t>
            </w:r>
          </w:p>
        </w:tc>
      </w:tr>
      <w:tr w:rsidR="0088341A" w:rsidRPr="00682A64" w:rsidTr="00682A64">
        <w:tc>
          <w:tcPr>
            <w:tcW w:w="3080" w:type="dxa"/>
          </w:tcPr>
          <w:p w:rsidR="0088341A" w:rsidRPr="00682A64" w:rsidRDefault="0088341A" w:rsidP="00C901D8">
            <w:pPr>
              <w:pStyle w:val="AERtabletextleft"/>
              <w:keepNext/>
            </w:pPr>
            <w:r w:rsidRPr="00682A64">
              <w:t>Increase instrumentation range</w:t>
            </w:r>
          </w:p>
        </w:tc>
        <w:tc>
          <w:tcPr>
            <w:tcW w:w="4966" w:type="dxa"/>
          </w:tcPr>
          <w:p w:rsidR="0088341A" w:rsidRPr="00682A64" w:rsidRDefault="0088341A" w:rsidP="00C901D8">
            <w:pPr>
              <w:pStyle w:val="AERtabletextleft"/>
              <w:keepNext/>
            </w:pPr>
            <w:r w:rsidRPr="00682A64">
              <w:t xml:space="preserve">Increase instrumentation range of 11 transmission circuits. </w:t>
            </w:r>
          </w:p>
        </w:tc>
        <w:tc>
          <w:tcPr>
            <w:tcW w:w="1196" w:type="dxa"/>
          </w:tcPr>
          <w:p w:rsidR="0088341A" w:rsidRPr="00682A64" w:rsidRDefault="0088341A" w:rsidP="00C901D8">
            <w:pPr>
              <w:pStyle w:val="AERtabletextleft"/>
              <w:keepNext/>
            </w:pPr>
            <w:r w:rsidRPr="00682A64">
              <w:t>400</w:t>
            </w:r>
          </w:p>
        </w:tc>
      </w:tr>
    </w:tbl>
    <w:p w:rsidR="0088341A" w:rsidRDefault="0088341A" w:rsidP="00C901D8">
      <w:pPr>
        <w:pStyle w:val="AERtablesource"/>
        <w:keepNext/>
      </w:pPr>
      <w:r>
        <w:t xml:space="preserve">Source: </w:t>
      </w:r>
      <w:r>
        <w:tab/>
        <w:t xml:space="preserve">AEMO, </w:t>
      </w:r>
      <w:r w:rsidRPr="00DB180C">
        <w:rPr>
          <w:i/>
        </w:rPr>
        <w:t>AEMO endorsement of SP AusNet Network Capability incentive Parameter Action Plan (NCIPAP) for 2014–17</w:t>
      </w:r>
      <w:r>
        <w:t xml:space="preserve">, 25 July 2013.     </w:t>
      </w:r>
    </w:p>
    <w:p w:rsidR="0088341A" w:rsidRDefault="0088341A" w:rsidP="0088341A">
      <w:pPr>
        <w:pStyle w:val="HeadingBoldBlue"/>
      </w:pPr>
      <w:r>
        <w:t>Market impact component</w:t>
      </w:r>
    </w:p>
    <w:p w:rsidR="0088341A" w:rsidRDefault="0088341A" w:rsidP="0088341A">
      <w:pPr>
        <w:pStyle w:val="AERbodytext"/>
        <w:numPr>
          <w:ilvl w:val="0"/>
          <w:numId w:val="0"/>
        </w:numPr>
      </w:pPr>
      <w:r>
        <w:t>SP AusNet did not propose a performance target for 2014 as not all the data is available for this calculation. SP AusNet originally proposed performance data for 2011 and 2012 is 2806 and 896 dispatch intervals respectively.</w:t>
      </w:r>
      <w:r>
        <w:rPr>
          <w:rStyle w:val="FootnoteReference"/>
        </w:rPr>
        <w:footnoteReference w:id="493"/>
      </w:r>
      <w:r>
        <w:t xml:space="preserve"> On 31 July 2013, SP AusNet submitted its revised performance data to reflect the new exclusion clause in version 4 of the scheme. SP AusNet submitted a performance of 3329 dispatch intervals (for 2011) and 2560 dispatch intervals (for 2012). </w:t>
      </w:r>
    </w:p>
    <w:p w:rsidR="0088341A" w:rsidRDefault="0088341A" w:rsidP="0088341A">
      <w:pPr>
        <w:pStyle w:val="Heading2"/>
        <w:numPr>
          <w:ilvl w:val="2"/>
          <w:numId w:val="20"/>
        </w:numPr>
      </w:pPr>
      <w:bookmarkStart w:id="342" w:name="_Toc365283335"/>
      <w:r>
        <w:t>Assessment approach</w:t>
      </w:r>
      <w:bookmarkEnd w:id="342"/>
    </w:p>
    <w:p w:rsidR="0088341A" w:rsidRDefault="0088341A" w:rsidP="0088341A">
      <w:pPr>
        <w:pStyle w:val="HeadingBoldBlue"/>
      </w:pPr>
      <w:r>
        <w:t>Service component</w:t>
      </w:r>
    </w:p>
    <w:p w:rsidR="0088341A" w:rsidRDefault="0088341A" w:rsidP="0088341A">
      <w:pPr>
        <w:pStyle w:val="AERbodytext"/>
        <w:numPr>
          <w:ilvl w:val="0"/>
          <w:numId w:val="1"/>
        </w:numPr>
      </w:pPr>
      <w:r>
        <w:t>We assessed SP AusNet's service component proposal against the requirements of the STPIS — that is, whether:</w:t>
      </w:r>
    </w:p>
    <w:p w:rsidR="0088341A" w:rsidRDefault="0088341A" w:rsidP="0088341A">
      <w:pPr>
        <w:pStyle w:val="AERbulletlistfirststyle"/>
      </w:pPr>
      <w:r>
        <w:t>SP AusNet's data recording systems and processes produce accurate and reliable data and whether the data is recorded consistently based on the parameter definitions under the STPIS</w:t>
      </w:r>
      <w:r>
        <w:rPr>
          <w:rStyle w:val="FootnoteReference"/>
        </w:rPr>
        <w:footnoteReference w:id="494"/>
      </w:r>
    </w:p>
    <w:p w:rsidR="0088341A" w:rsidRDefault="0088341A" w:rsidP="0088341A">
      <w:pPr>
        <w:pStyle w:val="AERbulletlistfirststyle"/>
      </w:pPr>
      <w:r>
        <w:t>the proposed performance targets equal the average of the most recent five years of performance data</w:t>
      </w:r>
      <w:r>
        <w:rPr>
          <w:rStyle w:val="FootnoteReference"/>
        </w:rPr>
        <w:footnoteReference w:id="495"/>
      </w:r>
    </w:p>
    <w:p w:rsidR="0088341A" w:rsidRDefault="0088341A" w:rsidP="0088341A">
      <w:pPr>
        <w:pStyle w:val="AERbulletlistfirststyle"/>
      </w:pPr>
      <w:r>
        <w:t>any adjustments to the proposed targets are warranted and reasonable</w:t>
      </w:r>
      <w:r>
        <w:rPr>
          <w:rStyle w:val="FootnoteReference"/>
        </w:rPr>
        <w:footnoteReference w:id="496"/>
      </w:r>
    </w:p>
    <w:p w:rsidR="0088341A" w:rsidRDefault="0088341A" w:rsidP="0088341A">
      <w:pPr>
        <w:pStyle w:val="AERbulletlistfirststyle"/>
      </w:pPr>
      <w:r>
        <w:t>SP AusNet used a sound methodology, with reference to the performance target, to calculate the proposed caps and collars</w:t>
      </w:r>
      <w:r>
        <w:rPr>
          <w:rStyle w:val="FootnoteReference"/>
        </w:rPr>
        <w:footnoteReference w:id="497"/>
      </w:r>
    </w:p>
    <w:p w:rsidR="0088341A" w:rsidRDefault="0088341A" w:rsidP="0088341A">
      <w:pPr>
        <w:pStyle w:val="AERbulletlistfirststyle"/>
      </w:pPr>
      <w:r>
        <w:lastRenderedPageBreak/>
        <w:t>any adjustment to the performance target was applied to the cap and collar of that parameter.</w:t>
      </w:r>
      <w:r>
        <w:rPr>
          <w:rStyle w:val="FootnoteReference"/>
        </w:rPr>
        <w:footnoteReference w:id="498"/>
      </w:r>
    </w:p>
    <w:p w:rsidR="0088341A" w:rsidRDefault="0088341A" w:rsidP="0088341A">
      <w:pPr>
        <w:pStyle w:val="AERbodytext"/>
        <w:numPr>
          <w:ilvl w:val="0"/>
          <w:numId w:val="1"/>
        </w:numPr>
      </w:pPr>
      <w:r>
        <w:t xml:space="preserve">We assessed the distributions used by SP AusNet to calculate caps and collars to determine whether a sound methodology was used. We also assessed the possible materiality between implementing our preferred caps and collars and implementing SP AusNet’s proposed caps and collars. The principles we used to determine whether SP AusNet’s method was sound are set out in the reasons for our draft decision.  </w:t>
      </w:r>
    </w:p>
    <w:p w:rsidR="0088341A" w:rsidRDefault="0088341A" w:rsidP="0088341A">
      <w:pPr>
        <w:pStyle w:val="AERbodytext"/>
        <w:numPr>
          <w:ilvl w:val="0"/>
          <w:numId w:val="1"/>
        </w:numPr>
      </w:pPr>
      <w:r>
        <w:t>The STPIS prescribes the revenue weightings applied to each parameter. As such, SP AusNet was not required to proposed revenue weightings for each STPIS parameter.</w:t>
      </w:r>
      <w:r>
        <w:rPr>
          <w:rStyle w:val="FootnoteReference"/>
        </w:rPr>
        <w:footnoteReference w:id="499"/>
      </w:r>
      <w:r>
        <w:t xml:space="preserve"> </w:t>
      </w:r>
    </w:p>
    <w:p w:rsidR="0088341A" w:rsidRDefault="0088341A" w:rsidP="0088341A">
      <w:pPr>
        <w:pStyle w:val="HeadingBoldBlue"/>
      </w:pPr>
      <w:r>
        <w:t>Network capability component</w:t>
      </w:r>
    </w:p>
    <w:p w:rsidR="0088341A" w:rsidRDefault="0088341A" w:rsidP="0088341A">
      <w:pPr>
        <w:pStyle w:val="AERbodytext"/>
        <w:numPr>
          <w:ilvl w:val="0"/>
          <w:numId w:val="1"/>
        </w:numPr>
      </w:pPr>
      <w:r>
        <w:t>We assessed SP AusNet's network capability component proposal against the requirements of the STPIS — that is, whether SP AusNet:</w:t>
      </w:r>
    </w:p>
    <w:p w:rsidR="0088341A" w:rsidRDefault="0088341A" w:rsidP="0088341A">
      <w:pPr>
        <w:pStyle w:val="AERbulletlistfirststyle"/>
      </w:pPr>
      <w:r>
        <w:t>identified the reason for the limits for each transmission circuit or injection point</w:t>
      </w:r>
      <w:r>
        <w:rPr>
          <w:rStyle w:val="FootnoteReference"/>
        </w:rPr>
        <w:footnoteReference w:id="500"/>
      </w:r>
    </w:p>
    <w:p w:rsidR="0088341A" w:rsidRDefault="0088341A" w:rsidP="0088341A">
      <w:pPr>
        <w:pStyle w:val="AERbulletlistfirststyle"/>
      </w:pPr>
      <w:r>
        <w:t>identified the capex and opex associated with each priority project</w:t>
      </w:r>
      <w:r>
        <w:rPr>
          <w:rStyle w:val="FootnoteReference"/>
        </w:rPr>
        <w:footnoteReference w:id="501"/>
      </w:r>
    </w:p>
    <w:p w:rsidR="0088341A" w:rsidRDefault="0088341A" w:rsidP="0088341A">
      <w:pPr>
        <w:pStyle w:val="AERbulletlistfirststyle"/>
      </w:pPr>
      <w:r>
        <w:t>identified the priority project improvement target for each priority project</w:t>
      </w:r>
      <w:r>
        <w:rPr>
          <w:rStyle w:val="FootnoteReference"/>
        </w:rPr>
        <w:footnoteReference w:id="502"/>
      </w:r>
    </w:p>
    <w:p w:rsidR="0088341A" w:rsidRDefault="0088341A" w:rsidP="0088341A">
      <w:pPr>
        <w:pStyle w:val="AERbulletlistfirststyle"/>
      </w:pPr>
      <w:r>
        <w:t>provided a ranking of the priority projects based on the likely benefits of the project on consumers and the wholesale electricity market</w:t>
      </w:r>
      <w:r>
        <w:rPr>
          <w:rStyle w:val="FootnoteReference"/>
        </w:rPr>
        <w:footnoteReference w:id="503"/>
      </w:r>
    </w:p>
    <w:p w:rsidR="0088341A" w:rsidRDefault="0088341A" w:rsidP="0088341A">
      <w:pPr>
        <w:pStyle w:val="AERbulletlistfirststyle"/>
      </w:pPr>
      <w:r>
        <w:t>proposed priority project capex that meets the definition of minor capex for the purposes of the NCIPAP</w:t>
      </w:r>
      <w:r>
        <w:rPr>
          <w:rStyle w:val="FootnoteReference"/>
        </w:rPr>
        <w:footnoteReference w:id="504"/>
      </w:r>
    </w:p>
    <w:p w:rsidR="0088341A" w:rsidRDefault="0088341A" w:rsidP="0088341A">
      <w:pPr>
        <w:pStyle w:val="AERbulletlistfirststyle"/>
      </w:pPr>
      <w:r>
        <w:t>consulted with the Australian Energy Market Operator (AEMO) prior to submitting its NCIPAP.</w:t>
      </w:r>
      <w:r>
        <w:rPr>
          <w:rStyle w:val="FootnoteReference"/>
        </w:rPr>
        <w:footnoteReference w:id="505"/>
      </w:r>
      <w:r>
        <w:t xml:space="preserve"> </w:t>
      </w:r>
    </w:p>
    <w:p w:rsidR="0088341A" w:rsidRDefault="0088341A" w:rsidP="0088341A">
      <w:pPr>
        <w:pStyle w:val="AERbulletlistfirststyle"/>
        <w:numPr>
          <w:ilvl w:val="0"/>
          <w:numId w:val="0"/>
        </w:numPr>
      </w:pPr>
      <w:r>
        <w:t>We also considered information provided by AEMO in determining the benefits of the proposed priority project improvement targets and the net benefit of each project resulted in a material.</w:t>
      </w:r>
      <w:r>
        <w:rPr>
          <w:rStyle w:val="FootnoteReference"/>
        </w:rPr>
        <w:footnoteReference w:id="506"/>
      </w:r>
    </w:p>
    <w:p w:rsidR="0088341A" w:rsidRDefault="0088341A" w:rsidP="0088341A">
      <w:pPr>
        <w:pStyle w:val="HeadingBoldBlue"/>
      </w:pPr>
      <w:r>
        <w:t>Market impact component</w:t>
      </w:r>
    </w:p>
    <w:p w:rsidR="0088341A" w:rsidRPr="00C26831" w:rsidRDefault="0088341A" w:rsidP="0088341A">
      <w:pPr>
        <w:pStyle w:val="AERbodytext"/>
        <w:numPr>
          <w:ilvl w:val="0"/>
          <w:numId w:val="1"/>
        </w:numPr>
      </w:pPr>
      <w:r>
        <w:t>We have not completed a review of SP AusNet’s performance data. However, our normal approach is to audit performance data by</w:t>
      </w:r>
      <w:r w:rsidRPr="00C26831">
        <w:t>:</w:t>
      </w:r>
    </w:p>
    <w:p w:rsidR="0088341A" w:rsidRPr="00CA6760" w:rsidRDefault="0088341A" w:rsidP="0088341A">
      <w:pPr>
        <w:pStyle w:val="AERbulletlistfirststyle"/>
      </w:pPr>
      <w:r w:rsidRPr="00CA6760">
        <w:t>independent</w:t>
      </w:r>
      <w:r>
        <w:t>ly calculating</w:t>
      </w:r>
      <w:r w:rsidRPr="00CA6760">
        <w:t xml:space="preserve"> </w:t>
      </w:r>
      <w:r>
        <w:t>(using</w:t>
      </w:r>
      <w:r w:rsidRPr="00CA6760">
        <w:t xml:space="preserve"> AEMO data</w:t>
      </w:r>
      <w:r>
        <w:t xml:space="preserve">) </w:t>
      </w:r>
      <w:r w:rsidRPr="00CA6760">
        <w:t>the number of dispatch intervals related to binding o</w:t>
      </w:r>
      <w:r>
        <w:t>utage constraints and validating</w:t>
      </w:r>
      <w:r w:rsidRPr="00CA6760">
        <w:t xml:space="preserve"> that the outage</w:t>
      </w:r>
      <w:r>
        <w:t>s were attributable to the TNSP</w:t>
      </w:r>
    </w:p>
    <w:p w:rsidR="0088341A" w:rsidRPr="00CA6760" w:rsidRDefault="0088341A" w:rsidP="0088341A">
      <w:pPr>
        <w:pStyle w:val="AERbulletlistfirststyle"/>
      </w:pPr>
      <w:r>
        <w:t>searching</w:t>
      </w:r>
      <w:r w:rsidRPr="00CA6760">
        <w:t xml:space="preserve"> AEMO Market Notices to confirm the validity of </w:t>
      </w:r>
      <w:r>
        <w:t xml:space="preserve">TNSP’s </w:t>
      </w:r>
      <w:r w:rsidRPr="00CA6760">
        <w:t>classification o</w:t>
      </w:r>
      <w:r>
        <w:t>f constraints as outage related</w:t>
      </w:r>
    </w:p>
    <w:p w:rsidR="0088341A" w:rsidRPr="00CA6760" w:rsidRDefault="0088341A" w:rsidP="0088341A">
      <w:pPr>
        <w:pStyle w:val="AERbulletlistfirststyle"/>
      </w:pPr>
      <w:r w:rsidRPr="00CA6760">
        <w:lastRenderedPageBreak/>
        <w:t>cross-check</w:t>
      </w:r>
      <w:r>
        <w:t xml:space="preserve">ing </w:t>
      </w:r>
      <w:r w:rsidRPr="00CA6760">
        <w:t>network outage request information provided by AEMO to confirm the classifi</w:t>
      </w:r>
      <w:r>
        <w:t xml:space="preserve">cation of constraints as outage </w:t>
      </w:r>
      <w:r w:rsidRPr="00CA6760">
        <w:t xml:space="preserve">related. </w:t>
      </w:r>
    </w:p>
    <w:p w:rsidR="0088341A" w:rsidRPr="003800E4" w:rsidRDefault="0088341A" w:rsidP="0088341A">
      <w:pPr>
        <w:pStyle w:val="Heading2"/>
        <w:numPr>
          <w:ilvl w:val="2"/>
          <w:numId w:val="20"/>
        </w:numPr>
      </w:pPr>
      <w:bookmarkStart w:id="343" w:name="_Toc365283336"/>
      <w:r>
        <w:t>Reasons for draft decision</w:t>
      </w:r>
      <w:bookmarkEnd w:id="343"/>
      <w:r>
        <w:t xml:space="preserve"> </w:t>
      </w:r>
    </w:p>
    <w:p w:rsidR="0088341A" w:rsidRDefault="0088341A" w:rsidP="0088341A">
      <w:pPr>
        <w:pStyle w:val="HeadingBoldBlue"/>
      </w:pPr>
      <w:r>
        <w:t>Service component</w:t>
      </w:r>
    </w:p>
    <w:p w:rsidR="0088341A" w:rsidRDefault="0088341A" w:rsidP="0088341A">
      <w:pPr>
        <w:pStyle w:val="AERbodytext"/>
        <w:numPr>
          <w:ilvl w:val="0"/>
          <w:numId w:val="0"/>
        </w:numPr>
      </w:pPr>
      <w:r>
        <w:t>We do not accept SP AusNet’s service component proposal because:</w:t>
      </w:r>
    </w:p>
    <w:p w:rsidR="0088341A" w:rsidRDefault="0088341A" w:rsidP="0088341A">
      <w:pPr>
        <w:pStyle w:val="AERbulletlistfirststyle"/>
      </w:pPr>
      <w:r>
        <w:t>the proposed adjustments to the loss of supply subparameters’ performance targets are not justified</w:t>
      </w:r>
    </w:p>
    <w:p w:rsidR="0088341A" w:rsidRDefault="0088341A" w:rsidP="0088341A">
      <w:pPr>
        <w:pStyle w:val="AERbulletlistfirststyle"/>
      </w:pPr>
      <w:r>
        <w:t xml:space="preserve">the distributions used by SP AusNet to determine caps and collars are inappropriate.  </w:t>
      </w:r>
    </w:p>
    <w:p w:rsidR="0088341A" w:rsidRDefault="0088341A" w:rsidP="0088341A">
      <w:pPr>
        <w:pStyle w:val="AERbodytext"/>
        <w:numPr>
          <w:ilvl w:val="0"/>
          <w:numId w:val="0"/>
        </w:numPr>
      </w:pPr>
      <w:r>
        <w:t xml:space="preserve">We applied a principled approach to assessing SP AusNet’s caps and collars. We consider that SP AusNet’s approach does not use a sound methodology. Our principled approach, employing a conceptually sound methodology, resulted in caps and collars that provide a materially stronger incentive to improve and maintain service performance. We considered EMCa’s advice in arriving at our draft decision caps and collars. </w:t>
      </w:r>
    </w:p>
    <w:p w:rsidR="0088341A" w:rsidRDefault="0088341A" w:rsidP="0088341A">
      <w:pPr>
        <w:pStyle w:val="HeadingBoldItalic"/>
      </w:pPr>
      <w:r>
        <w:t>New version of the STPIS</w:t>
      </w:r>
    </w:p>
    <w:p w:rsidR="0088341A" w:rsidRDefault="0088341A" w:rsidP="0088341A">
      <w:pPr>
        <w:pStyle w:val="AERbodytext"/>
        <w:numPr>
          <w:ilvl w:val="0"/>
          <w:numId w:val="0"/>
        </w:numPr>
      </w:pPr>
      <w:r>
        <w:t>SP AusNet will be subject to a new version of the STPIS in the 2014–17 regulatory control period.</w:t>
      </w:r>
      <w:r>
        <w:rPr>
          <w:rStyle w:val="FootnoteReference"/>
        </w:rPr>
        <w:footnoteReference w:id="507"/>
      </w:r>
      <w:r>
        <w:t xml:space="preserve"> The new version includes a new parameter called 'average circuit outage rate'. This parameter replaced the 'transmission circuit availability' parameter under the previous STPIS. The new version also changed the definition of the 'average outage duration' parameter that will apply to SP AusNet. Previously, SP AusNet was subject to an 'average outage duration' parameter comprised of two subparameters — 'average outage duration – transmission lines' and 'average outage duration – transmission transformers'. The new version of the STPIS will apply an 'average outage duration' parameter with no subparameters. This parameter now captures outages on all aspects of the transmission network that provide prescribed transmission services.</w:t>
      </w:r>
      <w:r>
        <w:rPr>
          <w:rStyle w:val="FootnoteReference"/>
        </w:rPr>
        <w:footnoteReference w:id="508"/>
      </w:r>
      <w:r>
        <w:t xml:space="preserve">     </w:t>
      </w:r>
    </w:p>
    <w:p w:rsidR="0088341A" w:rsidRDefault="0088341A" w:rsidP="0088341A">
      <w:pPr>
        <w:pStyle w:val="HeadingBoldItalic"/>
        <w:keepNext/>
        <w:keepLines/>
      </w:pPr>
      <w:r>
        <w:t>Historical performance</w:t>
      </w:r>
    </w:p>
    <w:p w:rsidR="0088341A" w:rsidRDefault="0088341A" w:rsidP="0088341A">
      <w:pPr>
        <w:pStyle w:val="AERbodytext"/>
        <w:numPr>
          <w:ilvl w:val="0"/>
          <w:numId w:val="0"/>
        </w:numPr>
      </w:pPr>
      <w:r>
        <w:t xml:space="preserve">The two figures below show SP AusNet's service performance against the transmission circuit availability and average outage duration parameters that applied during the 2008–14 regulatory control period. These parameters will not apply to SP AusNet during the 2014–17 regulatory control period. </w:t>
      </w:r>
    </w:p>
    <w:p w:rsidR="0088341A" w:rsidRDefault="00DB180C" w:rsidP="00DB180C">
      <w:pPr>
        <w:pStyle w:val="Caption"/>
      </w:pPr>
      <w:r>
        <w:lastRenderedPageBreak/>
        <w:t xml:space="preserve">Figure </w:t>
      </w:r>
      <w:fldSimple w:instr=" STYLEREF 1 \s ">
        <w:r w:rsidR="004F35AA">
          <w:rPr>
            <w:noProof/>
          </w:rPr>
          <w:t>9</w:t>
        </w:r>
      </w:fldSimple>
      <w:r w:rsidR="00C56A87">
        <w:t>.</w:t>
      </w:r>
      <w:fldSimple w:instr=" SEQ Figure \* ARABIC \s 1 ">
        <w:r w:rsidR="004F35AA">
          <w:rPr>
            <w:noProof/>
          </w:rPr>
          <w:t>1</w:t>
        </w:r>
      </w:fldSimple>
      <w:r w:rsidR="0088341A">
        <w:tab/>
        <w:t>SP AusNet's transmission circuit availability performance 2008–12</w:t>
      </w:r>
    </w:p>
    <w:p w:rsidR="0088341A" w:rsidRDefault="0088341A" w:rsidP="0088341A">
      <w:pPr>
        <w:pStyle w:val="Caption"/>
      </w:pPr>
      <w:r>
        <w:rPr>
          <w:noProof/>
          <w:lang w:eastAsia="en-AU"/>
        </w:rPr>
        <w:drawing>
          <wp:inline distT="0" distB="0" distL="0" distR="0" wp14:anchorId="62BE6BA7" wp14:editId="3E34D4B6">
            <wp:extent cx="5730875" cy="3136900"/>
            <wp:effectExtent l="0" t="0" r="3175"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0875" cy="3136900"/>
                    </a:xfrm>
                    <a:prstGeom prst="rect">
                      <a:avLst/>
                    </a:prstGeom>
                    <a:noFill/>
                    <a:ln>
                      <a:noFill/>
                    </a:ln>
                  </pic:spPr>
                </pic:pic>
              </a:graphicData>
            </a:graphic>
          </wp:inline>
        </w:drawing>
      </w:r>
    </w:p>
    <w:p w:rsidR="0088341A" w:rsidRPr="00B02F3A" w:rsidRDefault="0088341A" w:rsidP="0088341A">
      <w:pPr>
        <w:pStyle w:val="AERtablesource"/>
      </w:pPr>
      <w:r w:rsidRPr="00B02F3A">
        <w:t xml:space="preserve">Source: </w:t>
      </w:r>
      <w:r w:rsidR="00DB180C">
        <w:tab/>
      </w:r>
      <w:r w:rsidRPr="00B02F3A">
        <w:t xml:space="preserve">AER analysis. </w:t>
      </w:r>
    </w:p>
    <w:p w:rsidR="0088341A" w:rsidRDefault="00DB180C" w:rsidP="00DB180C">
      <w:pPr>
        <w:pStyle w:val="Caption"/>
      </w:pPr>
      <w:r>
        <w:t xml:space="preserve">Figure </w:t>
      </w:r>
      <w:fldSimple w:instr=" STYLEREF 1 \s ">
        <w:r w:rsidR="004F35AA">
          <w:rPr>
            <w:noProof/>
          </w:rPr>
          <w:t>9</w:t>
        </w:r>
      </w:fldSimple>
      <w:r w:rsidR="00C56A87">
        <w:t>.</w:t>
      </w:r>
      <w:fldSimple w:instr=" SEQ Figure \* ARABIC \s 1 ">
        <w:r w:rsidR="004F35AA">
          <w:rPr>
            <w:noProof/>
          </w:rPr>
          <w:t>2</w:t>
        </w:r>
      </w:fldSimple>
      <w:r w:rsidR="0088341A">
        <w:tab/>
        <w:t>SP AusNet's average outage duration performance 2008–12</w:t>
      </w:r>
    </w:p>
    <w:p w:rsidR="0088341A" w:rsidRPr="002C1CA7" w:rsidRDefault="0088341A" w:rsidP="0088341A">
      <w:pPr>
        <w:pStyle w:val="AERbodytext"/>
        <w:numPr>
          <w:ilvl w:val="0"/>
          <w:numId w:val="1"/>
        </w:numPr>
      </w:pPr>
      <w:r>
        <w:rPr>
          <w:noProof/>
          <w:lang w:eastAsia="en-AU"/>
        </w:rPr>
        <w:drawing>
          <wp:inline distT="0" distB="0" distL="0" distR="0" wp14:anchorId="0BD12B4D" wp14:editId="7276F300">
            <wp:extent cx="5730875" cy="314706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0875" cy="3147060"/>
                    </a:xfrm>
                    <a:prstGeom prst="rect">
                      <a:avLst/>
                    </a:prstGeom>
                    <a:noFill/>
                    <a:ln>
                      <a:noFill/>
                    </a:ln>
                  </pic:spPr>
                </pic:pic>
              </a:graphicData>
            </a:graphic>
          </wp:inline>
        </w:drawing>
      </w:r>
    </w:p>
    <w:p w:rsidR="0088341A" w:rsidRDefault="0088341A" w:rsidP="0088341A">
      <w:pPr>
        <w:pStyle w:val="AERtablesource"/>
      </w:pPr>
      <w:r>
        <w:t xml:space="preserve">Source: </w:t>
      </w:r>
      <w:r w:rsidR="00DB180C">
        <w:tab/>
      </w:r>
      <w:r>
        <w:t xml:space="preserve">AER analysis. </w:t>
      </w:r>
    </w:p>
    <w:p w:rsidR="0088341A" w:rsidRPr="00227181" w:rsidRDefault="0088341A" w:rsidP="0088341A">
      <w:pPr>
        <w:pStyle w:val="AERbodytext"/>
        <w:numPr>
          <w:ilvl w:val="0"/>
          <w:numId w:val="1"/>
        </w:numPr>
      </w:pPr>
      <w:r>
        <w:t>SP AusNet performed well against most of its circuit availability subparameters. For four of the five subparameters, i</w:t>
      </w:r>
      <w:r w:rsidRPr="00227181">
        <w:t xml:space="preserve">t exceeded its target in each year between 2008 to 2012. The only </w:t>
      </w:r>
      <w:r>
        <w:t>subparameter</w:t>
      </w:r>
      <w:r w:rsidRPr="00227181">
        <w:t xml:space="preserve"> for which it did not exceed its target for each year was 'intermediate critical circuit availability'. </w:t>
      </w:r>
    </w:p>
    <w:p w:rsidR="0088341A" w:rsidRDefault="0088341A" w:rsidP="0088341A">
      <w:pPr>
        <w:pStyle w:val="AERbodytext"/>
        <w:numPr>
          <w:ilvl w:val="0"/>
          <w:numId w:val="0"/>
        </w:numPr>
      </w:pPr>
      <w:r>
        <w:t xml:space="preserve">SP AusNet's 'average outage duration – lines' performance was strong, beating the target in each year between 2008 and 2012. However, its 'average outage duration – transformers' performance was mixed, beating the target in three of the five years.  </w:t>
      </w:r>
    </w:p>
    <w:p w:rsidR="0088341A" w:rsidRDefault="0088341A" w:rsidP="0088341A">
      <w:pPr>
        <w:pStyle w:val="AERbodytext"/>
        <w:numPr>
          <w:ilvl w:val="0"/>
          <w:numId w:val="0"/>
        </w:numPr>
      </w:pPr>
      <w:r>
        <w:lastRenderedPageBreak/>
        <w:t xml:space="preserve">The figures below show SP AusNet's performance between 2008 and 2012 against the STPIS parameters that will apply during the 2014–17 regulatory control period. </w:t>
      </w:r>
    </w:p>
    <w:p w:rsidR="0088341A" w:rsidRDefault="00DB180C" w:rsidP="00DB180C">
      <w:pPr>
        <w:pStyle w:val="Caption"/>
      </w:pPr>
      <w:r>
        <w:t xml:space="preserve">Figure </w:t>
      </w:r>
      <w:fldSimple w:instr=" STYLEREF 1 \s ">
        <w:r w:rsidR="004F35AA">
          <w:rPr>
            <w:noProof/>
          </w:rPr>
          <w:t>9</w:t>
        </w:r>
      </w:fldSimple>
      <w:r w:rsidR="00C56A87">
        <w:t>.</w:t>
      </w:r>
      <w:fldSimple w:instr=" SEQ Figure \* ARABIC \s 1 ">
        <w:r w:rsidR="004F35AA">
          <w:rPr>
            <w:noProof/>
          </w:rPr>
          <w:t>3</w:t>
        </w:r>
      </w:fldSimple>
      <w:r w:rsidR="0088341A">
        <w:tab/>
        <w:t>SP AusNet's average circuit outage rate performance 2008–12</w:t>
      </w:r>
    </w:p>
    <w:p w:rsidR="0088341A" w:rsidRDefault="0088341A" w:rsidP="0088341A">
      <w:pPr>
        <w:pStyle w:val="AERbodytext"/>
        <w:numPr>
          <w:ilvl w:val="0"/>
          <w:numId w:val="0"/>
        </w:numPr>
      </w:pPr>
      <w:r>
        <w:rPr>
          <w:noProof/>
          <w:lang w:eastAsia="en-AU"/>
        </w:rPr>
        <w:drawing>
          <wp:inline distT="0" distB="0" distL="0" distR="0" wp14:anchorId="58553285" wp14:editId="57800B55">
            <wp:extent cx="5720080" cy="31153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20080" cy="3115310"/>
                    </a:xfrm>
                    <a:prstGeom prst="rect">
                      <a:avLst/>
                    </a:prstGeom>
                    <a:noFill/>
                    <a:ln>
                      <a:noFill/>
                    </a:ln>
                  </pic:spPr>
                </pic:pic>
              </a:graphicData>
            </a:graphic>
          </wp:inline>
        </w:drawing>
      </w:r>
    </w:p>
    <w:p w:rsidR="0088341A" w:rsidRDefault="0088341A" w:rsidP="0088341A">
      <w:pPr>
        <w:pStyle w:val="AERtablesource"/>
      </w:pPr>
      <w:r>
        <w:t xml:space="preserve">Source: </w:t>
      </w:r>
      <w:r w:rsidR="00DB180C">
        <w:tab/>
      </w:r>
      <w:r>
        <w:t xml:space="preserve">SP AusNet, </w:t>
      </w:r>
      <w:r w:rsidRPr="006E2C0B">
        <w:rPr>
          <w:rStyle w:val="AERtextitalic"/>
        </w:rPr>
        <w:t>Revenue proposal</w:t>
      </w:r>
      <w:r>
        <w:t>, p. 152.</w:t>
      </w:r>
    </w:p>
    <w:p w:rsidR="0088341A" w:rsidRDefault="00DB180C" w:rsidP="00DB180C">
      <w:pPr>
        <w:pStyle w:val="Caption"/>
      </w:pPr>
      <w:r>
        <w:t xml:space="preserve">Figure </w:t>
      </w:r>
      <w:fldSimple w:instr=" STYLEREF 1 \s ">
        <w:r w:rsidR="004F35AA">
          <w:rPr>
            <w:noProof/>
          </w:rPr>
          <w:t>9</w:t>
        </w:r>
      </w:fldSimple>
      <w:r w:rsidR="00C56A87">
        <w:t>.</w:t>
      </w:r>
      <w:fldSimple w:instr=" SEQ Figure \* ARABIC \s 1 ">
        <w:r w:rsidR="004F35AA">
          <w:rPr>
            <w:noProof/>
          </w:rPr>
          <w:t>4</w:t>
        </w:r>
      </w:fldSimple>
      <w:r w:rsidR="0088341A">
        <w:tab/>
        <w:t>SP AusNet's loss of supply event performance 2008–12</w:t>
      </w:r>
    </w:p>
    <w:p w:rsidR="0088341A" w:rsidRDefault="0088341A" w:rsidP="0088341A">
      <w:pPr>
        <w:pStyle w:val="AERbodytext"/>
        <w:numPr>
          <w:ilvl w:val="0"/>
          <w:numId w:val="0"/>
        </w:numPr>
      </w:pPr>
      <w:r>
        <w:rPr>
          <w:noProof/>
          <w:lang w:eastAsia="en-AU"/>
        </w:rPr>
        <w:drawing>
          <wp:inline distT="0" distB="0" distL="0" distR="0" wp14:anchorId="663F8EBF" wp14:editId="2F54318B">
            <wp:extent cx="5730875" cy="3126105"/>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0875" cy="3126105"/>
                    </a:xfrm>
                    <a:prstGeom prst="rect">
                      <a:avLst/>
                    </a:prstGeom>
                    <a:noFill/>
                    <a:ln>
                      <a:noFill/>
                    </a:ln>
                  </pic:spPr>
                </pic:pic>
              </a:graphicData>
            </a:graphic>
          </wp:inline>
        </w:drawing>
      </w:r>
    </w:p>
    <w:p w:rsidR="0088341A" w:rsidRDefault="0088341A" w:rsidP="0088341A">
      <w:pPr>
        <w:pStyle w:val="AERtablesource"/>
      </w:pPr>
      <w:r>
        <w:t xml:space="preserve">Source: </w:t>
      </w:r>
      <w:r w:rsidR="00DB180C">
        <w:tab/>
      </w:r>
      <w:r>
        <w:t xml:space="preserve">SP AusNet, </w:t>
      </w:r>
      <w:r w:rsidRPr="006E2C0B">
        <w:rPr>
          <w:rStyle w:val="AERtextitalic"/>
        </w:rPr>
        <w:t>Revenue proposal</w:t>
      </w:r>
      <w:r>
        <w:t xml:space="preserve">, p. 152. </w:t>
      </w:r>
    </w:p>
    <w:p w:rsidR="0088341A" w:rsidRDefault="00DB180C" w:rsidP="00DB180C">
      <w:pPr>
        <w:pStyle w:val="Caption"/>
      </w:pPr>
      <w:bookmarkStart w:id="344" w:name="_Ref365466266"/>
      <w:r>
        <w:lastRenderedPageBreak/>
        <w:t xml:space="preserve">Figure </w:t>
      </w:r>
      <w:fldSimple w:instr=" STYLEREF 1 \s ">
        <w:r w:rsidR="004F35AA">
          <w:rPr>
            <w:noProof/>
          </w:rPr>
          <w:t>9</w:t>
        </w:r>
      </w:fldSimple>
      <w:r w:rsidR="00C56A87">
        <w:t>.</w:t>
      </w:r>
      <w:fldSimple w:instr=" SEQ Figure \* ARABIC \s 1 ">
        <w:r w:rsidR="004F35AA">
          <w:rPr>
            <w:noProof/>
          </w:rPr>
          <w:t>5</w:t>
        </w:r>
      </w:fldSimple>
      <w:bookmarkEnd w:id="344"/>
      <w:r w:rsidR="0088341A">
        <w:tab/>
        <w:t>SP AusNet's average outage duration performance 2008–12</w:t>
      </w:r>
    </w:p>
    <w:p w:rsidR="0088341A" w:rsidRDefault="0088341A" w:rsidP="0088341A">
      <w:pPr>
        <w:pStyle w:val="AERtablesource"/>
        <w:tabs>
          <w:tab w:val="clear" w:pos="794"/>
          <w:tab w:val="left" w:pos="0"/>
        </w:tabs>
        <w:ind w:left="0" w:firstLine="0"/>
      </w:pPr>
      <w:r>
        <w:rPr>
          <w:noProof/>
          <w:lang w:eastAsia="en-AU"/>
        </w:rPr>
        <w:drawing>
          <wp:inline distT="0" distB="0" distL="0" distR="0" wp14:anchorId="4BFD7A83" wp14:editId="5651C556">
            <wp:extent cx="5730875" cy="3136900"/>
            <wp:effectExtent l="0" t="0" r="317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0875" cy="3136900"/>
                    </a:xfrm>
                    <a:prstGeom prst="rect">
                      <a:avLst/>
                    </a:prstGeom>
                    <a:noFill/>
                    <a:ln>
                      <a:noFill/>
                    </a:ln>
                  </pic:spPr>
                </pic:pic>
              </a:graphicData>
            </a:graphic>
          </wp:inline>
        </w:drawing>
      </w:r>
    </w:p>
    <w:p w:rsidR="0088341A" w:rsidRDefault="0088341A" w:rsidP="0088341A">
      <w:pPr>
        <w:pStyle w:val="AERtablesource"/>
        <w:tabs>
          <w:tab w:val="clear" w:pos="794"/>
          <w:tab w:val="left" w:pos="0"/>
        </w:tabs>
        <w:ind w:left="0" w:firstLine="0"/>
      </w:pPr>
      <w:r>
        <w:t xml:space="preserve">Source: </w:t>
      </w:r>
      <w:r w:rsidR="00DB180C">
        <w:tab/>
      </w:r>
      <w:r>
        <w:t xml:space="preserve">SP AusNet, </w:t>
      </w:r>
      <w:r w:rsidRPr="006E2C0B">
        <w:rPr>
          <w:rStyle w:val="AERtextitalic"/>
        </w:rPr>
        <w:t>Revenue proposal</w:t>
      </w:r>
      <w:r>
        <w:t xml:space="preserve">, p. 152. </w:t>
      </w:r>
    </w:p>
    <w:p w:rsidR="0088341A" w:rsidRDefault="0088341A" w:rsidP="0088341A">
      <w:pPr>
        <w:pStyle w:val="AERbodytext"/>
        <w:numPr>
          <w:ilvl w:val="0"/>
          <w:numId w:val="0"/>
        </w:numPr>
      </w:pPr>
      <w:r>
        <w:t xml:space="preserve">It is difficult to draw conclusions from SP AusNet's 'average circuit outage rate' performance given targets did not apply during the 2008–14 regulatory control period. However, a general deterioration in performance in 2011 and 2012 is apparent. </w:t>
      </w:r>
    </w:p>
    <w:p w:rsidR="0088341A" w:rsidRDefault="0088341A" w:rsidP="0088341A">
      <w:pPr>
        <w:pStyle w:val="AERbodytext"/>
        <w:numPr>
          <w:ilvl w:val="0"/>
          <w:numId w:val="0"/>
        </w:numPr>
      </w:pPr>
      <w:r>
        <w:t xml:space="preserve">SP AusNet's 'loss of supply' performance evinces a general trend of good performance. It bettered its target in four of the five years for the 'loss of supply events &gt;0.05 system minutes' subparameter, and bettered or equalled its target in four of the five years for the 'loss of supply events&gt;0.3 system minutes' subparameter. </w:t>
      </w:r>
    </w:p>
    <w:p w:rsidR="0088341A" w:rsidRDefault="0088341A" w:rsidP="0088341A">
      <w:pPr>
        <w:pStyle w:val="AERbodytext"/>
        <w:numPr>
          <w:ilvl w:val="0"/>
          <w:numId w:val="0"/>
        </w:numPr>
      </w:pPr>
      <w:r>
        <w:t xml:space="preserve">It is also difficult to draw conclusions from SP AusNet's 'average outage duration' performance because a target did not apply during the 2008–14 regulatory control period. However, </w:t>
      </w:r>
      <w:r w:rsidR="00853520">
        <w:fldChar w:fldCharType="begin"/>
      </w:r>
      <w:r w:rsidR="00853520">
        <w:instrText xml:space="preserve"> REF _Ref365466266 \h </w:instrText>
      </w:r>
      <w:r w:rsidR="00853520">
        <w:fldChar w:fldCharType="separate"/>
      </w:r>
      <w:r w:rsidR="00853520">
        <w:t xml:space="preserve">Figure </w:t>
      </w:r>
      <w:r w:rsidR="00853520">
        <w:rPr>
          <w:noProof/>
        </w:rPr>
        <w:t>9</w:t>
      </w:r>
      <w:r w:rsidR="00853520">
        <w:t>.</w:t>
      </w:r>
      <w:r w:rsidR="00853520">
        <w:rPr>
          <w:noProof/>
        </w:rPr>
        <w:t>5</w:t>
      </w:r>
      <w:r w:rsidR="00853520">
        <w:fldChar w:fldCharType="end"/>
      </w:r>
      <w:r w:rsidR="00853520">
        <w:t xml:space="preserve"> </w:t>
      </w:r>
      <w:r>
        <w:t xml:space="preserve">shows SP AusNet's proposed target for the 2014–17 regulatory control period. </w:t>
      </w:r>
    </w:p>
    <w:p w:rsidR="0088341A" w:rsidRDefault="0088341A" w:rsidP="0088341A">
      <w:pPr>
        <w:pStyle w:val="AERbodytext"/>
        <w:numPr>
          <w:ilvl w:val="0"/>
          <w:numId w:val="0"/>
        </w:numPr>
      </w:pPr>
      <w:r>
        <w:t>The STPIS should provide ongoing incentives not just to improve performance but also to maintain performance. For this reason, the STPIS applying to SP AusNet in the 2014–17 regulatory control period should provide incentives for the TNSP to:</w:t>
      </w:r>
    </w:p>
    <w:p w:rsidR="0088341A" w:rsidRDefault="0088341A" w:rsidP="0088341A">
      <w:pPr>
        <w:pStyle w:val="AERbulletlistfirststyle"/>
      </w:pPr>
      <w:r>
        <w:t>improve performance against parameters when improvements can reasonably be made</w:t>
      </w:r>
    </w:p>
    <w:p w:rsidR="0088341A" w:rsidRDefault="0088341A" w:rsidP="0088341A">
      <w:pPr>
        <w:pStyle w:val="AERbulletlistfirststyle"/>
      </w:pPr>
      <w:r>
        <w:t xml:space="preserve">maintain performance against parameters when opportunities for improvement are limited and/or performance is at a high level. </w:t>
      </w:r>
    </w:p>
    <w:p w:rsidR="0088341A" w:rsidRDefault="0088341A" w:rsidP="0088341A">
      <w:pPr>
        <w:pStyle w:val="AERbodytext"/>
        <w:numPr>
          <w:ilvl w:val="0"/>
          <w:numId w:val="0"/>
        </w:numPr>
      </w:pPr>
      <w:r>
        <w:t>This approach promotes the long term interests of consumers by encouraging TNSPs to improve and maintain the quality and reliability of supply of electricity. This is consistent with the National Electricity Objectives (NEO),</w:t>
      </w:r>
      <w:r>
        <w:rPr>
          <w:rStyle w:val="FootnoteReference"/>
        </w:rPr>
        <w:footnoteReference w:id="509"/>
      </w:r>
      <w:r>
        <w:t xml:space="preserve"> the STPIS principles in the National Electricity Rules (NER)</w:t>
      </w:r>
      <w:r>
        <w:rPr>
          <w:rStyle w:val="FootnoteReference"/>
        </w:rPr>
        <w:footnoteReference w:id="510"/>
      </w:r>
      <w:r>
        <w:t xml:space="preserve"> and the objectives of the STPIS.</w:t>
      </w:r>
      <w:r>
        <w:rPr>
          <w:rStyle w:val="FootnoteReference"/>
        </w:rPr>
        <w:footnoteReference w:id="511"/>
      </w:r>
      <w:r>
        <w:t xml:space="preserve"> We thus considered SP AusNet's STPIS proposal in the context of both improving and maintaining performance. </w:t>
      </w:r>
    </w:p>
    <w:p w:rsidR="0088341A" w:rsidRPr="00C9508E" w:rsidRDefault="0088341A" w:rsidP="0088341A">
      <w:pPr>
        <w:pStyle w:val="HeadingBoldItalic"/>
      </w:pPr>
      <w:r w:rsidRPr="00C9508E">
        <w:lastRenderedPageBreak/>
        <w:t>Adjustments to reliability targets for proposed capital works</w:t>
      </w:r>
    </w:p>
    <w:p w:rsidR="0088341A" w:rsidRPr="00C23A9A" w:rsidRDefault="0088341A" w:rsidP="0088341A">
      <w:pPr>
        <w:pStyle w:val="AERbodytext"/>
        <w:numPr>
          <w:ilvl w:val="0"/>
          <w:numId w:val="1"/>
        </w:numPr>
      </w:pPr>
      <w:r>
        <w:t>We do not accept SP AusNet's proposed adjustment to the loss of supply event subparameters performance targets for an increase in the volume of capital works. The STPIS permits proposed performance targets to be adjusted for, amongst other things, the expected effects on performance of any increases or decreases in the volume of planned capital works.</w:t>
      </w:r>
      <w:r w:rsidRPr="00C23A9A">
        <w:rPr>
          <w:rStyle w:val="FootnoteReference"/>
        </w:rPr>
        <w:footnoteReference w:id="512"/>
      </w:r>
      <w:r w:rsidRPr="00C23A9A">
        <w:t xml:space="preserve"> SP AusNet proposed to adjust its 'loss of supply</w:t>
      </w:r>
      <w:r>
        <w:t xml:space="preserve"> event</w:t>
      </w:r>
      <w:r w:rsidRPr="00C23A9A">
        <w:t xml:space="preserve">' </w:t>
      </w:r>
      <w:r>
        <w:t>subparameter</w:t>
      </w:r>
      <w:r w:rsidRPr="00C23A9A">
        <w:t>s</w:t>
      </w:r>
      <w:r>
        <w:t>’</w:t>
      </w:r>
      <w:r w:rsidRPr="00C23A9A">
        <w:t xml:space="preserve"> targets to allow for the increase</w:t>
      </w:r>
      <w:r>
        <w:t xml:space="preserve">d </w:t>
      </w:r>
      <w:r w:rsidRPr="00C23A9A">
        <w:t>volume of capital works proposed for the 2014–17 regulatory control period.</w:t>
      </w:r>
      <w:r w:rsidRPr="00C23A9A">
        <w:rPr>
          <w:rStyle w:val="FootnoteReference"/>
        </w:rPr>
        <w:footnoteReference w:id="513"/>
      </w:r>
      <w:r w:rsidRPr="00C23A9A">
        <w:t xml:space="preserve"> </w:t>
      </w:r>
    </w:p>
    <w:p w:rsidR="0088341A" w:rsidRDefault="0088341A" w:rsidP="0088341A">
      <w:pPr>
        <w:pStyle w:val="AERbodytext"/>
        <w:numPr>
          <w:ilvl w:val="0"/>
          <w:numId w:val="1"/>
        </w:numPr>
      </w:pPr>
      <w:r>
        <w:t>We have accepted adjustments for increased capital works in previous determinations. However, these were bottom–up assessments of the estimated outage hours associated with each capex project.</w:t>
      </w:r>
      <w:r w:rsidRPr="00C23A9A">
        <w:rPr>
          <w:rStyle w:val="FootnoteReference"/>
        </w:rPr>
        <w:footnoteReference w:id="514"/>
      </w:r>
      <w:r>
        <w:t xml:space="preserve"> SP AusNet, however, has applied a top down assessment of the possible outage hours.</w:t>
      </w:r>
      <w:r>
        <w:rPr>
          <w:rStyle w:val="FootnoteReference"/>
        </w:rPr>
        <w:footnoteReference w:id="515"/>
      </w:r>
      <w:r>
        <w:t xml:space="preserve"> </w:t>
      </w:r>
    </w:p>
    <w:p w:rsidR="0088341A" w:rsidRDefault="0088341A" w:rsidP="0088341A">
      <w:pPr>
        <w:pStyle w:val="AERbodytext"/>
        <w:numPr>
          <w:ilvl w:val="0"/>
          <w:numId w:val="1"/>
        </w:numPr>
      </w:pPr>
      <w:r>
        <w:t>It calculated the total capex and non–capex driven outage hours in the current period. It then increased its capex driven outages by the overall increase in capex (46 per cent). This resulted in an overall increase in outage hours of 24 per cent. SP AusNet then increased its average 'loss of supply event' performance targets by 24 per cent. This resulted in the target for the 'loss of supply events &gt; 0.05 system minutes' increasing from 2 to 3 events per year, while the 'loss of supply events &gt;0.3 system minutes' subparameter target remained at 1 event per year.</w:t>
      </w:r>
      <w:r>
        <w:rPr>
          <w:rStyle w:val="FootnoteReference"/>
        </w:rPr>
        <w:footnoteReference w:id="516"/>
      </w:r>
      <w:r>
        <w:t xml:space="preserve"> </w:t>
      </w:r>
    </w:p>
    <w:p w:rsidR="0088341A" w:rsidRDefault="0088341A" w:rsidP="0088341A">
      <w:pPr>
        <w:pStyle w:val="AERbodytext"/>
        <w:numPr>
          <w:ilvl w:val="0"/>
          <w:numId w:val="1"/>
        </w:numPr>
      </w:pPr>
      <w:r>
        <w:t xml:space="preserve">SP AusNet noted </w:t>
      </w:r>
      <w:r w:rsidRPr="00C23A9A">
        <w:t xml:space="preserve">we </w:t>
      </w:r>
      <w:r>
        <w:t xml:space="preserve">rejected a proposed top </w:t>
      </w:r>
      <w:r w:rsidRPr="00C23A9A">
        <w:t>down method of determining an adjustment</w:t>
      </w:r>
      <w:r>
        <w:t xml:space="preserve"> in ElectraNet's transmission determination</w:t>
      </w:r>
      <w:r w:rsidRPr="00C23A9A">
        <w:t>.</w:t>
      </w:r>
      <w:r w:rsidRPr="00C23A9A">
        <w:rPr>
          <w:rStyle w:val="FootnoteReference"/>
        </w:rPr>
        <w:footnoteReference w:id="517"/>
      </w:r>
      <w:r w:rsidRPr="00C23A9A">
        <w:t xml:space="preserve"> </w:t>
      </w:r>
      <w:r>
        <w:t>However, SP AusNet</w:t>
      </w:r>
      <w:r w:rsidRPr="00C23A9A">
        <w:t xml:space="preserve"> stated that the CBD rebuild capex projects will result in a step change of outage requirements</w:t>
      </w:r>
      <w:r>
        <w:t xml:space="preserve"> and</w:t>
      </w:r>
      <w:r w:rsidRPr="00C23A9A">
        <w:t xml:space="preserve"> that the increase in average capex was the best available proxy to determine forecast outage requirements.</w:t>
      </w:r>
      <w:r w:rsidRPr="00C23A9A">
        <w:rPr>
          <w:rStyle w:val="FootnoteReference"/>
        </w:rPr>
        <w:footnoteReference w:id="518"/>
      </w:r>
      <w:r w:rsidRPr="00C23A9A">
        <w:t xml:space="preserve"> </w:t>
      </w:r>
    </w:p>
    <w:p w:rsidR="0088341A" w:rsidRDefault="0088341A" w:rsidP="0088341A">
      <w:pPr>
        <w:pStyle w:val="AERbodytext"/>
        <w:numPr>
          <w:ilvl w:val="0"/>
          <w:numId w:val="1"/>
        </w:numPr>
      </w:pPr>
      <w:r>
        <w:t xml:space="preserve">SP AusNet's method makes an inappropriate assumption about the relationship between the dollar value of the total capex program and the outage hours associated with the program. Just because the capex program is proposed to increase by 46 per cent does not mean that capex driven outage hours will also increase by 46 per cent. Further, we consider that the nature of the CBD rebuilds would require detailed planning which would involve the consideration of possible outages. We see no reason why SP AusNet cannot estimate the number of outage hours resulting from the CBD rebuild projects. As such, SP AusNet's top down estimate of outage hours associated with the total capex program is not appropriate. We therefore do not accept SP AusNet’s proposed target of 3 events for the ‘loss of supply events &gt; 0.05 system minutes’ subparameter. We have substituted a value of 2 events, based on the average of the past five years’ performance data.  We consider that this target will incentivise SP AusNet to improve and maintain its loss of supply performance. Further, we consider that this target is reasonably achievable, given SP AusNet incurred between zero and two events greater than 0.05 system minutes in four of the last five years. </w:t>
      </w:r>
    </w:p>
    <w:p w:rsidR="0088341A" w:rsidRDefault="0088341A" w:rsidP="0088341A">
      <w:pPr>
        <w:pStyle w:val="AERbodytext"/>
        <w:numPr>
          <w:ilvl w:val="0"/>
          <w:numId w:val="1"/>
        </w:numPr>
      </w:pPr>
      <w:r>
        <w:t xml:space="preserve">EMCa reviewed SP AusNet’s proposed adjustments and came to the same conclusion. Given the nature of the CBD rebuilds, the outages will be carefully planned. As such, a good understanding of any need to operate with single contingency network configurations will be established. SP AusNet expects the CBD rebuilds will not increase the need to operate in single contingency configuration. As </w:t>
      </w:r>
      <w:r>
        <w:lastRenderedPageBreak/>
        <w:t>such, EMCa considered that the need for an adjustment to the 'loss of supply event' subparameters was not justified.</w:t>
      </w:r>
      <w:r>
        <w:rPr>
          <w:rStyle w:val="FootnoteReference"/>
        </w:rPr>
        <w:footnoteReference w:id="519"/>
      </w:r>
      <w:r>
        <w:t xml:space="preserve"> </w:t>
      </w:r>
    </w:p>
    <w:p w:rsidR="0088341A" w:rsidRDefault="0088341A" w:rsidP="0088341A">
      <w:pPr>
        <w:pStyle w:val="HeadingBoldItalic"/>
      </w:pPr>
      <w:r>
        <w:t>Caps and collars</w:t>
      </w:r>
    </w:p>
    <w:p w:rsidR="0088341A" w:rsidRDefault="0088341A" w:rsidP="0088341A">
      <w:pPr>
        <w:pStyle w:val="AERbodytext"/>
        <w:numPr>
          <w:ilvl w:val="0"/>
          <w:numId w:val="1"/>
        </w:numPr>
      </w:pPr>
      <w:r>
        <w:t xml:space="preserve">We do not accept SP AusNet’s proposed caps and collars as its method of deriving them is not conceptually sound and reasonable. We consider our caps and collars result in a materially stronger incentive for SP AusNet to improve and maintain its service performance. </w:t>
      </w:r>
    </w:p>
    <w:p w:rsidR="0088341A" w:rsidRDefault="0088341A" w:rsidP="0088341A">
      <w:pPr>
        <w:pStyle w:val="AERbodytext"/>
        <w:numPr>
          <w:ilvl w:val="0"/>
          <w:numId w:val="1"/>
        </w:numPr>
      </w:pPr>
      <w:r>
        <w:t>Proposed caps and collars must be calculated with reference to the proposed performance targets using a sound method.</w:t>
      </w:r>
      <w:r w:rsidRPr="00C23A9A">
        <w:rPr>
          <w:rStyle w:val="FootnoteReference"/>
        </w:rPr>
        <w:footnoteReference w:id="520"/>
      </w:r>
      <w:r>
        <w:t xml:space="preserve"> We have generally accepted </w:t>
      </w:r>
      <w:r w:rsidRPr="00C23A9A">
        <w:t>approach</w:t>
      </w:r>
      <w:r>
        <w:t xml:space="preserve">es that use </w:t>
      </w:r>
      <w:r w:rsidRPr="00C23A9A">
        <w:t xml:space="preserve">five years of performance data </w:t>
      </w:r>
      <w:r>
        <w:t>to</w:t>
      </w:r>
      <w:r w:rsidRPr="00C23A9A">
        <w:t xml:space="preserve"> derive a statistical distribution, with the caps and collars set at two standard deviations either side of the mean (if using a normal distribution), or at the 5th and 95th percentiles (if using an asymmetric distribution). This </w:t>
      </w:r>
      <w:r>
        <w:t xml:space="preserve">approach </w:t>
      </w:r>
      <w:r w:rsidRPr="00C23A9A">
        <w:t>is te</w:t>
      </w:r>
      <w:r>
        <w:t>rmed a 'symmetric incentive', because</w:t>
      </w:r>
      <w:r w:rsidRPr="00C23A9A">
        <w:t xml:space="preserve"> the caps and collars are set at the same number of standard deviations from the mean of the distribution.</w:t>
      </w:r>
      <w:r w:rsidRPr="00C23A9A">
        <w:rPr>
          <w:rStyle w:val="FootnoteReference"/>
        </w:rPr>
        <w:footnoteReference w:id="521"/>
      </w:r>
      <w:r w:rsidRPr="00C23A9A">
        <w:t xml:space="preserve"> We have previously accepted caps set one standard deviation above the mean (with a collar set two standard deviations below the mean) for transmission circuit availability </w:t>
      </w:r>
      <w:r>
        <w:t>subparameter</w:t>
      </w:r>
      <w:r w:rsidRPr="00C23A9A">
        <w:t xml:space="preserve">s. This </w:t>
      </w:r>
      <w:r>
        <w:t xml:space="preserve">approach </w:t>
      </w:r>
      <w:r w:rsidRPr="00C23A9A">
        <w:t>is ter</w:t>
      </w:r>
      <w:r>
        <w:t>med an 'asymmetric incentive' because</w:t>
      </w:r>
      <w:r w:rsidRPr="00C23A9A">
        <w:t xml:space="preserve"> the cap is set closer than the collar</w:t>
      </w:r>
      <w:r>
        <w:t xml:space="preserve"> to the mean of the distribution. This approach was </w:t>
      </w:r>
      <w:r w:rsidRPr="00C23A9A">
        <w:t xml:space="preserve">applied to availability </w:t>
      </w:r>
      <w:r>
        <w:t>subparameter</w:t>
      </w:r>
      <w:r w:rsidRPr="00C23A9A">
        <w:t xml:space="preserve">s when the application of two standard deviations above the mean resulted in a cap greater than 100 per cent availability. </w:t>
      </w:r>
      <w:r w:rsidR="00DB180C">
        <w:fldChar w:fldCharType="begin"/>
      </w:r>
      <w:r w:rsidR="00DB180C">
        <w:instrText xml:space="preserve"> REF _Ref365386784 \h </w:instrText>
      </w:r>
      <w:r w:rsidR="00DB180C">
        <w:fldChar w:fldCharType="separate"/>
      </w:r>
      <w:r w:rsidR="004F35AA">
        <w:t xml:space="preserve">Figure </w:t>
      </w:r>
      <w:r w:rsidR="004F35AA">
        <w:rPr>
          <w:noProof/>
        </w:rPr>
        <w:t>9</w:t>
      </w:r>
      <w:r w:rsidR="004F35AA">
        <w:t>.</w:t>
      </w:r>
      <w:r w:rsidR="004F35AA">
        <w:rPr>
          <w:noProof/>
        </w:rPr>
        <w:t>6</w:t>
      </w:r>
      <w:r w:rsidR="00DB180C">
        <w:fldChar w:fldCharType="end"/>
      </w:r>
      <w:r w:rsidR="00DB180C">
        <w:t xml:space="preserve"> </w:t>
      </w:r>
      <w:r>
        <w:t>sets out the derivation of caps and collars using a normal (symmetric) distribution</w:t>
      </w:r>
      <w:r w:rsidRPr="00C23A9A">
        <w:t xml:space="preserve">. </w:t>
      </w:r>
      <w:r>
        <w:fldChar w:fldCharType="begin"/>
      </w:r>
      <w:r>
        <w:instrText xml:space="preserve"> REF _Ref359853118 \h </w:instrText>
      </w:r>
      <w:r>
        <w:fldChar w:fldCharType="separate"/>
      </w:r>
      <w:r w:rsidR="004F35AA">
        <w:t xml:space="preserve">Table </w:t>
      </w:r>
      <w:r w:rsidR="004F35AA">
        <w:rPr>
          <w:noProof/>
        </w:rPr>
        <w:t>9</w:t>
      </w:r>
      <w:r w:rsidR="004F35AA">
        <w:t>.</w:t>
      </w:r>
      <w:r w:rsidR="004F35AA">
        <w:rPr>
          <w:noProof/>
        </w:rPr>
        <w:t>6</w:t>
      </w:r>
      <w:r>
        <w:fldChar w:fldCharType="end"/>
      </w:r>
      <w:r>
        <w:t xml:space="preserve"> shows the distributions proposed by SP AusNet for setting the caps and collars. </w:t>
      </w:r>
    </w:p>
    <w:p w:rsidR="0088341A" w:rsidRDefault="00DB180C" w:rsidP="00DB180C">
      <w:pPr>
        <w:pStyle w:val="Caption"/>
      </w:pPr>
      <w:bookmarkStart w:id="345" w:name="_Ref365386784"/>
      <w:r>
        <w:t xml:space="preserve">Figure </w:t>
      </w:r>
      <w:fldSimple w:instr=" STYLEREF 1 \s ">
        <w:r w:rsidR="004F35AA">
          <w:rPr>
            <w:noProof/>
          </w:rPr>
          <w:t>9</w:t>
        </w:r>
      </w:fldSimple>
      <w:r w:rsidR="00C56A87">
        <w:t>.</w:t>
      </w:r>
      <w:fldSimple w:instr=" SEQ Figure \* ARABIC \s 1 ">
        <w:r w:rsidR="004F35AA">
          <w:rPr>
            <w:noProof/>
          </w:rPr>
          <w:t>6</w:t>
        </w:r>
      </w:fldSimple>
      <w:bookmarkEnd w:id="345"/>
      <w:r w:rsidR="0088341A">
        <w:tab/>
        <w:t>Using a distribution to derive cap and collar values</w:t>
      </w:r>
    </w:p>
    <w:p w:rsidR="0088341A" w:rsidRPr="0054067A" w:rsidRDefault="0088341A" w:rsidP="0088341A">
      <w:pPr>
        <w:pStyle w:val="AERbodytext"/>
        <w:numPr>
          <w:ilvl w:val="0"/>
          <w:numId w:val="1"/>
        </w:numPr>
      </w:pPr>
      <w:r>
        <w:rPr>
          <w:noProof/>
          <w:lang w:eastAsia="en-AU"/>
        </w:rPr>
        <w:drawing>
          <wp:inline distT="0" distB="0" distL="0" distR="0" wp14:anchorId="1A0C549A" wp14:editId="6616620C">
            <wp:extent cx="5730875" cy="2722245"/>
            <wp:effectExtent l="0" t="0" r="317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0875" cy="2722245"/>
                    </a:xfrm>
                    <a:prstGeom prst="rect">
                      <a:avLst/>
                    </a:prstGeom>
                    <a:noFill/>
                    <a:ln>
                      <a:noFill/>
                    </a:ln>
                  </pic:spPr>
                </pic:pic>
              </a:graphicData>
            </a:graphic>
          </wp:inline>
        </w:drawing>
      </w:r>
    </w:p>
    <w:p w:rsidR="0088341A" w:rsidRDefault="0088341A" w:rsidP="0088341A">
      <w:pPr>
        <w:pStyle w:val="AERtablesource"/>
      </w:pPr>
      <w:r>
        <w:t xml:space="preserve">Note: </w:t>
      </w:r>
      <w:r>
        <w:tab/>
        <w:t xml:space="preserve">This shows how caps and collars are set using a normal distribution (symmetrical distribution). Asymmetrical distributions can also be used to set cap and collar values. </w:t>
      </w:r>
    </w:p>
    <w:p w:rsidR="0088341A" w:rsidRDefault="0088341A" w:rsidP="00682A64">
      <w:pPr>
        <w:pStyle w:val="Caption"/>
        <w:keepLines/>
      </w:pPr>
      <w:bookmarkStart w:id="346" w:name="_Ref359853118"/>
      <w:r>
        <w:lastRenderedPageBreak/>
        <w:t xml:space="preserve">Table </w:t>
      </w:r>
      <w:fldSimple w:instr=" STYLEREF 1 \s ">
        <w:r w:rsidR="004F35AA">
          <w:rPr>
            <w:noProof/>
          </w:rPr>
          <w:t>9</w:t>
        </w:r>
      </w:fldSimple>
      <w:r w:rsidR="00C56A87">
        <w:t>.</w:t>
      </w:r>
      <w:fldSimple w:instr=" SEQ Table \* ARABIC \s 1 ">
        <w:r w:rsidR="004F35AA">
          <w:rPr>
            <w:noProof/>
          </w:rPr>
          <w:t>6</w:t>
        </w:r>
      </w:fldSimple>
      <w:bookmarkEnd w:id="346"/>
      <w:r>
        <w:tab/>
        <w:t>SP AusNet's proposed distributions for calculating caps and collars</w:t>
      </w:r>
    </w:p>
    <w:tbl>
      <w:tblPr>
        <w:tblStyle w:val="AERtable-text"/>
        <w:tblW w:w="0" w:type="auto"/>
        <w:tblLook w:val="04A0" w:firstRow="1" w:lastRow="0" w:firstColumn="1" w:lastColumn="0" w:noHBand="0" w:noVBand="1"/>
      </w:tblPr>
      <w:tblGrid>
        <w:gridCol w:w="2310"/>
        <w:gridCol w:w="2310"/>
        <w:gridCol w:w="2311"/>
        <w:gridCol w:w="2311"/>
      </w:tblGrid>
      <w:tr w:rsidR="0088341A" w:rsidRPr="00682A64" w:rsidTr="00682A64">
        <w:trPr>
          <w:cnfStyle w:val="100000000000" w:firstRow="1" w:lastRow="0" w:firstColumn="0" w:lastColumn="0" w:oddVBand="0" w:evenVBand="0" w:oddHBand="0" w:evenHBand="0" w:firstRowFirstColumn="0" w:firstRowLastColumn="0" w:lastRowFirstColumn="0" w:lastRowLastColumn="0"/>
        </w:trPr>
        <w:tc>
          <w:tcPr>
            <w:tcW w:w="2310" w:type="dxa"/>
          </w:tcPr>
          <w:p w:rsidR="0088341A" w:rsidRPr="00682A64" w:rsidRDefault="0088341A" w:rsidP="00682A64">
            <w:pPr>
              <w:pStyle w:val="AERtabletextleft"/>
              <w:keepNext/>
              <w:keepLines/>
            </w:pPr>
            <w:r w:rsidRPr="00682A64">
              <w:t>Parameter</w:t>
            </w:r>
          </w:p>
        </w:tc>
        <w:tc>
          <w:tcPr>
            <w:tcW w:w="2310" w:type="dxa"/>
          </w:tcPr>
          <w:p w:rsidR="0088341A" w:rsidRPr="00682A64" w:rsidRDefault="0088341A" w:rsidP="00682A64">
            <w:pPr>
              <w:pStyle w:val="AERtabletextleft"/>
              <w:keepNext/>
              <w:keepLines/>
            </w:pPr>
            <w:r w:rsidRPr="00682A64">
              <w:t>Distribution</w:t>
            </w:r>
          </w:p>
        </w:tc>
        <w:tc>
          <w:tcPr>
            <w:tcW w:w="2311" w:type="dxa"/>
          </w:tcPr>
          <w:p w:rsidR="0088341A" w:rsidRPr="00682A64" w:rsidRDefault="0088341A" w:rsidP="00682A64">
            <w:pPr>
              <w:pStyle w:val="AERtabletextright"/>
              <w:keepNext/>
              <w:keepLines/>
            </w:pPr>
            <w:r w:rsidRPr="00682A64">
              <w:t>Cap (standard deviations below target)</w:t>
            </w:r>
          </w:p>
        </w:tc>
        <w:tc>
          <w:tcPr>
            <w:tcW w:w="2311" w:type="dxa"/>
          </w:tcPr>
          <w:p w:rsidR="0088341A" w:rsidRPr="00682A64" w:rsidRDefault="0088341A" w:rsidP="00682A64">
            <w:pPr>
              <w:pStyle w:val="AERtabletextright"/>
              <w:keepNext/>
              <w:keepLines/>
            </w:pPr>
            <w:r w:rsidRPr="00682A64">
              <w:t>Collar (standard deviations above target)</w:t>
            </w:r>
          </w:p>
        </w:tc>
      </w:tr>
      <w:tr w:rsidR="0088341A" w:rsidRPr="00682A64" w:rsidTr="00682A64">
        <w:tc>
          <w:tcPr>
            <w:tcW w:w="2310" w:type="dxa"/>
          </w:tcPr>
          <w:p w:rsidR="0088341A" w:rsidRPr="00682A64" w:rsidRDefault="0088341A" w:rsidP="00682A64">
            <w:pPr>
              <w:pStyle w:val="AERtabletextleft"/>
              <w:keepNext/>
              <w:keepLines/>
            </w:pPr>
            <w:r w:rsidRPr="00682A64">
              <w:t>Average circuit outage rate</w:t>
            </w:r>
          </w:p>
        </w:tc>
        <w:tc>
          <w:tcPr>
            <w:tcW w:w="2310" w:type="dxa"/>
          </w:tcPr>
          <w:p w:rsidR="0088341A" w:rsidRPr="00682A64" w:rsidRDefault="0088341A" w:rsidP="00682A64">
            <w:pPr>
              <w:pStyle w:val="AERtabletextleft"/>
              <w:keepNext/>
              <w:keepLines/>
            </w:pPr>
          </w:p>
        </w:tc>
        <w:tc>
          <w:tcPr>
            <w:tcW w:w="2311" w:type="dxa"/>
          </w:tcPr>
          <w:p w:rsidR="0088341A" w:rsidRPr="00682A64" w:rsidRDefault="0088341A" w:rsidP="00682A64">
            <w:pPr>
              <w:pStyle w:val="AERtabletextright"/>
              <w:keepNext/>
              <w:keepLines/>
            </w:pPr>
          </w:p>
        </w:tc>
        <w:tc>
          <w:tcPr>
            <w:tcW w:w="2311" w:type="dxa"/>
          </w:tcPr>
          <w:p w:rsidR="0088341A" w:rsidRPr="00682A64" w:rsidRDefault="0088341A" w:rsidP="00682A64">
            <w:pPr>
              <w:pStyle w:val="AERtabletextright"/>
              <w:keepNext/>
              <w:keepLines/>
            </w:pPr>
          </w:p>
        </w:tc>
      </w:tr>
      <w:tr w:rsidR="0088341A" w:rsidRPr="00682A64" w:rsidTr="00682A64">
        <w:trPr>
          <w:cnfStyle w:val="000000010000" w:firstRow="0" w:lastRow="0" w:firstColumn="0" w:lastColumn="0" w:oddVBand="0" w:evenVBand="0" w:oddHBand="0" w:evenHBand="1" w:firstRowFirstColumn="0" w:firstRowLastColumn="0" w:lastRowFirstColumn="0" w:lastRowLastColumn="0"/>
        </w:trPr>
        <w:tc>
          <w:tcPr>
            <w:tcW w:w="2310" w:type="dxa"/>
          </w:tcPr>
          <w:p w:rsidR="0088341A" w:rsidRPr="00682A64" w:rsidRDefault="0088341A" w:rsidP="00682A64">
            <w:pPr>
              <w:pStyle w:val="AERtabletextleft"/>
              <w:keepNext/>
              <w:keepLines/>
            </w:pPr>
            <w:r w:rsidRPr="00682A64">
              <w:t>Line outage – fault</w:t>
            </w:r>
          </w:p>
        </w:tc>
        <w:tc>
          <w:tcPr>
            <w:tcW w:w="2310" w:type="dxa"/>
          </w:tcPr>
          <w:p w:rsidR="0088341A" w:rsidRPr="00682A64" w:rsidRDefault="0088341A" w:rsidP="00682A64">
            <w:pPr>
              <w:pStyle w:val="AERtabletextleft"/>
              <w:keepNext/>
              <w:keepLines/>
            </w:pPr>
            <w:r w:rsidRPr="00682A64">
              <w:t>Log–logistic</w:t>
            </w:r>
          </w:p>
        </w:tc>
        <w:tc>
          <w:tcPr>
            <w:tcW w:w="2311" w:type="dxa"/>
          </w:tcPr>
          <w:p w:rsidR="0088341A" w:rsidRPr="00682A64" w:rsidRDefault="0088341A" w:rsidP="00682A64">
            <w:pPr>
              <w:pStyle w:val="AERtabletextright"/>
              <w:keepNext/>
              <w:keepLines/>
            </w:pPr>
            <w:r w:rsidRPr="00682A64">
              <w:t xml:space="preserve">2 </w:t>
            </w:r>
          </w:p>
        </w:tc>
        <w:tc>
          <w:tcPr>
            <w:tcW w:w="2311" w:type="dxa"/>
          </w:tcPr>
          <w:p w:rsidR="0088341A" w:rsidRPr="00682A64" w:rsidRDefault="0088341A" w:rsidP="00682A64">
            <w:pPr>
              <w:pStyle w:val="AERtabletextright"/>
              <w:keepNext/>
              <w:keepLines/>
            </w:pPr>
            <w:r w:rsidRPr="00682A64">
              <w:t xml:space="preserve">2 </w:t>
            </w:r>
          </w:p>
        </w:tc>
      </w:tr>
      <w:tr w:rsidR="0088341A" w:rsidRPr="00682A64" w:rsidTr="00682A64">
        <w:tc>
          <w:tcPr>
            <w:tcW w:w="2310" w:type="dxa"/>
          </w:tcPr>
          <w:p w:rsidR="0088341A" w:rsidRPr="00682A64" w:rsidRDefault="0088341A" w:rsidP="00682A64">
            <w:pPr>
              <w:pStyle w:val="AERtabletextleft"/>
              <w:keepNext/>
              <w:keepLines/>
            </w:pPr>
            <w:r w:rsidRPr="00682A64">
              <w:t>Transformer – fault</w:t>
            </w:r>
          </w:p>
        </w:tc>
        <w:tc>
          <w:tcPr>
            <w:tcW w:w="2310" w:type="dxa"/>
          </w:tcPr>
          <w:p w:rsidR="0088341A" w:rsidRPr="00682A64" w:rsidRDefault="0088341A" w:rsidP="00682A64">
            <w:pPr>
              <w:pStyle w:val="AERtabletextleft"/>
              <w:keepNext/>
              <w:keepLines/>
            </w:pPr>
            <w:r w:rsidRPr="00682A64">
              <w:t>Pearson 5</w:t>
            </w:r>
          </w:p>
        </w:tc>
        <w:tc>
          <w:tcPr>
            <w:tcW w:w="2311" w:type="dxa"/>
          </w:tcPr>
          <w:p w:rsidR="0088341A" w:rsidRPr="00682A64" w:rsidRDefault="0088341A" w:rsidP="00682A64">
            <w:pPr>
              <w:pStyle w:val="AERtabletextright"/>
              <w:keepNext/>
              <w:keepLines/>
            </w:pPr>
            <w:r w:rsidRPr="00682A64">
              <w:t xml:space="preserve">1 </w:t>
            </w:r>
          </w:p>
        </w:tc>
        <w:tc>
          <w:tcPr>
            <w:tcW w:w="2311" w:type="dxa"/>
          </w:tcPr>
          <w:p w:rsidR="0088341A" w:rsidRPr="00682A64" w:rsidRDefault="0088341A" w:rsidP="00682A64">
            <w:pPr>
              <w:pStyle w:val="AERtabletextright"/>
              <w:keepNext/>
              <w:keepLines/>
            </w:pPr>
            <w:r w:rsidRPr="00682A64">
              <w:t xml:space="preserve">2 </w:t>
            </w:r>
          </w:p>
        </w:tc>
      </w:tr>
      <w:tr w:rsidR="0088341A" w:rsidRPr="00682A64" w:rsidTr="00682A64">
        <w:trPr>
          <w:cnfStyle w:val="000000010000" w:firstRow="0" w:lastRow="0" w:firstColumn="0" w:lastColumn="0" w:oddVBand="0" w:evenVBand="0" w:oddHBand="0" w:evenHBand="1" w:firstRowFirstColumn="0" w:firstRowLastColumn="0" w:lastRowFirstColumn="0" w:lastRowLastColumn="0"/>
        </w:trPr>
        <w:tc>
          <w:tcPr>
            <w:tcW w:w="2310" w:type="dxa"/>
          </w:tcPr>
          <w:p w:rsidR="0088341A" w:rsidRPr="00682A64" w:rsidRDefault="0088341A" w:rsidP="00682A64">
            <w:pPr>
              <w:pStyle w:val="AERtabletextleft"/>
              <w:keepNext/>
              <w:keepLines/>
            </w:pPr>
            <w:r w:rsidRPr="00682A64">
              <w:t>Reactive plant – fault</w:t>
            </w:r>
          </w:p>
        </w:tc>
        <w:tc>
          <w:tcPr>
            <w:tcW w:w="2310" w:type="dxa"/>
          </w:tcPr>
          <w:p w:rsidR="0088341A" w:rsidRPr="00682A64" w:rsidRDefault="0088341A" w:rsidP="00682A64">
            <w:pPr>
              <w:pStyle w:val="AERtabletextleft"/>
              <w:keepNext/>
              <w:keepLines/>
            </w:pPr>
            <w:r w:rsidRPr="00682A64">
              <w:t>Log–logistic</w:t>
            </w:r>
          </w:p>
        </w:tc>
        <w:tc>
          <w:tcPr>
            <w:tcW w:w="2311" w:type="dxa"/>
          </w:tcPr>
          <w:p w:rsidR="0088341A" w:rsidRPr="00682A64" w:rsidRDefault="0088341A" w:rsidP="00682A64">
            <w:pPr>
              <w:pStyle w:val="AERtabletextright"/>
              <w:keepNext/>
              <w:keepLines/>
            </w:pPr>
            <w:r w:rsidRPr="00682A64">
              <w:t xml:space="preserve">2 </w:t>
            </w:r>
          </w:p>
        </w:tc>
        <w:tc>
          <w:tcPr>
            <w:tcW w:w="2311" w:type="dxa"/>
          </w:tcPr>
          <w:p w:rsidR="0088341A" w:rsidRPr="00682A64" w:rsidRDefault="0088341A" w:rsidP="00682A64">
            <w:pPr>
              <w:pStyle w:val="AERtabletextright"/>
              <w:keepNext/>
              <w:keepLines/>
            </w:pPr>
            <w:r w:rsidRPr="00682A64">
              <w:t xml:space="preserve">2 </w:t>
            </w:r>
          </w:p>
        </w:tc>
      </w:tr>
      <w:tr w:rsidR="0088341A" w:rsidRPr="00682A64" w:rsidTr="00682A64">
        <w:tc>
          <w:tcPr>
            <w:tcW w:w="2310" w:type="dxa"/>
          </w:tcPr>
          <w:p w:rsidR="0088341A" w:rsidRPr="00682A64" w:rsidRDefault="0088341A" w:rsidP="00682A64">
            <w:pPr>
              <w:pStyle w:val="AERtabletextleft"/>
              <w:keepNext/>
              <w:keepLines/>
            </w:pPr>
            <w:r w:rsidRPr="00682A64">
              <w:t>Line outage – forced</w:t>
            </w:r>
          </w:p>
        </w:tc>
        <w:tc>
          <w:tcPr>
            <w:tcW w:w="2310" w:type="dxa"/>
          </w:tcPr>
          <w:p w:rsidR="0088341A" w:rsidRPr="00682A64" w:rsidRDefault="0088341A" w:rsidP="00682A64">
            <w:pPr>
              <w:pStyle w:val="AERtabletextleft"/>
              <w:keepNext/>
              <w:keepLines/>
            </w:pPr>
            <w:r w:rsidRPr="00682A64">
              <w:t>Pearson 5</w:t>
            </w:r>
          </w:p>
        </w:tc>
        <w:tc>
          <w:tcPr>
            <w:tcW w:w="2311" w:type="dxa"/>
          </w:tcPr>
          <w:p w:rsidR="0088341A" w:rsidRPr="00682A64" w:rsidRDefault="0088341A" w:rsidP="00682A64">
            <w:pPr>
              <w:pStyle w:val="AERtabletextright"/>
              <w:keepNext/>
              <w:keepLines/>
            </w:pPr>
            <w:r w:rsidRPr="00682A64">
              <w:t xml:space="preserve">2 </w:t>
            </w:r>
          </w:p>
        </w:tc>
        <w:tc>
          <w:tcPr>
            <w:tcW w:w="2311" w:type="dxa"/>
          </w:tcPr>
          <w:p w:rsidR="0088341A" w:rsidRPr="00682A64" w:rsidRDefault="0088341A" w:rsidP="00682A64">
            <w:pPr>
              <w:pStyle w:val="AERtabletextright"/>
              <w:keepNext/>
              <w:keepLines/>
            </w:pPr>
            <w:r w:rsidRPr="00682A64">
              <w:t xml:space="preserve">2 </w:t>
            </w:r>
          </w:p>
        </w:tc>
      </w:tr>
      <w:tr w:rsidR="0088341A" w:rsidRPr="00682A64" w:rsidTr="00682A64">
        <w:trPr>
          <w:cnfStyle w:val="000000010000" w:firstRow="0" w:lastRow="0" w:firstColumn="0" w:lastColumn="0" w:oddVBand="0" w:evenVBand="0" w:oddHBand="0" w:evenHBand="1" w:firstRowFirstColumn="0" w:firstRowLastColumn="0" w:lastRowFirstColumn="0" w:lastRowLastColumn="0"/>
        </w:trPr>
        <w:tc>
          <w:tcPr>
            <w:tcW w:w="2310" w:type="dxa"/>
          </w:tcPr>
          <w:p w:rsidR="0088341A" w:rsidRPr="00682A64" w:rsidRDefault="0088341A" w:rsidP="00682A64">
            <w:pPr>
              <w:pStyle w:val="AERtabletextleft"/>
              <w:keepNext/>
              <w:keepLines/>
            </w:pPr>
            <w:r w:rsidRPr="00682A64">
              <w:t>Transformer outage – forced</w:t>
            </w:r>
          </w:p>
        </w:tc>
        <w:tc>
          <w:tcPr>
            <w:tcW w:w="2310" w:type="dxa"/>
          </w:tcPr>
          <w:p w:rsidR="0088341A" w:rsidRPr="00682A64" w:rsidRDefault="0088341A" w:rsidP="00682A64">
            <w:pPr>
              <w:pStyle w:val="AERtabletextleft"/>
              <w:keepNext/>
              <w:keepLines/>
            </w:pPr>
            <w:r w:rsidRPr="00682A64">
              <w:t>Weibull</w:t>
            </w:r>
          </w:p>
        </w:tc>
        <w:tc>
          <w:tcPr>
            <w:tcW w:w="2311" w:type="dxa"/>
          </w:tcPr>
          <w:p w:rsidR="0088341A" w:rsidRPr="00682A64" w:rsidRDefault="0088341A" w:rsidP="00682A64">
            <w:pPr>
              <w:pStyle w:val="AERtabletextright"/>
              <w:keepNext/>
              <w:keepLines/>
            </w:pPr>
            <w:r w:rsidRPr="00682A64">
              <w:t xml:space="preserve">2 </w:t>
            </w:r>
          </w:p>
        </w:tc>
        <w:tc>
          <w:tcPr>
            <w:tcW w:w="2311" w:type="dxa"/>
          </w:tcPr>
          <w:p w:rsidR="0088341A" w:rsidRPr="00682A64" w:rsidRDefault="0088341A" w:rsidP="00682A64">
            <w:pPr>
              <w:pStyle w:val="AERtabletextright"/>
              <w:keepNext/>
              <w:keepLines/>
            </w:pPr>
            <w:r w:rsidRPr="00682A64">
              <w:t xml:space="preserve">2 </w:t>
            </w:r>
          </w:p>
        </w:tc>
      </w:tr>
      <w:tr w:rsidR="0088341A" w:rsidRPr="00682A64" w:rsidTr="00682A64">
        <w:tc>
          <w:tcPr>
            <w:tcW w:w="2310" w:type="dxa"/>
          </w:tcPr>
          <w:p w:rsidR="0088341A" w:rsidRPr="00682A64" w:rsidRDefault="0088341A" w:rsidP="00682A64">
            <w:pPr>
              <w:pStyle w:val="AERtabletextleft"/>
              <w:keepNext/>
              <w:keepLines/>
            </w:pPr>
            <w:r w:rsidRPr="00682A64">
              <w:t>Reactive plant – forced</w:t>
            </w:r>
          </w:p>
        </w:tc>
        <w:tc>
          <w:tcPr>
            <w:tcW w:w="2310" w:type="dxa"/>
          </w:tcPr>
          <w:p w:rsidR="0088341A" w:rsidRPr="00682A64" w:rsidRDefault="0088341A" w:rsidP="00682A64">
            <w:pPr>
              <w:pStyle w:val="AERtabletextleft"/>
              <w:keepNext/>
              <w:keepLines/>
            </w:pPr>
            <w:r w:rsidRPr="00682A64">
              <w:t>Rayleigh</w:t>
            </w:r>
          </w:p>
        </w:tc>
        <w:tc>
          <w:tcPr>
            <w:tcW w:w="2311" w:type="dxa"/>
          </w:tcPr>
          <w:p w:rsidR="0088341A" w:rsidRPr="00682A64" w:rsidRDefault="0088341A" w:rsidP="00682A64">
            <w:pPr>
              <w:pStyle w:val="AERtabletextright"/>
              <w:keepNext/>
              <w:keepLines/>
            </w:pPr>
            <w:r w:rsidRPr="00682A64">
              <w:t xml:space="preserve">1 </w:t>
            </w:r>
          </w:p>
        </w:tc>
        <w:tc>
          <w:tcPr>
            <w:tcW w:w="2311" w:type="dxa"/>
          </w:tcPr>
          <w:p w:rsidR="0088341A" w:rsidRPr="00682A64" w:rsidRDefault="0088341A" w:rsidP="00682A64">
            <w:pPr>
              <w:pStyle w:val="AERtabletextright"/>
              <w:keepNext/>
              <w:keepLines/>
            </w:pPr>
            <w:r w:rsidRPr="00682A64">
              <w:t xml:space="preserve">2 </w:t>
            </w:r>
          </w:p>
        </w:tc>
      </w:tr>
      <w:tr w:rsidR="0088341A" w:rsidRPr="00682A64" w:rsidTr="00682A64">
        <w:trPr>
          <w:cnfStyle w:val="000000010000" w:firstRow="0" w:lastRow="0" w:firstColumn="0" w:lastColumn="0" w:oddVBand="0" w:evenVBand="0" w:oddHBand="0" w:evenHBand="1" w:firstRowFirstColumn="0" w:firstRowLastColumn="0" w:lastRowFirstColumn="0" w:lastRowLastColumn="0"/>
        </w:trPr>
        <w:tc>
          <w:tcPr>
            <w:tcW w:w="2310" w:type="dxa"/>
          </w:tcPr>
          <w:p w:rsidR="0088341A" w:rsidRPr="00682A64" w:rsidRDefault="0088341A" w:rsidP="00682A64">
            <w:pPr>
              <w:pStyle w:val="AERtabletextleft"/>
              <w:keepNext/>
              <w:keepLines/>
            </w:pPr>
            <w:r w:rsidRPr="00682A64">
              <w:t>Loss of supply events</w:t>
            </w:r>
          </w:p>
        </w:tc>
        <w:tc>
          <w:tcPr>
            <w:tcW w:w="2310" w:type="dxa"/>
          </w:tcPr>
          <w:p w:rsidR="0088341A" w:rsidRPr="00682A64" w:rsidRDefault="0088341A" w:rsidP="00682A64">
            <w:pPr>
              <w:pStyle w:val="AERtabletextleft"/>
              <w:keepNext/>
              <w:keepLines/>
            </w:pPr>
          </w:p>
        </w:tc>
        <w:tc>
          <w:tcPr>
            <w:tcW w:w="2311" w:type="dxa"/>
          </w:tcPr>
          <w:p w:rsidR="0088341A" w:rsidRPr="00682A64" w:rsidRDefault="0088341A" w:rsidP="00682A64">
            <w:pPr>
              <w:pStyle w:val="AERtabletextright"/>
              <w:keepNext/>
              <w:keepLines/>
            </w:pPr>
          </w:p>
        </w:tc>
        <w:tc>
          <w:tcPr>
            <w:tcW w:w="2311" w:type="dxa"/>
          </w:tcPr>
          <w:p w:rsidR="0088341A" w:rsidRPr="00682A64" w:rsidRDefault="0088341A" w:rsidP="00682A64">
            <w:pPr>
              <w:pStyle w:val="AERtabletextright"/>
              <w:keepNext/>
              <w:keepLines/>
            </w:pPr>
          </w:p>
        </w:tc>
      </w:tr>
      <w:tr w:rsidR="0088341A" w:rsidRPr="00682A64" w:rsidTr="00682A64">
        <w:tc>
          <w:tcPr>
            <w:tcW w:w="2310" w:type="dxa"/>
          </w:tcPr>
          <w:p w:rsidR="0088341A" w:rsidRPr="00682A64" w:rsidRDefault="0088341A" w:rsidP="00682A64">
            <w:pPr>
              <w:pStyle w:val="AERtabletextleft"/>
              <w:keepNext/>
              <w:keepLines/>
            </w:pPr>
            <w:r w:rsidRPr="00682A64">
              <w:t>&gt; 0.05 system minutes</w:t>
            </w:r>
          </w:p>
        </w:tc>
        <w:tc>
          <w:tcPr>
            <w:tcW w:w="2310" w:type="dxa"/>
          </w:tcPr>
          <w:p w:rsidR="0088341A" w:rsidRPr="00682A64" w:rsidRDefault="0088341A" w:rsidP="00682A64">
            <w:pPr>
              <w:pStyle w:val="AERtabletextleft"/>
              <w:keepNext/>
              <w:keepLines/>
            </w:pPr>
            <w:r w:rsidRPr="00682A64">
              <w:t>Negative binomial</w:t>
            </w:r>
          </w:p>
        </w:tc>
        <w:tc>
          <w:tcPr>
            <w:tcW w:w="2311" w:type="dxa"/>
          </w:tcPr>
          <w:p w:rsidR="0088341A" w:rsidRPr="00682A64" w:rsidRDefault="0088341A" w:rsidP="00682A64">
            <w:pPr>
              <w:pStyle w:val="AERtabletextright"/>
              <w:keepNext/>
              <w:keepLines/>
            </w:pPr>
            <w:r w:rsidRPr="00682A64">
              <w:t xml:space="preserve">1 </w:t>
            </w:r>
          </w:p>
        </w:tc>
        <w:tc>
          <w:tcPr>
            <w:tcW w:w="2311" w:type="dxa"/>
          </w:tcPr>
          <w:p w:rsidR="0088341A" w:rsidRPr="00682A64" w:rsidRDefault="0088341A" w:rsidP="00682A64">
            <w:pPr>
              <w:pStyle w:val="AERtabletextright"/>
              <w:keepNext/>
              <w:keepLines/>
            </w:pPr>
            <w:r w:rsidRPr="00682A64">
              <w:t xml:space="preserve">2 </w:t>
            </w:r>
          </w:p>
        </w:tc>
      </w:tr>
      <w:tr w:rsidR="0088341A" w:rsidRPr="00682A64" w:rsidTr="00682A64">
        <w:trPr>
          <w:cnfStyle w:val="000000010000" w:firstRow="0" w:lastRow="0" w:firstColumn="0" w:lastColumn="0" w:oddVBand="0" w:evenVBand="0" w:oddHBand="0" w:evenHBand="1" w:firstRowFirstColumn="0" w:firstRowLastColumn="0" w:lastRowFirstColumn="0" w:lastRowLastColumn="0"/>
        </w:trPr>
        <w:tc>
          <w:tcPr>
            <w:tcW w:w="2310" w:type="dxa"/>
          </w:tcPr>
          <w:p w:rsidR="0088341A" w:rsidRPr="00682A64" w:rsidRDefault="0088341A" w:rsidP="00682A64">
            <w:pPr>
              <w:pStyle w:val="AERtabletextleft"/>
              <w:keepNext/>
              <w:keepLines/>
            </w:pPr>
            <w:r w:rsidRPr="00682A64">
              <w:t>&gt;0.3 system minutes</w:t>
            </w:r>
          </w:p>
        </w:tc>
        <w:tc>
          <w:tcPr>
            <w:tcW w:w="2310" w:type="dxa"/>
          </w:tcPr>
          <w:p w:rsidR="0088341A" w:rsidRPr="00682A64" w:rsidRDefault="0088341A" w:rsidP="00682A64">
            <w:pPr>
              <w:pStyle w:val="AERtabletextleft"/>
              <w:keepNext/>
              <w:keepLines/>
            </w:pPr>
            <w:r w:rsidRPr="00682A64">
              <w:t>Integer uniform</w:t>
            </w:r>
          </w:p>
        </w:tc>
        <w:tc>
          <w:tcPr>
            <w:tcW w:w="2311" w:type="dxa"/>
          </w:tcPr>
          <w:p w:rsidR="0088341A" w:rsidRPr="00682A64" w:rsidRDefault="0088341A" w:rsidP="00682A64">
            <w:pPr>
              <w:pStyle w:val="AERtabletextright"/>
              <w:keepNext/>
              <w:keepLines/>
            </w:pPr>
            <w:r w:rsidRPr="00682A64">
              <w:t xml:space="preserve">1 </w:t>
            </w:r>
          </w:p>
        </w:tc>
        <w:tc>
          <w:tcPr>
            <w:tcW w:w="2311" w:type="dxa"/>
          </w:tcPr>
          <w:p w:rsidR="0088341A" w:rsidRPr="00682A64" w:rsidRDefault="0088341A" w:rsidP="00682A64">
            <w:pPr>
              <w:pStyle w:val="AERtabletextright"/>
              <w:keepNext/>
              <w:keepLines/>
            </w:pPr>
            <w:r w:rsidRPr="00682A64">
              <w:t xml:space="preserve">2 </w:t>
            </w:r>
          </w:p>
        </w:tc>
      </w:tr>
      <w:tr w:rsidR="0088341A" w:rsidRPr="00682A64" w:rsidTr="00682A64">
        <w:tc>
          <w:tcPr>
            <w:tcW w:w="2310" w:type="dxa"/>
          </w:tcPr>
          <w:p w:rsidR="0088341A" w:rsidRPr="00682A64" w:rsidRDefault="0088341A" w:rsidP="00682A64">
            <w:pPr>
              <w:pStyle w:val="AERtabletextleft"/>
              <w:keepNext/>
              <w:keepLines/>
            </w:pPr>
            <w:r w:rsidRPr="00682A64">
              <w:t>Average outage duration</w:t>
            </w:r>
          </w:p>
        </w:tc>
        <w:tc>
          <w:tcPr>
            <w:tcW w:w="2310" w:type="dxa"/>
          </w:tcPr>
          <w:p w:rsidR="0088341A" w:rsidRPr="00682A64" w:rsidRDefault="0088341A" w:rsidP="00682A64">
            <w:pPr>
              <w:pStyle w:val="AERtabletextleft"/>
              <w:keepNext/>
              <w:keepLines/>
            </w:pPr>
          </w:p>
        </w:tc>
        <w:tc>
          <w:tcPr>
            <w:tcW w:w="2311" w:type="dxa"/>
          </w:tcPr>
          <w:p w:rsidR="0088341A" w:rsidRPr="00682A64" w:rsidRDefault="0088341A" w:rsidP="00682A64">
            <w:pPr>
              <w:pStyle w:val="AERtabletextright"/>
              <w:keepNext/>
              <w:keepLines/>
            </w:pPr>
          </w:p>
        </w:tc>
        <w:tc>
          <w:tcPr>
            <w:tcW w:w="2311" w:type="dxa"/>
          </w:tcPr>
          <w:p w:rsidR="0088341A" w:rsidRPr="00682A64" w:rsidRDefault="0088341A" w:rsidP="00682A64">
            <w:pPr>
              <w:pStyle w:val="AERtabletextright"/>
              <w:keepNext/>
              <w:keepLines/>
            </w:pPr>
          </w:p>
        </w:tc>
      </w:tr>
      <w:tr w:rsidR="0088341A" w:rsidRPr="00682A64" w:rsidTr="00682A64">
        <w:trPr>
          <w:cnfStyle w:val="000000010000" w:firstRow="0" w:lastRow="0" w:firstColumn="0" w:lastColumn="0" w:oddVBand="0" w:evenVBand="0" w:oddHBand="0" w:evenHBand="1" w:firstRowFirstColumn="0" w:firstRowLastColumn="0" w:lastRowFirstColumn="0" w:lastRowLastColumn="0"/>
        </w:trPr>
        <w:tc>
          <w:tcPr>
            <w:tcW w:w="2310" w:type="dxa"/>
          </w:tcPr>
          <w:p w:rsidR="0088341A" w:rsidRPr="00682A64" w:rsidRDefault="0088341A" w:rsidP="00682A64">
            <w:pPr>
              <w:pStyle w:val="AERtabletextleft"/>
              <w:keepNext/>
              <w:keepLines/>
            </w:pPr>
            <w:r w:rsidRPr="00682A64">
              <w:t>Average outage duration</w:t>
            </w:r>
          </w:p>
        </w:tc>
        <w:tc>
          <w:tcPr>
            <w:tcW w:w="2310" w:type="dxa"/>
          </w:tcPr>
          <w:p w:rsidR="0088341A" w:rsidRPr="00682A64" w:rsidRDefault="0088341A" w:rsidP="00682A64">
            <w:pPr>
              <w:pStyle w:val="AERtabletextleft"/>
              <w:keepNext/>
              <w:keepLines/>
            </w:pPr>
            <w:r w:rsidRPr="00682A64">
              <w:t>Exponential</w:t>
            </w:r>
          </w:p>
        </w:tc>
        <w:tc>
          <w:tcPr>
            <w:tcW w:w="2311" w:type="dxa"/>
          </w:tcPr>
          <w:p w:rsidR="0088341A" w:rsidRPr="00682A64" w:rsidRDefault="0088341A" w:rsidP="00682A64">
            <w:pPr>
              <w:pStyle w:val="AERtabletextright"/>
              <w:keepNext/>
              <w:keepLines/>
            </w:pPr>
            <w:r w:rsidRPr="00682A64">
              <w:t xml:space="preserve">1 </w:t>
            </w:r>
          </w:p>
        </w:tc>
        <w:tc>
          <w:tcPr>
            <w:tcW w:w="2311" w:type="dxa"/>
          </w:tcPr>
          <w:p w:rsidR="0088341A" w:rsidRPr="00682A64" w:rsidRDefault="0088341A" w:rsidP="00682A64">
            <w:pPr>
              <w:pStyle w:val="AERtabletextright"/>
              <w:keepNext/>
              <w:keepLines/>
            </w:pPr>
            <w:r w:rsidRPr="00682A64">
              <w:t xml:space="preserve">2 </w:t>
            </w:r>
          </w:p>
        </w:tc>
      </w:tr>
      <w:tr w:rsidR="0088341A" w:rsidRPr="00682A64" w:rsidTr="00682A64">
        <w:tc>
          <w:tcPr>
            <w:tcW w:w="2310" w:type="dxa"/>
          </w:tcPr>
          <w:p w:rsidR="0088341A" w:rsidRPr="00682A64" w:rsidRDefault="0088341A" w:rsidP="00682A64">
            <w:pPr>
              <w:pStyle w:val="AERtabletextleft"/>
              <w:keepNext/>
              <w:keepLines/>
            </w:pPr>
            <w:r w:rsidRPr="00682A64">
              <w:t>Proper operation of equipment</w:t>
            </w:r>
          </w:p>
        </w:tc>
        <w:tc>
          <w:tcPr>
            <w:tcW w:w="2310" w:type="dxa"/>
          </w:tcPr>
          <w:p w:rsidR="0088341A" w:rsidRPr="00682A64" w:rsidRDefault="0088341A" w:rsidP="00682A64">
            <w:pPr>
              <w:pStyle w:val="AERtabletextleft"/>
              <w:keepNext/>
              <w:keepLines/>
            </w:pPr>
          </w:p>
        </w:tc>
        <w:tc>
          <w:tcPr>
            <w:tcW w:w="2311" w:type="dxa"/>
          </w:tcPr>
          <w:p w:rsidR="0088341A" w:rsidRPr="00682A64" w:rsidRDefault="0088341A" w:rsidP="00682A64">
            <w:pPr>
              <w:pStyle w:val="AERtabletextright"/>
              <w:keepNext/>
              <w:keepLines/>
            </w:pPr>
          </w:p>
        </w:tc>
        <w:tc>
          <w:tcPr>
            <w:tcW w:w="2311" w:type="dxa"/>
          </w:tcPr>
          <w:p w:rsidR="0088341A" w:rsidRPr="00682A64" w:rsidRDefault="0088341A" w:rsidP="00682A64">
            <w:pPr>
              <w:pStyle w:val="AERtabletextright"/>
              <w:keepNext/>
              <w:keepLines/>
            </w:pPr>
          </w:p>
        </w:tc>
      </w:tr>
      <w:tr w:rsidR="0088341A" w:rsidRPr="00682A64" w:rsidTr="00682A64">
        <w:trPr>
          <w:cnfStyle w:val="000000010000" w:firstRow="0" w:lastRow="0" w:firstColumn="0" w:lastColumn="0" w:oddVBand="0" w:evenVBand="0" w:oddHBand="0" w:evenHBand="1" w:firstRowFirstColumn="0" w:firstRowLastColumn="0" w:lastRowFirstColumn="0" w:lastRowLastColumn="0"/>
        </w:trPr>
        <w:tc>
          <w:tcPr>
            <w:tcW w:w="2310" w:type="dxa"/>
          </w:tcPr>
          <w:p w:rsidR="0088341A" w:rsidRPr="00682A64" w:rsidRDefault="0088341A" w:rsidP="00682A64">
            <w:pPr>
              <w:pStyle w:val="AERtabletextleft"/>
              <w:keepNext/>
              <w:keepLines/>
            </w:pPr>
            <w:r w:rsidRPr="00682A64">
              <w:t>Failure of protection system</w:t>
            </w:r>
          </w:p>
        </w:tc>
        <w:tc>
          <w:tcPr>
            <w:tcW w:w="2310" w:type="dxa"/>
          </w:tcPr>
          <w:p w:rsidR="0088341A" w:rsidRPr="00682A64" w:rsidRDefault="0088341A" w:rsidP="00682A64">
            <w:pPr>
              <w:pStyle w:val="AERtabletextleft"/>
              <w:keepNext/>
              <w:keepLines/>
            </w:pPr>
            <w:r w:rsidRPr="00682A64">
              <w:t>n/a</w:t>
            </w:r>
          </w:p>
        </w:tc>
        <w:tc>
          <w:tcPr>
            <w:tcW w:w="2311" w:type="dxa"/>
          </w:tcPr>
          <w:p w:rsidR="0088341A" w:rsidRPr="00682A64" w:rsidRDefault="0088341A" w:rsidP="00682A64">
            <w:pPr>
              <w:pStyle w:val="AERtabletextright"/>
              <w:keepNext/>
              <w:keepLines/>
            </w:pPr>
            <w:r w:rsidRPr="00682A64">
              <w:t xml:space="preserve">Not proposed </w:t>
            </w:r>
          </w:p>
        </w:tc>
        <w:tc>
          <w:tcPr>
            <w:tcW w:w="2311" w:type="dxa"/>
          </w:tcPr>
          <w:p w:rsidR="0088341A" w:rsidRPr="00682A64" w:rsidRDefault="0088341A" w:rsidP="00682A64">
            <w:pPr>
              <w:pStyle w:val="AERtabletextright"/>
              <w:keepNext/>
              <w:keepLines/>
            </w:pPr>
            <w:r w:rsidRPr="00682A64">
              <w:t>Not proposed</w:t>
            </w:r>
          </w:p>
        </w:tc>
      </w:tr>
      <w:tr w:rsidR="0088341A" w:rsidRPr="00682A64" w:rsidTr="00682A64">
        <w:tc>
          <w:tcPr>
            <w:tcW w:w="2310" w:type="dxa"/>
          </w:tcPr>
          <w:p w:rsidR="0088341A" w:rsidRPr="00682A64" w:rsidRDefault="0088341A" w:rsidP="00682A64">
            <w:pPr>
              <w:pStyle w:val="AERtabletextleft"/>
              <w:keepNext/>
              <w:keepLines/>
            </w:pPr>
            <w:r w:rsidRPr="00682A64">
              <w:t>Material failure of SCADA</w:t>
            </w:r>
          </w:p>
        </w:tc>
        <w:tc>
          <w:tcPr>
            <w:tcW w:w="2310" w:type="dxa"/>
          </w:tcPr>
          <w:p w:rsidR="0088341A" w:rsidRPr="00682A64" w:rsidRDefault="0088341A" w:rsidP="00682A64">
            <w:pPr>
              <w:pStyle w:val="AERtabletextleft"/>
              <w:keepNext/>
              <w:keepLines/>
            </w:pPr>
            <w:r w:rsidRPr="00682A64">
              <w:t>Normal</w:t>
            </w:r>
          </w:p>
        </w:tc>
        <w:tc>
          <w:tcPr>
            <w:tcW w:w="2311" w:type="dxa"/>
          </w:tcPr>
          <w:p w:rsidR="0088341A" w:rsidRPr="00682A64" w:rsidRDefault="0088341A" w:rsidP="00682A64">
            <w:pPr>
              <w:pStyle w:val="AERtabletextright"/>
              <w:keepNext/>
              <w:keepLines/>
            </w:pPr>
            <w:r w:rsidRPr="00682A64">
              <w:t xml:space="preserve">1 </w:t>
            </w:r>
          </w:p>
        </w:tc>
        <w:tc>
          <w:tcPr>
            <w:tcW w:w="2311" w:type="dxa"/>
          </w:tcPr>
          <w:p w:rsidR="0088341A" w:rsidRPr="00682A64" w:rsidRDefault="0088341A" w:rsidP="00682A64">
            <w:pPr>
              <w:pStyle w:val="AERtabletextright"/>
              <w:keepNext/>
              <w:keepLines/>
            </w:pPr>
            <w:r w:rsidRPr="00682A64">
              <w:t xml:space="preserve">2 </w:t>
            </w:r>
          </w:p>
        </w:tc>
      </w:tr>
      <w:tr w:rsidR="0088341A" w:rsidRPr="00682A64" w:rsidTr="00682A64">
        <w:trPr>
          <w:cnfStyle w:val="000000010000" w:firstRow="0" w:lastRow="0" w:firstColumn="0" w:lastColumn="0" w:oddVBand="0" w:evenVBand="0" w:oddHBand="0" w:evenHBand="1" w:firstRowFirstColumn="0" w:firstRowLastColumn="0" w:lastRowFirstColumn="0" w:lastRowLastColumn="0"/>
        </w:trPr>
        <w:tc>
          <w:tcPr>
            <w:tcW w:w="2310" w:type="dxa"/>
          </w:tcPr>
          <w:p w:rsidR="0088341A" w:rsidRPr="00682A64" w:rsidRDefault="0088341A" w:rsidP="00682A64">
            <w:pPr>
              <w:pStyle w:val="AERtabletextleft"/>
              <w:keepNext/>
              <w:keepLines/>
            </w:pPr>
            <w:r w:rsidRPr="00682A64">
              <w:t>Incorrect operational isolation of primary or secondary equipment</w:t>
            </w:r>
          </w:p>
        </w:tc>
        <w:tc>
          <w:tcPr>
            <w:tcW w:w="2310" w:type="dxa"/>
          </w:tcPr>
          <w:p w:rsidR="0088341A" w:rsidRPr="00682A64" w:rsidRDefault="0088341A" w:rsidP="00682A64">
            <w:pPr>
              <w:pStyle w:val="AERtabletextleft"/>
              <w:keepNext/>
              <w:keepLines/>
            </w:pPr>
            <w:r w:rsidRPr="00682A64">
              <w:t>n/a</w:t>
            </w:r>
          </w:p>
        </w:tc>
        <w:tc>
          <w:tcPr>
            <w:tcW w:w="2311" w:type="dxa"/>
          </w:tcPr>
          <w:p w:rsidR="0088341A" w:rsidRPr="00682A64" w:rsidRDefault="0088341A" w:rsidP="00682A64">
            <w:pPr>
              <w:pStyle w:val="AERtabletextright"/>
              <w:keepNext/>
              <w:keepLines/>
            </w:pPr>
            <w:r w:rsidRPr="00682A64">
              <w:t xml:space="preserve">Not proposed </w:t>
            </w:r>
          </w:p>
        </w:tc>
        <w:tc>
          <w:tcPr>
            <w:tcW w:w="2311" w:type="dxa"/>
          </w:tcPr>
          <w:p w:rsidR="0088341A" w:rsidRPr="00682A64" w:rsidRDefault="0088341A" w:rsidP="00682A64">
            <w:pPr>
              <w:pStyle w:val="AERtabletextright"/>
              <w:keepNext/>
              <w:keepLines/>
            </w:pPr>
            <w:r w:rsidRPr="00682A64">
              <w:t>Not proposed</w:t>
            </w:r>
          </w:p>
        </w:tc>
      </w:tr>
    </w:tbl>
    <w:p w:rsidR="0088341A" w:rsidRDefault="0088341A" w:rsidP="00682A64">
      <w:pPr>
        <w:pStyle w:val="AERtablesource"/>
        <w:keepNext/>
        <w:keepLines/>
      </w:pPr>
      <w:r>
        <w:t xml:space="preserve">Source: </w:t>
      </w:r>
      <w:r>
        <w:tab/>
        <w:t xml:space="preserve">SP AusNet, </w:t>
      </w:r>
      <w:r w:rsidRPr="003A5382">
        <w:rPr>
          <w:rStyle w:val="AERtextitalic"/>
        </w:rPr>
        <w:t>Revenue proposal</w:t>
      </w:r>
      <w:r>
        <w:t xml:space="preserve">, pp. 157–8. </w:t>
      </w:r>
    </w:p>
    <w:p w:rsidR="0088341A" w:rsidRDefault="0088341A" w:rsidP="00682A64">
      <w:pPr>
        <w:pStyle w:val="AERtablesource"/>
      </w:pPr>
      <w:r>
        <w:t xml:space="preserve">n/a: </w:t>
      </w:r>
      <w:r>
        <w:tab/>
        <w:t>not available. Reporting only parameters.</w:t>
      </w:r>
    </w:p>
    <w:p w:rsidR="0088341A" w:rsidRDefault="0088341A" w:rsidP="0088341A">
      <w:pPr>
        <w:pStyle w:val="AERbodytext"/>
        <w:numPr>
          <w:ilvl w:val="0"/>
          <w:numId w:val="0"/>
        </w:numPr>
      </w:pPr>
      <w:r>
        <w:t>The distribution selected to calculate the caps and collars for a particular parameter must be conceptually sound. The following principles should be applied when selecting a distribution to calculate caps and collars:</w:t>
      </w:r>
    </w:p>
    <w:p w:rsidR="0088341A" w:rsidRDefault="0088341A" w:rsidP="0088341A">
      <w:pPr>
        <w:pStyle w:val="AERbulletlistfirststyle"/>
      </w:pPr>
      <w:r>
        <w:t xml:space="preserve">the chosen distribution should reflect any inherent skewness of the performance data. </w:t>
      </w:r>
    </w:p>
    <w:p w:rsidR="0088341A" w:rsidRDefault="0088341A" w:rsidP="0088341A">
      <w:pPr>
        <w:pStyle w:val="AERbulletlistfirststyle"/>
      </w:pPr>
      <w:r>
        <w:t xml:space="preserve">the distribution should not imply that impossible values are reasonably likely. For example, the distribution for an average circuit outage rate subparameter should not imply that values below zero per cent are reasonably likely. </w:t>
      </w:r>
    </w:p>
    <w:p w:rsidR="0088341A" w:rsidRDefault="0088341A" w:rsidP="0088341A">
      <w:pPr>
        <w:pStyle w:val="AERbulletlistfirststyle"/>
      </w:pPr>
      <w:r>
        <w:t xml:space="preserve">discrete distributions should be used to represent discrete data. For example, a discrete distribution such as the Poisson distribution should be used when calculating caps and collars for loss of supply subparameters. Continuous distributions should not be used. </w:t>
      </w:r>
    </w:p>
    <w:p w:rsidR="0088341A" w:rsidRDefault="0088341A" w:rsidP="0088341A">
      <w:pPr>
        <w:pStyle w:val="AERbulletlistfirststyle"/>
      </w:pPr>
      <w:r>
        <w:t xml:space="preserve">Using standard deviations to set caps and collars is appropriate when a normal distribution is selected. However, when asymmetric distributions are selected, the better measure to use </w:t>
      </w:r>
      <w:r w:rsidR="00DB180C">
        <w:t>is</w:t>
      </w:r>
      <w:r>
        <w:t xml:space="preserve"> the percentiles.</w:t>
      </w:r>
      <w:r>
        <w:rPr>
          <w:rStyle w:val="FootnoteReference"/>
        </w:rPr>
        <w:footnoteReference w:id="522"/>
      </w:r>
      <w:r>
        <w:t xml:space="preserve"> The 5th and 95th percentiles of an asymmetric distribution are the </w:t>
      </w:r>
      <w:r>
        <w:lastRenderedPageBreak/>
        <w:t xml:space="preserve">equivalent of being two standard deviations from the mean in a normal distribution. Given the distributions recommended by EMCa are all asymmetric distributions, the caps and collars applied in this draft decision have been based on the 5th and 95th percentiles rather than two standard deviations from the mean. </w:t>
      </w:r>
    </w:p>
    <w:p w:rsidR="0088341A" w:rsidRDefault="0088341A" w:rsidP="0088341A">
      <w:pPr>
        <w:pStyle w:val="AERbodytext"/>
        <w:numPr>
          <w:ilvl w:val="0"/>
          <w:numId w:val="1"/>
        </w:numPr>
      </w:pPr>
      <w:r>
        <w:t>SP AusNet's proposed distributions are conceptually sound, with the exception of:</w:t>
      </w:r>
    </w:p>
    <w:p w:rsidR="0088341A" w:rsidRDefault="0088341A" w:rsidP="0088341A">
      <w:pPr>
        <w:pStyle w:val="AERbulletlistfirststyle"/>
      </w:pPr>
      <w:r>
        <w:t>the use of the integer uniform distribution for 'loss of supply events &gt; 0.3 system minutes'</w:t>
      </w:r>
    </w:p>
    <w:p w:rsidR="0088341A" w:rsidRDefault="0088341A" w:rsidP="0088341A">
      <w:pPr>
        <w:pStyle w:val="AERbulletlistfirststyle"/>
      </w:pPr>
      <w:r>
        <w:t xml:space="preserve">the use of a normal distribution for the 'material failure of SCADA' subparameter. </w:t>
      </w:r>
    </w:p>
    <w:p w:rsidR="0088341A" w:rsidRDefault="0088341A" w:rsidP="0088341A">
      <w:pPr>
        <w:pStyle w:val="AERbodytext"/>
        <w:numPr>
          <w:ilvl w:val="0"/>
          <w:numId w:val="1"/>
        </w:numPr>
      </w:pPr>
      <w:r>
        <w:t>The integer uniform distribution admits only those values within the data set, unless a maximum possible value is specified in the application of the distribution. This means that values outside the data set of five years used by SP AusNet to calculate its distribution are not possible under the integer uniform distribution. This is not conceptually sound. Further, the use of a normal distribution for the 'material failure of SCADA' subparameter is inappropriate as it admits values below zero events as reasonably likely. It also is not a discrete distribution, which should be used for discrete event data. We note that SP AusNet did not request its consultant, Parson Brinkerhoff (PB), to determine a distribution of best fit for this subparameter. SP AusNet appear</w:t>
      </w:r>
      <w:r w:rsidR="00DB180C">
        <w:t>s</w:t>
      </w:r>
      <w:r>
        <w:t xml:space="preserve"> to have selected this distribution. There is not a sound basis for selecting a normal distribution. </w:t>
      </w:r>
    </w:p>
    <w:p w:rsidR="0088341A" w:rsidRDefault="0088341A" w:rsidP="0088341A">
      <w:pPr>
        <w:pStyle w:val="AERbodytext"/>
        <w:numPr>
          <w:ilvl w:val="0"/>
          <w:numId w:val="1"/>
        </w:numPr>
      </w:pPr>
      <w:r>
        <w:t>We used EMCa's advice to determine alternative distributions and cap and collar values. EMCa considered that the Poisson distribution is appropriate for the 'loss of supply events &gt; 0.3 system minutes' subparameter, as it admits data outside the range used to calculate the distribution of best fit.</w:t>
      </w:r>
      <w:r>
        <w:rPr>
          <w:rStyle w:val="FootnoteReference"/>
        </w:rPr>
        <w:footnoteReference w:id="523"/>
      </w:r>
      <w:r>
        <w:t xml:space="preserve"> EMCa considered the Poisson distribution was an appropriate distribution to use for the 'material failure of SCADA' subparameter. EMCa also calculated the caps and collars using the 5</w:t>
      </w:r>
      <w:r w:rsidRPr="00054690">
        <w:rPr>
          <w:vertAlign w:val="superscript"/>
        </w:rPr>
        <w:t>th</w:t>
      </w:r>
      <w:r>
        <w:t>/95</w:t>
      </w:r>
      <w:r w:rsidRPr="00054690">
        <w:rPr>
          <w:vertAlign w:val="superscript"/>
        </w:rPr>
        <w:t>th</w:t>
      </w:r>
      <w:r>
        <w:t xml:space="preserve"> percentile approach. We have applied EMCa’s cap and collar values as we consider they are conceptually sound and reasonable. </w:t>
      </w:r>
    </w:p>
    <w:p w:rsidR="0088341A" w:rsidRDefault="0088341A" w:rsidP="00682A64">
      <w:pPr>
        <w:pStyle w:val="Caption"/>
        <w:keepLines/>
      </w:pPr>
      <w:r>
        <w:lastRenderedPageBreak/>
        <w:t xml:space="preserve">Table </w:t>
      </w:r>
      <w:fldSimple w:instr=" STYLEREF 1 \s ">
        <w:r w:rsidR="004F35AA">
          <w:rPr>
            <w:noProof/>
          </w:rPr>
          <w:t>9</w:t>
        </w:r>
      </w:fldSimple>
      <w:r w:rsidR="00C56A87">
        <w:t>.</w:t>
      </w:r>
      <w:fldSimple w:instr=" SEQ Table \* ARABIC \s 1 ">
        <w:r w:rsidR="004F35AA">
          <w:rPr>
            <w:noProof/>
          </w:rPr>
          <w:t>7</w:t>
        </w:r>
      </w:fldSimple>
      <w:r>
        <w:tab/>
        <w:t xml:space="preserve">Comparison of SP AusNet's proposed cap and collar values with the AER's draft decision cap and collar values </w:t>
      </w:r>
    </w:p>
    <w:tbl>
      <w:tblPr>
        <w:tblStyle w:val="AERtable-numbers"/>
        <w:tblW w:w="0" w:type="auto"/>
        <w:tblLook w:val="04A0" w:firstRow="1" w:lastRow="0" w:firstColumn="1" w:lastColumn="0" w:noHBand="0" w:noVBand="1"/>
      </w:tblPr>
      <w:tblGrid>
        <w:gridCol w:w="3085"/>
        <w:gridCol w:w="1418"/>
        <w:gridCol w:w="1559"/>
        <w:gridCol w:w="1701"/>
        <w:gridCol w:w="1276"/>
      </w:tblGrid>
      <w:tr w:rsidR="0088341A" w:rsidRPr="00682A64" w:rsidTr="00682A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682A64">
            <w:pPr>
              <w:pStyle w:val="AERtabletextleft"/>
              <w:keepNext/>
              <w:keepLines/>
            </w:pPr>
          </w:p>
        </w:tc>
        <w:tc>
          <w:tcPr>
            <w:tcW w:w="2977" w:type="dxa"/>
            <w:gridSpan w:val="2"/>
          </w:tcPr>
          <w:p w:rsidR="0088341A" w:rsidRPr="00682A64" w:rsidRDefault="0088341A" w:rsidP="00682A64">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682A64">
              <w:t>SP AusNet proposed values</w:t>
            </w:r>
          </w:p>
        </w:tc>
        <w:tc>
          <w:tcPr>
            <w:tcW w:w="2977" w:type="dxa"/>
            <w:gridSpan w:val="2"/>
          </w:tcPr>
          <w:p w:rsidR="0088341A" w:rsidRPr="00682A64" w:rsidRDefault="0088341A" w:rsidP="00682A64">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682A64">
              <w:t>AER draft decision values</w:t>
            </w:r>
          </w:p>
        </w:tc>
      </w:tr>
      <w:tr w:rsidR="0088341A" w:rsidRPr="00682A64" w:rsidTr="00682A64">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682A64">
            <w:pPr>
              <w:pStyle w:val="AERtabletextleft"/>
              <w:keepNext/>
              <w:keepLines/>
            </w:pPr>
          </w:p>
        </w:tc>
        <w:tc>
          <w:tcPr>
            <w:tcW w:w="1418" w:type="dxa"/>
          </w:tcPr>
          <w:p w:rsidR="0088341A" w:rsidRPr="00682A64" w:rsidRDefault="0088341A" w:rsidP="00682A64">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682A64">
              <w:t>Collar</w:t>
            </w:r>
          </w:p>
        </w:tc>
        <w:tc>
          <w:tcPr>
            <w:tcW w:w="1559" w:type="dxa"/>
          </w:tcPr>
          <w:p w:rsidR="0088341A" w:rsidRPr="00682A64" w:rsidRDefault="0088341A" w:rsidP="00682A64">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682A64">
              <w:t>Cap</w:t>
            </w:r>
          </w:p>
        </w:tc>
        <w:tc>
          <w:tcPr>
            <w:tcW w:w="1701" w:type="dxa"/>
          </w:tcPr>
          <w:p w:rsidR="0088341A" w:rsidRPr="00682A64" w:rsidRDefault="0088341A" w:rsidP="00682A64">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682A64">
              <w:t xml:space="preserve">Collar </w:t>
            </w:r>
          </w:p>
        </w:tc>
        <w:tc>
          <w:tcPr>
            <w:tcW w:w="1276" w:type="dxa"/>
          </w:tcPr>
          <w:p w:rsidR="0088341A" w:rsidRPr="00682A64" w:rsidRDefault="0088341A" w:rsidP="00682A64">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682A64">
              <w:t>Cap</w:t>
            </w:r>
          </w:p>
        </w:tc>
      </w:tr>
      <w:tr w:rsidR="0088341A" w:rsidRPr="00682A64" w:rsidTr="00682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88341A" w:rsidRPr="001B34FF" w:rsidRDefault="0088341A" w:rsidP="00682A64">
            <w:pPr>
              <w:pStyle w:val="AERtabletextleft"/>
              <w:keepNext/>
              <w:keepLines/>
              <w:rPr>
                <w:b/>
              </w:rPr>
            </w:pPr>
            <w:r w:rsidRPr="001B34FF">
              <w:rPr>
                <w:b/>
              </w:rPr>
              <w:t>Average circuit outage rate</w:t>
            </w:r>
          </w:p>
        </w:tc>
        <w:tc>
          <w:tcPr>
            <w:tcW w:w="1418" w:type="dxa"/>
          </w:tcPr>
          <w:p w:rsidR="0088341A" w:rsidRPr="00682A64" w:rsidRDefault="0088341A" w:rsidP="00682A64">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1559" w:type="dxa"/>
          </w:tcPr>
          <w:p w:rsidR="0088341A" w:rsidRPr="00682A64" w:rsidRDefault="0088341A" w:rsidP="00682A64">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1701" w:type="dxa"/>
          </w:tcPr>
          <w:p w:rsidR="0088341A" w:rsidRPr="00682A64" w:rsidRDefault="0088341A" w:rsidP="00682A64">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1276" w:type="dxa"/>
          </w:tcPr>
          <w:p w:rsidR="0088341A" w:rsidRPr="00682A64" w:rsidRDefault="0088341A" w:rsidP="00682A64">
            <w:pPr>
              <w:pStyle w:val="AERtabletextright"/>
              <w:keepNext/>
              <w:keepLines/>
              <w:cnfStyle w:val="000000010000" w:firstRow="0" w:lastRow="0" w:firstColumn="0" w:lastColumn="0" w:oddVBand="0" w:evenVBand="0" w:oddHBand="0" w:evenHBand="1" w:firstRowFirstColumn="0" w:firstRowLastColumn="0" w:lastRowFirstColumn="0" w:lastRowLastColumn="0"/>
            </w:pPr>
          </w:p>
        </w:tc>
      </w:tr>
      <w:tr w:rsidR="0088341A" w:rsidRPr="00682A64" w:rsidTr="00682A64">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682A64">
            <w:pPr>
              <w:pStyle w:val="AERtabletextleft"/>
              <w:keepNext/>
              <w:keepLines/>
            </w:pPr>
            <w:r w:rsidRPr="00682A64">
              <w:t>Line outage – fault</w:t>
            </w:r>
          </w:p>
        </w:tc>
        <w:tc>
          <w:tcPr>
            <w:tcW w:w="1418" w:type="dxa"/>
          </w:tcPr>
          <w:p w:rsidR="0088341A" w:rsidRPr="00682A64" w:rsidRDefault="0088341A" w:rsidP="00682A64">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682A64">
              <w:t>43.9%</w:t>
            </w:r>
          </w:p>
        </w:tc>
        <w:tc>
          <w:tcPr>
            <w:tcW w:w="1559" w:type="dxa"/>
          </w:tcPr>
          <w:p w:rsidR="0088341A" w:rsidRPr="00682A64" w:rsidRDefault="0088341A" w:rsidP="00682A64">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682A64">
              <w:t>7.9%</w:t>
            </w:r>
          </w:p>
        </w:tc>
        <w:tc>
          <w:tcPr>
            <w:tcW w:w="1701" w:type="dxa"/>
          </w:tcPr>
          <w:p w:rsidR="0088341A" w:rsidRPr="00682A64" w:rsidRDefault="0088341A" w:rsidP="00682A64">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682A64">
              <w:t>42.0%</w:t>
            </w:r>
          </w:p>
        </w:tc>
        <w:tc>
          <w:tcPr>
            <w:tcW w:w="1276" w:type="dxa"/>
          </w:tcPr>
          <w:p w:rsidR="0088341A" w:rsidRPr="00682A64" w:rsidRDefault="0088341A" w:rsidP="00682A64">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682A64">
              <w:t>14.8%</w:t>
            </w:r>
          </w:p>
        </w:tc>
      </w:tr>
      <w:tr w:rsidR="0088341A" w:rsidRPr="00682A64" w:rsidTr="00682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682A64">
            <w:pPr>
              <w:pStyle w:val="AERtabletextleft"/>
              <w:keepNext/>
              <w:keepLines/>
            </w:pPr>
            <w:r w:rsidRPr="00682A64">
              <w:t>Transformer – fault</w:t>
            </w:r>
          </w:p>
        </w:tc>
        <w:tc>
          <w:tcPr>
            <w:tcW w:w="1418" w:type="dxa"/>
          </w:tcPr>
          <w:p w:rsidR="0088341A" w:rsidRPr="00682A64" w:rsidRDefault="0088341A" w:rsidP="00682A64">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682A64">
              <w:t>33.1%</w:t>
            </w:r>
          </w:p>
        </w:tc>
        <w:tc>
          <w:tcPr>
            <w:tcW w:w="1559" w:type="dxa"/>
          </w:tcPr>
          <w:p w:rsidR="0088341A" w:rsidRPr="00682A64" w:rsidRDefault="0088341A" w:rsidP="00682A64">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682A64">
              <w:t>7.6%</w:t>
            </w:r>
          </w:p>
        </w:tc>
        <w:tc>
          <w:tcPr>
            <w:tcW w:w="1701" w:type="dxa"/>
          </w:tcPr>
          <w:p w:rsidR="0088341A" w:rsidRPr="00682A64" w:rsidRDefault="0088341A" w:rsidP="00682A64">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682A64">
              <w:t>31.7%</w:t>
            </w:r>
          </w:p>
        </w:tc>
        <w:tc>
          <w:tcPr>
            <w:tcW w:w="1276" w:type="dxa"/>
          </w:tcPr>
          <w:p w:rsidR="0088341A" w:rsidRPr="00682A64" w:rsidRDefault="0088341A" w:rsidP="00682A64">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682A64">
              <w:t>7.4%</w:t>
            </w:r>
          </w:p>
        </w:tc>
      </w:tr>
      <w:tr w:rsidR="0088341A" w:rsidRPr="00682A64" w:rsidTr="00682A64">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682A64">
            <w:pPr>
              <w:pStyle w:val="AERtabletextleft"/>
              <w:keepNext/>
              <w:keepLines/>
            </w:pPr>
            <w:r w:rsidRPr="00682A64">
              <w:t>Reactive plant – fault</w:t>
            </w:r>
          </w:p>
        </w:tc>
        <w:tc>
          <w:tcPr>
            <w:tcW w:w="1418" w:type="dxa"/>
          </w:tcPr>
          <w:p w:rsidR="0088341A" w:rsidRPr="00682A64" w:rsidRDefault="0088341A" w:rsidP="00682A64">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682A64">
              <w:t>45.3%</w:t>
            </w:r>
          </w:p>
        </w:tc>
        <w:tc>
          <w:tcPr>
            <w:tcW w:w="1559" w:type="dxa"/>
          </w:tcPr>
          <w:p w:rsidR="0088341A" w:rsidRPr="00682A64" w:rsidRDefault="0088341A" w:rsidP="00682A64">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682A64">
              <w:t>19.7%</w:t>
            </w:r>
          </w:p>
        </w:tc>
        <w:tc>
          <w:tcPr>
            <w:tcW w:w="1701" w:type="dxa"/>
          </w:tcPr>
          <w:p w:rsidR="0088341A" w:rsidRPr="00682A64" w:rsidRDefault="0088341A" w:rsidP="00682A64">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682A64">
              <w:t>43.8%</w:t>
            </w:r>
          </w:p>
        </w:tc>
        <w:tc>
          <w:tcPr>
            <w:tcW w:w="1276" w:type="dxa"/>
          </w:tcPr>
          <w:p w:rsidR="0088341A" w:rsidRPr="00682A64" w:rsidRDefault="0088341A" w:rsidP="00682A64">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682A64">
              <w:t>23.4%</w:t>
            </w:r>
          </w:p>
        </w:tc>
      </w:tr>
      <w:tr w:rsidR="0088341A" w:rsidRPr="00682A64" w:rsidTr="00682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682A64">
            <w:pPr>
              <w:pStyle w:val="AERtabletextleft"/>
              <w:keepNext/>
              <w:keepLines/>
            </w:pPr>
            <w:r w:rsidRPr="00682A64">
              <w:t>Line outage – forced</w:t>
            </w:r>
          </w:p>
        </w:tc>
        <w:tc>
          <w:tcPr>
            <w:tcW w:w="1418" w:type="dxa"/>
          </w:tcPr>
          <w:p w:rsidR="0088341A" w:rsidRPr="00682A64" w:rsidRDefault="0088341A" w:rsidP="00682A64">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682A64">
              <w:t>18.3%</w:t>
            </w:r>
          </w:p>
        </w:tc>
        <w:tc>
          <w:tcPr>
            <w:tcW w:w="1559" w:type="dxa"/>
          </w:tcPr>
          <w:p w:rsidR="0088341A" w:rsidRPr="00682A64" w:rsidRDefault="0088341A" w:rsidP="00682A64">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682A64">
              <w:t>11.5%</w:t>
            </w:r>
          </w:p>
        </w:tc>
        <w:tc>
          <w:tcPr>
            <w:tcW w:w="1701" w:type="dxa"/>
          </w:tcPr>
          <w:p w:rsidR="0088341A" w:rsidRPr="00682A64" w:rsidRDefault="0088341A" w:rsidP="00682A64">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682A64">
              <w:t>17.7%</w:t>
            </w:r>
          </w:p>
        </w:tc>
        <w:tc>
          <w:tcPr>
            <w:tcW w:w="1276" w:type="dxa"/>
          </w:tcPr>
          <w:p w:rsidR="0088341A" w:rsidRPr="00682A64" w:rsidRDefault="0088341A" w:rsidP="00682A64">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682A64">
              <w:t>12.3%</w:t>
            </w:r>
          </w:p>
        </w:tc>
      </w:tr>
      <w:tr w:rsidR="0088341A" w:rsidRPr="00682A64" w:rsidTr="00682A64">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682A64">
            <w:pPr>
              <w:pStyle w:val="AERtabletextleft"/>
              <w:keepNext/>
              <w:keepLines/>
            </w:pPr>
            <w:r w:rsidRPr="00682A64">
              <w:t>Transformer outage – forced</w:t>
            </w:r>
          </w:p>
        </w:tc>
        <w:tc>
          <w:tcPr>
            <w:tcW w:w="1418" w:type="dxa"/>
          </w:tcPr>
          <w:p w:rsidR="0088341A" w:rsidRPr="00682A64" w:rsidRDefault="0088341A" w:rsidP="00682A64">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682A64">
              <w:t>18.8%</w:t>
            </w:r>
          </w:p>
        </w:tc>
        <w:tc>
          <w:tcPr>
            <w:tcW w:w="1559" w:type="dxa"/>
          </w:tcPr>
          <w:p w:rsidR="0088341A" w:rsidRPr="00682A64" w:rsidRDefault="0088341A" w:rsidP="00682A64">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682A64">
              <w:t>5.2%</w:t>
            </w:r>
          </w:p>
        </w:tc>
        <w:tc>
          <w:tcPr>
            <w:tcW w:w="1701" w:type="dxa"/>
          </w:tcPr>
          <w:p w:rsidR="0088341A" w:rsidRPr="00682A64" w:rsidRDefault="0088341A" w:rsidP="00682A64">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682A64">
              <w:t>17.6%</w:t>
            </w:r>
          </w:p>
        </w:tc>
        <w:tc>
          <w:tcPr>
            <w:tcW w:w="1276" w:type="dxa"/>
          </w:tcPr>
          <w:p w:rsidR="0088341A" w:rsidRPr="00682A64" w:rsidRDefault="0088341A" w:rsidP="00682A64">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682A64">
              <w:t>6.2%</w:t>
            </w:r>
          </w:p>
        </w:tc>
      </w:tr>
      <w:tr w:rsidR="0088341A" w:rsidRPr="00682A64" w:rsidTr="00682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682A64">
            <w:pPr>
              <w:pStyle w:val="AERtabletextleft"/>
              <w:keepNext/>
              <w:keepLines/>
            </w:pPr>
            <w:r w:rsidRPr="00682A64">
              <w:t>Reactive plant – forced</w:t>
            </w:r>
          </w:p>
        </w:tc>
        <w:tc>
          <w:tcPr>
            <w:tcW w:w="1418" w:type="dxa"/>
          </w:tcPr>
          <w:p w:rsidR="0088341A" w:rsidRPr="00682A64" w:rsidRDefault="0088341A" w:rsidP="00682A64">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682A64">
              <w:t>30.0%</w:t>
            </w:r>
          </w:p>
        </w:tc>
        <w:tc>
          <w:tcPr>
            <w:tcW w:w="1559" w:type="dxa"/>
          </w:tcPr>
          <w:p w:rsidR="0088341A" w:rsidRPr="00682A64" w:rsidRDefault="0088341A" w:rsidP="00682A64">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682A64">
              <w:t>7.2%</w:t>
            </w:r>
          </w:p>
        </w:tc>
        <w:tc>
          <w:tcPr>
            <w:tcW w:w="1701" w:type="dxa"/>
          </w:tcPr>
          <w:p w:rsidR="0088341A" w:rsidRPr="00682A64" w:rsidRDefault="0088341A" w:rsidP="00682A64">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682A64">
              <w:t>28.3%</w:t>
            </w:r>
          </w:p>
        </w:tc>
        <w:tc>
          <w:tcPr>
            <w:tcW w:w="1276" w:type="dxa"/>
          </w:tcPr>
          <w:p w:rsidR="0088341A" w:rsidRPr="00682A64" w:rsidRDefault="0088341A" w:rsidP="00682A64">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682A64">
              <w:t>3.7%</w:t>
            </w:r>
          </w:p>
        </w:tc>
      </w:tr>
      <w:tr w:rsidR="0088341A" w:rsidRPr="00682A64" w:rsidTr="00682A64">
        <w:tc>
          <w:tcPr>
            <w:cnfStyle w:val="001000000000" w:firstRow="0" w:lastRow="0" w:firstColumn="1" w:lastColumn="0" w:oddVBand="0" w:evenVBand="0" w:oddHBand="0" w:evenHBand="0" w:firstRowFirstColumn="0" w:firstRowLastColumn="0" w:lastRowFirstColumn="0" w:lastRowLastColumn="0"/>
            <w:tcW w:w="3085" w:type="dxa"/>
          </w:tcPr>
          <w:p w:rsidR="0088341A" w:rsidRPr="001B34FF" w:rsidRDefault="0088341A" w:rsidP="00682A64">
            <w:pPr>
              <w:pStyle w:val="AERtabletextleft"/>
              <w:keepNext/>
              <w:keepLines/>
              <w:rPr>
                <w:b/>
              </w:rPr>
            </w:pPr>
            <w:r w:rsidRPr="001B34FF">
              <w:rPr>
                <w:b/>
              </w:rPr>
              <w:t>Loss of supply events</w:t>
            </w:r>
          </w:p>
        </w:tc>
        <w:tc>
          <w:tcPr>
            <w:tcW w:w="1418" w:type="dxa"/>
          </w:tcPr>
          <w:p w:rsidR="0088341A" w:rsidRPr="00682A64" w:rsidRDefault="0088341A" w:rsidP="00682A64">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1559" w:type="dxa"/>
          </w:tcPr>
          <w:p w:rsidR="0088341A" w:rsidRPr="00682A64" w:rsidRDefault="0088341A" w:rsidP="00682A64">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1701" w:type="dxa"/>
          </w:tcPr>
          <w:p w:rsidR="0088341A" w:rsidRPr="00682A64" w:rsidRDefault="0088341A" w:rsidP="00682A64">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1276" w:type="dxa"/>
          </w:tcPr>
          <w:p w:rsidR="0088341A" w:rsidRPr="00682A64" w:rsidRDefault="0088341A" w:rsidP="00682A64">
            <w:pPr>
              <w:pStyle w:val="AERtabletextright"/>
              <w:keepNext/>
              <w:keepLines/>
              <w:cnfStyle w:val="000000000000" w:firstRow="0" w:lastRow="0" w:firstColumn="0" w:lastColumn="0" w:oddVBand="0" w:evenVBand="0" w:oddHBand="0" w:evenHBand="0" w:firstRowFirstColumn="0" w:firstRowLastColumn="0" w:lastRowFirstColumn="0" w:lastRowLastColumn="0"/>
            </w:pPr>
          </w:p>
        </w:tc>
      </w:tr>
      <w:tr w:rsidR="0088341A" w:rsidRPr="00682A64" w:rsidTr="00682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682A64">
            <w:pPr>
              <w:pStyle w:val="AERtabletextleft"/>
              <w:keepNext/>
              <w:keepLines/>
            </w:pPr>
            <w:r w:rsidRPr="00682A64">
              <w:t>&gt; 0.05 system minutes</w:t>
            </w:r>
          </w:p>
        </w:tc>
        <w:tc>
          <w:tcPr>
            <w:tcW w:w="1418" w:type="dxa"/>
          </w:tcPr>
          <w:p w:rsidR="0088341A" w:rsidRPr="00682A64" w:rsidRDefault="0088341A" w:rsidP="00682A64">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682A64">
              <w:t>7</w:t>
            </w:r>
          </w:p>
        </w:tc>
        <w:tc>
          <w:tcPr>
            <w:tcW w:w="1559" w:type="dxa"/>
          </w:tcPr>
          <w:p w:rsidR="0088341A" w:rsidRPr="00682A64" w:rsidRDefault="0088341A" w:rsidP="00682A64">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682A64">
              <w:t>1</w:t>
            </w:r>
          </w:p>
        </w:tc>
        <w:tc>
          <w:tcPr>
            <w:tcW w:w="1701" w:type="dxa"/>
          </w:tcPr>
          <w:p w:rsidR="0088341A" w:rsidRPr="00682A64" w:rsidRDefault="0088341A" w:rsidP="00682A64">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682A64">
              <w:t>6</w:t>
            </w:r>
          </w:p>
        </w:tc>
        <w:tc>
          <w:tcPr>
            <w:tcW w:w="1276" w:type="dxa"/>
          </w:tcPr>
          <w:p w:rsidR="0088341A" w:rsidRPr="00682A64" w:rsidRDefault="0088341A" w:rsidP="00682A64">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682A64">
              <w:t>0</w:t>
            </w:r>
          </w:p>
        </w:tc>
      </w:tr>
      <w:tr w:rsidR="0088341A" w:rsidRPr="00682A64" w:rsidTr="00682A64">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682A64">
            <w:pPr>
              <w:pStyle w:val="AERtabletextleft"/>
              <w:keepNext/>
              <w:keepLines/>
            </w:pPr>
            <w:r w:rsidRPr="00682A64">
              <w:t>&gt;0.3 system minutes</w:t>
            </w:r>
          </w:p>
        </w:tc>
        <w:tc>
          <w:tcPr>
            <w:tcW w:w="1418" w:type="dxa"/>
          </w:tcPr>
          <w:p w:rsidR="0088341A" w:rsidRPr="00682A64" w:rsidRDefault="0088341A" w:rsidP="00682A64">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682A64">
              <w:t>3</w:t>
            </w:r>
          </w:p>
        </w:tc>
        <w:tc>
          <w:tcPr>
            <w:tcW w:w="1559" w:type="dxa"/>
          </w:tcPr>
          <w:p w:rsidR="0088341A" w:rsidRPr="00682A64" w:rsidRDefault="0088341A" w:rsidP="00682A64">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682A64">
              <w:t>0</w:t>
            </w:r>
          </w:p>
        </w:tc>
        <w:tc>
          <w:tcPr>
            <w:tcW w:w="1701" w:type="dxa"/>
          </w:tcPr>
          <w:p w:rsidR="0088341A" w:rsidRPr="00682A64" w:rsidRDefault="0088341A" w:rsidP="00682A64">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682A64">
              <w:t>2</w:t>
            </w:r>
          </w:p>
        </w:tc>
        <w:tc>
          <w:tcPr>
            <w:tcW w:w="1276" w:type="dxa"/>
          </w:tcPr>
          <w:p w:rsidR="0088341A" w:rsidRPr="00682A64" w:rsidRDefault="0088341A" w:rsidP="00682A64">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682A64">
              <w:t>0</w:t>
            </w:r>
          </w:p>
        </w:tc>
      </w:tr>
      <w:tr w:rsidR="0088341A" w:rsidRPr="00682A64" w:rsidTr="00682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88341A" w:rsidRPr="001B34FF" w:rsidRDefault="0088341A" w:rsidP="00682A64">
            <w:pPr>
              <w:pStyle w:val="AERtabletextleft"/>
              <w:keepNext/>
              <w:keepLines/>
              <w:rPr>
                <w:b/>
              </w:rPr>
            </w:pPr>
            <w:r w:rsidRPr="001B34FF">
              <w:rPr>
                <w:b/>
              </w:rPr>
              <w:t>Average outage duration</w:t>
            </w:r>
          </w:p>
        </w:tc>
        <w:tc>
          <w:tcPr>
            <w:tcW w:w="1418" w:type="dxa"/>
          </w:tcPr>
          <w:p w:rsidR="0088341A" w:rsidRPr="00682A64" w:rsidRDefault="0088341A" w:rsidP="00682A64">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1559" w:type="dxa"/>
          </w:tcPr>
          <w:p w:rsidR="0088341A" w:rsidRPr="00682A64" w:rsidRDefault="0088341A" w:rsidP="00682A64">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1701" w:type="dxa"/>
          </w:tcPr>
          <w:p w:rsidR="0088341A" w:rsidRPr="00682A64" w:rsidRDefault="0088341A" w:rsidP="00682A64">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1276" w:type="dxa"/>
          </w:tcPr>
          <w:p w:rsidR="0088341A" w:rsidRPr="00682A64" w:rsidRDefault="0088341A" w:rsidP="00682A64">
            <w:pPr>
              <w:pStyle w:val="AERtabletextright"/>
              <w:keepNext/>
              <w:keepLines/>
              <w:cnfStyle w:val="000000010000" w:firstRow="0" w:lastRow="0" w:firstColumn="0" w:lastColumn="0" w:oddVBand="0" w:evenVBand="0" w:oddHBand="0" w:evenHBand="1" w:firstRowFirstColumn="0" w:firstRowLastColumn="0" w:lastRowFirstColumn="0" w:lastRowLastColumn="0"/>
            </w:pPr>
          </w:p>
        </w:tc>
      </w:tr>
      <w:tr w:rsidR="0088341A" w:rsidRPr="00682A64" w:rsidTr="00682A64">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682A64">
            <w:pPr>
              <w:pStyle w:val="AERtabletextleft"/>
              <w:keepNext/>
              <w:keepLines/>
            </w:pPr>
            <w:r w:rsidRPr="00682A64">
              <w:t>Average outage duration</w:t>
            </w:r>
          </w:p>
        </w:tc>
        <w:tc>
          <w:tcPr>
            <w:tcW w:w="1418" w:type="dxa"/>
          </w:tcPr>
          <w:p w:rsidR="0088341A" w:rsidRPr="00682A64" w:rsidRDefault="0088341A" w:rsidP="00682A64">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682A64">
              <w:t>293.9</w:t>
            </w:r>
          </w:p>
        </w:tc>
        <w:tc>
          <w:tcPr>
            <w:tcW w:w="1559" w:type="dxa"/>
          </w:tcPr>
          <w:p w:rsidR="0088341A" w:rsidRPr="00682A64" w:rsidRDefault="0088341A" w:rsidP="00682A64">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682A64">
              <w:t>0.0</w:t>
            </w:r>
          </w:p>
        </w:tc>
        <w:tc>
          <w:tcPr>
            <w:tcW w:w="1701" w:type="dxa"/>
          </w:tcPr>
          <w:p w:rsidR="0088341A" w:rsidRPr="00682A64" w:rsidRDefault="0088341A" w:rsidP="00682A64">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682A64">
              <w:t>293.5</w:t>
            </w:r>
          </w:p>
        </w:tc>
        <w:tc>
          <w:tcPr>
            <w:tcW w:w="1276" w:type="dxa"/>
          </w:tcPr>
          <w:p w:rsidR="0088341A" w:rsidRPr="00682A64" w:rsidRDefault="0088341A" w:rsidP="00682A64">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682A64">
              <w:t>5</w:t>
            </w:r>
          </w:p>
        </w:tc>
      </w:tr>
      <w:tr w:rsidR="0088341A" w:rsidRPr="00682A64" w:rsidTr="00682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88341A" w:rsidRPr="001B34FF" w:rsidRDefault="0088341A" w:rsidP="00682A64">
            <w:pPr>
              <w:pStyle w:val="AERtabletextleft"/>
              <w:keepNext/>
              <w:keepLines/>
              <w:rPr>
                <w:b/>
              </w:rPr>
            </w:pPr>
            <w:r w:rsidRPr="001B34FF">
              <w:rPr>
                <w:b/>
              </w:rPr>
              <w:t>Proper operation of equipment</w:t>
            </w:r>
          </w:p>
        </w:tc>
        <w:tc>
          <w:tcPr>
            <w:tcW w:w="1418" w:type="dxa"/>
          </w:tcPr>
          <w:p w:rsidR="0088341A" w:rsidRPr="00682A64" w:rsidRDefault="0088341A" w:rsidP="00682A64">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1559" w:type="dxa"/>
          </w:tcPr>
          <w:p w:rsidR="0088341A" w:rsidRPr="00682A64" w:rsidRDefault="0088341A" w:rsidP="00682A64">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1701" w:type="dxa"/>
          </w:tcPr>
          <w:p w:rsidR="0088341A" w:rsidRPr="00682A64" w:rsidRDefault="0088341A" w:rsidP="00682A64">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1276" w:type="dxa"/>
          </w:tcPr>
          <w:p w:rsidR="0088341A" w:rsidRPr="00682A64" w:rsidRDefault="0088341A" w:rsidP="00682A64">
            <w:pPr>
              <w:pStyle w:val="AERtabletextright"/>
              <w:keepNext/>
              <w:keepLines/>
              <w:cnfStyle w:val="000000010000" w:firstRow="0" w:lastRow="0" w:firstColumn="0" w:lastColumn="0" w:oddVBand="0" w:evenVBand="0" w:oddHBand="0" w:evenHBand="1" w:firstRowFirstColumn="0" w:firstRowLastColumn="0" w:lastRowFirstColumn="0" w:lastRowLastColumn="0"/>
            </w:pPr>
          </w:p>
        </w:tc>
      </w:tr>
      <w:tr w:rsidR="0088341A" w:rsidRPr="00682A64" w:rsidTr="00682A64">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682A64">
            <w:pPr>
              <w:pStyle w:val="AERtabletextleft"/>
              <w:keepNext/>
              <w:keepLines/>
            </w:pPr>
            <w:r w:rsidRPr="00682A64">
              <w:t>Failure of protection system</w:t>
            </w:r>
          </w:p>
        </w:tc>
        <w:tc>
          <w:tcPr>
            <w:tcW w:w="1418" w:type="dxa"/>
          </w:tcPr>
          <w:p w:rsidR="0088341A" w:rsidRPr="00682A64" w:rsidRDefault="0088341A" w:rsidP="00682A64">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682A64">
              <w:t>n/a</w:t>
            </w:r>
          </w:p>
        </w:tc>
        <w:tc>
          <w:tcPr>
            <w:tcW w:w="1559" w:type="dxa"/>
          </w:tcPr>
          <w:p w:rsidR="0088341A" w:rsidRPr="00682A64" w:rsidRDefault="0088341A" w:rsidP="00682A64">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682A64">
              <w:t>n/a</w:t>
            </w:r>
          </w:p>
        </w:tc>
        <w:tc>
          <w:tcPr>
            <w:tcW w:w="1701" w:type="dxa"/>
          </w:tcPr>
          <w:p w:rsidR="0088341A" w:rsidRPr="00682A64" w:rsidRDefault="0088341A" w:rsidP="00682A64">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682A64">
              <w:t>n/a</w:t>
            </w:r>
          </w:p>
        </w:tc>
        <w:tc>
          <w:tcPr>
            <w:tcW w:w="1276" w:type="dxa"/>
          </w:tcPr>
          <w:p w:rsidR="0088341A" w:rsidRPr="00682A64" w:rsidRDefault="0088341A" w:rsidP="00682A64">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682A64">
              <w:t>n/a</w:t>
            </w:r>
          </w:p>
        </w:tc>
      </w:tr>
      <w:tr w:rsidR="0088341A" w:rsidRPr="00682A64" w:rsidTr="00682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682A64">
            <w:pPr>
              <w:pStyle w:val="AERtabletextleft"/>
              <w:keepNext/>
              <w:keepLines/>
            </w:pPr>
            <w:r w:rsidRPr="00682A64">
              <w:t>Material failure of SCADA</w:t>
            </w:r>
          </w:p>
        </w:tc>
        <w:tc>
          <w:tcPr>
            <w:tcW w:w="1418" w:type="dxa"/>
          </w:tcPr>
          <w:p w:rsidR="0088341A" w:rsidRPr="00682A64" w:rsidRDefault="0088341A" w:rsidP="00682A64">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682A64">
              <w:t>3</w:t>
            </w:r>
          </w:p>
        </w:tc>
        <w:tc>
          <w:tcPr>
            <w:tcW w:w="1559" w:type="dxa"/>
          </w:tcPr>
          <w:p w:rsidR="0088341A" w:rsidRPr="00682A64" w:rsidRDefault="0088341A" w:rsidP="00682A64">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682A64">
              <w:t>0</w:t>
            </w:r>
          </w:p>
        </w:tc>
        <w:tc>
          <w:tcPr>
            <w:tcW w:w="1701" w:type="dxa"/>
          </w:tcPr>
          <w:p w:rsidR="0088341A" w:rsidRPr="00682A64" w:rsidRDefault="0088341A" w:rsidP="00682A64">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682A64">
              <w:t>2</w:t>
            </w:r>
          </w:p>
        </w:tc>
        <w:tc>
          <w:tcPr>
            <w:tcW w:w="1276" w:type="dxa"/>
          </w:tcPr>
          <w:p w:rsidR="0088341A" w:rsidRPr="00682A64" w:rsidRDefault="0088341A" w:rsidP="00682A64">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682A64">
              <w:t>0</w:t>
            </w:r>
          </w:p>
        </w:tc>
      </w:tr>
      <w:tr w:rsidR="0088341A" w:rsidRPr="00682A64" w:rsidTr="00682A64">
        <w:tc>
          <w:tcPr>
            <w:cnfStyle w:val="001000000000" w:firstRow="0" w:lastRow="0" w:firstColumn="1" w:lastColumn="0" w:oddVBand="0" w:evenVBand="0" w:oddHBand="0" w:evenHBand="0" w:firstRowFirstColumn="0" w:firstRowLastColumn="0" w:lastRowFirstColumn="0" w:lastRowLastColumn="0"/>
            <w:tcW w:w="3085" w:type="dxa"/>
          </w:tcPr>
          <w:p w:rsidR="0088341A" w:rsidRPr="00682A64" w:rsidRDefault="0088341A" w:rsidP="00682A64">
            <w:pPr>
              <w:pStyle w:val="AERtabletextleft"/>
              <w:keepNext/>
              <w:keepLines/>
            </w:pPr>
            <w:r w:rsidRPr="00682A64">
              <w:t>Incorrect operational isolation of primary or secondary equipment</w:t>
            </w:r>
          </w:p>
        </w:tc>
        <w:tc>
          <w:tcPr>
            <w:tcW w:w="1418" w:type="dxa"/>
          </w:tcPr>
          <w:p w:rsidR="0088341A" w:rsidRPr="00682A64" w:rsidRDefault="0088341A" w:rsidP="00682A64">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682A64">
              <w:t>n/a</w:t>
            </w:r>
          </w:p>
        </w:tc>
        <w:tc>
          <w:tcPr>
            <w:tcW w:w="1559" w:type="dxa"/>
          </w:tcPr>
          <w:p w:rsidR="0088341A" w:rsidRPr="00682A64" w:rsidRDefault="0088341A" w:rsidP="00682A64">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682A64">
              <w:t>n/a</w:t>
            </w:r>
          </w:p>
        </w:tc>
        <w:tc>
          <w:tcPr>
            <w:tcW w:w="1701" w:type="dxa"/>
          </w:tcPr>
          <w:p w:rsidR="0088341A" w:rsidRPr="00682A64" w:rsidRDefault="0088341A" w:rsidP="00682A64">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682A64">
              <w:t>n/a</w:t>
            </w:r>
          </w:p>
        </w:tc>
        <w:tc>
          <w:tcPr>
            <w:tcW w:w="1276" w:type="dxa"/>
          </w:tcPr>
          <w:p w:rsidR="0088341A" w:rsidRPr="00682A64" w:rsidRDefault="0088341A" w:rsidP="00682A64">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682A64">
              <w:t>n/a</w:t>
            </w:r>
          </w:p>
        </w:tc>
      </w:tr>
    </w:tbl>
    <w:p w:rsidR="0088341A" w:rsidRPr="00F533F3" w:rsidRDefault="0088341A" w:rsidP="00682A64">
      <w:pPr>
        <w:pStyle w:val="AERtablesource"/>
      </w:pPr>
      <w:r>
        <w:t xml:space="preserve">Source: </w:t>
      </w:r>
      <w:r>
        <w:tab/>
        <w:t xml:space="preserve">SP AusNet, </w:t>
      </w:r>
      <w:r w:rsidRPr="00EB6138">
        <w:rPr>
          <w:rStyle w:val="AERtextitalic"/>
        </w:rPr>
        <w:t>Revenue proposal</w:t>
      </w:r>
      <w:r>
        <w:t xml:space="preserve">, p. 158; EMCa, </w:t>
      </w:r>
      <w:r w:rsidRPr="00EB6138">
        <w:rPr>
          <w:rStyle w:val="AERtextitalic"/>
        </w:rPr>
        <w:t>SP AusNet technical review</w:t>
      </w:r>
      <w:r>
        <w:t xml:space="preserve">, </w:t>
      </w:r>
      <w:r w:rsidR="007C588C">
        <w:t>August</w:t>
      </w:r>
      <w:r>
        <w:t xml:space="preserve"> 2013, p. 104. </w:t>
      </w:r>
    </w:p>
    <w:p w:rsidR="0088341A" w:rsidRPr="006F5EB1" w:rsidRDefault="0088341A" w:rsidP="0088341A">
      <w:pPr>
        <w:pStyle w:val="HeadingBoldItalic"/>
      </w:pPr>
      <w:r>
        <w:t>Setting performance targets</w:t>
      </w:r>
    </w:p>
    <w:p w:rsidR="0088341A" w:rsidRDefault="0088341A" w:rsidP="0088341A">
      <w:pPr>
        <w:pStyle w:val="AERbodytext"/>
        <w:numPr>
          <w:ilvl w:val="0"/>
          <w:numId w:val="1"/>
        </w:numPr>
      </w:pPr>
      <w:r>
        <w:t>Performance targets must equal the TNSP's average performance history over the past five years.</w:t>
      </w:r>
      <w:r>
        <w:rPr>
          <w:rStyle w:val="FootnoteReference"/>
        </w:rPr>
        <w:footnoteReference w:id="524"/>
      </w:r>
      <w:r>
        <w:t xml:space="preserve"> </w:t>
      </w:r>
      <w:r w:rsidR="00DB180C">
        <w:t>We</w:t>
      </w:r>
      <w:r>
        <w:t xml:space="preserve"> generally approved performance targets that are the arithmetic mean of the past five years' performance data. SP AusNet followed this approach for its proposed performance targets. We accept this approach. </w:t>
      </w:r>
    </w:p>
    <w:p w:rsidR="0088341A" w:rsidRDefault="00DB180C" w:rsidP="0088341A">
      <w:pPr>
        <w:pStyle w:val="AERbodytext"/>
        <w:numPr>
          <w:ilvl w:val="0"/>
          <w:numId w:val="1"/>
        </w:numPr>
      </w:pPr>
      <w:r>
        <w:t>We</w:t>
      </w:r>
      <w:r w:rsidR="0088341A">
        <w:t xml:space="preserve"> note EMCa's comments that the performance target should be set equal to the 50th percentile or median of the distribution used to set the caps and collars. This would mean that the caps and collars are set with direct reference to the performance target. The arithmetic average of five years' data and the median of the distribution may be quite different values. However, we consider that the ordinary meaning of the term 'average' in the STPIS is the arithmetic mean or simple average. </w:t>
      </w:r>
      <w:r>
        <w:t>We</w:t>
      </w:r>
      <w:r w:rsidR="0088341A">
        <w:t xml:space="preserve"> accepted SP AusNet's proposed performance targets where they equal the arithmetic average of the most recent five years' performance data. This is consistent with our interpretation of the term in previous transmission determinations. As such, we approve SP AusNet’s proposed performance targets.         </w:t>
      </w:r>
    </w:p>
    <w:p w:rsidR="0088341A" w:rsidRPr="00BD1864" w:rsidRDefault="0088341A" w:rsidP="0088341A">
      <w:pPr>
        <w:pStyle w:val="AERbodytext"/>
        <w:numPr>
          <w:ilvl w:val="0"/>
          <w:numId w:val="1"/>
        </w:numPr>
        <w:rPr>
          <w:rFonts w:ascii="Times New Roman" w:hAnsi="Times New Roman"/>
          <w:sz w:val="24"/>
          <w:lang w:eastAsia="en-AU"/>
        </w:rPr>
      </w:pPr>
      <w:r>
        <w:lastRenderedPageBreak/>
        <w:t>The Energy Users Coalition of Victoria (EUCV) considered that the AER should not accept SP AusNet’s proposal to use a five year average to set performance targets.</w:t>
      </w:r>
      <w:r>
        <w:rPr>
          <w:rStyle w:val="FootnoteReference"/>
        </w:rPr>
        <w:footnoteReference w:id="525"/>
      </w:r>
      <w:r>
        <w:t xml:space="preserve"> However, the STPIS requires targets to be equal to the TNSP’s average performance over the most recent five years.</w:t>
      </w:r>
      <w:r>
        <w:rPr>
          <w:rStyle w:val="FootnoteReference"/>
        </w:rPr>
        <w:footnoteReference w:id="526"/>
      </w:r>
      <w:r>
        <w:t xml:space="preserve"> EUCV noted that the average outage duration target was heavily affected by the performance in 2012. It was concerned that SP AusNet may have deliberately moved outages into 2012 or deliberately performed poorly in 2012 to increase the target.</w:t>
      </w:r>
      <w:r>
        <w:rPr>
          <w:rStyle w:val="FootnoteReference"/>
        </w:rPr>
        <w:footnoteReference w:id="527"/>
      </w:r>
      <w:r>
        <w:t xml:space="preserve"> SP AusNet’s performance in 2012 was affected by a large outage at the Brooklyn Terminal Station.</w:t>
      </w:r>
      <w:r>
        <w:rPr>
          <w:rStyle w:val="FootnoteReference"/>
        </w:rPr>
        <w:footnoteReference w:id="528"/>
      </w:r>
      <w:r>
        <w:t xml:space="preserve"> However, there is no evidence that SP AusNet deliberately performed poorly in 2012 to increase its average outage duration target. As such, we consider that it is reasonable to set SP AusNet’s average outage duration target in accordance with the scheme – that is, equal to its average performance over the most recent five years. It should also be noted that the outage was picked up in SP AusNet’s loss of supply and average outage duration performance for 2012. Consequently, SP AusNet’s performance against these parameters (and its overall STPIS reward) was adversely affected in 2012 as a result of this outage.</w:t>
      </w:r>
      <w:r>
        <w:rPr>
          <w:rFonts w:ascii="Times New Roman" w:hAnsi="Times New Roman"/>
          <w:sz w:val="24"/>
          <w:lang w:eastAsia="en-AU"/>
        </w:rPr>
        <w:t xml:space="preserve"> </w:t>
      </w:r>
      <w:r>
        <w:t xml:space="preserve">  </w:t>
      </w:r>
    </w:p>
    <w:p w:rsidR="0088341A" w:rsidRDefault="0088341A" w:rsidP="0088341A">
      <w:pPr>
        <w:pStyle w:val="HeadingBoldBlue"/>
      </w:pPr>
      <w:r>
        <w:t>Network capability component</w:t>
      </w:r>
    </w:p>
    <w:p w:rsidR="0088341A" w:rsidRDefault="0088341A" w:rsidP="0088341A">
      <w:pPr>
        <w:pStyle w:val="AERbodytext"/>
        <w:numPr>
          <w:ilvl w:val="0"/>
          <w:numId w:val="1"/>
        </w:numPr>
      </w:pPr>
      <w:r>
        <w:t xml:space="preserve">We accept SP AusNet's proposed priority projects and priority project </w:t>
      </w:r>
      <w:r w:rsidRPr="00C23A9A">
        <w:t>improvement targets</w:t>
      </w:r>
      <w:r>
        <w:t>, as submitted on 31 July 2013</w:t>
      </w:r>
      <w:r w:rsidRPr="00C23A9A">
        <w:t>. Under the STPI</w:t>
      </w:r>
      <w:r>
        <w:t>S, a TNSP must consult with AEMO</w:t>
      </w:r>
      <w:r w:rsidRPr="00C23A9A">
        <w:t xml:space="preserve"> </w:t>
      </w:r>
      <w:r>
        <w:t>before</w:t>
      </w:r>
      <w:r w:rsidRPr="00C23A9A">
        <w:t xml:space="preserve"> submitting its </w:t>
      </w:r>
      <w:r>
        <w:t>NCIPAP</w:t>
      </w:r>
      <w:r w:rsidRPr="00C23A9A">
        <w:t xml:space="preserve">. </w:t>
      </w:r>
      <w:r>
        <w:t xml:space="preserve">However, given the short time between the release of the new STPIS and the submission date of SP AusNet’s revenue proposal, SP AusNet was unable to consult with AEMO prior to submitting its revenue proposal and was therefore unable to develop a priority project ranking. We worked with AEMO and SP AusNet to develop a ranking of the proposed network capability projects. AEMO conducted a review of SP AusNet’s proposed projects and proposed an additional seven priority projects. SP AusNet reviewed and costed these additional projects. On the basis of these costs and the expected benefits, AEMO then ranked the priority projects. </w:t>
      </w:r>
    </w:p>
    <w:p w:rsidR="0088341A" w:rsidRDefault="0088341A" w:rsidP="0088341A">
      <w:pPr>
        <w:pStyle w:val="AERbodytext"/>
        <w:numPr>
          <w:ilvl w:val="0"/>
          <w:numId w:val="1"/>
        </w:numPr>
      </w:pPr>
      <w:r>
        <w:t xml:space="preserve">On 31 July 2013 SP AusNet submitted an updated NCIPAP based on AEMO’s ranking of the priority projects and including the additional projects identified by AEMO (table 5). We consider that SP AusNet, in consultation with AEMO, undertook a robust process to identify network constraints. Based on AEMO's review and our review of </w:t>
      </w:r>
      <w:r w:rsidRPr="00963C0E">
        <w:t xml:space="preserve">SP AusNet’s revenue proposal, we accept that SP AusNet's proposed priority projects and priority project improvement targets are consistent with the </w:t>
      </w:r>
      <w:r>
        <w:t>STPIS</w:t>
      </w:r>
      <w:r w:rsidRPr="00963C0E">
        <w:t xml:space="preserve"> </w:t>
      </w:r>
      <w:r>
        <w:t xml:space="preserve">will </w:t>
      </w:r>
      <w:r w:rsidRPr="00963C0E">
        <w:t>lead to a material benefit.</w:t>
      </w:r>
      <w:r w:rsidRPr="00963C0E">
        <w:rPr>
          <w:rStyle w:val="FootnoteReference"/>
        </w:rPr>
        <w:footnoteReference w:id="529"/>
      </w:r>
      <w:r>
        <w:t xml:space="preserve"> The priority project rankings and targets are set out in </w:t>
      </w:r>
      <w:r>
        <w:fldChar w:fldCharType="begin"/>
      </w:r>
      <w:r>
        <w:instrText xml:space="preserve"> REF _Ref363217118 \h </w:instrText>
      </w:r>
      <w:r>
        <w:fldChar w:fldCharType="separate"/>
      </w:r>
      <w:r w:rsidR="004F35AA">
        <w:t xml:space="preserve">Table </w:t>
      </w:r>
      <w:r w:rsidR="004F35AA">
        <w:rPr>
          <w:noProof/>
        </w:rPr>
        <w:t>9</w:t>
      </w:r>
      <w:r w:rsidR="004F35AA">
        <w:t>.</w:t>
      </w:r>
      <w:r w:rsidR="004F35AA">
        <w:rPr>
          <w:noProof/>
        </w:rPr>
        <w:t>2</w:t>
      </w:r>
      <w:r>
        <w:fldChar w:fldCharType="end"/>
      </w:r>
      <w:r>
        <w:t xml:space="preserve">. </w:t>
      </w:r>
    </w:p>
    <w:p w:rsidR="0088341A" w:rsidRDefault="0088341A" w:rsidP="0088341A">
      <w:pPr>
        <w:pStyle w:val="HeadingBoldBlue"/>
      </w:pPr>
      <w:r>
        <w:t>Market impact component</w:t>
      </w:r>
    </w:p>
    <w:p w:rsidR="0088341A" w:rsidRDefault="0088341A" w:rsidP="0088341A">
      <w:pPr>
        <w:pStyle w:val="AERbodytext"/>
        <w:numPr>
          <w:ilvl w:val="0"/>
          <w:numId w:val="0"/>
        </w:numPr>
      </w:pPr>
      <w:r>
        <w:t>In December 2012, we published a new STPIS. It revised the methodology used to calculate the market impact component performance target and actual performance.  It also introduced a new exclusion clause to the market impact component in relation to third party outages.</w:t>
      </w:r>
      <w:r>
        <w:rPr>
          <w:rStyle w:val="FootnoteReference"/>
        </w:rPr>
        <w:footnoteReference w:id="530"/>
      </w:r>
      <w:r>
        <w:t xml:space="preserve"> However, SP AusNet had not incorporated this new clause in the calculation of its market impact component data. We therefore requested that SP AusNet recalculate its data to incorporate this new exclusion. We received this revised data on 31 July 2013. However, this did not provide us with enough time to complete an audit of the data. Given this, we will audit the data and make any necessary adjustments to it in the final decision. We have communicated this approach to SP AusNet prior to the publication of this draft decision. </w:t>
      </w:r>
    </w:p>
    <w:p w:rsidR="0088341A" w:rsidRDefault="0088341A" w:rsidP="0088341A">
      <w:pPr>
        <w:pStyle w:val="AERbodytext"/>
        <w:numPr>
          <w:ilvl w:val="0"/>
          <w:numId w:val="0"/>
        </w:numPr>
        <w:tabs>
          <w:tab w:val="left" w:pos="720"/>
        </w:tabs>
      </w:pPr>
      <w:r>
        <w:lastRenderedPageBreak/>
        <w:t xml:space="preserve">There will be no determination made on SP AusNet performance target for 2014 in the final decision, as SP AusNet’s 2013 performance data will not be available for this calculation. The final determination will report SP AusNet’s performance for 2011 and 2012 which will be used in the calculation of its performance target in the future.  </w:t>
      </w:r>
    </w:p>
    <w:p w:rsidR="0088341A" w:rsidRPr="00316372" w:rsidRDefault="0088341A" w:rsidP="0088341A">
      <w:pPr>
        <w:pStyle w:val="Heading2"/>
        <w:numPr>
          <w:ilvl w:val="2"/>
          <w:numId w:val="20"/>
        </w:numPr>
      </w:pPr>
      <w:bookmarkStart w:id="347" w:name="_Toc365283337"/>
      <w:r>
        <w:t>Revisions</w:t>
      </w:r>
      <w:bookmarkEnd w:id="347"/>
    </w:p>
    <w:p w:rsidR="0088341A" w:rsidRDefault="0088341A" w:rsidP="0088341A">
      <w:pPr>
        <w:pStyle w:val="AERrevisionbox"/>
      </w:pPr>
      <w:r>
        <w:rPr>
          <w:rStyle w:val="AERtextbold"/>
        </w:rPr>
        <w:t>Revision 9</w:t>
      </w:r>
      <w:r w:rsidRPr="00C87760">
        <w:rPr>
          <w:rStyle w:val="AERtextbold"/>
        </w:rPr>
        <w:t>.1:</w:t>
      </w:r>
      <w:r>
        <w:t xml:space="preserve"> </w:t>
      </w:r>
      <w:r w:rsidR="00DB180C">
        <w:tab/>
        <w:t>We</w:t>
      </w:r>
      <w:r>
        <w:t xml:space="preserve"> do not accept SP AusNet’s proposed service component values. </w:t>
      </w:r>
      <w:r w:rsidR="00DB180C">
        <w:t>Our</w:t>
      </w:r>
      <w:r>
        <w:t xml:space="preserve"> draft decision parameter values are set out in </w:t>
      </w:r>
      <w:r>
        <w:fldChar w:fldCharType="begin"/>
      </w:r>
      <w:r>
        <w:instrText xml:space="preserve"> REF _Ref357435873 \h </w:instrText>
      </w:r>
      <w:r>
        <w:fldChar w:fldCharType="separate"/>
      </w:r>
      <w:r w:rsidR="004F35AA">
        <w:t xml:space="preserve">Table </w:t>
      </w:r>
      <w:r w:rsidR="004F35AA">
        <w:rPr>
          <w:noProof/>
        </w:rPr>
        <w:t>9</w:t>
      </w:r>
      <w:r w:rsidR="004F35AA">
        <w:t>.</w:t>
      </w:r>
      <w:r w:rsidR="004F35AA">
        <w:rPr>
          <w:noProof/>
        </w:rPr>
        <w:t>1</w:t>
      </w:r>
      <w:r>
        <w:fldChar w:fldCharType="end"/>
      </w:r>
      <w:r>
        <w:t xml:space="preserve">. </w:t>
      </w:r>
    </w:p>
    <w:p w:rsidR="0088341A" w:rsidRPr="00CE71F2" w:rsidRDefault="0088341A" w:rsidP="0088341A">
      <w:pPr>
        <w:pStyle w:val="AERbodytext"/>
        <w:numPr>
          <w:ilvl w:val="0"/>
          <w:numId w:val="0"/>
        </w:numPr>
      </w:pPr>
    </w:p>
    <w:p w:rsidR="0088341A" w:rsidRPr="008F3D22" w:rsidRDefault="0088341A" w:rsidP="0088341A">
      <w:pPr>
        <w:pStyle w:val="AERbodytext"/>
        <w:numPr>
          <w:ilvl w:val="0"/>
          <w:numId w:val="1"/>
        </w:numPr>
        <w:rPr>
          <w:rStyle w:val="AERbody"/>
        </w:rPr>
        <w:sectPr w:rsidR="0088341A" w:rsidRPr="008F3D22">
          <w:footerReference w:type="default" r:id="rId70"/>
          <w:pgSz w:w="11906" w:h="16838"/>
          <w:pgMar w:top="1440" w:right="1440" w:bottom="1440" w:left="1440" w:header="708" w:footer="708" w:gutter="0"/>
          <w:cols w:space="708"/>
          <w:docGrid w:linePitch="360"/>
        </w:sectPr>
      </w:pPr>
    </w:p>
    <w:p w:rsidR="0088341A" w:rsidRPr="00062319" w:rsidRDefault="0088341A" w:rsidP="0088341A">
      <w:pPr>
        <w:pStyle w:val="Heading1"/>
        <w:numPr>
          <w:ilvl w:val="1"/>
          <w:numId w:val="20"/>
        </w:numPr>
      </w:pPr>
      <w:bookmarkStart w:id="348" w:name="_Ref361743961"/>
      <w:bookmarkStart w:id="349" w:name="_Toc365283338"/>
      <w:bookmarkStart w:id="350" w:name="_Toc365462006"/>
      <w:r w:rsidRPr="00062319">
        <w:lastRenderedPageBreak/>
        <w:t>Efficiency benefit sharing scheme</w:t>
      </w:r>
      <w:bookmarkEnd w:id="348"/>
      <w:bookmarkEnd w:id="349"/>
      <w:bookmarkEnd w:id="350"/>
    </w:p>
    <w:p w:rsidR="0088341A" w:rsidRPr="005420BC" w:rsidRDefault="0088341A" w:rsidP="0088341A">
      <w:pPr>
        <w:pStyle w:val="AERbodytext"/>
        <w:numPr>
          <w:ilvl w:val="0"/>
          <w:numId w:val="3"/>
        </w:numPr>
      </w:pPr>
      <w:r>
        <w:t>The efficiency benefit sharing scheme (EBSS) is a key component of incentive regulation employed under the rules</w:t>
      </w:r>
      <w:r w:rsidRPr="005420BC">
        <w:t xml:space="preserve">. </w:t>
      </w:r>
      <w:r>
        <w:t>Because</w:t>
      </w:r>
      <w:r w:rsidRPr="005420BC">
        <w:t xml:space="preserve"> opex is largely recurrent and predictable, opex in one period is </w:t>
      </w:r>
      <w:r>
        <w:t xml:space="preserve">generally </w:t>
      </w:r>
      <w:r w:rsidRPr="005420BC">
        <w:t xml:space="preserve">a good indicator of opex in the next period. We use </w:t>
      </w:r>
      <w:r>
        <w:t>a T</w:t>
      </w:r>
      <w:r w:rsidRPr="005420BC">
        <w:t xml:space="preserve">NSP's actual opex incurred in </w:t>
      </w:r>
      <w:r>
        <w:t>a chosen base</w:t>
      </w:r>
      <w:r w:rsidRPr="005420BC">
        <w:t xml:space="preserve"> year of the regulatory control period to forecast opex for the next regulatory control period. </w:t>
      </w:r>
      <w:r>
        <w:t>To encourage TNSPs to become more efficient we need to permit them to keep a portion of any reductions in opex they achieve. This is done through the EBSS which lets TNSPs keep efficiency gains for a set number of years, usually five</w:t>
      </w:r>
      <w:r w:rsidRPr="005420BC">
        <w:t xml:space="preserve">. </w:t>
      </w:r>
      <w:r>
        <w:t>They thus</w:t>
      </w:r>
      <w:r w:rsidRPr="005420BC">
        <w:t xml:space="preserve"> </w:t>
      </w:r>
      <w:r>
        <w:t>have</w:t>
      </w:r>
      <w:r w:rsidRPr="005420BC">
        <w:t xml:space="preserve"> a continuous incentive to achieve efficiency gains.</w:t>
      </w:r>
    </w:p>
    <w:p w:rsidR="0088341A" w:rsidRPr="005420BC" w:rsidRDefault="0088341A" w:rsidP="0088341A">
      <w:pPr>
        <w:pStyle w:val="AERbodytext"/>
        <w:numPr>
          <w:ilvl w:val="0"/>
          <w:numId w:val="3"/>
        </w:numPr>
      </w:pPr>
      <w:r>
        <w:t>Under the EBSS,</w:t>
      </w:r>
      <w:r w:rsidRPr="005420BC">
        <w:t xml:space="preserve"> </w:t>
      </w:r>
      <w:r>
        <w:t>T</w:t>
      </w:r>
      <w:r w:rsidRPr="005420BC">
        <w:t>NSPs</w:t>
      </w:r>
      <w:r>
        <w:t xml:space="preserve"> are rewarded for underspending and penalised for overspending the opex allowance</w:t>
      </w:r>
      <w:r w:rsidRPr="005420BC">
        <w:t xml:space="preserve">. Consumers </w:t>
      </w:r>
      <w:r>
        <w:t>benefit from</w:t>
      </w:r>
      <w:r w:rsidRPr="005420BC">
        <w:t xml:space="preserve"> </w:t>
      </w:r>
      <w:r>
        <w:t>an</w:t>
      </w:r>
      <w:r w:rsidRPr="005420BC">
        <w:t xml:space="preserve"> underspend through lower prices in the next regulatory control period</w:t>
      </w:r>
      <w:r>
        <w:t>–that</w:t>
      </w:r>
      <w:r w:rsidRPr="005420BC">
        <w:t xml:space="preserve"> is</w:t>
      </w:r>
      <w:r>
        <w:t>,</w:t>
      </w:r>
      <w:r w:rsidRPr="005420BC">
        <w:t xml:space="preserve"> forecast opex in the next regulatory control period will reflect the </w:t>
      </w:r>
      <w:r>
        <w:t xml:space="preserve">TNSP’s </w:t>
      </w:r>
      <w:r w:rsidRPr="005420BC">
        <w:t>lower level of opex in the current regulatory control period</w:t>
      </w:r>
      <w:r>
        <w:t>, so regulated prices will be lower too</w:t>
      </w:r>
      <w:r w:rsidRPr="005420BC">
        <w:t>.</w:t>
      </w:r>
    </w:p>
    <w:p w:rsidR="0088341A" w:rsidRDefault="0088341A" w:rsidP="0088341A">
      <w:pPr>
        <w:pStyle w:val="AERbodytext"/>
        <w:numPr>
          <w:ilvl w:val="0"/>
          <w:numId w:val="3"/>
        </w:numPr>
      </w:pPr>
      <w:r w:rsidRPr="00154A80">
        <w:t xml:space="preserve">The EBSS that applied to </w:t>
      </w:r>
      <w:r>
        <w:t>SP AusNet</w:t>
      </w:r>
      <w:r w:rsidRPr="00154A80">
        <w:t xml:space="preserve"> during </w:t>
      </w:r>
      <w:r>
        <w:t>the 2008–14</w:t>
      </w:r>
      <w:r w:rsidRPr="00154A80">
        <w:t xml:space="preserve"> regulatory control period was the 'first proposed EBSS'.</w:t>
      </w:r>
      <w:r>
        <w:rPr>
          <w:rStyle w:val="FootnoteReference"/>
        </w:rPr>
        <w:footnoteReference w:id="531"/>
      </w:r>
      <w:r>
        <w:t xml:space="preserve"> </w:t>
      </w:r>
      <w:r w:rsidRPr="00154A80">
        <w:t xml:space="preserve">The </w:t>
      </w:r>
      <w:r>
        <w:t>scheme</w:t>
      </w:r>
      <w:r w:rsidRPr="00154A80">
        <w:t xml:space="preserve"> that will apply to </w:t>
      </w:r>
      <w:r>
        <w:t>SP AusNet</w:t>
      </w:r>
      <w:r w:rsidRPr="00154A80">
        <w:t xml:space="preserve"> for the 201</w:t>
      </w:r>
      <w:r>
        <w:t>4</w:t>
      </w:r>
      <w:r w:rsidRPr="00154A80">
        <w:t>–1</w:t>
      </w:r>
      <w:r>
        <w:t>7</w:t>
      </w:r>
      <w:r w:rsidRPr="00154A80">
        <w:t xml:space="preserve"> regulatory control period is </w:t>
      </w:r>
      <w:r>
        <w:t>version one of the EBSS for electricity TNSPs</w:t>
      </w:r>
      <w:r w:rsidRPr="00154A80">
        <w:t>.</w:t>
      </w:r>
      <w:r>
        <w:rPr>
          <w:rStyle w:val="FootnoteReference"/>
        </w:rPr>
        <w:footnoteReference w:id="532"/>
      </w:r>
      <w:r w:rsidRPr="00154A80">
        <w:t xml:space="preserve"> </w:t>
      </w:r>
    </w:p>
    <w:p w:rsidR="0088341A" w:rsidRPr="00062319" w:rsidRDefault="0088341A" w:rsidP="0088341A">
      <w:pPr>
        <w:pStyle w:val="Heading2"/>
        <w:numPr>
          <w:ilvl w:val="2"/>
          <w:numId w:val="20"/>
        </w:numPr>
      </w:pPr>
      <w:bookmarkStart w:id="351" w:name="_Toc365283339"/>
      <w:r w:rsidRPr="00062319">
        <w:t>Draft decision</w:t>
      </w:r>
      <w:bookmarkEnd w:id="351"/>
    </w:p>
    <w:p w:rsidR="0088341A" w:rsidRDefault="0088341A" w:rsidP="0088341A">
      <w:pPr>
        <w:pStyle w:val="AERbodytext"/>
        <w:numPr>
          <w:ilvl w:val="0"/>
          <w:numId w:val="3"/>
        </w:numPr>
      </w:pPr>
      <w:r w:rsidRPr="00154A80">
        <w:t xml:space="preserve">The </w:t>
      </w:r>
      <w:r>
        <w:t>National Electricity Rules (</w:t>
      </w:r>
      <w:r w:rsidRPr="00154A80">
        <w:t>NER</w:t>
      </w:r>
      <w:r>
        <w:t>)</w:t>
      </w:r>
      <w:r w:rsidRPr="00154A80">
        <w:t xml:space="preserve"> require </w:t>
      </w:r>
      <w:r>
        <w:t>us</w:t>
      </w:r>
      <w:r w:rsidRPr="00154A80">
        <w:t xml:space="preserve"> to </w:t>
      </w:r>
      <w:r>
        <w:t>decide:</w:t>
      </w:r>
      <w:r>
        <w:rPr>
          <w:rStyle w:val="FootnoteReference"/>
        </w:rPr>
        <w:footnoteReference w:id="533"/>
      </w:r>
    </w:p>
    <w:p w:rsidR="0088341A" w:rsidRDefault="0088341A" w:rsidP="0088341A">
      <w:pPr>
        <w:pStyle w:val="AERbulletlistfirststyle"/>
      </w:pPr>
      <w:r w:rsidRPr="00154A80">
        <w:t>the carryover amounts that arise from appl</w:t>
      </w:r>
      <w:r>
        <w:t>ying</w:t>
      </w:r>
      <w:r w:rsidRPr="00154A80">
        <w:t xml:space="preserve"> the EBSS during the 2008</w:t>
      </w:r>
      <w:r>
        <w:t>–14 regulatory control period</w:t>
      </w:r>
      <w:r w:rsidRPr="004C12FF">
        <w:t xml:space="preserve"> </w:t>
      </w:r>
    </w:p>
    <w:p w:rsidR="0088341A" w:rsidRPr="00680F99" w:rsidRDefault="0088341A" w:rsidP="0088341A">
      <w:pPr>
        <w:pStyle w:val="AERbulletlistfirststyle"/>
      </w:pPr>
      <w:r w:rsidRPr="00DF15A0">
        <w:t>how the EBSS will apply to SP AusNet in the 2014–17 regulatory control period.</w:t>
      </w:r>
    </w:p>
    <w:p w:rsidR="0088341A" w:rsidRPr="00DF15A0" w:rsidRDefault="0088341A" w:rsidP="0088341A">
      <w:pPr>
        <w:pStyle w:val="HeadingBoldBlue"/>
      </w:pPr>
      <w:r w:rsidRPr="00DF15A0">
        <w:t>Carryover amounts from the 2008–14 regulatory control period</w:t>
      </w:r>
    </w:p>
    <w:p w:rsidR="0088341A" w:rsidRDefault="0088341A" w:rsidP="0088341A">
      <w:pPr>
        <w:pStyle w:val="AERbodytext"/>
        <w:numPr>
          <w:ilvl w:val="0"/>
          <w:numId w:val="3"/>
        </w:numPr>
      </w:pPr>
      <w:r>
        <w:t>We are</w:t>
      </w:r>
      <w:r w:rsidRPr="00574B9A">
        <w:t xml:space="preserve"> </w:t>
      </w:r>
      <w:r>
        <w:t xml:space="preserve">not </w:t>
      </w:r>
      <w:r w:rsidRPr="00574B9A">
        <w:t xml:space="preserve">satisfied </w:t>
      </w:r>
      <w:r>
        <w:t>SP AusNet's proposed</w:t>
      </w:r>
      <w:r w:rsidRPr="00574B9A">
        <w:t xml:space="preserve"> EBSS carryover</w:t>
      </w:r>
      <w:r>
        <w:t xml:space="preserve"> of </w:t>
      </w:r>
      <w:r w:rsidRPr="00574B9A">
        <w:t>$</w:t>
      </w:r>
      <w:r>
        <w:t>47.1 million</w:t>
      </w:r>
      <w:r w:rsidRPr="00574B9A">
        <w:t xml:space="preserve"> </w:t>
      </w:r>
      <w:r>
        <w:t>from the 2008–14 regulatory control period</w:t>
      </w:r>
      <w:r w:rsidRPr="00574B9A">
        <w:t xml:space="preserve"> compl</w:t>
      </w:r>
      <w:r>
        <w:t>ies</w:t>
      </w:r>
      <w:r w:rsidRPr="00574B9A">
        <w:t xml:space="preserve"> with the </w:t>
      </w:r>
      <w:r>
        <w:t xml:space="preserve">scheme </w:t>
      </w:r>
      <w:r w:rsidRPr="00574B9A">
        <w:t>requirements.</w:t>
      </w:r>
      <w:r>
        <w:t xml:space="preserve"> Rather, having regard to our determination of operating expenditure, we determine that a carryover of $37.2 million would comply with the scheme requirements. The difference in the EBSS carryover proposed by SP </w:t>
      </w:r>
      <w:r w:rsidR="00AD7993">
        <w:t xml:space="preserve">AusNet </w:t>
      </w:r>
      <w:r>
        <w:t>and the amount we accept in this draft decision arises mainly because we</w:t>
      </w:r>
      <w:r w:rsidRPr="00534334">
        <w:t xml:space="preserve"> </w:t>
      </w:r>
      <w:r>
        <w:t>are applying a five year carryover period and not a six year carryover period as proposed</w:t>
      </w:r>
      <w:r w:rsidR="003B662F">
        <w:t>. It is also impacted because we updated 2012–13 expeditures with the audited actuals.</w:t>
      </w:r>
    </w:p>
    <w:p w:rsidR="0088341A" w:rsidRDefault="0088341A" w:rsidP="0088341A">
      <w:pPr>
        <w:pStyle w:val="AERbodytext"/>
        <w:numPr>
          <w:ilvl w:val="0"/>
          <w:numId w:val="3"/>
        </w:numPr>
      </w:pPr>
      <w:r>
        <w:t>We note our draft decision on EBSS is linked with our assessment of opex (as discussed in the opex attachment section 3.3.1). The large carryover amount of $37 million represents a reward to SP AusNet for achieving sustained efficiency gains that it must pass on to customers through a reduced opex requirement in the 2014–17 regulatory control period. This is achieved when we use revealed costs to forecast opex. I</w:t>
      </w:r>
      <w:r w:rsidRPr="009E7ACF">
        <w:t xml:space="preserve">f we were to change our decision on opex in the final decision we would </w:t>
      </w:r>
      <w:r>
        <w:t xml:space="preserve">also need to </w:t>
      </w:r>
      <w:r w:rsidRPr="009E7ACF">
        <w:t>review our decision on the EBSS.</w:t>
      </w:r>
      <w:r>
        <w:t xml:space="preserve"> T</w:t>
      </w:r>
      <w:r w:rsidRPr="004163E7">
        <w:t>he EBSS</w:t>
      </w:r>
      <w:r>
        <w:t xml:space="preserve"> is </w:t>
      </w:r>
      <w:r w:rsidRPr="004163E7">
        <w:t>closely lin</w:t>
      </w:r>
      <w:r w:rsidR="004530EE">
        <w:t>ked with the current method</w:t>
      </w:r>
      <w:r w:rsidRPr="004163E7">
        <w:t xml:space="preserve"> for forecasting opex. That is, a </w:t>
      </w:r>
      <w:r w:rsidR="00AD7993">
        <w:t>T</w:t>
      </w:r>
      <w:r w:rsidRPr="004163E7">
        <w:t xml:space="preserve">NSP's actual opex in one regulatory control period will largely determine its opex allowance in the next regulatory control period (this is discussed in more detail in </w:t>
      </w:r>
      <w:r w:rsidR="00CF22F6">
        <w:lastRenderedPageBreak/>
        <w:t>a</w:t>
      </w:r>
      <w:r w:rsidR="00AD7993">
        <w:t>ttachment 3</w:t>
      </w:r>
      <w:r w:rsidRPr="004163E7">
        <w:t>). To</w:t>
      </w:r>
      <w:r w:rsidR="00AD7993">
        <w:t xml:space="preserve"> the extent that the method</w:t>
      </w:r>
      <w:r w:rsidRPr="004163E7">
        <w:t xml:space="preserve"> for for</w:t>
      </w:r>
      <w:r w:rsidR="004530EE">
        <w:t>ecasting opex changes, the EBSS</w:t>
      </w:r>
      <w:r w:rsidRPr="004163E7">
        <w:t xml:space="preserve"> may also need to be amended so that it still provides </w:t>
      </w:r>
      <w:r w:rsidR="00AD7993">
        <w:t xml:space="preserve">SP AusNet with </w:t>
      </w:r>
      <w:r w:rsidRPr="004163E7">
        <w:t>a continuous incentive</w:t>
      </w:r>
      <w:r w:rsidR="00AD7993">
        <w:t xml:space="preserve"> to reduce opex.</w:t>
      </w:r>
    </w:p>
    <w:p w:rsidR="0088341A" w:rsidRDefault="0088341A" w:rsidP="0088341A">
      <w:pPr>
        <w:pStyle w:val="AERbodytext"/>
        <w:numPr>
          <w:ilvl w:val="0"/>
          <w:numId w:val="3"/>
        </w:numPr>
      </w:pPr>
      <w:r>
        <w:fldChar w:fldCharType="begin"/>
      </w:r>
      <w:r>
        <w:instrText xml:space="preserve"> REF _Ref363578304 \h </w:instrText>
      </w:r>
      <w:r>
        <w:fldChar w:fldCharType="separate"/>
      </w:r>
      <w:r w:rsidR="004F35AA">
        <w:t xml:space="preserve">Table </w:t>
      </w:r>
      <w:r w:rsidR="004F35AA">
        <w:rPr>
          <w:noProof/>
        </w:rPr>
        <w:t>10</w:t>
      </w:r>
      <w:r w:rsidR="004F35AA">
        <w:t>.</w:t>
      </w:r>
      <w:r w:rsidR="004F35AA">
        <w:rPr>
          <w:noProof/>
        </w:rPr>
        <w:t>1</w:t>
      </w:r>
      <w:r>
        <w:fldChar w:fldCharType="end"/>
      </w:r>
      <w:r>
        <w:t xml:space="preserve"> </w:t>
      </w:r>
      <w:r w:rsidRPr="00204E2A">
        <w:t xml:space="preserve">shows the carryover amounts </w:t>
      </w:r>
      <w:r>
        <w:t>that</w:t>
      </w:r>
      <w:r w:rsidRPr="00204E2A">
        <w:t xml:space="preserve"> </w:t>
      </w:r>
      <w:r>
        <w:t>we consider</w:t>
      </w:r>
      <w:r w:rsidRPr="00204E2A">
        <w:t xml:space="preserve"> comply with the EBSS</w:t>
      </w:r>
      <w:r>
        <w:t>, having regard to our decision on opex. It also shows</w:t>
      </w:r>
      <w:r w:rsidRPr="00204E2A">
        <w:t xml:space="preserve"> the </w:t>
      </w:r>
      <w:r>
        <w:t>adjusted</w:t>
      </w:r>
      <w:r w:rsidRPr="00204E2A">
        <w:t xml:space="preserve"> opex forecasts</w:t>
      </w:r>
      <w:r>
        <w:t xml:space="preserve"> for the EBSS for the 2014–17</w:t>
      </w:r>
      <w:r w:rsidRPr="00204E2A">
        <w:t xml:space="preserve"> regulatory control period.</w:t>
      </w:r>
      <w:r>
        <w:t xml:space="preserve"> </w:t>
      </w:r>
    </w:p>
    <w:p w:rsidR="0088341A" w:rsidRDefault="0088341A" w:rsidP="0088341A">
      <w:pPr>
        <w:pStyle w:val="Caption"/>
      </w:pPr>
      <w:bookmarkStart w:id="352" w:name="_Ref363578304"/>
      <w:r>
        <w:t xml:space="preserve">Table </w:t>
      </w:r>
      <w:fldSimple w:instr=" STYLEREF 1 \s ">
        <w:r w:rsidR="004F35AA">
          <w:rPr>
            <w:noProof/>
          </w:rPr>
          <w:t>10</w:t>
        </w:r>
      </w:fldSimple>
      <w:r w:rsidR="00C56A87">
        <w:t>.</w:t>
      </w:r>
      <w:fldSimple w:instr=" SEQ Table \* ARABIC \s 1 ">
        <w:r w:rsidR="004F35AA">
          <w:rPr>
            <w:noProof/>
          </w:rPr>
          <w:t>1</w:t>
        </w:r>
      </w:fldSimple>
      <w:bookmarkEnd w:id="352"/>
      <w:r>
        <w:tab/>
        <w:t xml:space="preserve">AER’s draft </w:t>
      </w:r>
      <w:r w:rsidRPr="00A3346F">
        <w:t xml:space="preserve">decision on </w:t>
      </w:r>
      <w:r>
        <w:t>SP AusNet</w:t>
      </w:r>
      <w:r w:rsidRPr="00A3346F">
        <w:t xml:space="preserve">'s </w:t>
      </w:r>
      <w:r>
        <w:t>carryover amounts</w:t>
      </w:r>
      <w:r w:rsidRPr="00A3346F">
        <w:t xml:space="preserve"> </w:t>
      </w:r>
      <w:r>
        <w:t>and adjusted</w:t>
      </w:r>
      <w:r w:rsidRPr="00A3346F">
        <w:t xml:space="preserve"> </w:t>
      </w:r>
      <w:r>
        <w:t>opex forecast for the EBSS ($ million, 2013–14)</w:t>
      </w:r>
    </w:p>
    <w:tbl>
      <w:tblPr>
        <w:tblW w:w="0" w:type="auto"/>
        <w:tblBorders>
          <w:bottom w:val="single" w:sz="4" w:space="0" w:color="365F91"/>
        </w:tblBorders>
        <w:tblLayout w:type="fixed"/>
        <w:tblLook w:val="04A0" w:firstRow="1" w:lastRow="0" w:firstColumn="1" w:lastColumn="0" w:noHBand="0" w:noVBand="1"/>
      </w:tblPr>
      <w:tblGrid>
        <w:gridCol w:w="3746"/>
        <w:gridCol w:w="1364"/>
        <w:gridCol w:w="1364"/>
        <w:gridCol w:w="1364"/>
        <w:gridCol w:w="1364"/>
      </w:tblGrid>
      <w:tr w:rsidR="0088341A" w:rsidRPr="005B7AD2" w:rsidTr="00EA3FED">
        <w:trPr>
          <w:trHeight w:val="383"/>
        </w:trPr>
        <w:tc>
          <w:tcPr>
            <w:tcW w:w="3746" w:type="dxa"/>
            <w:shd w:val="clear" w:color="auto" w:fill="365F91"/>
            <w:vAlign w:val="center"/>
          </w:tcPr>
          <w:p w:rsidR="0088341A" w:rsidRPr="005B7AD2" w:rsidRDefault="0088341A" w:rsidP="00501137">
            <w:pPr>
              <w:pStyle w:val="AERtabletextright"/>
              <w:keepNext/>
              <w:rPr>
                <w:b/>
                <w:color w:val="FFFFFF"/>
              </w:rPr>
            </w:pPr>
          </w:p>
        </w:tc>
        <w:tc>
          <w:tcPr>
            <w:tcW w:w="1364" w:type="dxa"/>
            <w:shd w:val="clear" w:color="auto" w:fill="365F91"/>
            <w:vAlign w:val="center"/>
          </w:tcPr>
          <w:p w:rsidR="0088341A" w:rsidRPr="005B7AD2" w:rsidRDefault="0088341A" w:rsidP="00501137">
            <w:pPr>
              <w:pStyle w:val="AERtabletextright"/>
              <w:keepNext/>
              <w:rPr>
                <w:b/>
                <w:color w:val="FFFFFF"/>
              </w:rPr>
            </w:pPr>
            <w:r w:rsidRPr="005B7AD2">
              <w:rPr>
                <w:b/>
                <w:color w:val="FFFFFF"/>
              </w:rPr>
              <w:t>2014-15</w:t>
            </w:r>
          </w:p>
        </w:tc>
        <w:tc>
          <w:tcPr>
            <w:tcW w:w="1364" w:type="dxa"/>
            <w:shd w:val="clear" w:color="auto" w:fill="365F91"/>
            <w:vAlign w:val="center"/>
          </w:tcPr>
          <w:p w:rsidR="0088341A" w:rsidRPr="005B7AD2" w:rsidRDefault="0088341A" w:rsidP="00501137">
            <w:pPr>
              <w:pStyle w:val="AERtabletextright"/>
              <w:keepNext/>
              <w:rPr>
                <w:b/>
                <w:color w:val="FFFFFF"/>
              </w:rPr>
            </w:pPr>
            <w:r w:rsidRPr="005B7AD2">
              <w:rPr>
                <w:b/>
                <w:color w:val="FFFFFF"/>
              </w:rPr>
              <w:t>2015-16</w:t>
            </w:r>
          </w:p>
        </w:tc>
        <w:tc>
          <w:tcPr>
            <w:tcW w:w="1364" w:type="dxa"/>
            <w:shd w:val="clear" w:color="auto" w:fill="365F91"/>
            <w:vAlign w:val="center"/>
          </w:tcPr>
          <w:p w:rsidR="0088341A" w:rsidRPr="005B7AD2" w:rsidRDefault="0088341A" w:rsidP="00501137">
            <w:pPr>
              <w:pStyle w:val="AERtabletextright"/>
              <w:keepNext/>
              <w:rPr>
                <w:b/>
                <w:color w:val="FFFFFF"/>
              </w:rPr>
            </w:pPr>
            <w:r w:rsidRPr="005B7AD2">
              <w:rPr>
                <w:b/>
                <w:color w:val="FFFFFF"/>
              </w:rPr>
              <w:t>2016-17</w:t>
            </w:r>
          </w:p>
        </w:tc>
        <w:tc>
          <w:tcPr>
            <w:tcW w:w="1364" w:type="dxa"/>
            <w:shd w:val="clear" w:color="auto" w:fill="365F91"/>
            <w:vAlign w:val="center"/>
          </w:tcPr>
          <w:p w:rsidR="0088341A" w:rsidRPr="005B7AD2" w:rsidRDefault="0088341A" w:rsidP="00501137">
            <w:pPr>
              <w:pStyle w:val="AERtabletextright"/>
              <w:keepNext/>
              <w:rPr>
                <w:b/>
                <w:color w:val="FFFFFF"/>
              </w:rPr>
            </w:pPr>
            <w:r w:rsidRPr="005B7AD2">
              <w:rPr>
                <w:b/>
                <w:color w:val="FFFFFF"/>
              </w:rPr>
              <w:t>Total</w:t>
            </w:r>
          </w:p>
        </w:tc>
      </w:tr>
      <w:tr w:rsidR="0088341A" w:rsidTr="00EA3FED">
        <w:trPr>
          <w:trHeight w:val="531"/>
        </w:trPr>
        <w:tc>
          <w:tcPr>
            <w:tcW w:w="3746" w:type="dxa"/>
            <w:vAlign w:val="center"/>
          </w:tcPr>
          <w:p w:rsidR="0088341A" w:rsidRPr="005B7AD2" w:rsidRDefault="0088341A" w:rsidP="00EA3FED">
            <w:pPr>
              <w:pStyle w:val="AERtabletextleft"/>
            </w:pPr>
            <w:r w:rsidRPr="005B7AD2">
              <w:t>SP AusNet's proposed  carryover</w:t>
            </w:r>
          </w:p>
        </w:tc>
        <w:tc>
          <w:tcPr>
            <w:tcW w:w="1364" w:type="dxa"/>
            <w:vAlign w:val="center"/>
          </w:tcPr>
          <w:p w:rsidR="0088341A" w:rsidRPr="00EA3FED" w:rsidRDefault="0088341A" w:rsidP="00EA3FED">
            <w:pPr>
              <w:pStyle w:val="AERtabletextright"/>
            </w:pPr>
            <w:r w:rsidRPr="00EA3FED">
              <w:t>9.1</w:t>
            </w:r>
          </w:p>
        </w:tc>
        <w:tc>
          <w:tcPr>
            <w:tcW w:w="1364" w:type="dxa"/>
            <w:vAlign w:val="center"/>
          </w:tcPr>
          <w:p w:rsidR="0088341A" w:rsidRPr="00EA3FED" w:rsidRDefault="0088341A" w:rsidP="00EA3FED">
            <w:pPr>
              <w:pStyle w:val="AERtabletextright"/>
            </w:pPr>
            <w:r w:rsidRPr="00EA3FED">
              <w:t>16.8</w:t>
            </w:r>
          </w:p>
        </w:tc>
        <w:tc>
          <w:tcPr>
            <w:tcW w:w="1364" w:type="dxa"/>
            <w:vAlign w:val="center"/>
          </w:tcPr>
          <w:p w:rsidR="0088341A" w:rsidRPr="00EA3FED" w:rsidRDefault="0088341A" w:rsidP="00EA3FED">
            <w:pPr>
              <w:pStyle w:val="AERtabletextright"/>
            </w:pPr>
            <w:r w:rsidRPr="00EA3FED">
              <w:t>21.2</w:t>
            </w:r>
          </w:p>
        </w:tc>
        <w:tc>
          <w:tcPr>
            <w:tcW w:w="1364" w:type="dxa"/>
            <w:vAlign w:val="center"/>
          </w:tcPr>
          <w:p w:rsidR="0088341A" w:rsidRPr="00EA3FED" w:rsidRDefault="0088341A" w:rsidP="00EA3FED">
            <w:pPr>
              <w:pStyle w:val="AERtabletextright"/>
            </w:pPr>
            <w:r w:rsidRPr="00EA3FED">
              <w:t>47.1</w:t>
            </w:r>
          </w:p>
        </w:tc>
      </w:tr>
      <w:tr w:rsidR="0088341A" w:rsidTr="00EA3FED">
        <w:trPr>
          <w:trHeight w:val="531"/>
        </w:trPr>
        <w:tc>
          <w:tcPr>
            <w:tcW w:w="3746" w:type="dxa"/>
            <w:shd w:val="clear" w:color="auto" w:fill="DBE5F1"/>
            <w:vAlign w:val="center"/>
          </w:tcPr>
          <w:p w:rsidR="0088341A" w:rsidRPr="005B7AD2" w:rsidRDefault="0088341A" w:rsidP="00EA3FED">
            <w:pPr>
              <w:pStyle w:val="AERtabletextleft"/>
            </w:pPr>
            <w:r w:rsidRPr="005B7AD2">
              <w:t xml:space="preserve">AER's carryover </w:t>
            </w:r>
          </w:p>
        </w:tc>
        <w:tc>
          <w:tcPr>
            <w:tcW w:w="1364" w:type="dxa"/>
            <w:shd w:val="clear" w:color="auto" w:fill="DBE5F1"/>
            <w:vAlign w:val="bottom"/>
          </w:tcPr>
          <w:p w:rsidR="0088341A" w:rsidRPr="00EA3FED" w:rsidRDefault="0088341A" w:rsidP="00EA3FED">
            <w:pPr>
              <w:pStyle w:val="AERtabletextright"/>
            </w:pPr>
            <w:r w:rsidRPr="00EA3FED">
              <w:t>17.9</w:t>
            </w:r>
          </w:p>
        </w:tc>
        <w:tc>
          <w:tcPr>
            <w:tcW w:w="1364" w:type="dxa"/>
            <w:shd w:val="clear" w:color="auto" w:fill="DBE5F1"/>
            <w:vAlign w:val="bottom"/>
          </w:tcPr>
          <w:p w:rsidR="0088341A" w:rsidRPr="00EA3FED" w:rsidRDefault="0088341A" w:rsidP="00EA3FED">
            <w:pPr>
              <w:pStyle w:val="AERtabletextright"/>
            </w:pPr>
            <w:r w:rsidRPr="00EA3FED">
              <w:t>15.4</w:t>
            </w:r>
          </w:p>
        </w:tc>
        <w:tc>
          <w:tcPr>
            <w:tcW w:w="1364" w:type="dxa"/>
            <w:shd w:val="clear" w:color="auto" w:fill="DBE5F1"/>
            <w:vAlign w:val="bottom"/>
          </w:tcPr>
          <w:p w:rsidR="0088341A" w:rsidRPr="00EA3FED" w:rsidRDefault="0088341A" w:rsidP="00EA3FED">
            <w:pPr>
              <w:pStyle w:val="AERtabletextright"/>
            </w:pPr>
            <w:r w:rsidRPr="00EA3FED">
              <w:t>3.9</w:t>
            </w:r>
          </w:p>
        </w:tc>
        <w:tc>
          <w:tcPr>
            <w:tcW w:w="1364" w:type="dxa"/>
            <w:shd w:val="clear" w:color="auto" w:fill="DBE5F1"/>
            <w:vAlign w:val="bottom"/>
          </w:tcPr>
          <w:p w:rsidR="0088341A" w:rsidRPr="00EA3FED" w:rsidRDefault="0088341A" w:rsidP="00EA3FED">
            <w:pPr>
              <w:pStyle w:val="AERtabletextright"/>
            </w:pPr>
            <w:r w:rsidRPr="00EA3FED">
              <w:t>37.2</w:t>
            </w:r>
          </w:p>
        </w:tc>
      </w:tr>
      <w:tr w:rsidR="0088341A" w:rsidTr="00EA3FED">
        <w:trPr>
          <w:trHeight w:val="568"/>
        </w:trPr>
        <w:tc>
          <w:tcPr>
            <w:tcW w:w="3746" w:type="dxa"/>
            <w:vAlign w:val="center"/>
          </w:tcPr>
          <w:p w:rsidR="0088341A" w:rsidRPr="005B7AD2" w:rsidRDefault="0088341A" w:rsidP="00EA3FED">
            <w:pPr>
              <w:pStyle w:val="AERtabletextleft"/>
            </w:pPr>
            <w:r>
              <w:t>Adjusted</w:t>
            </w:r>
            <w:r w:rsidRPr="005B7AD2">
              <w:t xml:space="preserve"> opex </w:t>
            </w:r>
            <w:r>
              <w:t xml:space="preserve">forecast </w:t>
            </w:r>
            <w:r w:rsidRPr="005B7AD2">
              <w:t xml:space="preserve">for EBSS </w:t>
            </w:r>
          </w:p>
        </w:tc>
        <w:tc>
          <w:tcPr>
            <w:tcW w:w="1364" w:type="dxa"/>
            <w:vAlign w:val="center"/>
          </w:tcPr>
          <w:p w:rsidR="0088341A" w:rsidRPr="00EA3FED" w:rsidRDefault="0088341A" w:rsidP="00EA3FED">
            <w:pPr>
              <w:pStyle w:val="AERtabletextright"/>
              <w:rPr>
                <w:rStyle w:val="AERtextbold"/>
                <w:b w:val="0"/>
              </w:rPr>
            </w:pPr>
            <w:r w:rsidRPr="00EA3FED">
              <w:rPr>
                <w:rStyle w:val="AERtextbold"/>
                <w:b w:val="0"/>
              </w:rPr>
              <w:t xml:space="preserve">75.1 </w:t>
            </w:r>
          </w:p>
        </w:tc>
        <w:tc>
          <w:tcPr>
            <w:tcW w:w="1364" w:type="dxa"/>
            <w:vAlign w:val="center"/>
          </w:tcPr>
          <w:p w:rsidR="0088341A" w:rsidRPr="00EA3FED" w:rsidRDefault="0088341A" w:rsidP="00EA3FED">
            <w:pPr>
              <w:pStyle w:val="AERtabletextright"/>
              <w:rPr>
                <w:rStyle w:val="AERtextbold"/>
                <w:b w:val="0"/>
              </w:rPr>
            </w:pPr>
            <w:r w:rsidRPr="00EA3FED">
              <w:rPr>
                <w:rStyle w:val="AERtextbold"/>
                <w:b w:val="0"/>
              </w:rPr>
              <w:t xml:space="preserve">76.6 </w:t>
            </w:r>
          </w:p>
        </w:tc>
        <w:tc>
          <w:tcPr>
            <w:tcW w:w="1364" w:type="dxa"/>
            <w:vAlign w:val="center"/>
          </w:tcPr>
          <w:p w:rsidR="0088341A" w:rsidRPr="00EA3FED" w:rsidRDefault="0088341A" w:rsidP="00EA3FED">
            <w:pPr>
              <w:pStyle w:val="AERtabletextright"/>
              <w:rPr>
                <w:rStyle w:val="AERtextbold"/>
                <w:b w:val="0"/>
              </w:rPr>
            </w:pPr>
            <w:r w:rsidRPr="00EA3FED">
              <w:rPr>
                <w:rStyle w:val="AERtextbold"/>
                <w:b w:val="0"/>
              </w:rPr>
              <w:t xml:space="preserve">76.7 </w:t>
            </w:r>
          </w:p>
        </w:tc>
        <w:tc>
          <w:tcPr>
            <w:tcW w:w="1364" w:type="dxa"/>
            <w:vAlign w:val="center"/>
          </w:tcPr>
          <w:p w:rsidR="0088341A" w:rsidRPr="00EA3FED" w:rsidRDefault="0088341A" w:rsidP="00EA3FED">
            <w:pPr>
              <w:pStyle w:val="AERtabletextright"/>
              <w:rPr>
                <w:rStyle w:val="AERtextbold"/>
                <w:b w:val="0"/>
              </w:rPr>
            </w:pPr>
            <w:r w:rsidRPr="00EA3FED">
              <w:rPr>
                <w:rStyle w:val="AERtextbold"/>
                <w:b w:val="0"/>
              </w:rPr>
              <w:t xml:space="preserve">228.4 </w:t>
            </w:r>
          </w:p>
        </w:tc>
      </w:tr>
    </w:tbl>
    <w:p w:rsidR="0088341A" w:rsidRDefault="0088341A" w:rsidP="0088341A"/>
    <w:p w:rsidR="0088341A" w:rsidRDefault="0088341A" w:rsidP="0088341A">
      <w:pPr>
        <w:pStyle w:val="HeadingBoldBlue"/>
      </w:pPr>
      <w:r>
        <w:t>H</w:t>
      </w:r>
      <w:r w:rsidRPr="00154A80">
        <w:t xml:space="preserve">ow the EBSS will apply to </w:t>
      </w:r>
      <w:r>
        <w:t>SP AusNet</w:t>
      </w:r>
      <w:r w:rsidRPr="00154A80">
        <w:t xml:space="preserve"> in the 201</w:t>
      </w:r>
      <w:r>
        <w:t>4</w:t>
      </w:r>
      <w:r w:rsidRPr="00154A80">
        <w:t>–1</w:t>
      </w:r>
      <w:r>
        <w:t>7</w:t>
      </w:r>
      <w:r w:rsidRPr="00154A80">
        <w:t xml:space="preserve"> regulatory control period</w:t>
      </w:r>
    </w:p>
    <w:p w:rsidR="0088341A" w:rsidRDefault="0088341A" w:rsidP="0088341A">
      <w:r>
        <w:t xml:space="preserve">When we calculate the carryover amounts for the 2014–17 regulatory control period: </w:t>
      </w:r>
    </w:p>
    <w:p w:rsidR="0088341A" w:rsidRPr="0074463F" w:rsidRDefault="0088341A" w:rsidP="0088341A">
      <w:pPr>
        <w:pStyle w:val="AERbulletlistfirststyle"/>
      </w:pPr>
      <w:r>
        <w:t xml:space="preserve">We will </w:t>
      </w:r>
      <w:r w:rsidRPr="0074463F">
        <w:t xml:space="preserve">not adjust </w:t>
      </w:r>
      <w:r>
        <w:t>forecast</w:t>
      </w:r>
      <w:r w:rsidRPr="0074463F">
        <w:t xml:space="preserve"> opex </w:t>
      </w:r>
      <w:r>
        <w:t>for changes in demand</w:t>
      </w:r>
    </w:p>
    <w:p w:rsidR="0088341A" w:rsidRDefault="0088341A" w:rsidP="0088341A">
      <w:pPr>
        <w:pStyle w:val="AERbulletlistfirststyle"/>
      </w:pPr>
      <w:r>
        <w:t>We will</w:t>
      </w:r>
      <w:r w:rsidRPr="004D3C64">
        <w:t xml:space="preserve"> exclude the cost categories</w:t>
      </w:r>
      <w:r>
        <w:t xml:space="preserve"> set out in section </w:t>
      </w:r>
      <w:r w:rsidR="00AD7993">
        <w:t>5.1</w:t>
      </w:r>
    </w:p>
    <w:p w:rsidR="0088341A" w:rsidRDefault="0088341A" w:rsidP="0088341A">
      <w:pPr>
        <w:pStyle w:val="AERbulletlistfirststyle"/>
      </w:pPr>
      <w:r>
        <w:t>We will adjust actual opex to reverse movements in provisions</w:t>
      </w:r>
    </w:p>
    <w:p w:rsidR="0088341A" w:rsidRPr="006C50BD" w:rsidRDefault="0088341A" w:rsidP="0088341A">
      <w:pPr>
        <w:pStyle w:val="AERbodytext"/>
        <w:numPr>
          <w:ilvl w:val="0"/>
          <w:numId w:val="3"/>
        </w:numPr>
      </w:pPr>
      <w:r>
        <w:t>The length of the carryover period will be the same length as the regulatory control period commencing in 2017.</w:t>
      </w:r>
    </w:p>
    <w:p w:rsidR="0088341A" w:rsidRPr="00062319" w:rsidRDefault="0088341A" w:rsidP="0088341A">
      <w:pPr>
        <w:pStyle w:val="Heading2"/>
        <w:numPr>
          <w:ilvl w:val="2"/>
          <w:numId w:val="20"/>
        </w:numPr>
      </w:pPr>
      <w:bookmarkStart w:id="353" w:name="_Toc365283340"/>
      <w:r w:rsidRPr="00062319">
        <w:t>SP AusNet's proposal</w:t>
      </w:r>
      <w:bookmarkEnd w:id="353"/>
    </w:p>
    <w:p w:rsidR="0088341A" w:rsidRPr="00C900E9" w:rsidRDefault="0088341A" w:rsidP="0088341A">
      <w:pPr>
        <w:pStyle w:val="AERbodytext"/>
        <w:numPr>
          <w:ilvl w:val="0"/>
          <w:numId w:val="3"/>
        </w:numPr>
      </w:pPr>
      <w:r>
        <w:t>SP AusNet</w:t>
      </w:r>
      <w:r w:rsidRPr="00C900E9">
        <w:t xml:space="preserve"> proposed the </w:t>
      </w:r>
      <w:r>
        <w:t>carryover</w:t>
      </w:r>
      <w:r w:rsidRPr="00C900E9">
        <w:t xml:space="preserve"> amount </w:t>
      </w:r>
      <w:r>
        <w:t>for</w:t>
      </w:r>
      <w:r w:rsidRPr="00C900E9">
        <w:t xml:space="preserve"> the EBSS in relation to the 2008–1</w:t>
      </w:r>
      <w:r>
        <w:t>4</w:t>
      </w:r>
      <w:r w:rsidRPr="00C900E9">
        <w:t xml:space="preserve"> regulatory control period</w:t>
      </w:r>
      <w:r>
        <w:t xml:space="preserve">, and </w:t>
      </w:r>
      <w:r w:rsidRPr="00C900E9">
        <w:t>also the values to be a</w:t>
      </w:r>
      <w:r>
        <w:t>ttributed to the EBSS in the 20</w:t>
      </w:r>
      <w:r w:rsidRPr="00C900E9">
        <w:t>1</w:t>
      </w:r>
      <w:r>
        <w:t>4</w:t>
      </w:r>
      <w:r w:rsidRPr="00C900E9">
        <w:t>–1</w:t>
      </w:r>
      <w:r>
        <w:t>7</w:t>
      </w:r>
      <w:r w:rsidRPr="00C900E9">
        <w:t xml:space="preserve"> regulatory control period.</w:t>
      </w:r>
    </w:p>
    <w:p w:rsidR="0088341A" w:rsidRPr="00C900E9" w:rsidRDefault="00AD7993" w:rsidP="0088341A">
      <w:pPr>
        <w:pStyle w:val="HeadingBoldBlue"/>
      </w:pPr>
      <w:r>
        <w:t>Carryover amounts from</w:t>
      </w:r>
      <w:r w:rsidR="0088341A" w:rsidRPr="00C900E9">
        <w:t xml:space="preserve"> the </w:t>
      </w:r>
      <w:r>
        <w:t>2008–14</w:t>
      </w:r>
      <w:r w:rsidR="0088341A" w:rsidRPr="00C900E9">
        <w:t xml:space="preserve"> regulatory control period</w:t>
      </w:r>
    </w:p>
    <w:p w:rsidR="0088341A" w:rsidRDefault="0088341A" w:rsidP="0088341A">
      <w:pPr>
        <w:pStyle w:val="AERbodytext"/>
        <w:numPr>
          <w:ilvl w:val="0"/>
          <w:numId w:val="3"/>
        </w:numPr>
      </w:pPr>
      <w:r>
        <w:t>SP AusNet</w:t>
      </w:r>
      <w:r w:rsidRPr="00C900E9">
        <w:t xml:space="preserve"> proposed </w:t>
      </w:r>
      <w:r>
        <w:t>a total</w:t>
      </w:r>
      <w:r w:rsidRPr="00C900E9">
        <w:t xml:space="preserve"> carryover amount </w:t>
      </w:r>
      <w:r>
        <w:t xml:space="preserve">of </w:t>
      </w:r>
      <w:r w:rsidRPr="00C900E9">
        <w:t>$</w:t>
      </w:r>
      <w:r>
        <w:t>47.1 million</w:t>
      </w:r>
      <w:r w:rsidRPr="00C900E9">
        <w:t xml:space="preserve"> from the EBSS during the </w:t>
      </w:r>
      <w:r>
        <w:br/>
        <w:t>2008–</w:t>
      </w:r>
      <w:r w:rsidRPr="00C900E9">
        <w:t>1</w:t>
      </w:r>
      <w:r>
        <w:t>4 regulatory control period.</w:t>
      </w:r>
      <w:r w:rsidR="00AD7993">
        <w:rPr>
          <w:rStyle w:val="FootnoteReference"/>
        </w:rPr>
        <w:footnoteReference w:id="534"/>
      </w:r>
      <w:r>
        <w:t xml:space="preserve"> It calculated this amount using actuals and estimates of controllable opex, excluding:</w:t>
      </w:r>
    </w:p>
    <w:p w:rsidR="0088341A" w:rsidRDefault="0088341A" w:rsidP="0088341A">
      <w:pPr>
        <w:pStyle w:val="AERbulletlistfirststyle"/>
      </w:pPr>
      <w:r>
        <w:t>easement land tax</w:t>
      </w:r>
    </w:p>
    <w:p w:rsidR="0088341A" w:rsidRDefault="0088341A" w:rsidP="0088341A">
      <w:pPr>
        <w:pStyle w:val="AERbulletlistfirststyle"/>
      </w:pPr>
      <w:r>
        <w:t>self-insurance</w:t>
      </w:r>
    </w:p>
    <w:p w:rsidR="0088341A" w:rsidRDefault="0088341A" w:rsidP="0088341A">
      <w:pPr>
        <w:pStyle w:val="AERbulletlistfirststyle"/>
      </w:pPr>
      <w:r>
        <w:t>rebates made under the Availability Incentive Scheme with AEMO</w:t>
      </w:r>
    </w:p>
    <w:p w:rsidR="0088341A" w:rsidRDefault="0088341A" w:rsidP="0088341A">
      <w:pPr>
        <w:pStyle w:val="AERbulletlistfirststyle"/>
      </w:pPr>
      <w:r>
        <w:t>equity and debt raising costs</w:t>
      </w:r>
    </w:p>
    <w:p w:rsidR="0088341A" w:rsidRDefault="0088341A" w:rsidP="0088341A">
      <w:pPr>
        <w:pStyle w:val="AERbulletlistfirststyle"/>
      </w:pPr>
      <w:r>
        <w:t>efficiency or 'glide path' payments made in respect of the 2003–08 regulatory control period.</w:t>
      </w:r>
    </w:p>
    <w:p w:rsidR="0088341A" w:rsidRPr="00C900E9" w:rsidRDefault="0088341A" w:rsidP="0088341A">
      <w:pPr>
        <w:pStyle w:val="AERbodytext"/>
        <w:numPr>
          <w:ilvl w:val="0"/>
          <w:numId w:val="3"/>
        </w:numPr>
      </w:pPr>
      <w:r>
        <w:lastRenderedPageBreak/>
        <w:t>SP AusNet calculated the carryover amount using 2011–12 as the base year, largely consistent with its approach to calculating its opex forecasts. It also adopted a six year carryover period, although it acknowledged that there did not appear to be authority for a carryover period of longer than 5 years under the first proposed EBSS.</w:t>
      </w:r>
      <w:r w:rsidR="00CF22F6">
        <w:rPr>
          <w:rStyle w:val="FootnoteReference"/>
        </w:rPr>
        <w:footnoteReference w:id="535"/>
      </w:r>
    </w:p>
    <w:p w:rsidR="0088341A" w:rsidRPr="00C900E9" w:rsidRDefault="0088341A" w:rsidP="0088341A">
      <w:pPr>
        <w:pStyle w:val="AERbodytext"/>
        <w:numPr>
          <w:ilvl w:val="0"/>
          <w:numId w:val="3"/>
        </w:numPr>
      </w:pPr>
      <w:r>
        <w:t>SP AusNet</w:t>
      </w:r>
      <w:r w:rsidRPr="00C900E9">
        <w:t xml:space="preserve"> </w:t>
      </w:r>
      <w:r>
        <w:t>did not propose any</w:t>
      </w:r>
      <w:r w:rsidRPr="00C900E9">
        <w:t xml:space="preserve"> </w:t>
      </w:r>
      <w:r>
        <w:t xml:space="preserve">opex changes due to unexpected </w:t>
      </w:r>
      <w:r w:rsidRPr="00C900E9">
        <w:t>changes in demand</w:t>
      </w:r>
      <w:r>
        <w:t xml:space="preserve"> or factors outside its control during the 2008–14 regulatory control period. And it did not</w:t>
      </w:r>
      <w:r w:rsidRPr="00C900E9">
        <w:t xml:space="preserve"> </w:t>
      </w:r>
      <w:r>
        <w:t>change</w:t>
      </w:r>
      <w:r w:rsidRPr="00C900E9">
        <w:t xml:space="preserve"> </w:t>
      </w:r>
      <w:r>
        <w:t xml:space="preserve">its </w:t>
      </w:r>
      <w:r w:rsidRPr="00C900E9">
        <w:t>capitalisation policy.</w:t>
      </w:r>
    </w:p>
    <w:p w:rsidR="0088341A" w:rsidRPr="00C900E9" w:rsidRDefault="0088341A" w:rsidP="0088341A">
      <w:pPr>
        <w:pStyle w:val="HeadingBoldBlue"/>
      </w:pPr>
      <w:r>
        <w:t>Application of the EBSS in 2014–17</w:t>
      </w:r>
    </w:p>
    <w:p w:rsidR="0088341A" w:rsidRDefault="0088341A" w:rsidP="0088341A">
      <w:pPr>
        <w:pStyle w:val="AERbodytext"/>
        <w:numPr>
          <w:ilvl w:val="0"/>
          <w:numId w:val="3"/>
        </w:numPr>
      </w:pPr>
      <w:r>
        <w:t>For applying the EBSS in the 2014–17 regulatory control period, SP AusNet proposed the total carry over amount should be calculated using actuals and estimates of controllable opex, excluding:</w:t>
      </w:r>
    </w:p>
    <w:p w:rsidR="0088341A" w:rsidRDefault="0088341A" w:rsidP="0088341A">
      <w:pPr>
        <w:pStyle w:val="AERbulletlistfirststyle"/>
      </w:pPr>
      <w:r>
        <w:t>easement land tax</w:t>
      </w:r>
    </w:p>
    <w:p w:rsidR="0088341A" w:rsidRDefault="0088341A" w:rsidP="0088341A">
      <w:pPr>
        <w:pStyle w:val="AERbulletlistfirststyle"/>
      </w:pPr>
      <w:r>
        <w:t>self-insurance</w:t>
      </w:r>
    </w:p>
    <w:p w:rsidR="0088341A" w:rsidRDefault="0088341A" w:rsidP="0088341A">
      <w:pPr>
        <w:pStyle w:val="AERbulletlistfirststyle"/>
      </w:pPr>
      <w:r>
        <w:t>rebates made under the Availability Incentive Scheme with AEMO</w:t>
      </w:r>
    </w:p>
    <w:p w:rsidR="0088341A" w:rsidRDefault="0088341A" w:rsidP="0088341A">
      <w:pPr>
        <w:pStyle w:val="AERbulletlistfirststyle"/>
      </w:pPr>
      <w:r>
        <w:t>equity and debt raising costs</w:t>
      </w:r>
    </w:p>
    <w:p w:rsidR="0088341A" w:rsidRDefault="0088341A" w:rsidP="0088341A">
      <w:pPr>
        <w:pStyle w:val="AERbulletlistfirststyle"/>
      </w:pPr>
      <w:r>
        <w:t>EBSS payments made in respect of the 2008–14 regulatory control period.</w:t>
      </w:r>
    </w:p>
    <w:p w:rsidR="0088341A" w:rsidRDefault="0088341A" w:rsidP="0088341A">
      <w:pPr>
        <w:pStyle w:val="AERbodytext"/>
        <w:numPr>
          <w:ilvl w:val="0"/>
          <w:numId w:val="3"/>
        </w:numPr>
      </w:pPr>
      <w:r w:rsidRPr="00EC5C2A">
        <w:t xml:space="preserve">SP AusNet's forecast </w:t>
      </w:r>
      <w:r>
        <w:t>opex</w:t>
      </w:r>
      <w:r w:rsidRPr="00EC5C2A">
        <w:t xml:space="preserve"> does not have a forecast demand growth component.</w:t>
      </w:r>
    </w:p>
    <w:p w:rsidR="0088341A" w:rsidRPr="00EC5C2A" w:rsidRDefault="0088341A" w:rsidP="0088341A">
      <w:pPr>
        <w:pStyle w:val="AERbodytext"/>
        <w:numPr>
          <w:ilvl w:val="0"/>
          <w:numId w:val="3"/>
        </w:numPr>
      </w:pPr>
      <w:r>
        <w:t>SP AusNet proposed a six year carryover period for efficiency gains realised in 2014–17.</w:t>
      </w:r>
    </w:p>
    <w:p w:rsidR="0088341A" w:rsidRPr="00062319" w:rsidRDefault="0088341A" w:rsidP="0088341A">
      <w:pPr>
        <w:pStyle w:val="Heading2"/>
        <w:numPr>
          <w:ilvl w:val="2"/>
          <w:numId w:val="20"/>
        </w:numPr>
      </w:pPr>
      <w:bookmarkStart w:id="354" w:name="_Toc365283341"/>
      <w:r w:rsidRPr="00062319">
        <w:t>Assessment approach</w:t>
      </w:r>
      <w:bookmarkEnd w:id="354"/>
    </w:p>
    <w:p w:rsidR="0088341A" w:rsidRPr="000914D6" w:rsidRDefault="0088341A" w:rsidP="0088341A">
      <w:pPr>
        <w:pStyle w:val="AERbodytext"/>
        <w:numPr>
          <w:ilvl w:val="0"/>
          <w:numId w:val="3"/>
        </w:numPr>
      </w:pPr>
      <w:r>
        <w:t>Our</w:t>
      </w:r>
      <w:r w:rsidRPr="000914D6">
        <w:t xml:space="preserve"> determination </w:t>
      </w:r>
      <w:r>
        <w:t xml:space="preserve">must specify </w:t>
      </w:r>
      <w:r w:rsidRPr="000914D6">
        <w:t xml:space="preserve">how </w:t>
      </w:r>
      <w:r>
        <w:t xml:space="preserve">we will apply </w:t>
      </w:r>
      <w:r w:rsidRPr="000914D6">
        <w:t xml:space="preserve">the EBSS to </w:t>
      </w:r>
      <w:r>
        <w:t>SP AusNet, with</w:t>
      </w:r>
      <w:r w:rsidRPr="000914D6">
        <w:t xml:space="preserve"> regard to the following factors:</w:t>
      </w:r>
      <w:r>
        <w:rPr>
          <w:rStyle w:val="FootnoteReference"/>
        </w:rPr>
        <w:footnoteReference w:id="536"/>
      </w:r>
      <w:r w:rsidRPr="000914D6">
        <w:t xml:space="preserve"> </w:t>
      </w:r>
    </w:p>
    <w:p w:rsidR="0088341A" w:rsidRPr="000914D6" w:rsidRDefault="0088341A" w:rsidP="0088341A">
      <w:pPr>
        <w:pStyle w:val="AERbulletlistfirststyle"/>
      </w:pPr>
      <w:r w:rsidRPr="000914D6">
        <w:t xml:space="preserve">the need to provide </w:t>
      </w:r>
      <w:r>
        <w:t>SP AusNet</w:t>
      </w:r>
      <w:r w:rsidRPr="000914D6">
        <w:t xml:space="preserve"> with a continuous incentive to reduce </w:t>
      </w:r>
      <w:r>
        <w:t>opex</w:t>
      </w:r>
    </w:p>
    <w:p w:rsidR="0088341A" w:rsidRPr="000914D6" w:rsidRDefault="0088341A" w:rsidP="0088341A">
      <w:pPr>
        <w:pStyle w:val="AERbulletlistfirststyle"/>
      </w:pPr>
      <w:r w:rsidRPr="000914D6">
        <w:t xml:space="preserve">the desirability of both rewarding </w:t>
      </w:r>
      <w:r>
        <w:t>SP AusNet</w:t>
      </w:r>
      <w:r w:rsidRPr="000914D6">
        <w:t xml:space="preserve"> for efficiency gains, and penalising it for efficiency losses</w:t>
      </w:r>
    </w:p>
    <w:p w:rsidR="0088341A" w:rsidRPr="000914D6" w:rsidRDefault="0088341A" w:rsidP="0088341A">
      <w:pPr>
        <w:pStyle w:val="AERbulletlistfirststyle"/>
      </w:pPr>
      <w:r w:rsidRPr="000914D6">
        <w:t xml:space="preserve">any incentives that </w:t>
      </w:r>
      <w:r>
        <w:t>SP AusNet</w:t>
      </w:r>
      <w:r w:rsidRPr="000914D6">
        <w:t xml:space="preserve"> may have to inappropriately capitalise </w:t>
      </w:r>
      <w:r>
        <w:t>opex</w:t>
      </w:r>
    </w:p>
    <w:p w:rsidR="0088341A" w:rsidRPr="000914D6" w:rsidRDefault="0088341A" w:rsidP="0088341A">
      <w:pPr>
        <w:pStyle w:val="AERbulletlistfirststyle"/>
      </w:pPr>
      <w:r w:rsidRPr="000914D6">
        <w:t xml:space="preserve">the possible effects of the EBSS on incentives for the </w:t>
      </w:r>
      <w:r>
        <w:t>TNSPs to implement</w:t>
      </w:r>
      <w:r w:rsidRPr="000914D6">
        <w:t xml:space="preserve"> non-network alternatives. </w:t>
      </w:r>
    </w:p>
    <w:p w:rsidR="0088341A" w:rsidRPr="000914D6" w:rsidRDefault="0088341A" w:rsidP="0088341A">
      <w:pPr>
        <w:pStyle w:val="AERbodytext"/>
        <w:numPr>
          <w:ilvl w:val="0"/>
          <w:numId w:val="3"/>
        </w:numPr>
      </w:pPr>
      <w:r>
        <w:t>We</w:t>
      </w:r>
      <w:r w:rsidRPr="000914D6">
        <w:t xml:space="preserve"> must approve the </w:t>
      </w:r>
      <w:r>
        <w:t xml:space="preserve">EBSS </w:t>
      </w:r>
      <w:r w:rsidRPr="000914D6">
        <w:t xml:space="preserve">values proposed by </w:t>
      </w:r>
      <w:r>
        <w:t>SP AusNet</w:t>
      </w:r>
      <w:r w:rsidRPr="000914D6">
        <w:t xml:space="preserve"> if </w:t>
      </w:r>
      <w:r>
        <w:t>we</w:t>
      </w:r>
      <w:r w:rsidRPr="000914D6">
        <w:t xml:space="preserve"> </w:t>
      </w:r>
      <w:r>
        <w:t>are</w:t>
      </w:r>
      <w:r w:rsidRPr="000914D6">
        <w:t xml:space="preserve"> satisfied that those values comply with the req</w:t>
      </w:r>
      <w:r>
        <w:t>uirements set out in the EBSS. And we</w:t>
      </w:r>
      <w:r w:rsidRPr="000914D6">
        <w:t xml:space="preserve"> must approve the efficiency rewards or penalties that </w:t>
      </w:r>
      <w:r>
        <w:t>SP AusNet</w:t>
      </w:r>
      <w:r w:rsidRPr="000914D6">
        <w:t xml:space="preserve"> accrued from the application of the first proposed</w:t>
      </w:r>
      <w:r>
        <w:t xml:space="preserve"> EBSS during the 2008–</w:t>
      </w:r>
      <w:r w:rsidRPr="000914D6">
        <w:t>1</w:t>
      </w:r>
      <w:r>
        <w:t xml:space="preserve">4 regulatory control period. </w:t>
      </w:r>
      <w:r w:rsidRPr="000914D6">
        <w:t>The first proposed EBSS was transitional</w:t>
      </w:r>
      <w:r>
        <w:t>,</w:t>
      </w:r>
      <w:r w:rsidRPr="000914D6">
        <w:t xml:space="preserve"> </w:t>
      </w:r>
      <w:r>
        <w:t>and</w:t>
      </w:r>
      <w:r w:rsidRPr="000914D6">
        <w:t xml:space="preserve"> </w:t>
      </w:r>
      <w:r>
        <w:t>SP AusNet</w:t>
      </w:r>
      <w:r w:rsidRPr="000914D6">
        <w:t xml:space="preserve"> will be subject to </w:t>
      </w:r>
      <w:r>
        <w:t xml:space="preserve">the updated scheme </w:t>
      </w:r>
      <w:r w:rsidRPr="000914D6">
        <w:t>in the 201</w:t>
      </w:r>
      <w:r>
        <w:t>4</w:t>
      </w:r>
      <w:r w:rsidRPr="000914D6">
        <w:t>-1</w:t>
      </w:r>
      <w:r>
        <w:t>7</w:t>
      </w:r>
      <w:r w:rsidRPr="000914D6">
        <w:t xml:space="preserve"> regulatory control period.</w:t>
      </w:r>
      <w:r>
        <w:rPr>
          <w:rStyle w:val="FootnoteReference"/>
        </w:rPr>
        <w:footnoteReference w:id="537"/>
      </w:r>
      <w:r w:rsidRPr="000914D6">
        <w:t xml:space="preserve"> </w:t>
      </w:r>
    </w:p>
    <w:p w:rsidR="0088341A" w:rsidRPr="00062319" w:rsidRDefault="0088341A" w:rsidP="0088341A">
      <w:pPr>
        <w:pStyle w:val="Heading2"/>
        <w:numPr>
          <w:ilvl w:val="2"/>
          <w:numId w:val="20"/>
        </w:numPr>
      </w:pPr>
      <w:bookmarkStart w:id="355" w:name="_Toc365283342"/>
      <w:r w:rsidRPr="00062319">
        <w:lastRenderedPageBreak/>
        <w:t>Reasons for draft decision</w:t>
      </w:r>
      <w:bookmarkEnd w:id="355"/>
      <w:r w:rsidRPr="00062319">
        <w:t xml:space="preserve"> </w:t>
      </w:r>
    </w:p>
    <w:p w:rsidR="0088341A" w:rsidRPr="00C86A5A" w:rsidRDefault="0088341A" w:rsidP="0088341A">
      <w:pPr>
        <w:pStyle w:val="AERbodytext"/>
        <w:numPr>
          <w:ilvl w:val="0"/>
          <w:numId w:val="3"/>
        </w:numPr>
      </w:pPr>
      <w:r>
        <w:t>This section sets out our draft decision on how</w:t>
      </w:r>
      <w:r w:rsidRPr="00C86A5A">
        <w:t xml:space="preserve"> the EBSS </w:t>
      </w:r>
      <w:r>
        <w:t>was applied in the 2008–</w:t>
      </w:r>
      <w:r w:rsidRPr="00C86A5A">
        <w:t>1</w:t>
      </w:r>
      <w:r>
        <w:t>4</w:t>
      </w:r>
      <w:r w:rsidRPr="00C86A5A">
        <w:t xml:space="preserve"> regulatory control period</w:t>
      </w:r>
      <w:r>
        <w:t xml:space="preserve"> and</w:t>
      </w:r>
      <w:r w:rsidRPr="00C86A5A">
        <w:t xml:space="preserve"> </w:t>
      </w:r>
      <w:r>
        <w:t xml:space="preserve">how it will be applied in the </w:t>
      </w:r>
      <w:r w:rsidRPr="00C86A5A">
        <w:t>201</w:t>
      </w:r>
      <w:r>
        <w:t>4</w:t>
      </w:r>
      <w:r w:rsidRPr="00C86A5A">
        <w:t>–1</w:t>
      </w:r>
      <w:r>
        <w:t>7</w:t>
      </w:r>
      <w:r w:rsidRPr="00C86A5A">
        <w:t xml:space="preserve"> regulatory control period. </w:t>
      </w:r>
    </w:p>
    <w:p w:rsidR="0088341A" w:rsidRPr="00A907E9" w:rsidRDefault="0088341A" w:rsidP="0088341A">
      <w:pPr>
        <w:pStyle w:val="Heading3"/>
        <w:numPr>
          <w:ilvl w:val="3"/>
          <w:numId w:val="20"/>
        </w:numPr>
      </w:pPr>
      <w:r w:rsidRPr="00A907E9">
        <w:t>Application of the EBSS in 2008–14</w:t>
      </w:r>
    </w:p>
    <w:p w:rsidR="0088341A" w:rsidRDefault="0088341A" w:rsidP="0088341A">
      <w:pPr>
        <w:pStyle w:val="AERbodytext"/>
        <w:numPr>
          <w:ilvl w:val="0"/>
          <w:numId w:val="3"/>
        </w:numPr>
      </w:pPr>
      <w:r>
        <w:t>To apply the EBSS in the 2008–14 regulatory control period we needed to:</w:t>
      </w:r>
    </w:p>
    <w:p w:rsidR="0088341A" w:rsidRDefault="0088341A" w:rsidP="0088341A">
      <w:pPr>
        <w:pStyle w:val="AERbulletlistfirststyle"/>
      </w:pPr>
      <w:r>
        <w:t>ensure SP AusNet used the same method for measuring actual opex and forecast opex</w:t>
      </w:r>
    </w:p>
    <w:p w:rsidR="0088341A" w:rsidRDefault="0088341A" w:rsidP="0088341A">
      <w:pPr>
        <w:pStyle w:val="AERbulletlistfirststyle"/>
      </w:pPr>
      <w:r>
        <w:t>approve the method of adjusting opex if actual demand is different from forecast demand</w:t>
      </w:r>
    </w:p>
    <w:p w:rsidR="0088341A" w:rsidRDefault="0088341A" w:rsidP="0088341A">
      <w:pPr>
        <w:pStyle w:val="AERbulletlistfirststyle"/>
      </w:pPr>
      <w:r>
        <w:t>verify the base year is consistent with that used for the opex forecasts</w:t>
      </w:r>
    </w:p>
    <w:p w:rsidR="0088341A" w:rsidRDefault="0088341A" w:rsidP="0088341A">
      <w:pPr>
        <w:pStyle w:val="AERbulletlistfirststyle"/>
      </w:pPr>
      <w:r>
        <w:t>estimate actual opex for 201</w:t>
      </w:r>
      <w:r w:rsidR="00AD7993">
        <w:t>3</w:t>
      </w:r>
      <w:r>
        <w:t>–14.</w:t>
      </w:r>
    </w:p>
    <w:p w:rsidR="0088341A" w:rsidRDefault="0088341A" w:rsidP="0088341A">
      <w:pPr>
        <w:pStyle w:val="AERbodytext"/>
        <w:numPr>
          <w:ilvl w:val="0"/>
          <w:numId w:val="3"/>
        </w:numPr>
      </w:pPr>
      <w:r>
        <w:t>We are</w:t>
      </w:r>
      <w:r w:rsidRPr="00574B9A">
        <w:t xml:space="preserve"> </w:t>
      </w:r>
      <w:r>
        <w:t xml:space="preserve">not </w:t>
      </w:r>
      <w:r w:rsidRPr="00574B9A">
        <w:t xml:space="preserve">satisfied </w:t>
      </w:r>
      <w:r>
        <w:t>SP AusNet's proposed</w:t>
      </w:r>
      <w:r w:rsidRPr="00574B9A">
        <w:t xml:space="preserve"> EBSS carryover</w:t>
      </w:r>
      <w:r>
        <w:t xml:space="preserve"> of </w:t>
      </w:r>
      <w:r w:rsidRPr="00574B9A">
        <w:t>$</w:t>
      </w:r>
      <w:r>
        <w:t>47.1 million</w:t>
      </w:r>
      <w:r w:rsidRPr="00574B9A">
        <w:t xml:space="preserve"> </w:t>
      </w:r>
      <w:r>
        <w:t>from the 2008–14 regulatory control period</w:t>
      </w:r>
      <w:r w:rsidRPr="00574B9A">
        <w:t xml:space="preserve"> compl</w:t>
      </w:r>
      <w:r>
        <w:t>ies</w:t>
      </w:r>
      <w:r w:rsidRPr="00574B9A">
        <w:t xml:space="preserve"> with the </w:t>
      </w:r>
      <w:r>
        <w:t xml:space="preserve">scheme </w:t>
      </w:r>
      <w:r w:rsidRPr="00574B9A">
        <w:t>requirements.</w:t>
      </w:r>
      <w:r>
        <w:t xml:space="preserve"> Rather, we determine that a carryover of $37.2 million complies with the scheme requirements, on the basis of our determination of opex. The difference is because:</w:t>
      </w:r>
    </w:p>
    <w:p w:rsidR="0088341A" w:rsidRDefault="00E33B3D" w:rsidP="0088341A">
      <w:pPr>
        <w:pStyle w:val="AERbulletlistfirststyle"/>
      </w:pPr>
      <w:r>
        <w:t>w</w:t>
      </w:r>
      <w:r w:rsidR="0088341A">
        <w:t>e applied a five year carryover period consistent with the provisions of the first proposed EBSS and not a six year carryover period as SP AusNet proposed</w:t>
      </w:r>
      <w:r>
        <w:t xml:space="preserve"> </w:t>
      </w:r>
      <w:r w:rsidR="00394386">
        <w:t>(–</w:t>
      </w:r>
      <w:r>
        <w:t>$6.9 million)</w:t>
      </w:r>
    </w:p>
    <w:p w:rsidR="0088341A" w:rsidRDefault="00E33B3D" w:rsidP="0088341A">
      <w:pPr>
        <w:pStyle w:val="AERbulletlistfirststyle"/>
      </w:pPr>
      <w:r>
        <w:t>w</w:t>
      </w:r>
      <w:r w:rsidR="0088341A">
        <w:t>hen we</w:t>
      </w:r>
      <w:r w:rsidR="0088341A" w:rsidRPr="00534334">
        <w:t xml:space="preserve"> calcu</w:t>
      </w:r>
      <w:r w:rsidR="0088341A">
        <w:t>lated</w:t>
      </w:r>
      <w:r w:rsidR="0088341A" w:rsidRPr="00534334">
        <w:t xml:space="preserve"> the carryover adjustments, </w:t>
      </w:r>
      <w:r w:rsidR="0088341A">
        <w:t>we</w:t>
      </w:r>
      <w:r w:rsidR="0088341A" w:rsidRPr="00534334">
        <w:t xml:space="preserve"> removed the movement in provisions from</w:t>
      </w:r>
      <w:r w:rsidR="0088341A">
        <w:t xml:space="preserve"> SP AusNet’s</w:t>
      </w:r>
      <w:r w:rsidR="0088341A" w:rsidRPr="00534334">
        <w:t xml:space="preserve"> actual opex as well as back cast and removed the movement in provisions in the</w:t>
      </w:r>
      <w:r w:rsidR="0088341A">
        <w:t xml:space="preserve"> </w:t>
      </w:r>
      <w:r w:rsidR="0088341A" w:rsidRPr="00534334">
        <w:t xml:space="preserve">allowance set at </w:t>
      </w:r>
      <w:r w:rsidR="0088341A">
        <w:t>our</w:t>
      </w:r>
      <w:r w:rsidR="0088341A" w:rsidRPr="00534334">
        <w:t xml:space="preserve"> last determination</w:t>
      </w:r>
      <w:r>
        <w:t xml:space="preserve"> (</w:t>
      </w:r>
      <w:r w:rsidR="00394386">
        <w:t>–</w:t>
      </w:r>
      <w:r>
        <w:t>$0.3 million)</w:t>
      </w:r>
    </w:p>
    <w:p w:rsidR="00E33B3D" w:rsidRDefault="00394386" w:rsidP="0088341A">
      <w:pPr>
        <w:pStyle w:val="AERbulletlistfirststyle"/>
      </w:pPr>
      <w:r>
        <w:t xml:space="preserve">we updated 2012–13 (estimated) data with </w:t>
      </w:r>
      <w:r w:rsidR="00791BAE">
        <w:t xml:space="preserve">audited </w:t>
      </w:r>
      <w:r>
        <w:t>data</w:t>
      </w:r>
      <w:r w:rsidR="00E33B3D">
        <w:t xml:space="preserve"> </w:t>
      </w:r>
      <w:r>
        <w:t>($–</w:t>
      </w:r>
      <w:r w:rsidR="00E33B3D">
        <w:t>2.5 million).</w:t>
      </w:r>
    </w:p>
    <w:p w:rsidR="00775BB9" w:rsidRDefault="00775BB9" w:rsidP="00775BB9">
      <w:pPr>
        <w:pStyle w:val="HeadingBoldBlue"/>
      </w:pPr>
      <w:r>
        <w:t>Length of the carryover period for carryovers accrued in 2008–14</w:t>
      </w:r>
    </w:p>
    <w:p w:rsidR="00775BB9" w:rsidRDefault="00775BB9" w:rsidP="00775BB9">
      <w:pPr>
        <w:pStyle w:val="AERbodytext"/>
        <w:numPr>
          <w:ilvl w:val="0"/>
          <w:numId w:val="0"/>
        </w:numPr>
      </w:pPr>
      <w:r>
        <w:t>SP AusNet’s current 2008–14 regulatory control period is six years. However, the first proposed EBSS only contemplates a five year regulatory control period.</w:t>
      </w:r>
      <w:r>
        <w:rPr>
          <w:rStyle w:val="FootnoteReference"/>
        </w:rPr>
        <w:footnoteReference w:id="538"/>
      </w:r>
      <w:r>
        <w:t xml:space="preserve"> We applied a five year carryover period because it is consistent with the first proposed EBSS and there is no scope under the first proposed EBSS to alter the carryover period at this time. </w:t>
      </w:r>
      <w:r w:rsidR="00AD7993">
        <w:t xml:space="preserve">As a result of reducing the length of the carrover period, </w:t>
      </w:r>
      <w:r>
        <w:t xml:space="preserve">SP AusNet keeps </w:t>
      </w:r>
      <w:r w:rsidR="006136EA">
        <w:t>each</w:t>
      </w:r>
      <w:r>
        <w:t xml:space="preserve"> EBSS gain</w:t>
      </w:r>
      <w:r w:rsidR="006136EA">
        <w:t xml:space="preserve"> (loss)</w:t>
      </w:r>
      <w:r w:rsidR="00AD7993">
        <w:t xml:space="preserve"> for five years instead of six and</w:t>
      </w:r>
      <w:r>
        <w:t xml:space="preserve"> the total carryover amount is reduced by $6.9 million.</w:t>
      </w:r>
    </w:p>
    <w:p w:rsidR="00775BB9" w:rsidRDefault="00775BB9" w:rsidP="00775BB9">
      <w:pPr>
        <w:pStyle w:val="AERbodytext"/>
        <w:numPr>
          <w:ilvl w:val="0"/>
          <w:numId w:val="0"/>
        </w:numPr>
      </w:pPr>
      <w:r>
        <w:t>While we have no discretion to alter the carryover period under the first proposed EBSS, if we did have such a discretion we would not exercise it:</w:t>
      </w:r>
    </w:p>
    <w:p w:rsidR="00775BB9" w:rsidRDefault="00AD7993" w:rsidP="00775BB9">
      <w:pPr>
        <w:pStyle w:val="AERbulletlistfirststyle"/>
      </w:pPr>
      <w:r>
        <w:t>I</w:t>
      </w:r>
      <w:r w:rsidR="00775BB9">
        <w:t>f we were to apply a six year carryover period, SP AusNet would keep a higher share of efficiency gains than the EBSS intends. This result is caused by the short (three year) regulatory period that follows. While consumers pay for efficiency gains for five years they may only benefit from reduced opex for three years until the next determination</w:t>
      </w:r>
      <w:r>
        <w:t>.</w:t>
      </w:r>
    </w:p>
    <w:p w:rsidR="00775BB9" w:rsidRDefault="00AD7993" w:rsidP="00775BB9">
      <w:pPr>
        <w:pStyle w:val="AERbulletlistfirststyle"/>
      </w:pPr>
      <w:r>
        <w:t>A</w:t>
      </w:r>
      <w:r w:rsidR="00775BB9">
        <w:t xml:space="preserve"> five year carryover period </w:t>
      </w:r>
      <w:r>
        <w:t xml:space="preserve">still </w:t>
      </w:r>
      <w:r w:rsidR="00775BB9">
        <w:t xml:space="preserve">provides SP AusNet </w:t>
      </w:r>
      <w:r w:rsidR="00775BB9" w:rsidRPr="005420BC">
        <w:t>a continuous incentive to achieve efficiency gains</w:t>
      </w:r>
      <w:r w:rsidR="00775BB9">
        <w:t xml:space="preserve"> and reduces the incentive to overspend in the base year.</w:t>
      </w:r>
    </w:p>
    <w:p w:rsidR="0088341A" w:rsidRDefault="0088341A" w:rsidP="0088341A">
      <w:pPr>
        <w:pStyle w:val="HeadingBoldBlue"/>
      </w:pPr>
      <w:r>
        <w:lastRenderedPageBreak/>
        <w:t>Adjustment for differences between forecast and actual demand</w:t>
      </w:r>
    </w:p>
    <w:p w:rsidR="0088341A" w:rsidRDefault="0088341A" w:rsidP="0088341A">
      <w:pPr>
        <w:pStyle w:val="AERbodytext"/>
        <w:numPr>
          <w:ilvl w:val="0"/>
          <w:numId w:val="3"/>
        </w:numPr>
      </w:pPr>
      <w:r>
        <w:t>For calculating</w:t>
      </w:r>
      <w:r w:rsidRPr="00CD6F0D">
        <w:t xml:space="preserve"> carryovers, the EBSS </w:t>
      </w:r>
      <w:r>
        <w:t>gives us</w:t>
      </w:r>
      <w:r w:rsidRPr="00CD6F0D">
        <w:t xml:space="preserve"> </w:t>
      </w:r>
      <w:r>
        <w:t xml:space="preserve">the discretion </w:t>
      </w:r>
      <w:r w:rsidRPr="00CD6F0D">
        <w:t xml:space="preserve">to adjust </w:t>
      </w:r>
      <w:r>
        <w:t>SP AusNet's forecast opex in the 2008–</w:t>
      </w:r>
      <w:r w:rsidRPr="00CD6F0D">
        <w:t>1</w:t>
      </w:r>
      <w:r>
        <w:t>4</w:t>
      </w:r>
      <w:r w:rsidRPr="00CD6F0D">
        <w:t xml:space="preserve"> regulatory control period if actual demand growth </w:t>
      </w:r>
      <w:r>
        <w:t>was</w:t>
      </w:r>
      <w:r w:rsidRPr="00CD6F0D">
        <w:t xml:space="preserve"> different </w:t>
      </w:r>
      <w:r>
        <w:t>from</w:t>
      </w:r>
      <w:r w:rsidRPr="00CD6F0D">
        <w:t xml:space="preserve"> forecast demand growth</w:t>
      </w:r>
      <w:r>
        <w:t xml:space="preserve"> or if there were opex changes that were due to factors beyond its control</w:t>
      </w:r>
      <w:r w:rsidRPr="00CD6F0D">
        <w:t>.</w:t>
      </w:r>
      <w:r>
        <w:rPr>
          <w:rStyle w:val="FootnoteReference"/>
        </w:rPr>
        <w:footnoteReference w:id="539"/>
      </w:r>
      <w:r w:rsidRPr="00CD6F0D">
        <w:t xml:space="preserve"> </w:t>
      </w:r>
      <w:r>
        <w:t>That way,</w:t>
      </w:r>
      <w:r w:rsidRPr="00860CDA">
        <w:t xml:space="preserve"> </w:t>
      </w:r>
      <w:r>
        <w:t>SP AusNet</w:t>
      </w:r>
      <w:r w:rsidRPr="00860CDA">
        <w:t xml:space="preserve"> is not rewarded (or penalised) for cost decreases (increases) due to demand growth factors</w:t>
      </w:r>
      <w:r>
        <w:t xml:space="preserve"> or other factors</w:t>
      </w:r>
      <w:r w:rsidRPr="00860CDA">
        <w:t xml:space="preserve"> beyond its control.</w:t>
      </w:r>
      <w:r>
        <w:t xml:space="preserve"> However, given the forecast opex for 2008–14 was not directly related to demand, we did not adjust opex for actual demand outcomes in this draft decision.</w:t>
      </w:r>
      <w:r>
        <w:rPr>
          <w:rStyle w:val="FootnoteReference"/>
        </w:rPr>
        <w:footnoteReference w:id="540"/>
      </w:r>
    </w:p>
    <w:p w:rsidR="0088341A" w:rsidRDefault="0088341A" w:rsidP="0088341A">
      <w:pPr>
        <w:pStyle w:val="HeadingBoldBlue"/>
      </w:pPr>
      <w:r>
        <w:t>Excluded cost categories</w:t>
      </w:r>
    </w:p>
    <w:p w:rsidR="00794198" w:rsidRDefault="0088341A" w:rsidP="0088341A">
      <w:pPr>
        <w:pStyle w:val="AERbodytext"/>
        <w:numPr>
          <w:ilvl w:val="0"/>
          <w:numId w:val="3"/>
        </w:numPr>
      </w:pPr>
      <w:r w:rsidRPr="00B4065F">
        <w:t xml:space="preserve">The </w:t>
      </w:r>
      <w:r>
        <w:t xml:space="preserve">current version of the </w:t>
      </w:r>
      <w:r w:rsidRPr="00B4065F">
        <w:t>EBSS</w:t>
      </w:r>
      <w:r>
        <w:t>, which will apply to SPAusNet going forward,</w:t>
      </w:r>
      <w:r w:rsidRPr="00B4065F">
        <w:t xml:space="preserve"> allows TNSPs to propose uncontrollable cost categories to be excluded from its operation. A TNSP is thus not rewarded (or penalised) for cost decreases (increases) over which it has limited control.</w:t>
      </w:r>
      <w:r>
        <w:t xml:space="preserve"> </w:t>
      </w:r>
      <w:r w:rsidR="00794198" w:rsidRPr="00471409">
        <w:t xml:space="preserve">However, </w:t>
      </w:r>
      <w:r w:rsidR="00794198">
        <w:t xml:space="preserve">the EBSS that applied to </w:t>
      </w:r>
      <w:r w:rsidR="00794198" w:rsidRPr="00471409">
        <w:t xml:space="preserve">SP AusNet </w:t>
      </w:r>
      <w:r w:rsidR="00794198">
        <w:t>during the</w:t>
      </w:r>
      <w:r w:rsidR="00794198" w:rsidRPr="00471409">
        <w:t xml:space="preserve"> 2008–14 </w:t>
      </w:r>
      <w:r w:rsidR="00794198">
        <w:t>regulatory control period was</w:t>
      </w:r>
      <w:r w:rsidR="00794198" w:rsidRPr="00471409">
        <w:t xml:space="preserve"> </w:t>
      </w:r>
      <w:r w:rsidR="00794198">
        <w:t>the f</w:t>
      </w:r>
      <w:r w:rsidR="00794198" w:rsidRPr="00471409">
        <w:t>irst proposed</w:t>
      </w:r>
      <w:r w:rsidR="00794198">
        <w:t xml:space="preserve"> EBSS</w:t>
      </w:r>
      <w:r w:rsidR="00794198" w:rsidRPr="00471409">
        <w:t xml:space="preserve">, which does not </w:t>
      </w:r>
      <w:r w:rsidR="00794198">
        <w:t xml:space="preserve">expressly </w:t>
      </w:r>
      <w:r w:rsidR="00794198" w:rsidRPr="00471409">
        <w:t xml:space="preserve">require the TNSP or the AER to propose cost categories for exclusion from the EBSS. Despite this, SP AusNet proposed the carryover amount </w:t>
      </w:r>
      <w:r w:rsidR="00794198">
        <w:t xml:space="preserve">should </w:t>
      </w:r>
      <w:r w:rsidR="00794198" w:rsidRPr="00471409">
        <w:t>be calculated using controllable opex</w:t>
      </w:r>
      <w:r w:rsidR="00794198">
        <w:t>, excluding uncontrollable opex categories</w:t>
      </w:r>
      <w:r w:rsidR="00794198" w:rsidRPr="00471409">
        <w:t xml:space="preserve">. </w:t>
      </w:r>
      <w:r w:rsidR="00794198">
        <w:t xml:space="preserve">We agree that it is implicit in the intention and structure of the first proposed EBSS that SP AusNet’s uncontrollable opex categories should be </w:t>
      </w:r>
      <w:r w:rsidR="00794198" w:rsidRPr="00471409">
        <w:t>excluded</w:t>
      </w:r>
      <w:r w:rsidR="00794198">
        <w:t>.</w:t>
      </w:r>
    </w:p>
    <w:p w:rsidR="0088341A" w:rsidRPr="00CD6F0D" w:rsidRDefault="0088341A" w:rsidP="0088341A">
      <w:pPr>
        <w:pStyle w:val="HeadingBoldBlue"/>
      </w:pPr>
      <w:r>
        <w:t>A</w:t>
      </w:r>
      <w:r w:rsidRPr="00CD6F0D">
        <w:t>djustments to 2008–1</w:t>
      </w:r>
      <w:r>
        <w:t>4</w:t>
      </w:r>
      <w:r w:rsidRPr="00CD6F0D">
        <w:t xml:space="preserve"> </w:t>
      </w:r>
      <w:r>
        <w:t>opex for movements in provisions</w:t>
      </w:r>
    </w:p>
    <w:p w:rsidR="0088341A" w:rsidRDefault="0088341A" w:rsidP="0088341A">
      <w:pPr>
        <w:pStyle w:val="AERbodytext"/>
        <w:numPr>
          <w:ilvl w:val="0"/>
          <w:numId w:val="3"/>
        </w:numPr>
      </w:pPr>
      <w:r>
        <w:t>To calculate efficiency gains, the EBSS compares actual opex with forecast opex. To compare like with like, the scheme requires us to measure actual and forecast opex using the same cost categories and the same method.</w:t>
      </w:r>
      <w:r>
        <w:rPr>
          <w:rStyle w:val="FootnoteReference"/>
        </w:rPr>
        <w:footnoteReference w:id="541"/>
      </w:r>
      <w:r>
        <w:t xml:space="preserve"> This requirement is relevant to our treatment of movements in provisions.</w:t>
      </w:r>
    </w:p>
    <w:p w:rsidR="0088341A" w:rsidRDefault="0088341A" w:rsidP="0088341A">
      <w:pPr>
        <w:pStyle w:val="AERbodytext"/>
        <w:numPr>
          <w:ilvl w:val="0"/>
          <w:numId w:val="3"/>
        </w:numPr>
      </w:pPr>
      <w:r>
        <w:t>SP AusNet</w:t>
      </w:r>
      <w:r w:rsidRPr="00534334">
        <w:t xml:space="preserve">’s </w:t>
      </w:r>
      <w:r>
        <w:t xml:space="preserve">reported actual </w:t>
      </w:r>
      <w:r w:rsidRPr="00534334">
        <w:t>opex includes provisions. A provision is a liability of uncertain timing or amount.</w:t>
      </w:r>
      <w:r>
        <w:t xml:space="preserve"> </w:t>
      </w:r>
      <w:r w:rsidRPr="00534334">
        <w:t>Provision accounts are used to set aside amounts for the payments of these liabilities for</w:t>
      </w:r>
      <w:r>
        <w:t xml:space="preserve"> </w:t>
      </w:r>
      <w:r w:rsidRPr="00534334">
        <w:t>when they arise for settlement. A movement in provisions occurs when the annual amount set</w:t>
      </w:r>
      <w:r>
        <w:t xml:space="preserve"> </w:t>
      </w:r>
      <w:r w:rsidRPr="00534334">
        <w:t xml:space="preserve">aside differs to the annual amount paid out. </w:t>
      </w:r>
      <w:r>
        <w:t>We consider</w:t>
      </w:r>
      <w:r w:rsidRPr="00534334">
        <w:t xml:space="preserve"> the movement in these</w:t>
      </w:r>
      <w:r>
        <w:t xml:space="preserve"> </w:t>
      </w:r>
      <w:r w:rsidRPr="00534334">
        <w:t xml:space="preserve">provisions represents non-recurrent costs and therefore </w:t>
      </w:r>
      <w:r>
        <w:t>we reverse the movements in provisions in a TNSP’s base year to determine forecast opex (discussed in section 3.4.2).</w:t>
      </w:r>
    </w:p>
    <w:p w:rsidR="0088341A" w:rsidRDefault="0088341A" w:rsidP="0088341A">
      <w:pPr>
        <w:pStyle w:val="AERbodytext"/>
        <w:numPr>
          <w:ilvl w:val="0"/>
          <w:numId w:val="3"/>
        </w:numPr>
      </w:pPr>
      <w:r>
        <w:t>For the EBSS to appropriately reward TNSPs for efficiency gains or penalise them for efficiency losses, we need to apply a consistent approach to opex across regulatory control periods. Because we reverse movements in provisions from SP AusNet's opex forecast for the 2014–17 regulatory control period we need to apply the same approach to movements in provisions when we apply the EBSS to the 2008–14 regulatory control period.</w:t>
      </w:r>
    </w:p>
    <w:p w:rsidR="0088341A" w:rsidRDefault="0088341A" w:rsidP="0088341A">
      <w:r>
        <w:t>In</w:t>
      </w:r>
      <w:r w:rsidRPr="00534334">
        <w:t xml:space="preserve"> calculating the carryover adjustments due to the application of the EBSS in</w:t>
      </w:r>
      <w:r>
        <w:t xml:space="preserve"> </w:t>
      </w:r>
      <w:r w:rsidRPr="00534334">
        <w:t xml:space="preserve">the current regulatory control period, </w:t>
      </w:r>
      <w:r>
        <w:t>we</w:t>
      </w:r>
      <w:r w:rsidRPr="00534334">
        <w:t xml:space="preserve"> removed the movement in provisions from</w:t>
      </w:r>
      <w:r>
        <w:t xml:space="preserve"> SP AusNet’s</w:t>
      </w:r>
      <w:r w:rsidRPr="00534334">
        <w:t xml:space="preserve"> actual opex as well as back cast and removed the movement in provisions in the</w:t>
      </w:r>
      <w:r>
        <w:t xml:space="preserve"> </w:t>
      </w:r>
      <w:r w:rsidRPr="00534334">
        <w:t xml:space="preserve">allowance set at </w:t>
      </w:r>
      <w:r>
        <w:t>our</w:t>
      </w:r>
      <w:r w:rsidRPr="00534334">
        <w:t xml:space="preserve"> last determination. </w:t>
      </w:r>
      <w:r>
        <w:t>We note</w:t>
      </w:r>
      <w:r w:rsidRPr="00534334">
        <w:t xml:space="preserve"> this adjustment had a</w:t>
      </w:r>
      <w:r>
        <w:t xml:space="preserve"> </w:t>
      </w:r>
      <w:r w:rsidRPr="00534334">
        <w:t xml:space="preserve">minimal impact on the calculation of the EBSS carryover amount. </w:t>
      </w:r>
    </w:p>
    <w:p w:rsidR="0088341A" w:rsidRDefault="0088341A" w:rsidP="0088341A">
      <w:pPr>
        <w:pStyle w:val="HeadingBoldBlue"/>
      </w:pPr>
      <w:r>
        <w:lastRenderedPageBreak/>
        <w:t>Adjustment to the final year (2013–14) actual opex</w:t>
      </w:r>
    </w:p>
    <w:p w:rsidR="0088341A" w:rsidRDefault="0088341A" w:rsidP="0088341A">
      <w:r>
        <w:t xml:space="preserve">The carryover amount for the sixth year–and thus the total EBSS carryover–changes depending on how we estimate 'actual' opex for the sixth year. We use an estimate because a TNSP submits its revenue proposal before the final year commences. </w:t>
      </w:r>
      <w:r w:rsidR="00674DAB">
        <w:t xml:space="preserve">We accept </w:t>
      </w:r>
      <w:r>
        <w:t>SP AusNet</w:t>
      </w:r>
      <w:r w:rsidR="00674DAB">
        <w:t xml:space="preserve">’s proposed approach </w:t>
      </w:r>
      <w:r w:rsidR="004F3030">
        <w:t xml:space="preserve">which </w:t>
      </w:r>
      <w:r w:rsidR="00674DAB">
        <w:t>correctly assumes</w:t>
      </w:r>
      <w:r w:rsidR="00674DAB" w:rsidRPr="009C107B">
        <w:t xml:space="preserve"> </w:t>
      </w:r>
      <w:r w:rsidR="004F3030">
        <w:t xml:space="preserve">it </w:t>
      </w:r>
      <w:r w:rsidR="00674DAB">
        <w:t>will achieve no net</w:t>
      </w:r>
      <w:r w:rsidR="00674DAB" w:rsidRPr="009C107B">
        <w:t xml:space="preserve"> efficiency gain</w:t>
      </w:r>
      <w:r w:rsidR="00674DAB">
        <w:t>s</w:t>
      </w:r>
      <w:r w:rsidR="00674DAB" w:rsidRPr="009C107B">
        <w:t xml:space="preserve"> </w:t>
      </w:r>
      <w:r w:rsidR="00674DAB">
        <w:t>after the base year</w:t>
      </w:r>
      <w:r>
        <w:t>.</w:t>
      </w:r>
      <w:r>
        <w:rPr>
          <w:rStyle w:val="FootnoteReference"/>
        </w:rPr>
        <w:footnoteReference w:id="542"/>
      </w:r>
      <w:r>
        <w:t xml:space="preserve"> As a result, </w:t>
      </w:r>
      <w:r w:rsidRPr="004B6D62">
        <w:t xml:space="preserve">SP AusNet </w:t>
      </w:r>
      <w:r>
        <w:t>will retain</w:t>
      </w:r>
      <w:r w:rsidRPr="004B6D62">
        <w:t xml:space="preserve"> the efficiency gains (losses) made in each year for </w:t>
      </w:r>
      <w:r w:rsidR="00674DAB">
        <w:t>the intended period.</w:t>
      </w:r>
      <w:r w:rsidRPr="008D7D17">
        <w:rPr>
          <w:rStyle w:val="FootnoteReference"/>
        </w:rPr>
        <w:footnoteReference w:id="543"/>
      </w:r>
    </w:p>
    <w:p w:rsidR="004530EE" w:rsidRDefault="004530EE" w:rsidP="0088341A">
      <w:r>
        <w:t xml:space="preserve">We acknowledge the concerns of the Energy Users Coalition of Victoria (EUCV) and the Energy Users Association of Australia (EUAA) regarding the large EBSS carryover </w:t>
      </w:r>
      <w:r w:rsidR="00802A21">
        <w:t xml:space="preserve">SP AusNet proposed </w:t>
      </w:r>
      <w:r>
        <w:t xml:space="preserve">and the need to ensure the savings achieved by SP AusNet are shared with </w:t>
      </w:r>
      <w:r w:rsidR="00802A21">
        <w:t>customers</w:t>
      </w:r>
      <w:r>
        <w:t>.</w:t>
      </w:r>
      <w:r w:rsidR="00802A21">
        <w:rPr>
          <w:rStyle w:val="FootnoteReference"/>
        </w:rPr>
        <w:footnoteReference w:id="544"/>
      </w:r>
      <w:r>
        <w:t xml:space="preserve"> </w:t>
      </w:r>
      <w:r w:rsidR="00802A21">
        <w:t>We consider t</w:t>
      </w:r>
      <w:r>
        <w:t>he carryover amount represents a reward to SP AusNet for achieving sustained efficiency gains that it must pass on to customers through a reduced opex requirement in the 2014–17 regulatory control period. This is achieved when we use revealed costs to forecast opex</w:t>
      </w:r>
      <w:r w:rsidR="00C724C2">
        <w:t xml:space="preserve"> as discussed in attachment 3</w:t>
      </w:r>
      <w:r>
        <w:t>.</w:t>
      </w:r>
    </w:p>
    <w:p w:rsidR="004F3030" w:rsidRDefault="004F3030" w:rsidP="00E4498B">
      <w:pPr>
        <w:pStyle w:val="HeadingBoldBlue"/>
      </w:pPr>
      <w:r>
        <w:t xml:space="preserve">Summary </w:t>
      </w:r>
    </w:p>
    <w:p w:rsidR="0088341A" w:rsidRDefault="0088341A" w:rsidP="0088341A">
      <w:pPr>
        <w:pStyle w:val="AERbodytext"/>
        <w:numPr>
          <w:ilvl w:val="0"/>
          <w:numId w:val="3"/>
        </w:numPr>
      </w:pPr>
      <w:r>
        <w:fldChar w:fldCharType="begin"/>
      </w:r>
      <w:r>
        <w:instrText xml:space="preserve"> REF _Ref363578468 \h </w:instrText>
      </w:r>
      <w:r>
        <w:fldChar w:fldCharType="separate"/>
      </w:r>
      <w:r w:rsidR="004F35AA">
        <w:t xml:space="preserve">Table </w:t>
      </w:r>
      <w:r w:rsidR="004F35AA">
        <w:rPr>
          <w:noProof/>
        </w:rPr>
        <w:t>10</w:t>
      </w:r>
      <w:r w:rsidR="004F35AA">
        <w:t>.</w:t>
      </w:r>
      <w:r w:rsidR="004F35AA">
        <w:rPr>
          <w:noProof/>
        </w:rPr>
        <w:t>2</w:t>
      </w:r>
      <w:r>
        <w:fldChar w:fldCharType="end"/>
      </w:r>
      <w:r>
        <w:t xml:space="preserve"> sets out the carryover amounts that SP AusNet accrued from</w:t>
      </w:r>
      <w:r w:rsidRPr="007478E4">
        <w:t xml:space="preserve"> the EBSS </w:t>
      </w:r>
      <w:r>
        <w:t>being applied in</w:t>
      </w:r>
      <w:r w:rsidRPr="007478E4">
        <w:t xml:space="preserve"> the 2008–14 regulatory control period</w:t>
      </w:r>
      <w:r>
        <w:t xml:space="preserve"> and </w:t>
      </w:r>
      <w:r w:rsidR="00E4498B">
        <w:fldChar w:fldCharType="begin"/>
      </w:r>
      <w:r w:rsidR="00E4498B">
        <w:instrText xml:space="preserve"> REF _Ref364757633 \h </w:instrText>
      </w:r>
      <w:r w:rsidR="00E4498B">
        <w:fldChar w:fldCharType="separate"/>
      </w:r>
      <w:r w:rsidR="004F35AA">
        <w:t xml:space="preserve">Table </w:t>
      </w:r>
      <w:r w:rsidR="004F35AA">
        <w:rPr>
          <w:noProof/>
        </w:rPr>
        <w:t>10</w:t>
      </w:r>
      <w:r w:rsidR="004F35AA">
        <w:t>.</w:t>
      </w:r>
      <w:r w:rsidR="004F35AA">
        <w:rPr>
          <w:noProof/>
        </w:rPr>
        <w:t>3</w:t>
      </w:r>
      <w:r w:rsidR="00E4498B">
        <w:fldChar w:fldCharType="end"/>
      </w:r>
      <w:r w:rsidR="00E4498B">
        <w:t xml:space="preserve"> </w:t>
      </w:r>
      <w:r>
        <w:t>shows how we calculated those amounts. We have added an NPV adjustment to the carryover for 2016–17 to account for the</w:t>
      </w:r>
      <w:r w:rsidR="004F3030">
        <w:t xml:space="preserve"> shortened regulatory control period due to </w:t>
      </w:r>
      <w:r>
        <w:t>transitional arrangements that apply to SPAusNet</w:t>
      </w:r>
      <w:r w:rsidR="004F3030">
        <w:t xml:space="preserve">. That is, </w:t>
      </w:r>
      <w:r>
        <w:t xml:space="preserve">the carryover </w:t>
      </w:r>
      <w:r w:rsidR="004F3030">
        <w:t xml:space="preserve">amount </w:t>
      </w:r>
      <w:r>
        <w:t>that would apply in the years 2017–18 to 201</w:t>
      </w:r>
      <w:r w:rsidR="004F3030">
        <w:t>8</w:t>
      </w:r>
      <w:r>
        <w:t>–</w:t>
      </w:r>
      <w:r w:rsidR="004F3030">
        <w:t>19</w:t>
      </w:r>
      <w:r>
        <w:t xml:space="preserve"> </w:t>
      </w:r>
      <w:r w:rsidR="004F3030">
        <w:t>is captured in 2016–17</w:t>
      </w:r>
      <w:r>
        <w:t>.</w:t>
      </w:r>
    </w:p>
    <w:p w:rsidR="0088341A" w:rsidRDefault="0088341A" w:rsidP="0088341A">
      <w:pPr>
        <w:pStyle w:val="Caption"/>
      </w:pPr>
      <w:bookmarkStart w:id="356" w:name="_Ref363578468"/>
      <w:r>
        <w:t xml:space="preserve">Table </w:t>
      </w:r>
      <w:fldSimple w:instr=" STYLEREF 1 \s ">
        <w:r w:rsidR="004F35AA">
          <w:rPr>
            <w:noProof/>
          </w:rPr>
          <w:t>10</w:t>
        </w:r>
      </w:fldSimple>
      <w:r w:rsidR="00C56A87">
        <w:t>.</w:t>
      </w:r>
      <w:fldSimple w:instr=" SEQ Table \* ARABIC \s 1 ">
        <w:r w:rsidR="004F35AA">
          <w:rPr>
            <w:noProof/>
          </w:rPr>
          <w:t>2</w:t>
        </w:r>
      </w:fldSimple>
      <w:bookmarkEnd w:id="356"/>
      <w:r>
        <w:tab/>
      </w:r>
      <w:r w:rsidRPr="00385583">
        <w:t>EBSS carryover amount accrued in the 20</w:t>
      </w:r>
      <w:r>
        <w:t>08</w:t>
      </w:r>
      <w:r w:rsidRPr="00385583">
        <w:t>–1</w:t>
      </w:r>
      <w:r>
        <w:t>4</w:t>
      </w:r>
      <w:r w:rsidRPr="00385583">
        <w:t xml:space="preserve"> regulatory control period ($ million, r</w:t>
      </w:r>
      <w:r>
        <w:t>eal 2013–</w:t>
      </w:r>
      <w:r w:rsidRPr="00385583">
        <w:t>1</w:t>
      </w:r>
      <w:r>
        <w:t>4</w:t>
      </w:r>
      <w:r w:rsidRPr="00385583">
        <w:t>)</w:t>
      </w:r>
    </w:p>
    <w:tbl>
      <w:tblPr>
        <w:tblW w:w="8978" w:type="dxa"/>
        <w:tblBorders>
          <w:bottom w:val="single" w:sz="4" w:space="0" w:color="365F91"/>
        </w:tblBorders>
        <w:tblLook w:val="04A0" w:firstRow="1" w:lastRow="0" w:firstColumn="1" w:lastColumn="0" w:noHBand="0" w:noVBand="1"/>
      </w:tblPr>
      <w:tblGrid>
        <w:gridCol w:w="1758"/>
        <w:gridCol w:w="900"/>
        <w:gridCol w:w="1163"/>
        <w:gridCol w:w="1163"/>
        <w:gridCol w:w="953"/>
        <w:gridCol w:w="953"/>
        <w:gridCol w:w="953"/>
        <w:gridCol w:w="1135"/>
      </w:tblGrid>
      <w:tr w:rsidR="0088341A" w:rsidTr="00501137">
        <w:trPr>
          <w:trHeight w:val="383"/>
        </w:trPr>
        <w:tc>
          <w:tcPr>
            <w:tcW w:w="1758" w:type="dxa"/>
            <w:shd w:val="clear" w:color="auto" w:fill="365F91"/>
            <w:vAlign w:val="center"/>
          </w:tcPr>
          <w:p w:rsidR="0088341A" w:rsidRPr="00BC2CD0" w:rsidRDefault="0088341A" w:rsidP="00501137">
            <w:pPr>
              <w:pStyle w:val="AERtabletextright"/>
              <w:jc w:val="left"/>
              <w:rPr>
                <w:b/>
                <w:color w:val="FFFFFF"/>
              </w:rPr>
            </w:pPr>
          </w:p>
        </w:tc>
        <w:tc>
          <w:tcPr>
            <w:tcW w:w="900" w:type="dxa"/>
            <w:shd w:val="clear" w:color="auto" w:fill="365F91"/>
            <w:vAlign w:val="center"/>
          </w:tcPr>
          <w:p w:rsidR="0088341A" w:rsidRPr="00BC2CD0" w:rsidRDefault="0088341A" w:rsidP="00501137">
            <w:pPr>
              <w:pStyle w:val="AERtabletextright"/>
              <w:rPr>
                <w:b/>
                <w:color w:val="FFFFFF"/>
              </w:rPr>
            </w:pPr>
            <w:r w:rsidRPr="00BC2CD0">
              <w:rPr>
                <w:b/>
                <w:color w:val="FFFFFF"/>
              </w:rPr>
              <w:t>2014–15</w:t>
            </w:r>
          </w:p>
        </w:tc>
        <w:tc>
          <w:tcPr>
            <w:tcW w:w="1163" w:type="dxa"/>
            <w:shd w:val="clear" w:color="auto" w:fill="365F91"/>
            <w:vAlign w:val="center"/>
          </w:tcPr>
          <w:p w:rsidR="0088341A" w:rsidRPr="00BC2CD0" w:rsidRDefault="0088341A" w:rsidP="00501137">
            <w:pPr>
              <w:pStyle w:val="AERtabletextright"/>
              <w:rPr>
                <w:b/>
                <w:color w:val="FFFFFF"/>
              </w:rPr>
            </w:pPr>
            <w:r w:rsidRPr="00BC2CD0">
              <w:rPr>
                <w:b/>
                <w:color w:val="FFFFFF"/>
              </w:rPr>
              <w:t>2015–16</w:t>
            </w:r>
          </w:p>
        </w:tc>
        <w:tc>
          <w:tcPr>
            <w:tcW w:w="1163" w:type="dxa"/>
            <w:shd w:val="clear" w:color="auto" w:fill="365F91"/>
            <w:vAlign w:val="center"/>
          </w:tcPr>
          <w:p w:rsidR="0088341A" w:rsidRPr="00BC2CD0" w:rsidRDefault="0088341A" w:rsidP="00501137">
            <w:pPr>
              <w:pStyle w:val="AERtabletextright"/>
              <w:rPr>
                <w:b/>
                <w:color w:val="FFFFFF"/>
              </w:rPr>
            </w:pPr>
            <w:r w:rsidRPr="00BC2CD0">
              <w:rPr>
                <w:b/>
                <w:color w:val="FFFFFF"/>
              </w:rPr>
              <w:t>2016–17</w:t>
            </w:r>
          </w:p>
        </w:tc>
        <w:tc>
          <w:tcPr>
            <w:tcW w:w="953" w:type="dxa"/>
            <w:shd w:val="clear" w:color="auto" w:fill="365F91"/>
            <w:vAlign w:val="center"/>
          </w:tcPr>
          <w:p w:rsidR="0088341A" w:rsidRPr="00BC2CD0" w:rsidRDefault="0088341A" w:rsidP="00501137">
            <w:pPr>
              <w:pStyle w:val="AERtabletextright"/>
              <w:rPr>
                <w:b/>
                <w:color w:val="FFFFFF"/>
              </w:rPr>
            </w:pPr>
            <w:r w:rsidRPr="00BC2CD0">
              <w:rPr>
                <w:b/>
                <w:color w:val="FFFFFF"/>
              </w:rPr>
              <w:t>2017-18</w:t>
            </w:r>
          </w:p>
        </w:tc>
        <w:tc>
          <w:tcPr>
            <w:tcW w:w="953" w:type="dxa"/>
            <w:shd w:val="clear" w:color="auto" w:fill="365F91"/>
            <w:vAlign w:val="center"/>
          </w:tcPr>
          <w:p w:rsidR="0088341A" w:rsidRPr="00BC2CD0" w:rsidRDefault="0088341A" w:rsidP="00501137">
            <w:pPr>
              <w:pStyle w:val="AERtabletextright"/>
              <w:rPr>
                <w:b/>
                <w:color w:val="FFFFFF"/>
              </w:rPr>
            </w:pPr>
            <w:r w:rsidRPr="00BC2CD0">
              <w:rPr>
                <w:b/>
                <w:color w:val="FFFFFF"/>
              </w:rPr>
              <w:t>2018-19</w:t>
            </w:r>
          </w:p>
        </w:tc>
        <w:tc>
          <w:tcPr>
            <w:tcW w:w="953" w:type="dxa"/>
            <w:shd w:val="clear" w:color="auto" w:fill="365F91"/>
            <w:vAlign w:val="center"/>
          </w:tcPr>
          <w:p w:rsidR="0088341A" w:rsidRPr="00BC2CD0" w:rsidRDefault="0088341A" w:rsidP="00501137">
            <w:pPr>
              <w:pStyle w:val="AERtabletextright"/>
              <w:rPr>
                <w:b/>
                <w:color w:val="FFFFFF"/>
              </w:rPr>
            </w:pPr>
            <w:r w:rsidRPr="00BC2CD0">
              <w:rPr>
                <w:b/>
                <w:color w:val="FFFFFF"/>
              </w:rPr>
              <w:t>2019-20</w:t>
            </w:r>
          </w:p>
        </w:tc>
        <w:tc>
          <w:tcPr>
            <w:tcW w:w="1135" w:type="dxa"/>
            <w:shd w:val="clear" w:color="auto" w:fill="365F91"/>
            <w:vAlign w:val="center"/>
          </w:tcPr>
          <w:p w:rsidR="0088341A" w:rsidRPr="00BC2CD0" w:rsidRDefault="0088341A" w:rsidP="00501137">
            <w:pPr>
              <w:pStyle w:val="AERtabletextright"/>
              <w:rPr>
                <w:b/>
                <w:color w:val="FFFFFF"/>
              </w:rPr>
            </w:pPr>
            <w:r w:rsidRPr="00BC2CD0">
              <w:rPr>
                <w:b/>
                <w:color w:val="FFFFFF"/>
              </w:rPr>
              <w:t>Total</w:t>
            </w:r>
          </w:p>
        </w:tc>
      </w:tr>
      <w:tr w:rsidR="0088341A" w:rsidTr="00501137">
        <w:trPr>
          <w:trHeight w:val="500"/>
        </w:trPr>
        <w:tc>
          <w:tcPr>
            <w:tcW w:w="1758" w:type="dxa"/>
            <w:shd w:val="clear" w:color="auto" w:fill="auto"/>
            <w:vAlign w:val="center"/>
          </w:tcPr>
          <w:p w:rsidR="0088341A" w:rsidRPr="00BC2CD0" w:rsidRDefault="0088341A" w:rsidP="00501137">
            <w:pPr>
              <w:pStyle w:val="AERbulletlistfirststyle"/>
              <w:numPr>
                <w:ilvl w:val="0"/>
                <w:numId w:val="0"/>
              </w:numPr>
              <w:tabs>
                <w:tab w:val="clear" w:pos="357"/>
                <w:tab w:val="left" w:pos="0"/>
              </w:tabs>
              <w:spacing w:before="120"/>
              <w:jc w:val="left"/>
              <w:rPr>
                <w:sz w:val="16"/>
              </w:rPr>
            </w:pPr>
            <w:r w:rsidRPr="00BC2CD0">
              <w:rPr>
                <w:sz w:val="16"/>
              </w:rPr>
              <w:t>SP AusNet proposed</w:t>
            </w:r>
          </w:p>
        </w:tc>
        <w:tc>
          <w:tcPr>
            <w:tcW w:w="900" w:type="dxa"/>
            <w:shd w:val="clear" w:color="auto" w:fill="auto"/>
            <w:vAlign w:val="center"/>
          </w:tcPr>
          <w:p w:rsidR="0088341A" w:rsidRPr="001C4571" w:rsidRDefault="0088341A" w:rsidP="00501137">
            <w:pPr>
              <w:pStyle w:val="AERtabletextright"/>
            </w:pPr>
            <w:r w:rsidRPr="001C4571">
              <w:t>9.1</w:t>
            </w:r>
          </w:p>
        </w:tc>
        <w:tc>
          <w:tcPr>
            <w:tcW w:w="1163" w:type="dxa"/>
            <w:shd w:val="clear" w:color="auto" w:fill="auto"/>
            <w:vAlign w:val="center"/>
          </w:tcPr>
          <w:p w:rsidR="0088341A" w:rsidRPr="001C4571" w:rsidRDefault="0088341A" w:rsidP="00501137">
            <w:pPr>
              <w:pStyle w:val="AERtabletextright"/>
            </w:pPr>
            <w:r w:rsidRPr="001C4571">
              <w:t>16.8</w:t>
            </w:r>
          </w:p>
        </w:tc>
        <w:tc>
          <w:tcPr>
            <w:tcW w:w="1163" w:type="dxa"/>
            <w:shd w:val="clear" w:color="auto" w:fill="auto"/>
            <w:vAlign w:val="center"/>
          </w:tcPr>
          <w:p w:rsidR="0088341A" w:rsidRPr="001C4571" w:rsidRDefault="0088341A" w:rsidP="00501137">
            <w:pPr>
              <w:pStyle w:val="AERtabletextright"/>
            </w:pPr>
            <w:r w:rsidRPr="001C4571">
              <w:t>15.1</w:t>
            </w:r>
          </w:p>
        </w:tc>
        <w:tc>
          <w:tcPr>
            <w:tcW w:w="953" w:type="dxa"/>
            <w:shd w:val="clear" w:color="auto" w:fill="auto"/>
            <w:vAlign w:val="center"/>
          </w:tcPr>
          <w:p w:rsidR="0088341A" w:rsidRPr="001C4571" w:rsidRDefault="0088341A" w:rsidP="00501137">
            <w:pPr>
              <w:pStyle w:val="AERtabletextright"/>
            </w:pPr>
            <w:r w:rsidRPr="001C4571">
              <w:t>5.0</w:t>
            </w:r>
          </w:p>
        </w:tc>
        <w:tc>
          <w:tcPr>
            <w:tcW w:w="953" w:type="dxa"/>
            <w:shd w:val="clear" w:color="auto" w:fill="auto"/>
            <w:vAlign w:val="center"/>
          </w:tcPr>
          <w:p w:rsidR="0088341A" w:rsidRPr="001C4571" w:rsidRDefault="0088341A" w:rsidP="00501137">
            <w:pPr>
              <w:pStyle w:val="AERtabletextright"/>
            </w:pPr>
            <w:r w:rsidRPr="001C4571">
              <w:t>0</w:t>
            </w:r>
          </w:p>
        </w:tc>
        <w:tc>
          <w:tcPr>
            <w:tcW w:w="953" w:type="dxa"/>
            <w:shd w:val="clear" w:color="auto" w:fill="auto"/>
            <w:vAlign w:val="center"/>
          </w:tcPr>
          <w:p w:rsidR="0088341A" w:rsidRPr="001C4571" w:rsidRDefault="0088341A" w:rsidP="00501137">
            <w:pPr>
              <w:pStyle w:val="AERtabletextright"/>
            </w:pPr>
            <w:r w:rsidRPr="001C4571">
              <w:t>1.8</w:t>
            </w:r>
          </w:p>
        </w:tc>
        <w:tc>
          <w:tcPr>
            <w:tcW w:w="1135" w:type="dxa"/>
            <w:shd w:val="clear" w:color="auto" w:fill="auto"/>
            <w:vAlign w:val="center"/>
          </w:tcPr>
          <w:p w:rsidR="0088341A" w:rsidRPr="001C4571" w:rsidRDefault="0088341A" w:rsidP="00501137">
            <w:pPr>
              <w:pStyle w:val="AERtabletextright"/>
            </w:pPr>
            <w:r w:rsidRPr="001C4571">
              <w:t>47.8</w:t>
            </w:r>
          </w:p>
        </w:tc>
      </w:tr>
      <w:tr w:rsidR="0088341A" w:rsidTr="00501137">
        <w:trPr>
          <w:trHeight w:val="511"/>
        </w:trPr>
        <w:tc>
          <w:tcPr>
            <w:tcW w:w="1758" w:type="dxa"/>
            <w:shd w:val="clear" w:color="auto" w:fill="DBE5F1"/>
            <w:vAlign w:val="center"/>
          </w:tcPr>
          <w:p w:rsidR="0088341A" w:rsidRPr="00BC2CD0" w:rsidRDefault="0088341A" w:rsidP="00501137">
            <w:pPr>
              <w:pStyle w:val="AERbulletlistfirststyle"/>
              <w:numPr>
                <w:ilvl w:val="0"/>
                <w:numId w:val="0"/>
              </w:numPr>
              <w:spacing w:before="120"/>
              <w:jc w:val="left"/>
              <w:rPr>
                <w:sz w:val="16"/>
              </w:rPr>
            </w:pPr>
            <w:r w:rsidRPr="00BC2CD0">
              <w:rPr>
                <w:sz w:val="16"/>
              </w:rPr>
              <w:t>NPV adjustment</w:t>
            </w:r>
          </w:p>
        </w:tc>
        <w:tc>
          <w:tcPr>
            <w:tcW w:w="900" w:type="dxa"/>
            <w:shd w:val="clear" w:color="auto" w:fill="DBE5F1"/>
            <w:vAlign w:val="center"/>
          </w:tcPr>
          <w:p w:rsidR="0088341A" w:rsidRPr="001C4571" w:rsidRDefault="0088341A" w:rsidP="00501137">
            <w:pPr>
              <w:pStyle w:val="AERtabletextright"/>
            </w:pPr>
            <w:r w:rsidRPr="001C4571">
              <w:t>9.1</w:t>
            </w:r>
          </w:p>
        </w:tc>
        <w:tc>
          <w:tcPr>
            <w:tcW w:w="1163" w:type="dxa"/>
            <w:shd w:val="clear" w:color="auto" w:fill="DBE5F1"/>
            <w:vAlign w:val="center"/>
          </w:tcPr>
          <w:p w:rsidR="0088341A" w:rsidRPr="001C4571" w:rsidRDefault="0088341A" w:rsidP="00501137">
            <w:pPr>
              <w:pStyle w:val="AERtabletextright"/>
            </w:pPr>
            <w:r w:rsidRPr="001C4571">
              <w:t>16.8</w:t>
            </w:r>
          </w:p>
        </w:tc>
        <w:tc>
          <w:tcPr>
            <w:tcW w:w="1163" w:type="dxa"/>
            <w:shd w:val="clear" w:color="auto" w:fill="DBE5F1"/>
            <w:vAlign w:val="center"/>
          </w:tcPr>
          <w:p w:rsidR="0088341A" w:rsidRPr="001C4571" w:rsidRDefault="0088341A" w:rsidP="00501137">
            <w:pPr>
              <w:pStyle w:val="AERtabletextright"/>
            </w:pPr>
            <w:r w:rsidRPr="001C4571">
              <w:t>21.2</w:t>
            </w:r>
          </w:p>
        </w:tc>
        <w:tc>
          <w:tcPr>
            <w:tcW w:w="953" w:type="dxa"/>
            <w:shd w:val="clear" w:color="auto" w:fill="DBE5F1"/>
            <w:vAlign w:val="center"/>
          </w:tcPr>
          <w:p w:rsidR="0088341A" w:rsidRPr="001C4571" w:rsidRDefault="0088341A" w:rsidP="00501137">
            <w:pPr>
              <w:pStyle w:val="AERtabletextright"/>
            </w:pPr>
          </w:p>
        </w:tc>
        <w:tc>
          <w:tcPr>
            <w:tcW w:w="953" w:type="dxa"/>
            <w:shd w:val="clear" w:color="auto" w:fill="DBE5F1"/>
            <w:vAlign w:val="center"/>
          </w:tcPr>
          <w:p w:rsidR="0088341A" w:rsidRPr="001C4571" w:rsidRDefault="0088341A" w:rsidP="00501137">
            <w:pPr>
              <w:pStyle w:val="AERtabletextright"/>
            </w:pPr>
          </w:p>
        </w:tc>
        <w:tc>
          <w:tcPr>
            <w:tcW w:w="953" w:type="dxa"/>
            <w:shd w:val="clear" w:color="auto" w:fill="DBE5F1"/>
            <w:vAlign w:val="center"/>
          </w:tcPr>
          <w:p w:rsidR="0088341A" w:rsidRPr="001C4571" w:rsidRDefault="0088341A" w:rsidP="00501137">
            <w:pPr>
              <w:pStyle w:val="AERtabletextright"/>
            </w:pPr>
          </w:p>
        </w:tc>
        <w:tc>
          <w:tcPr>
            <w:tcW w:w="1135" w:type="dxa"/>
            <w:shd w:val="clear" w:color="auto" w:fill="DBE5F1"/>
            <w:vAlign w:val="center"/>
          </w:tcPr>
          <w:p w:rsidR="0088341A" w:rsidRPr="001C4571" w:rsidRDefault="0088341A" w:rsidP="00501137">
            <w:pPr>
              <w:pStyle w:val="AERtabletextright"/>
            </w:pPr>
            <w:r w:rsidRPr="001C4571">
              <w:t>47.1</w:t>
            </w:r>
          </w:p>
        </w:tc>
      </w:tr>
      <w:tr w:rsidR="0088341A" w:rsidRPr="001C4571" w:rsidTr="00501137">
        <w:trPr>
          <w:trHeight w:val="500"/>
        </w:trPr>
        <w:tc>
          <w:tcPr>
            <w:tcW w:w="1758" w:type="dxa"/>
            <w:shd w:val="clear" w:color="auto" w:fill="auto"/>
            <w:vAlign w:val="center"/>
          </w:tcPr>
          <w:p w:rsidR="0088341A" w:rsidRPr="00336716" w:rsidRDefault="0088341A" w:rsidP="00501137">
            <w:pPr>
              <w:pStyle w:val="AERtabletextright"/>
              <w:jc w:val="left"/>
            </w:pPr>
            <w:r w:rsidRPr="00336716">
              <w:t>AER draft decision</w:t>
            </w:r>
          </w:p>
        </w:tc>
        <w:tc>
          <w:tcPr>
            <w:tcW w:w="900" w:type="dxa"/>
            <w:shd w:val="clear" w:color="auto" w:fill="auto"/>
            <w:vAlign w:val="center"/>
          </w:tcPr>
          <w:p w:rsidR="0088341A" w:rsidRPr="001C4571" w:rsidRDefault="0088341A" w:rsidP="00501137">
            <w:pPr>
              <w:pStyle w:val="AERtabletextright"/>
            </w:pPr>
            <w:r w:rsidRPr="001C4571">
              <w:t xml:space="preserve">17.9 </w:t>
            </w:r>
          </w:p>
        </w:tc>
        <w:tc>
          <w:tcPr>
            <w:tcW w:w="1163" w:type="dxa"/>
            <w:shd w:val="clear" w:color="auto" w:fill="auto"/>
            <w:vAlign w:val="center"/>
          </w:tcPr>
          <w:p w:rsidR="0088341A" w:rsidRPr="001C4571" w:rsidRDefault="0088341A" w:rsidP="00501137">
            <w:pPr>
              <w:pStyle w:val="AERtabletextright"/>
            </w:pPr>
            <w:r w:rsidRPr="001C4571">
              <w:t xml:space="preserve">15.4 </w:t>
            </w:r>
          </w:p>
        </w:tc>
        <w:tc>
          <w:tcPr>
            <w:tcW w:w="1163" w:type="dxa"/>
            <w:shd w:val="clear" w:color="auto" w:fill="auto"/>
            <w:vAlign w:val="center"/>
          </w:tcPr>
          <w:p w:rsidR="0088341A" w:rsidRPr="001C4571" w:rsidRDefault="0088341A" w:rsidP="00501137">
            <w:pPr>
              <w:pStyle w:val="AERtabletextright"/>
            </w:pPr>
            <w:r w:rsidRPr="001C4571">
              <w:t xml:space="preserve">5.1 </w:t>
            </w:r>
          </w:p>
        </w:tc>
        <w:tc>
          <w:tcPr>
            <w:tcW w:w="953" w:type="dxa"/>
            <w:shd w:val="clear" w:color="auto" w:fill="auto"/>
            <w:vAlign w:val="center"/>
          </w:tcPr>
          <w:p w:rsidR="0088341A" w:rsidRPr="001C4571" w:rsidRDefault="0088341A" w:rsidP="00501137">
            <w:pPr>
              <w:pStyle w:val="AERtabletextright"/>
            </w:pPr>
            <w:r w:rsidRPr="001C4571">
              <w:t xml:space="preserve">0.0 </w:t>
            </w:r>
          </w:p>
        </w:tc>
        <w:tc>
          <w:tcPr>
            <w:tcW w:w="953" w:type="dxa"/>
            <w:shd w:val="clear" w:color="auto" w:fill="auto"/>
            <w:vAlign w:val="center"/>
          </w:tcPr>
          <w:p w:rsidR="0088341A" w:rsidRPr="001C4571" w:rsidRDefault="0088341A" w:rsidP="00501137">
            <w:pPr>
              <w:pStyle w:val="AERtabletextright"/>
            </w:pPr>
            <w:r>
              <w:t>-1.3</w:t>
            </w:r>
            <w:r w:rsidRPr="001C4571">
              <w:t xml:space="preserve"> </w:t>
            </w:r>
          </w:p>
        </w:tc>
        <w:tc>
          <w:tcPr>
            <w:tcW w:w="953" w:type="dxa"/>
            <w:shd w:val="clear" w:color="auto" w:fill="auto"/>
            <w:vAlign w:val="center"/>
          </w:tcPr>
          <w:p w:rsidR="0088341A" w:rsidRPr="001C4571" w:rsidRDefault="0088341A" w:rsidP="00501137">
            <w:pPr>
              <w:pStyle w:val="AERtabletextright"/>
            </w:pPr>
          </w:p>
        </w:tc>
        <w:tc>
          <w:tcPr>
            <w:tcW w:w="1135" w:type="dxa"/>
            <w:shd w:val="clear" w:color="auto" w:fill="auto"/>
            <w:vAlign w:val="center"/>
          </w:tcPr>
          <w:p w:rsidR="0088341A" w:rsidRPr="001C4571" w:rsidRDefault="0088341A" w:rsidP="00501137">
            <w:pPr>
              <w:pStyle w:val="AERtabletextright"/>
            </w:pPr>
            <w:r>
              <w:t>37.0</w:t>
            </w:r>
          </w:p>
        </w:tc>
      </w:tr>
      <w:tr w:rsidR="0088341A" w:rsidTr="00501137">
        <w:trPr>
          <w:trHeight w:val="261"/>
        </w:trPr>
        <w:tc>
          <w:tcPr>
            <w:tcW w:w="1758" w:type="dxa"/>
            <w:shd w:val="clear" w:color="auto" w:fill="DBE5F1"/>
            <w:vAlign w:val="center"/>
          </w:tcPr>
          <w:p w:rsidR="0088341A" w:rsidRPr="00BC2CD0" w:rsidRDefault="0088341A" w:rsidP="00501137">
            <w:pPr>
              <w:pStyle w:val="AERbulletlistfirststyle"/>
              <w:numPr>
                <w:ilvl w:val="0"/>
                <w:numId w:val="0"/>
              </w:numPr>
              <w:spacing w:before="120"/>
              <w:ind w:left="357" w:hanging="357"/>
              <w:jc w:val="left"/>
              <w:rPr>
                <w:sz w:val="16"/>
              </w:rPr>
            </w:pPr>
            <w:r w:rsidRPr="00BC2CD0">
              <w:rPr>
                <w:sz w:val="16"/>
              </w:rPr>
              <w:t>NPV adjustment</w:t>
            </w:r>
          </w:p>
        </w:tc>
        <w:tc>
          <w:tcPr>
            <w:tcW w:w="900" w:type="dxa"/>
            <w:shd w:val="clear" w:color="auto" w:fill="DBE5F1"/>
            <w:vAlign w:val="center"/>
          </w:tcPr>
          <w:p w:rsidR="0088341A" w:rsidRPr="001C4571" w:rsidRDefault="0088341A" w:rsidP="00501137">
            <w:pPr>
              <w:pStyle w:val="AERtabletextright"/>
            </w:pPr>
            <w:r w:rsidRPr="001C4571">
              <w:t>17.9</w:t>
            </w:r>
          </w:p>
        </w:tc>
        <w:tc>
          <w:tcPr>
            <w:tcW w:w="1163" w:type="dxa"/>
            <w:shd w:val="clear" w:color="auto" w:fill="DBE5F1"/>
            <w:vAlign w:val="center"/>
          </w:tcPr>
          <w:p w:rsidR="0088341A" w:rsidRPr="001C4571" w:rsidRDefault="0088341A" w:rsidP="00501137">
            <w:pPr>
              <w:pStyle w:val="AERtabletextright"/>
            </w:pPr>
            <w:r w:rsidRPr="001C4571">
              <w:t>15.4</w:t>
            </w:r>
          </w:p>
        </w:tc>
        <w:tc>
          <w:tcPr>
            <w:tcW w:w="1163" w:type="dxa"/>
            <w:shd w:val="clear" w:color="auto" w:fill="DBE5F1"/>
            <w:vAlign w:val="center"/>
          </w:tcPr>
          <w:p w:rsidR="0088341A" w:rsidRPr="001C4571" w:rsidRDefault="0088341A" w:rsidP="00501137">
            <w:pPr>
              <w:pStyle w:val="AERtabletextright"/>
            </w:pPr>
            <w:r>
              <w:t>3.9</w:t>
            </w:r>
          </w:p>
        </w:tc>
        <w:tc>
          <w:tcPr>
            <w:tcW w:w="953" w:type="dxa"/>
            <w:shd w:val="clear" w:color="auto" w:fill="DBE5F1"/>
            <w:vAlign w:val="center"/>
          </w:tcPr>
          <w:p w:rsidR="0088341A" w:rsidRPr="001C4571" w:rsidRDefault="0088341A" w:rsidP="00501137">
            <w:pPr>
              <w:pStyle w:val="AERtabletextright"/>
            </w:pPr>
          </w:p>
        </w:tc>
        <w:tc>
          <w:tcPr>
            <w:tcW w:w="953" w:type="dxa"/>
            <w:shd w:val="clear" w:color="auto" w:fill="DBE5F1"/>
            <w:vAlign w:val="center"/>
          </w:tcPr>
          <w:p w:rsidR="0088341A" w:rsidRPr="001C4571" w:rsidRDefault="0088341A" w:rsidP="00501137">
            <w:pPr>
              <w:pStyle w:val="AERtabletextright"/>
            </w:pPr>
          </w:p>
        </w:tc>
        <w:tc>
          <w:tcPr>
            <w:tcW w:w="953" w:type="dxa"/>
            <w:shd w:val="clear" w:color="auto" w:fill="DBE5F1"/>
            <w:vAlign w:val="center"/>
          </w:tcPr>
          <w:p w:rsidR="0088341A" w:rsidRPr="001C4571" w:rsidRDefault="0088341A" w:rsidP="00501137">
            <w:pPr>
              <w:pStyle w:val="AERtabletextright"/>
            </w:pPr>
          </w:p>
        </w:tc>
        <w:tc>
          <w:tcPr>
            <w:tcW w:w="1135" w:type="dxa"/>
            <w:shd w:val="clear" w:color="auto" w:fill="DBE5F1"/>
            <w:vAlign w:val="center"/>
          </w:tcPr>
          <w:p w:rsidR="0088341A" w:rsidRPr="001C4571" w:rsidRDefault="0088341A" w:rsidP="00501137">
            <w:pPr>
              <w:pStyle w:val="AERtabletextright"/>
            </w:pPr>
            <w:r>
              <w:t>37.2</w:t>
            </w:r>
          </w:p>
        </w:tc>
      </w:tr>
    </w:tbl>
    <w:p w:rsidR="0088341A" w:rsidRDefault="0088341A" w:rsidP="0088341A">
      <w:pPr>
        <w:pStyle w:val="AERtablesource"/>
      </w:pPr>
      <w:r>
        <w:t>Source:</w:t>
      </w:r>
      <w:r>
        <w:tab/>
        <w:t xml:space="preserve">SP AusNet, </w:t>
      </w:r>
      <w:r w:rsidRPr="001B164C">
        <w:rPr>
          <w:rStyle w:val="AERtextitalic"/>
        </w:rPr>
        <w:t>Revenue proposal</w:t>
      </w:r>
      <w:r>
        <w:t>, p. 178.</w:t>
      </w:r>
    </w:p>
    <w:p w:rsidR="00AD7993" w:rsidRPr="00AD7993" w:rsidRDefault="00E4498B" w:rsidP="00AD7993">
      <w:pPr>
        <w:pStyle w:val="AERbodytext"/>
      </w:pPr>
      <w:r>
        <w:fldChar w:fldCharType="begin"/>
      </w:r>
      <w:r>
        <w:instrText xml:space="preserve"> REF _Ref364757633 \h </w:instrText>
      </w:r>
      <w:r>
        <w:fldChar w:fldCharType="separate"/>
      </w:r>
      <w:r w:rsidR="004F35AA">
        <w:t xml:space="preserve">Table </w:t>
      </w:r>
      <w:r w:rsidR="004F35AA">
        <w:rPr>
          <w:noProof/>
        </w:rPr>
        <w:t>10</w:t>
      </w:r>
      <w:r w:rsidR="004F35AA">
        <w:t>.</w:t>
      </w:r>
      <w:r w:rsidR="004F35AA">
        <w:rPr>
          <w:noProof/>
        </w:rPr>
        <w:t>3</w:t>
      </w:r>
      <w:r>
        <w:fldChar w:fldCharType="end"/>
      </w:r>
      <w:r>
        <w:t xml:space="preserve"> </w:t>
      </w:r>
      <w:r w:rsidR="00AD7993">
        <w:t xml:space="preserve">shows how the incremental efficiency gain (loss) achieved in each year of 2008–14 is carried over for five years. It also shows the net present value adjustment </w:t>
      </w:r>
      <w:r w:rsidR="007A0F8D">
        <w:t xml:space="preserve">we will make </w:t>
      </w:r>
      <w:r w:rsidR="00AD7993">
        <w:t xml:space="preserve">so SP AusNet receives the carryover amounts </w:t>
      </w:r>
      <w:r w:rsidR="007A0F8D">
        <w:t xml:space="preserve">that would fall in 2017–18 and 2019–20, in 2016–17. </w:t>
      </w:r>
      <w:r w:rsidR="00AD7993">
        <w:t xml:space="preserve"> </w:t>
      </w:r>
    </w:p>
    <w:p w:rsidR="0088341A" w:rsidRDefault="0088341A" w:rsidP="0088341A">
      <w:pPr>
        <w:pStyle w:val="Caption"/>
      </w:pPr>
      <w:bookmarkStart w:id="357" w:name="_Ref364757633"/>
      <w:r>
        <w:lastRenderedPageBreak/>
        <w:t xml:space="preserve">Table </w:t>
      </w:r>
      <w:fldSimple w:instr=" STYLEREF 1 \s ">
        <w:r w:rsidR="004F35AA">
          <w:rPr>
            <w:noProof/>
          </w:rPr>
          <w:t>10</w:t>
        </w:r>
      </w:fldSimple>
      <w:r w:rsidR="00C56A87">
        <w:t>.</w:t>
      </w:r>
      <w:fldSimple w:instr=" SEQ Table \* ARABIC \s 1 ">
        <w:r w:rsidR="004F35AA">
          <w:rPr>
            <w:noProof/>
          </w:rPr>
          <w:t>3</w:t>
        </w:r>
      </w:fldSimple>
      <w:bookmarkEnd w:id="357"/>
      <w:r>
        <w:tab/>
        <w:t>Draft decision, application of EBSS in 2008–14 ($ million, 2013–14)</w:t>
      </w:r>
    </w:p>
    <w:p w:rsidR="0088341A" w:rsidRDefault="0088341A" w:rsidP="0088341A">
      <w:pPr>
        <w:pStyle w:val="AERbodytext"/>
        <w:numPr>
          <w:ilvl w:val="0"/>
          <w:numId w:val="0"/>
        </w:numPr>
      </w:pPr>
      <w:r>
        <w:rPr>
          <w:noProof/>
          <w:lang w:eastAsia="en-AU"/>
        </w:rPr>
        <w:drawing>
          <wp:inline distT="0" distB="0" distL="0" distR="0" wp14:anchorId="03BC58DB" wp14:editId="6BA96BA6">
            <wp:extent cx="5730875" cy="3466465"/>
            <wp:effectExtent l="0" t="0" r="317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0875" cy="3466465"/>
                    </a:xfrm>
                    <a:prstGeom prst="rect">
                      <a:avLst/>
                    </a:prstGeom>
                    <a:noFill/>
                    <a:ln>
                      <a:noFill/>
                    </a:ln>
                  </pic:spPr>
                </pic:pic>
              </a:graphicData>
            </a:graphic>
          </wp:inline>
        </w:drawing>
      </w:r>
    </w:p>
    <w:p w:rsidR="0088341A" w:rsidRPr="00DC2685" w:rsidRDefault="0088341A" w:rsidP="0088341A">
      <w:pPr>
        <w:pStyle w:val="AERtablesource"/>
      </w:pPr>
      <w:r w:rsidRPr="00DC2685">
        <w:t>Source:</w:t>
      </w:r>
      <w:r>
        <w:tab/>
        <w:t xml:space="preserve">AER </w:t>
      </w:r>
      <w:r w:rsidR="00074A63">
        <w:t>analysis</w:t>
      </w:r>
      <w:r>
        <w:t>.</w:t>
      </w:r>
    </w:p>
    <w:p w:rsidR="0088341A" w:rsidRPr="00A907E9" w:rsidRDefault="0088341A" w:rsidP="0088341A">
      <w:pPr>
        <w:pStyle w:val="Heading3"/>
        <w:numPr>
          <w:ilvl w:val="3"/>
          <w:numId w:val="20"/>
        </w:numPr>
      </w:pPr>
      <w:r w:rsidRPr="00A907E9">
        <w:t>Application of the EBSS in 2014–17</w:t>
      </w:r>
    </w:p>
    <w:p w:rsidR="0088341A" w:rsidRDefault="0088341A" w:rsidP="0088341A">
      <w:pPr>
        <w:pStyle w:val="AERbodytext"/>
        <w:numPr>
          <w:ilvl w:val="0"/>
          <w:numId w:val="3"/>
        </w:numPr>
      </w:pPr>
      <w:r>
        <w:t>We must approve the values attributed to the EBSS for the 2014–17 regulatory control period if satisfied that they comply with version one of the EBSS for electricity TNSPs. In this section we discuss how we will apply the EBSS in 2014–17.</w:t>
      </w:r>
    </w:p>
    <w:p w:rsidR="0088341A" w:rsidRPr="005B7E55" w:rsidRDefault="0088341A" w:rsidP="0088341A">
      <w:pPr>
        <w:pStyle w:val="HeadingBoldBlue"/>
      </w:pPr>
      <w:r>
        <w:t>Demand growth adjustment</w:t>
      </w:r>
    </w:p>
    <w:p w:rsidR="0088341A" w:rsidRDefault="0088341A" w:rsidP="0088341A">
      <w:pPr>
        <w:pStyle w:val="AERbodytext"/>
        <w:numPr>
          <w:ilvl w:val="0"/>
          <w:numId w:val="3"/>
        </w:numPr>
      </w:pPr>
      <w:r>
        <w:t>For</w:t>
      </w:r>
      <w:r w:rsidRPr="00B4065F">
        <w:t xml:space="preserve"> calculat</w:t>
      </w:r>
      <w:r>
        <w:t>ing</w:t>
      </w:r>
      <w:r w:rsidRPr="00B4065F">
        <w:t xml:space="preserve"> carryover amounts, the EBSS requires </w:t>
      </w:r>
      <w:r>
        <w:t>us to adjust</w:t>
      </w:r>
      <w:r w:rsidRPr="00B4065F">
        <w:t xml:space="preserve"> </w:t>
      </w:r>
      <w:r>
        <w:t>SP AusNet's</w:t>
      </w:r>
      <w:r w:rsidRPr="00B4065F">
        <w:t xml:space="preserve"> forecast </w:t>
      </w:r>
      <w:r>
        <w:t>opex</w:t>
      </w:r>
      <w:r w:rsidRPr="00B4065F">
        <w:t xml:space="preserve"> </w:t>
      </w:r>
      <w:r>
        <w:t xml:space="preserve">if </w:t>
      </w:r>
      <w:r w:rsidRPr="00B4065F">
        <w:t xml:space="preserve">forecast </w:t>
      </w:r>
      <w:r>
        <w:t xml:space="preserve">demand is different from </w:t>
      </w:r>
      <w:r w:rsidRPr="00B4065F">
        <w:t xml:space="preserve">actual demand over the regulatory control period. </w:t>
      </w:r>
    </w:p>
    <w:p w:rsidR="0088341A" w:rsidRPr="004F332C" w:rsidRDefault="0088341A" w:rsidP="0088341A">
      <w:pPr>
        <w:pStyle w:val="AERbodytext"/>
        <w:numPr>
          <w:ilvl w:val="0"/>
          <w:numId w:val="3"/>
        </w:numPr>
      </w:pPr>
      <w:r>
        <w:t xml:space="preserve">SP AusNet did not propose any adjustments and we consider that we do not need to adjust forecast </w:t>
      </w:r>
      <w:r w:rsidRPr="004F332C">
        <w:t>opex</w:t>
      </w:r>
      <w:r>
        <w:t xml:space="preserve"> if forecast demand is different from actual demand</w:t>
      </w:r>
      <w:r w:rsidRPr="004F332C">
        <w:t>.</w:t>
      </w:r>
      <w:r>
        <w:t xml:space="preserve"> Our reason is that</w:t>
      </w:r>
      <w:r w:rsidRPr="004F332C">
        <w:t xml:space="preserve"> </w:t>
      </w:r>
      <w:r>
        <w:t>SP AusNet</w:t>
      </w:r>
      <w:r w:rsidRPr="004F332C">
        <w:t>'s forecast opex does not have a direc</w:t>
      </w:r>
      <w:r>
        <w:t>t relationship to demand growth</w:t>
      </w:r>
      <w:r w:rsidRPr="004F332C">
        <w:t xml:space="preserve"> </w:t>
      </w:r>
      <w:r>
        <w:t>and the TNSP’s</w:t>
      </w:r>
      <w:r w:rsidRPr="004F332C">
        <w:t xml:space="preserve"> forecasting model does not use demand growth as a direct input. </w:t>
      </w:r>
    </w:p>
    <w:p w:rsidR="0088341A" w:rsidRPr="00B4065F" w:rsidRDefault="0088341A" w:rsidP="0088341A">
      <w:pPr>
        <w:pStyle w:val="HeadingBoldBlue"/>
      </w:pPr>
      <w:r>
        <w:t>Excluded cost categories</w:t>
      </w:r>
    </w:p>
    <w:p w:rsidR="0088341A" w:rsidRPr="00B4065F" w:rsidRDefault="0088341A" w:rsidP="0088341A">
      <w:pPr>
        <w:pStyle w:val="AERbodytext"/>
        <w:numPr>
          <w:ilvl w:val="0"/>
          <w:numId w:val="3"/>
        </w:numPr>
      </w:pPr>
      <w:r>
        <w:t xml:space="preserve">We accept SP AusNet's proposal to </w:t>
      </w:r>
      <w:r w:rsidRPr="00B4065F">
        <w:t xml:space="preserve">exclude the following </w:t>
      </w:r>
      <w:r>
        <w:t>opex</w:t>
      </w:r>
      <w:r w:rsidRPr="00B4065F">
        <w:t xml:space="preserve"> categories for calculating EBSS carryovers</w:t>
      </w:r>
      <w:r>
        <w:t>, with the exception of equity raising costs. We will exclude:</w:t>
      </w:r>
    </w:p>
    <w:p w:rsidR="0088341A" w:rsidRDefault="0088341A" w:rsidP="0088341A">
      <w:pPr>
        <w:pStyle w:val="AERbulletlistfirststyle"/>
      </w:pPr>
      <w:r>
        <w:t>easement land tax</w:t>
      </w:r>
    </w:p>
    <w:p w:rsidR="0088341A" w:rsidRDefault="0088341A" w:rsidP="0088341A">
      <w:pPr>
        <w:pStyle w:val="AERbulletlistfirststyle"/>
      </w:pPr>
      <w:r>
        <w:t>self-</w:t>
      </w:r>
      <w:r w:rsidRPr="00B4065F">
        <w:t>ins</w:t>
      </w:r>
      <w:r>
        <w:t>urance</w:t>
      </w:r>
    </w:p>
    <w:p w:rsidR="0088341A" w:rsidRDefault="0088341A" w:rsidP="0088341A">
      <w:pPr>
        <w:pStyle w:val="AERbulletlistfirststyle"/>
      </w:pPr>
      <w:r>
        <w:t>rebates made under the Availability Incentive Scheme with AEMO</w:t>
      </w:r>
    </w:p>
    <w:p w:rsidR="0088341A" w:rsidRDefault="0088341A" w:rsidP="0088341A">
      <w:pPr>
        <w:pStyle w:val="AERbulletlistfirststyle"/>
      </w:pPr>
      <w:r w:rsidRPr="00B4065F">
        <w:t>debt raising costs</w:t>
      </w:r>
    </w:p>
    <w:p w:rsidR="0088341A" w:rsidRDefault="0088341A" w:rsidP="0088341A">
      <w:pPr>
        <w:pStyle w:val="AERbulletlistfirststyle"/>
      </w:pPr>
      <w:r w:rsidRPr="00F31277">
        <w:lastRenderedPageBreak/>
        <w:t>the cost of priority projects approved under the network capability component of the STPIS</w:t>
      </w:r>
      <w:r>
        <w:t>.</w:t>
      </w:r>
    </w:p>
    <w:p w:rsidR="0088341A" w:rsidRDefault="0088341A" w:rsidP="0088341A">
      <w:pPr>
        <w:pStyle w:val="AERbodytext"/>
        <w:numPr>
          <w:ilvl w:val="0"/>
          <w:numId w:val="3"/>
        </w:numPr>
      </w:pPr>
      <w:r w:rsidRPr="008968C2">
        <w:t>We will also adjust actual opex for the 2014–17 regulatory control period to reverse any movements in provisions. This approach is consistent with how we forecast opex for the 2014–17 regulatory control period.</w:t>
      </w:r>
      <w:r w:rsidRPr="00947600">
        <w:t xml:space="preserve"> </w:t>
      </w:r>
    </w:p>
    <w:p w:rsidR="0088341A" w:rsidRPr="008968C2" w:rsidRDefault="0088341A" w:rsidP="0088341A">
      <w:pPr>
        <w:pStyle w:val="AERbodytext"/>
        <w:numPr>
          <w:ilvl w:val="0"/>
          <w:numId w:val="3"/>
        </w:numPr>
      </w:pPr>
      <w:r>
        <w:t>Since equity raising costs are not provided as an opex allowance, equity raising costs are already excluded from the operation of the EBSS because they are not included in SP AusNet’s forecast opex (discussed in section 3.4.10).</w:t>
      </w:r>
    </w:p>
    <w:p w:rsidR="0088341A" w:rsidRDefault="0088341A" w:rsidP="0088341A">
      <w:pPr>
        <w:pStyle w:val="AERbodytext"/>
        <w:numPr>
          <w:ilvl w:val="0"/>
          <w:numId w:val="3"/>
        </w:numPr>
      </w:pPr>
      <w:r>
        <w:t xml:space="preserve">We accept the excluded cost categories because they </w:t>
      </w:r>
      <w:r w:rsidRPr="00536671">
        <w:t>are not forecast using historic</w:t>
      </w:r>
      <w:r>
        <w:t>al</w:t>
      </w:r>
      <w:r w:rsidRPr="00536671">
        <w:t xml:space="preserve"> expenditure in an efficient base year</w:t>
      </w:r>
      <w:r>
        <w:t xml:space="preserve">. Additionally, we note </w:t>
      </w:r>
      <w:r w:rsidRPr="00B57203">
        <w:t>the adjustments set out in section 2.4.2 of the EBSS, which exclude</w:t>
      </w:r>
      <w:r>
        <w:t>s</w:t>
      </w:r>
      <w:r w:rsidRPr="00B57203">
        <w:t xml:space="preserve"> the cost of recognised pass through events.</w:t>
      </w:r>
      <w:r>
        <w:t xml:space="preserve"> </w:t>
      </w:r>
      <w:r>
        <w:fldChar w:fldCharType="begin"/>
      </w:r>
      <w:r>
        <w:instrText xml:space="preserve"> REF _Ref359331619 \h </w:instrText>
      </w:r>
      <w:r>
        <w:fldChar w:fldCharType="separate"/>
      </w:r>
      <w:r w:rsidR="004F35AA">
        <w:t xml:space="preserve">Table </w:t>
      </w:r>
      <w:r w:rsidR="004F35AA">
        <w:rPr>
          <w:noProof/>
        </w:rPr>
        <w:t>10</w:t>
      </w:r>
      <w:r w:rsidR="004F35AA">
        <w:t>.</w:t>
      </w:r>
      <w:r w:rsidR="004F35AA">
        <w:rPr>
          <w:noProof/>
        </w:rPr>
        <w:t>4</w:t>
      </w:r>
      <w:r>
        <w:fldChar w:fldCharType="end"/>
      </w:r>
      <w:r>
        <w:t xml:space="preserve"> sets out our draft decision on SP AusNet’s target opex for the EBSS (total opex less excluded categories), against which we will calculate efficiency gains in 2014–17.</w:t>
      </w:r>
    </w:p>
    <w:p w:rsidR="0088341A" w:rsidRDefault="0088341A" w:rsidP="0088341A">
      <w:pPr>
        <w:pStyle w:val="Caption"/>
        <w:keepLines/>
        <w:widowControl w:val="0"/>
      </w:pPr>
      <w:bookmarkStart w:id="358" w:name="_Ref359331619"/>
      <w:r>
        <w:t xml:space="preserve">Table </w:t>
      </w:r>
      <w:fldSimple w:instr=" STYLEREF 1 \s ">
        <w:r w:rsidR="004F35AA">
          <w:rPr>
            <w:noProof/>
          </w:rPr>
          <w:t>10</w:t>
        </w:r>
      </w:fldSimple>
      <w:r w:rsidR="00C56A87">
        <w:t>.</w:t>
      </w:r>
      <w:fldSimple w:instr=" SEQ Table \* ARABIC \s 1 ">
        <w:r w:rsidR="004F35AA">
          <w:rPr>
            <w:noProof/>
          </w:rPr>
          <w:t>4</w:t>
        </w:r>
      </w:fldSimple>
      <w:bookmarkEnd w:id="358"/>
      <w:r>
        <w:tab/>
        <w:t>AER's draft decision on SP AusNet's forecast opex for the EBSS ($ million, 2013–14)</w:t>
      </w:r>
    </w:p>
    <w:tbl>
      <w:tblPr>
        <w:tblpPr w:leftFromText="180" w:rightFromText="180" w:vertAnchor="text" w:tblpY="189"/>
        <w:tblW w:w="9180" w:type="dxa"/>
        <w:tblBorders>
          <w:bottom w:val="single" w:sz="4" w:space="0" w:color="365F91"/>
        </w:tblBorders>
        <w:tblLayout w:type="fixed"/>
        <w:tblLook w:val="04A0" w:firstRow="1" w:lastRow="0" w:firstColumn="1" w:lastColumn="0" w:noHBand="0" w:noVBand="1"/>
      </w:tblPr>
      <w:tblGrid>
        <w:gridCol w:w="3794"/>
        <w:gridCol w:w="1346"/>
        <w:gridCol w:w="1347"/>
        <w:gridCol w:w="1346"/>
        <w:gridCol w:w="1347"/>
      </w:tblGrid>
      <w:tr w:rsidR="0088341A" w:rsidTr="00501137">
        <w:tc>
          <w:tcPr>
            <w:tcW w:w="3794" w:type="dxa"/>
            <w:shd w:val="clear" w:color="auto" w:fill="365F91"/>
            <w:vAlign w:val="center"/>
          </w:tcPr>
          <w:p w:rsidR="0088341A" w:rsidRPr="009116D9" w:rsidRDefault="0088341A" w:rsidP="00501137">
            <w:pPr>
              <w:pStyle w:val="AERtabletextleft"/>
              <w:keepNext/>
              <w:keepLines/>
              <w:widowControl w:val="0"/>
              <w:rPr>
                <w:b/>
                <w:color w:val="FFFFFF"/>
              </w:rPr>
            </w:pPr>
          </w:p>
        </w:tc>
        <w:tc>
          <w:tcPr>
            <w:tcW w:w="1346" w:type="dxa"/>
            <w:shd w:val="clear" w:color="auto" w:fill="365F91"/>
            <w:vAlign w:val="center"/>
          </w:tcPr>
          <w:p w:rsidR="0088341A" w:rsidRPr="009116D9" w:rsidRDefault="0088341A" w:rsidP="00501137">
            <w:pPr>
              <w:pStyle w:val="AERtabletextright"/>
              <w:keepNext/>
              <w:keepLines/>
              <w:widowControl w:val="0"/>
              <w:rPr>
                <w:b/>
                <w:color w:val="FFFFFF"/>
              </w:rPr>
            </w:pPr>
            <w:r w:rsidRPr="009116D9">
              <w:rPr>
                <w:b/>
                <w:color w:val="FFFFFF"/>
              </w:rPr>
              <w:t>2014–15</w:t>
            </w:r>
          </w:p>
        </w:tc>
        <w:tc>
          <w:tcPr>
            <w:tcW w:w="1347" w:type="dxa"/>
            <w:shd w:val="clear" w:color="auto" w:fill="365F91"/>
            <w:vAlign w:val="center"/>
          </w:tcPr>
          <w:p w:rsidR="0088341A" w:rsidRPr="009116D9" w:rsidRDefault="0088341A" w:rsidP="00501137">
            <w:pPr>
              <w:pStyle w:val="AERtabletextright"/>
              <w:keepNext/>
              <w:keepLines/>
              <w:widowControl w:val="0"/>
              <w:rPr>
                <w:b/>
                <w:color w:val="FFFFFF"/>
              </w:rPr>
            </w:pPr>
            <w:r w:rsidRPr="009116D9">
              <w:rPr>
                <w:b/>
                <w:color w:val="FFFFFF"/>
              </w:rPr>
              <w:t>2015–16</w:t>
            </w:r>
          </w:p>
        </w:tc>
        <w:tc>
          <w:tcPr>
            <w:tcW w:w="1346" w:type="dxa"/>
            <w:shd w:val="clear" w:color="auto" w:fill="365F91"/>
            <w:vAlign w:val="center"/>
          </w:tcPr>
          <w:p w:rsidR="0088341A" w:rsidRPr="009116D9" w:rsidRDefault="0088341A" w:rsidP="00501137">
            <w:pPr>
              <w:pStyle w:val="AERtabletextright"/>
              <w:keepNext/>
              <w:keepLines/>
              <w:widowControl w:val="0"/>
              <w:rPr>
                <w:b/>
                <w:color w:val="FFFFFF"/>
              </w:rPr>
            </w:pPr>
            <w:r w:rsidRPr="009116D9">
              <w:rPr>
                <w:b/>
                <w:color w:val="FFFFFF"/>
              </w:rPr>
              <w:t>2016–17</w:t>
            </w:r>
          </w:p>
        </w:tc>
        <w:tc>
          <w:tcPr>
            <w:tcW w:w="1347" w:type="dxa"/>
            <w:shd w:val="clear" w:color="auto" w:fill="365F91"/>
            <w:vAlign w:val="center"/>
          </w:tcPr>
          <w:p w:rsidR="0088341A" w:rsidRPr="009116D9" w:rsidRDefault="0088341A" w:rsidP="00501137">
            <w:pPr>
              <w:pStyle w:val="AERtabletextright"/>
              <w:keepNext/>
              <w:keepLines/>
              <w:widowControl w:val="0"/>
              <w:rPr>
                <w:b/>
                <w:color w:val="FFFFFF"/>
              </w:rPr>
            </w:pPr>
            <w:r w:rsidRPr="009116D9">
              <w:rPr>
                <w:b/>
                <w:color w:val="FFFFFF"/>
              </w:rPr>
              <w:t>Total</w:t>
            </w:r>
          </w:p>
        </w:tc>
      </w:tr>
      <w:tr w:rsidR="0088341A" w:rsidTr="00501137">
        <w:tc>
          <w:tcPr>
            <w:tcW w:w="3794" w:type="dxa"/>
            <w:shd w:val="clear" w:color="auto" w:fill="auto"/>
            <w:vAlign w:val="center"/>
          </w:tcPr>
          <w:p w:rsidR="0088341A" w:rsidRPr="001D6C4A" w:rsidRDefault="0088341A" w:rsidP="00501137">
            <w:pPr>
              <w:pStyle w:val="AERtabletextleft"/>
              <w:keepNext/>
              <w:keepLines/>
              <w:widowControl w:val="0"/>
            </w:pPr>
            <w:r w:rsidRPr="009E4542">
              <w:t>Total forecast opex</w:t>
            </w:r>
          </w:p>
        </w:tc>
        <w:tc>
          <w:tcPr>
            <w:tcW w:w="1346" w:type="dxa"/>
            <w:shd w:val="clear" w:color="auto" w:fill="auto"/>
            <w:vAlign w:val="center"/>
          </w:tcPr>
          <w:p w:rsidR="0088341A" w:rsidRPr="001D6C4A" w:rsidRDefault="0088341A" w:rsidP="00501137">
            <w:pPr>
              <w:pStyle w:val="AERtabletextright"/>
              <w:keepNext/>
              <w:keepLines/>
              <w:widowControl w:val="0"/>
            </w:pPr>
            <w:r>
              <w:t>179.2</w:t>
            </w:r>
          </w:p>
        </w:tc>
        <w:tc>
          <w:tcPr>
            <w:tcW w:w="1347" w:type="dxa"/>
            <w:shd w:val="clear" w:color="auto" w:fill="auto"/>
            <w:vAlign w:val="center"/>
          </w:tcPr>
          <w:p w:rsidR="0088341A" w:rsidRPr="001D6C4A" w:rsidRDefault="0088341A" w:rsidP="00501137">
            <w:pPr>
              <w:pStyle w:val="AERtabletextright"/>
              <w:keepNext/>
              <w:keepLines/>
              <w:widowControl w:val="0"/>
            </w:pPr>
            <w:r>
              <w:t>183.1</w:t>
            </w:r>
          </w:p>
        </w:tc>
        <w:tc>
          <w:tcPr>
            <w:tcW w:w="1346" w:type="dxa"/>
            <w:shd w:val="clear" w:color="auto" w:fill="auto"/>
            <w:vAlign w:val="center"/>
          </w:tcPr>
          <w:p w:rsidR="0088341A" w:rsidRPr="001D6C4A" w:rsidRDefault="0088341A" w:rsidP="00501137">
            <w:pPr>
              <w:pStyle w:val="AERtabletextright"/>
              <w:keepNext/>
              <w:keepLines/>
              <w:widowControl w:val="0"/>
            </w:pPr>
            <w:r>
              <w:t>180.7</w:t>
            </w:r>
          </w:p>
        </w:tc>
        <w:tc>
          <w:tcPr>
            <w:tcW w:w="1347" w:type="dxa"/>
            <w:shd w:val="clear" w:color="auto" w:fill="auto"/>
            <w:vAlign w:val="center"/>
          </w:tcPr>
          <w:p w:rsidR="0088341A" w:rsidRPr="001D6C4A" w:rsidRDefault="0088341A" w:rsidP="00501137">
            <w:pPr>
              <w:pStyle w:val="AERtabletextright"/>
              <w:keepNext/>
              <w:keepLines/>
              <w:widowControl w:val="0"/>
            </w:pPr>
            <w:r>
              <w:t>543.1</w:t>
            </w:r>
          </w:p>
        </w:tc>
      </w:tr>
      <w:tr w:rsidR="0088341A" w:rsidTr="00501137">
        <w:tc>
          <w:tcPr>
            <w:tcW w:w="3794" w:type="dxa"/>
            <w:shd w:val="clear" w:color="auto" w:fill="DBE5F1"/>
            <w:vAlign w:val="center"/>
          </w:tcPr>
          <w:p w:rsidR="0088341A" w:rsidRPr="001D6C4A" w:rsidRDefault="0088341A" w:rsidP="00501137">
            <w:pPr>
              <w:pStyle w:val="AERtabletextleft"/>
              <w:keepNext/>
              <w:keepLines/>
              <w:widowControl w:val="0"/>
            </w:pPr>
            <w:r>
              <w:t xml:space="preserve"> </w:t>
            </w:r>
            <w:r w:rsidRPr="001D6C4A">
              <w:t xml:space="preserve"> Easement land tax</w:t>
            </w:r>
          </w:p>
        </w:tc>
        <w:tc>
          <w:tcPr>
            <w:tcW w:w="1346" w:type="dxa"/>
            <w:shd w:val="clear" w:color="auto" w:fill="DBE5F1"/>
            <w:vAlign w:val="center"/>
          </w:tcPr>
          <w:p w:rsidR="0088341A" w:rsidRPr="001D6C4A" w:rsidRDefault="0088341A" w:rsidP="00501137">
            <w:pPr>
              <w:pStyle w:val="AERtabletextright"/>
              <w:keepNext/>
              <w:keepLines/>
              <w:widowControl w:val="0"/>
            </w:pPr>
            <w:r>
              <w:t>–100.9</w:t>
            </w:r>
          </w:p>
        </w:tc>
        <w:tc>
          <w:tcPr>
            <w:tcW w:w="1347" w:type="dxa"/>
            <w:shd w:val="clear" w:color="auto" w:fill="DBE5F1"/>
            <w:vAlign w:val="center"/>
          </w:tcPr>
          <w:p w:rsidR="0088341A" w:rsidRDefault="0088341A" w:rsidP="00501137">
            <w:pPr>
              <w:pStyle w:val="AERtabletextright"/>
              <w:keepNext/>
              <w:keepLines/>
              <w:widowControl w:val="0"/>
            </w:pPr>
            <w:r w:rsidRPr="0052148B">
              <w:t>–</w:t>
            </w:r>
            <w:r>
              <w:t>103.4</w:t>
            </w:r>
          </w:p>
        </w:tc>
        <w:tc>
          <w:tcPr>
            <w:tcW w:w="1346" w:type="dxa"/>
            <w:shd w:val="clear" w:color="auto" w:fill="DBE5F1"/>
            <w:vAlign w:val="center"/>
          </w:tcPr>
          <w:p w:rsidR="0088341A" w:rsidRDefault="0088341A" w:rsidP="00501137">
            <w:pPr>
              <w:pStyle w:val="AERtabletextright"/>
              <w:keepNext/>
              <w:keepLines/>
              <w:widowControl w:val="0"/>
            </w:pPr>
            <w:r w:rsidRPr="0052148B">
              <w:t>–</w:t>
            </w:r>
            <w:r>
              <w:t>100.9</w:t>
            </w:r>
          </w:p>
        </w:tc>
        <w:tc>
          <w:tcPr>
            <w:tcW w:w="1347" w:type="dxa"/>
            <w:shd w:val="clear" w:color="auto" w:fill="DBE5F1"/>
            <w:vAlign w:val="center"/>
          </w:tcPr>
          <w:p w:rsidR="0088341A" w:rsidRDefault="0088341A" w:rsidP="00501137">
            <w:pPr>
              <w:pStyle w:val="AERtabletextright"/>
              <w:keepNext/>
              <w:keepLines/>
              <w:widowControl w:val="0"/>
            </w:pPr>
            <w:r w:rsidRPr="0052148B">
              <w:t>–</w:t>
            </w:r>
            <w:r>
              <w:t>305.2</w:t>
            </w:r>
          </w:p>
        </w:tc>
      </w:tr>
      <w:tr w:rsidR="0088341A" w:rsidTr="00501137">
        <w:tc>
          <w:tcPr>
            <w:tcW w:w="3794" w:type="dxa"/>
            <w:shd w:val="clear" w:color="auto" w:fill="auto"/>
            <w:vAlign w:val="center"/>
          </w:tcPr>
          <w:p w:rsidR="0088341A" w:rsidRPr="001D6C4A" w:rsidRDefault="0088341A" w:rsidP="00501137">
            <w:pPr>
              <w:pStyle w:val="AERtabletextleft"/>
              <w:keepNext/>
              <w:keepLines/>
              <w:widowControl w:val="0"/>
            </w:pPr>
            <w:r>
              <w:t xml:space="preserve">  Self-</w:t>
            </w:r>
            <w:r w:rsidRPr="001D6C4A">
              <w:t>insurance</w:t>
            </w:r>
          </w:p>
        </w:tc>
        <w:tc>
          <w:tcPr>
            <w:tcW w:w="1346" w:type="dxa"/>
            <w:shd w:val="clear" w:color="auto" w:fill="auto"/>
            <w:vAlign w:val="center"/>
          </w:tcPr>
          <w:p w:rsidR="0088341A" w:rsidRDefault="0088341A" w:rsidP="00501137">
            <w:pPr>
              <w:pStyle w:val="AERtabletextright"/>
              <w:keepNext/>
              <w:keepLines/>
              <w:widowControl w:val="0"/>
            </w:pPr>
            <w:r w:rsidRPr="009F1EF1">
              <w:t>–</w:t>
            </w:r>
            <w:r>
              <w:t>1</w:t>
            </w:r>
            <w:r w:rsidRPr="009F1EF1">
              <w:t>.</w:t>
            </w:r>
            <w:r>
              <w:t>7</w:t>
            </w:r>
          </w:p>
        </w:tc>
        <w:tc>
          <w:tcPr>
            <w:tcW w:w="1347" w:type="dxa"/>
            <w:shd w:val="clear" w:color="auto" w:fill="auto"/>
            <w:vAlign w:val="center"/>
          </w:tcPr>
          <w:p w:rsidR="0088341A" w:rsidRPr="001D6C4A" w:rsidRDefault="0088341A" w:rsidP="00501137">
            <w:pPr>
              <w:pStyle w:val="AERtabletextright"/>
              <w:keepNext/>
              <w:keepLines/>
              <w:widowControl w:val="0"/>
            </w:pPr>
            <w:r w:rsidRPr="0052148B">
              <w:t>–</w:t>
            </w:r>
            <w:r>
              <w:t>1.7</w:t>
            </w:r>
          </w:p>
        </w:tc>
        <w:tc>
          <w:tcPr>
            <w:tcW w:w="1346" w:type="dxa"/>
            <w:shd w:val="clear" w:color="auto" w:fill="auto"/>
            <w:vAlign w:val="center"/>
          </w:tcPr>
          <w:p w:rsidR="0088341A" w:rsidRPr="001D6C4A" w:rsidRDefault="0088341A" w:rsidP="00501137">
            <w:pPr>
              <w:pStyle w:val="AERtabletextright"/>
              <w:keepNext/>
              <w:keepLines/>
              <w:widowControl w:val="0"/>
            </w:pPr>
            <w:r w:rsidRPr="0052148B">
              <w:t>–</w:t>
            </w:r>
            <w:r>
              <w:t>1.6</w:t>
            </w:r>
          </w:p>
        </w:tc>
        <w:tc>
          <w:tcPr>
            <w:tcW w:w="1347" w:type="dxa"/>
            <w:shd w:val="clear" w:color="auto" w:fill="auto"/>
            <w:vAlign w:val="center"/>
          </w:tcPr>
          <w:p w:rsidR="0088341A" w:rsidRPr="001D6C4A" w:rsidRDefault="0088341A" w:rsidP="00501137">
            <w:pPr>
              <w:pStyle w:val="AERtabletextright"/>
              <w:keepNext/>
              <w:keepLines/>
              <w:widowControl w:val="0"/>
            </w:pPr>
            <w:r w:rsidRPr="0052148B">
              <w:t>–</w:t>
            </w:r>
            <w:r>
              <w:t>5.0</w:t>
            </w:r>
          </w:p>
        </w:tc>
      </w:tr>
      <w:tr w:rsidR="0088341A" w:rsidTr="00501137">
        <w:tc>
          <w:tcPr>
            <w:tcW w:w="3794" w:type="dxa"/>
            <w:shd w:val="clear" w:color="auto" w:fill="DBE5F1"/>
            <w:vAlign w:val="center"/>
          </w:tcPr>
          <w:p w:rsidR="0088341A" w:rsidRPr="001D6C4A" w:rsidRDefault="0088341A" w:rsidP="00501137">
            <w:pPr>
              <w:pStyle w:val="AERtabletextleft"/>
              <w:keepNext/>
              <w:keepLines/>
              <w:widowControl w:val="0"/>
            </w:pPr>
            <w:r>
              <w:t xml:space="preserve"> </w:t>
            </w:r>
            <w:r w:rsidRPr="001D6C4A">
              <w:t xml:space="preserve"> Rebates under the Availability Incentive Scheme</w:t>
            </w:r>
          </w:p>
        </w:tc>
        <w:tc>
          <w:tcPr>
            <w:tcW w:w="1346" w:type="dxa"/>
            <w:shd w:val="clear" w:color="auto" w:fill="DBE5F1"/>
            <w:vAlign w:val="center"/>
          </w:tcPr>
          <w:p w:rsidR="0088341A" w:rsidRDefault="0088341A" w:rsidP="00501137">
            <w:pPr>
              <w:pStyle w:val="AERtabletextright"/>
              <w:keepNext/>
              <w:keepLines/>
              <w:widowControl w:val="0"/>
            </w:pPr>
            <w:r w:rsidRPr="009F1EF1">
              <w:t>–</w:t>
            </w:r>
            <w:r>
              <w:t>0.0</w:t>
            </w:r>
          </w:p>
        </w:tc>
        <w:tc>
          <w:tcPr>
            <w:tcW w:w="1347" w:type="dxa"/>
            <w:shd w:val="clear" w:color="auto" w:fill="DBE5F1"/>
            <w:vAlign w:val="center"/>
          </w:tcPr>
          <w:p w:rsidR="0088341A" w:rsidRPr="001D6C4A" w:rsidRDefault="0088341A" w:rsidP="00501137">
            <w:pPr>
              <w:pStyle w:val="AERtabletextright"/>
              <w:keepNext/>
              <w:keepLines/>
              <w:widowControl w:val="0"/>
            </w:pPr>
            <w:r w:rsidRPr="0052148B">
              <w:t>–</w:t>
            </w:r>
            <w:r>
              <w:t>0.0</w:t>
            </w:r>
          </w:p>
        </w:tc>
        <w:tc>
          <w:tcPr>
            <w:tcW w:w="1346" w:type="dxa"/>
            <w:shd w:val="clear" w:color="auto" w:fill="DBE5F1"/>
            <w:vAlign w:val="center"/>
          </w:tcPr>
          <w:p w:rsidR="0088341A" w:rsidRPr="001D6C4A" w:rsidRDefault="0088341A" w:rsidP="00501137">
            <w:pPr>
              <w:pStyle w:val="AERtabletextright"/>
              <w:keepNext/>
              <w:keepLines/>
              <w:widowControl w:val="0"/>
            </w:pPr>
            <w:r w:rsidRPr="0052148B">
              <w:t>–</w:t>
            </w:r>
            <w:r>
              <w:t>0.0</w:t>
            </w:r>
          </w:p>
        </w:tc>
        <w:tc>
          <w:tcPr>
            <w:tcW w:w="1347" w:type="dxa"/>
            <w:shd w:val="clear" w:color="auto" w:fill="DBE5F1"/>
            <w:vAlign w:val="center"/>
          </w:tcPr>
          <w:p w:rsidR="0088341A" w:rsidRPr="001D6C4A" w:rsidRDefault="0088341A" w:rsidP="00501137">
            <w:pPr>
              <w:pStyle w:val="AERtabletextright"/>
              <w:keepNext/>
              <w:keepLines/>
              <w:widowControl w:val="0"/>
            </w:pPr>
            <w:r w:rsidRPr="0052148B">
              <w:t>–</w:t>
            </w:r>
            <w:r>
              <w:t>0.0</w:t>
            </w:r>
          </w:p>
        </w:tc>
      </w:tr>
      <w:tr w:rsidR="0088341A" w:rsidTr="00501137">
        <w:tc>
          <w:tcPr>
            <w:tcW w:w="3794" w:type="dxa"/>
            <w:shd w:val="clear" w:color="auto" w:fill="auto"/>
            <w:vAlign w:val="center"/>
          </w:tcPr>
          <w:p w:rsidR="0088341A" w:rsidRPr="001D6C4A" w:rsidRDefault="0088341A" w:rsidP="00501137">
            <w:pPr>
              <w:pStyle w:val="AERtabletextleft"/>
              <w:keepNext/>
              <w:keepLines/>
              <w:widowControl w:val="0"/>
            </w:pPr>
            <w:r>
              <w:t xml:space="preserve"> </w:t>
            </w:r>
            <w:r w:rsidRPr="001D6C4A">
              <w:t xml:space="preserve"> </w:t>
            </w:r>
            <w:r>
              <w:t>D</w:t>
            </w:r>
            <w:r w:rsidRPr="001D6C4A">
              <w:t>ebt raising costs</w:t>
            </w:r>
          </w:p>
        </w:tc>
        <w:tc>
          <w:tcPr>
            <w:tcW w:w="1346" w:type="dxa"/>
            <w:shd w:val="clear" w:color="auto" w:fill="auto"/>
            <w:vAlign w:val="center"/>
          </w:tcPr>
          <w:p w:rsidR="0088341A" w:rsidRDefault="0088341A" w:rsidP="00501137">
            <w:pPr>
              <w:pStyle w:val="AERtabletextright"/>
              <w:keepNext/>
              <w:keepLines/>
              <w:widowControl w:val="0"/>
            </w:pPr>
            <w:r w:rsidRPr="009F1EF1">
              <w:t>–</w:t>
            </w:r>
            <w:r>
              <w:t>1.5</w:t>
            </w:r>
          </w:p>
        </w:tc>
        <w:tc>
          <w:tcPr>
            <w:tcW w:w="1347" w:type="dxa"/>
            <w:shd w:val="clear" w:color="auto" w:fill="auto"/>
            <w:vAlign w:val="center"/>
          </w:tcPr>
          <w:p w:rsidR="0088341A" w:rsidRPr="001D6C4A" w:rsidRDefault="0088341A" w:rsidP="00501137">
            <w:pPr>
              <w:pStyle w:val="AERtabletextright"/>
              <w:keepNext/>
              <w:keepLines/>
              <w:widowControl w:val="0"/>
            </w:pPr>
            <w:r w:rsidRPr="0052148B">
              <w:t>–</w:t>
            </w:r>
            <w:r>
              <w:t>1.5</w:t>
            </w:r>
          </w:p>
        </w:tc>
        <w:tc>
          <w:tcPr>
            <w:tcW w:w="1346" w:type="dxa"/>
            <w:shd w:val="clear" w:color="auto" w:fill="auto"/>
            <w:vAlign w:val="center"/>
          </w:tcPr>
          <w:p w:rsidR="0088341A" w:rsidRPr="001D6C4A" w:rsidRDefault="0088341A" w:rsidP="00501137">
            <w:pPr>
              <w:pStyle w:val="AERtabletextright"/>
              <w:keepNext/>
              <w:keepLines/>
              <w:widowControl w:val="0"/>
            </w:pPr>
            <w:r w:rsidRPr="0052148B">
              <w:t>–</w:t>
            </w:r>
            <w:r>
              <w:t>1.5</w:t>
            </w:r>
          </w:p>
        </w:tc>
        <w:tc>
          <w:tcPr>
            <w:tcW w:w="1347" w:type="dxa"/>
            <w:shd w:val="clear" w:color="auto" w:fill="auto"/>
            <w:vAlign w:val="center"/>
          </w:tcPr>
          <w:p w:rsidR="0088341A" w:rsidRPr="001D6C4A" w:rsidRDefault="0088341A" w:rsidP="00501137">
            <w:pPr>
              <w:pStyle w:val="AERtabletextright"/>
              <w:keepNext/>
              <w:keepLines/>
              <w:widowControl w:val="0"/>
            </w:pPr>
            <w:r w:rsidRPr="0052148B">
              <w:t>–</w:t>
            </w:r>
            <w:r>
              <w:t>4.5</w:t>
            </w:r>
          </w:p>
        </w:tc>
      </w:tr>
      <w:tr w:rsidR="0088341A" w:rsidTr="00501137">
        <w:tc>
          <w:tcPr>
            <w:tcW w:w="3794" w:type="dxa"/>
            <w:shd w:val="clear" w:color="auto" w:fill="DBE5F1"/>
            <w:vAlign w:val="center"/>
          </w:tcPr>
          <w:p w:rsidR="0088341A" w:rsidRPr="001D6C4A" w:rsidRDefault="0088341A" w:rsidP="00501137">
            <w:pPr>
              <w:pStyle w:val="AERtabletextleft"/>
              <w:keepNext/>
              <w:widowControl w:val="0"/>
            </w:pPr>
            <w:r w:rsidRPr="002D3524">
              <w:rPr>
                <w:rStyle w:val="AERtextbold"/>
              </w:rPr>
              <w:t xml:space="preserve">Forecast opex for </w:t>
            </w:r>
            <w:r>
              <w:rPr>
                <w:rStyle w:val="AERtextbold"/>
              </w:rPr>
              <w:t>the EBSS</w:t>
            </w:r>
          </w:p>
        </w:tc>
        <w:tc>
          <w:tcPr>
            <w:tcW w:w="1346" w:type="dxa"/>
            <w:shd w:val="clear" w:color="auto" w:fill="DBE5F1"/>
            <w:vAlign w:val="center"/>
          </w:tcPr>
          <w:p w:rsidR="0088341A" w:rsidRPr="001D6C4A" w:rsidRDefault="0088341A" w:rsidP="00501137">
            <w:pPr>
              <w:pStyle w:val="AERtabletextright"/>
              <w:keepNext/>
              <w:widowControl w:val="0"/>
              <w:rPr>
                <w:rStyle w:val="AERtextbold"/>
              </w:rPr>
            </w:pPr>
            <w:r>
              <w:rPr>
                <w:rStyle w:val="AERtextbold"/>
              </w:rPr>
              <w:t>75.1</w:t>
            </w:r>
          </w:p>
        </w:tc>
        <w:tc>
          <w:tcPr>
            <w:tcW w:w="1347" w:type="dxa"/>
            <w:shd w:val="clear" w:color="auto" w:fill="DBE5F1"/>
            <w:vAlign w:val="center"/>
          </w:tcPr>
          <w:p w:rsidR="0088341A" w:rsidRPr="001D6C4A" w:rsidRDefault="0088341A" w:rsidP="00501137">
            <w:pPr>
              <w:pStyle w:val="AERtabletextright"/>
              <w:keepNext/>
              <w:widowControl w:val="0"/>
              <w:rPr>
                <w:rStyle w:val="AERtextbold"/>
              </w:rPr>
            </w:pPr>
            <w:r>
              <w:rPr>
                <w:rStyle w:val="AERtextbold"/>
              </w:rPr>
              <w:t>76.6</w:t>
            </w:r>
          </w:p>
        </w:tc>
        <w:tc>
          <w:tcPr>
            <w:tcW w:w="1346" w:type="dxa"/>
            <w:shd w:val="clear" w:color="auto" w:fill="DBE5F1"/>
            <w:vAlign w:val="center"/>
          </w:tcPr>
          <w:p w:rsidR="0088341A" w:rsidRPr="001D6C4A" w:rsidRDefault="0088341A" w:rsidP="00501137">
            <w:pPr>
              <w:pStyle w:val="AERtabletextright"/>
              <w:keepNext/>
              <w:widowControl w:val="0"/>
              <w:rPr>
                <w:rStyle w:val="AERtextbold"/>
              </w:rPr>
            </w:pPr>
            <w:r>
              <w:rPr>
                <w:rStyle w:val="AERtextbold"/>
              </w:rPr>
              <w:t>76.7</w:t>
            </w:r>
          </w:p>
        </w:tc>
        <w:tc>
          <w:tcPr>
            <w:tcW w:w="1347" w:type="dxa"/>
            <w:shd w:val="clear" w:color="auto" w:fill="DBE5F1"/>
            <w:vAlign w:val="center"/>
          </w:tcPr>
          <w:p w:rsidR="0088341A" w:rsidRPr="001D6C4A" w:rsidRDefault="0088341A" w:rsidP="00501137">
            <w:pPr>
              <w:pStyle w:val="AERtabletextright"/>
              <w:keepNext/>
              <w:widowControl w:val="0"/>
              <w:rPr>
                <w:rStyle w:val="AERtextbold"/>
              </w:rPr>
            </w:pPr>
            <w:r>
              <w:rPr>
                <w:rStyle w:val="AERtextbold"/>
              </w:rPr>
              <w:t>228.4</w:t>
            </w:r>
          </w:p>
        </w:tc>
      </w:tr>
    </w:tbl>
    <w:p w:rsidR="0088341A" w:rsidRDefault="0088341A" w:rsidP="0088341A">
      <w:pPr>
        <w:pStyle w:val="AERbodytext"/>
        <w:numPr>
          <w:ilvl w:val="0"/>
          <w:numId w:val="3"/>
        </w:numPr>
      </w:pPr>
    </w:p>
    <w:p w:rsidR="0088341A" w:rsidRDefault="0088341A" w:rsidP="0088341A">
      <w:pPr>
        <w:pStyle w:val="HeadingBoldBlue"/>
      </w:pPr>
      <w:r>
        <w:t>Movements in provisions</w:t>
      </w:r>
    </w:p>
    <w:p w:rsidR="0088341A" w:rsidRPr="000550AA" w:rsidRDefault="0088341A" w:rsidP="0088341A">
      <w:pPr>
        <w:pStyle w:val="AERbodytext"/>
        <w:numPr>
          <w:ilvl w:val="0"/>
          <w:numId w:val="3"/>
        </w:numPr>
      </w:pPr>
      <w:r w:rsidRPr="00CD6F0D">
        <w:t xml:space="preserve">The EBSS requires </w:t>
      </w:r>
      <w:r>
        <w:t>us</w:t>
      </w:r>
      <w:r w:rsidRPr="00CD6F0D">
        <w:t xml:space="preserve"> to measure actual </w:t>
      </w:r>
      <w:r>
        <w:t>opex</w:t>
      </w:r>
      <w:r w:rsidRPr="00CD6F0D">
        <w:t xml:space="preserve"> using the same</w:t>
      </w:r>
      <w:r>
        <w:t xml:space="preserve"> cost categories and method</w:t>
      </w:r>
      <w:r w:rsidRPr="00CD6F0D">
        <w:t xml:space="preserve"> used to forecast </w:t>
      </w:r>
      <w:r>
        <w:t>opex</w:t>
      </w:r>
      <w:r w:rsidRPr="00CD6F0D">
        <w:t xml:space="preserve"> for the same regulatory control period</w:t>
      </w:r>
      <w:r>
        <w:t>. We consider</w:t>
      </w:r>
      <w:r w:rsidRPr="00534334">
        <w:t xml:space="preserve"> the movement in provisions represents non-recurrent costs and therefore </w:t>
      </w:r>
      <w:r>
        <w:t xml:space="preserve">we reversed the movements in provisions in SP AusNet’s base year (2011–12) used to forecast opex (discussed in section </w:t>
      </w:r>
      <w:r w:rsidR="007A0F8D">
        <w:t>3.4.2</w:t>
      </w:r>
      <w:r>
        <w:t>). To be consistent with forecast opex, we will reverse any movements in provisions in SP AusNet’s actual opex when we calculate the EBSS carryovers for the period. This approach is consistent with our recent terminations for Powerlink and ElectraNet.</w:t>
      </w:r>
      <w:r>
        <w:rPr>
          <w:rStyle w:val="FootnoteReference"/>
        </w:rPr>
        <w:footnoteReference w:id="545"/>
      </w:r>
    </w:p>
    <w:p w:rsidR="0088341A" w:rsidRDefault="0088341A" w:rsidP="0088341A">
      <w:pPr>
        <w:pStyle w:val="HeadingBoldBlue"/>
      </w:pPr>
      <w:r>
        <w:t>Carryover period</w:t>
      </w:r>
    </w:p>
    <w:p w:rsidR="0088341A" w:rsidRDefault="0088341A" w:rsidP="0088341A">
      <w:pPr>
        <w:pStyle w:val="AERbodytext"/>
        <w:numPr>
          <w:ilvl w:val="0"/>
          <w:numId w:val="3"/>
        </w:numPr>
      </w:pPr>
      <w:r>
        <w:t xml:space="preserve">We do not accept SP AusNet’s proposed six year carryover period for efficiency gains (or losses) realised in 2014–17. Instead the length of the carryover period for efficiency gains realised in 2014–17 should be the same as the length of the regulatory control period that commences in 2017. </w:t>
      </w:r>
    </w:p>
    <w:p w:rsidR="0088341A" w:rsidRDefault="0088341A" w:rsidP="0088341A">
      <w:pPr>
        <w:pStyle w:val="AERbodytext"/>
        <w:numPr>
          <w:ilvl w:val="0"/>
          <w:numId w:val="3"/>
        </w:numPr>
      </w:pPr>
      <w:r>
        <w:t xml:space="preserve">Generally, the EBSS carryover period is five years. However, this can create distortions if the carryover period and the next regulatory control periods are of different lengths. </w:t>
      </w:r>
    </w:p>
    <w:p w:rsidR="0088341A" w:rsidRDefault="0088341A" w:rsidP="0088341A">
      <w:pPr>
        <w:pStyle w:val="AERbodytext"/>
        <w:numPr>
          <w:ilvl w:val="0"/>
          <w:numId w:val="3"/>
        </w:numPr>
      </w:pPr>
      <w:r>
        <w:lastRenderedPageBreak/>
        <w:t>The shorter the carryover period the less incentive there is for SP AusNet to achieve efficiency gains. For example, a three year carryover period results in SP AusNet receiving only 20 per cent of ongoing efficiency gains.</w:t>
      </w:r>
      <w:r>
        <w:rPr>
          <w:rStyle w:val="FootnoteReference"/>
        </w:rPr>
        <w:footnoteReference w:id="546"/>
      </w:r>
      <w:r>
        <w:t xml:space="preserve"> Further, the EBSS removes the incentive for a TNSP to overspend in the opex base year to receive a higher opex allowance in the following regulatory control period. </w:t>
      </w:r>
      <w:r w:rsidRPr="000C5D00">
        <w:t xml:space="preserve">However, this result relies on the carryover period being equal to the length of the following regulatory control period. If the length of the carryover period is less than the length of the following regulatory control period the </w:t>
      </w:r>
      <w:r>
        <w:t>T</w:t>
      </w:r>
      <w:r w:rsidRPr="000C5D00">
        <w:t>NSP may still have an incentive to increase expenditure in the base year.</w:t>
      </w:r>
      <w:r>
        <w:t xml:space="preserve"> We consider it important that the incentive to not overspend in the base year remains strong. </w:t>
      </w:r>
    </w:p>
    <w:p w:rsidR="0088341A" w:rsidRDefault="0088341A" w:rsidP="0088341A">
      <w:pPr>
        <w:pStyle w:val="AERbodytext"/>
        <w:numPr>
          <w:ilvl w:val="0"/>
          <w:numId w:val="3"/>
        </w:numPr>
      </w:pPr>
      <w:r>
        <w:t xml:space="preserve">On the other hand, SP AusNet’s proposal of a six year carryover period could result in an imbalance between opex and capex incentives. If SP AusNet were able to carryover its opex efficiency gains for a longer period (6 years) it would have an incentive to substitute opex with capital expenditure. </w:t>
      </w:r>
    </w:p>
    <w:p w:rsidR="0088341A" w:rsidRDefault="0088341A" w:rsidP="0088341A">
      <w:pPr>
        <w:pStyle w:val="AERbodytext"/>
        <w:numPr>
          <w:ilvl w:val="0"/>
          <w:numId w:val="3"/>
        </w:numPr>
      </w:pPr>
      <w:r>
        <w:t>Accordingly, to ensure the EBSS operates effectively, the carryover period should be the same length as the following regulatory control period.</w:t>
      </w:r>
    </w:p>
    <w:p w:rsidR="0088341A" w:rsidRDefault="0088341A" w:rsidP="0088341A">
      <w:pPr>
        <w:pStyle w:val="HeadingBoldBlue"/>
      </w:pPr>
      <w:r>
        <w:t>Efficiency gains in 2014–15</w:t>
      </w:r>
    </w:p>
    <w:p w:rsidR="0088341A" w:rsidRDefault="0088341A" w:rsidP="0088341A">
      <w:pPr>
        <w:pStyle w:val="AERbodytext"/>
        <w:numPr>
          <w:ilvl w:val="0"/>
          <w:numId w:val="3"/>
        </w:numPr>
      </w:pPr>
      <w:r>
        <w:t>For calculating efficiency gains,</w:t>
      </w:r>
      <w:r w:rsidRPr="00BF13CC">
        <w:t xml:space="preserve"> </w:t>
      </w:r>
      <w:r>
        <w:t>and to provide SP AusNet with a continuous incentive to reduce opex, we will treat 2014–15 as year 7 of the EBSS, not as year 1 of version one of the EBSS for electricity TNSPs.</w:t>
      </w:r>
      <w:r>
        <w:rPr>
          <w:rStyle w:val="FootnoteReference"/>
        </w:rPr>
        <w:footnoteReference w:id="547"/>
      </w:r>
      <w:r>
        <w:t xml:space="preserve"> Because we will finalise this </w:t>
      </w:r>
      <w:r w:rsidRPr="00544AB0">
        <w:t xml:space="preserve">determination </w:t>
      </w:r>
      <w:r>
        <w:t>before the completion of 2013–14</w:t>
      </w:r>
      <w:r w:rsidRPr="00544AB0">
        <w:t xml:space="preserve">, </w:t>
      </w:r>
      <w:r>
        <w:t xml:space="preserve">we need to use an estimate of ‘actual’ opex </w:t>
      </w:r>
      <w:r w:rsidRPr="00544AB0">
        <w:t>to calculate the efficiency</w:t>
      </w:r>
      <w:r>
        <w:t xml:space="preserve"> </w:t>
      </w:r>
      <w:r w:rsidRPr="00544AB0">
        <w:t xml:space="preserve">gains or losses </w:t>
      </w:r>
      <w:r w:rsidRPr="00CE697A">
        <w:t>for that year</w:t>
      </w:r>
      <w:r>
        <w:t>. If differences arise between this estimate and the actual expenditure of 2013–14, we will account for this difference when we calculate the efficiency gain for 2014–15.</w:t>
      </w:r>
      <w:r>
        <w:rPr>
          <w:rStyle w:val="FootnoteReference"/>
        </w:rPr>
        <w:footnoteReference w:id="548"/>
      </w:r>
    </w:p>
    <w:p w:rsidR="0088341A" w:rsidRDefault="0088341A" w:rsidP="0088341A">
      <w:pPr>
        <w:pStyle w:val="AERbodytext"/>
        <w:numPr>
          <w:ilvl w:val="0"/>
          <w:numId w:val="3"/>
        </w:numPr>
      </w:pPr>
      <w:r>
        <w:t>We will calculate the efficiency gain in 2014–15 (year 7) as follows:</w:t>
      </w:r>
    </w:p>
    <w:p w:rsidR="0088341A" w:rsidRDefault="0088341A" w:rsidP="0088341A">
      <w:pPr>
        <w:pStyle w:val="AERbodytext"/>
        <w:numPr>
          <w:ilvl w:val="0"/>
          <w:numId w:val="3"/>
        </w:numPr>
      </w:pPr>
      <w:r>
        <w:t>E</w:t>
      </w:r>
      <w:r>
        <w:rPr>
          <w:rStyle w:val="AERsubscript"/>
        </w:rPr>
        <w:t xml:space="preserve">7 </w:t>
      </w:r>
      <w:r>
        <w:t>= (F</w:t>
      </w:r>
      <w:r>
        <w:rPr>
          <w:rStyle w:val="AERsubscript"/>
        </w:rPr>
        <w:t xml:space="preserve">7 </w:t>
      </w:r>
      <w:r>
        <w:t>– A</w:t>
      </w:r>
      <w:r>
        <w:rPr>
          <w:rStyle w:val="AERsubscript"/>
        </w:rPr>
        <w:t>7</w:t>
      </w:r>
      <w:r>
        <w:t>) – (F</w:t>
      </w:r>
      <w:r>
        <w:rPr>
          <w:rStyle w:val="AERsubscript"/>
        </w:rPr>
        <w:t xml:space="preserve">6 </w:t>
      </w:r>
      <w:r>
        <w:t>– A</w:t>
      </w:r>
      <w:r>
        <w:rPr>
          <w:rStyle w:val="AERsubscript"/>
        </w:rPr>
        <w:t>6</w:t>
      </w:r>
      <w:r>
        <w:t>) + (F</w:t>
      </w:r>
      <w:r>
        <w:rPr>
          <w:rStyle w:val="AERsubscript"/>
        </w:rPr>
        <w:t xml:space="preserve">3 </w:t>
      </w:r>
      <w:r>
        <w:t>– A</w:t>
      </w:r>
      <w:r>
        <w:rPr>
          <w:rStyle w:val="AERsubscript"/>
        </w:rPr>
        <w:t>3</w:t>
      </w:r>
      <w:r>
        <w:t>)</w:t>
      </w:r>
    </w:p>
    <w:p w:rsidR="0088341A" w:rsidRDefault="0088341A" w:rsidP="0088341A">
      <w:pPr>
        <w:pStyle w:val="AERbodytext"/>
        <w:numPr>
          <w:ilvl w:val="0"/>
          <w:numId w:val="3"/>
        </w:numPr>
      </w:pPr>
      <w:r>
        <w:t>where F</w:t>
      </w:r>
      <w:r>
        <w:rPr>
          <w:rStyle w:val="AERsubscript"/>
        </w:rPr>
        <w:t>7</w:t>
      </w:r>
      <w:r>
        <w:t xml:space="preserve"> is the forecast opex we approved for year 7, and A</w:t>
      </w:r>
      <w:r>
        <w:rPr>
          <w:rStyle w:val="AERsubscript"/>
        </w:rPr>
        <w:t>7</w:t>
      </w:r>
      <w:r>
        <w:t xml:space="preserve"> is the actual opex incurred for year 7, and so on.</w:t>
      </w:r>
      <w:r>
        <w:rPr>
          <w:rStyle w:val="FootnoteReference"/>
        </w:rPr>
        <w:footnoteReference w:id="549"/>
      </w:r>
      <w:r>
        <w:t xml:space="preserve"> The formula references year 3 because it is the base year used to forecast opex.</w:t>
      </w:r>
    </w:p>
    <w:p w:rsidR="0088341A" w:rsidRPr="00062319" w:rsidRDefault="0088341A" w:rsidP="0088341A">
      <w:pPr>
        <w:pStyle w:val="Heading2"/>
        <w:numPr>
          <w:ilvl w:val="2"/>
          <w:numId w:val="20"/>
        </w:numPr>
      </w:pPr>
      <w:bookmarkStart w:id="359" w:name="_Ref364418231"/>
      <w:bookmarkStart w:id="360" w:name="_Toc365283343"/>
      <w:r>
        <w:lastRenderedPageBreak/>
        <w:t>Revisions</w:t>
      </w:r>
      <w:bookmarkEnd w:id="359"/>
      <w:bookmarkEnd w:id="360"/>
    </w:p>
    <w:p w:rsidR="0088341A" w:rsidRPr="00180683" w:rsidRDefault="0088341A" w:rsidP="0088341A">
      <w:pPr>
        <w:pStyle w:val="AERrevisionbox"/>
        <w:keepNext/>
        <w:keepLines/>
        <w:numPr>
          <w:ilvl w:val="0"/>
          <w:numId w:val="3"/>
        </w:numPr>
        <w:rPr>
          <w:rStyle w:val="AERtextbold"/>
        </w:rPr>
      </w:pPr>
      <w:r>
        <w:rPr>
          <w:rStyle w:val="AERtextbold"/>
        </w:rPr>
        <w:t>Revision 10</w:t>
      </w:r>
      <w:r w:rsidRPr="00380A27">
        <w:rPr>
          <w:rStyle w:val="AERtextbold"/>
        </w:rPr>
        <w:t>.1:</w:t>
      </w:r>
      <w:r w:rsidR="00A046FE">
        <w:rPr>
          <w:rStyle w:val="AERtextbold"/>
        </w:rPr>
        <w:t xml:space="preserve"> </w:t>
      </w:r>
      <w:r w:rsidR="00A046FE">
        <w:rPr>
          <w:rStyle w:val="AERtextbold"/>
        </w:rPr>
        <w:tab/>
      </w:r>
      <w:r>
        <w:rPr>
          <w:rStyle w:val="AERtextbold"/>
        </w:rPr>
        <w:fldChar w:fldCharType="begin"/>
      </w:r>
      <w:r>
        <w:rPr>
          <w:rStyle w:val="AERtextbold"/>
        </w:rPr>
        <w:instrText xml:space="preserve"> REF _Ref363578304 \h </w:instrText>
      </w:r>
      <w:r>
        <w:rPr>
          <w:rStyle w:val="AERtextbold"/>
        </w:rPr>
      </w:r>
      <w:r>
        <w:rPr>
          <w:rStyle w:val="AERtextbold"/>
        </w:rPr>
        <w:fldChar w:fldCharType="separate"/>
      </w:r>
      <w:r w:rsidR="004F35AA">
        <w:t xml:space="preserve">Table </w:t>
      </w:r>
      <w:r w:rsidR="004F35AA">
        <w:rPr>
          <w:noProof/>
        </w:rPr>
        <w:t>10</w:t>
      </w:r>
      <w:r w:rsidR="004F35AA">
        <w:t>.</w:t>
      </w:r>
      <w:r w:rsidR="004F35AA">
        <w:rPr>
          <w:noProof/>
        </w:rPr>
        <w:t>1</w:t>
      </w:r>
      <w:r>
        <w:rPr>
          <w:rStyle w:val="AERtextbold"/>
        </w:rPr>
        <w:fldChar w:fldCharType="end"/>
      </w:r>
      <w:r>
        <w:rPr>
          <w:rStyle w:val="AERtextbold"/>
        </w:rPr>
        <w:t xml:space="preserve"> </w:t>
      </w:r>
      <w:r>
        <w:t>sets out the EBSS carryover amounts included as building blocks in the determination of SP AusNet's annual revenue requirement.</w:t>
      </w:r>
    </w:p>
    <w:p w:rsidR="0088341A" w:rsidRPr="003B00AC" w:rsidRDefault="0088341A" w:rsidP="0088341A">
      <w:pPr>
        <w:pStyle w:val="AERrevisionbox"/>
        <w:keepNext/>
        <w:keepLines/>
        <w:numPr>
          <w:ilvl w:val="0"/>
          <w:numId w:val="3"/>
        </w:numPr>
      </w:pPr>
      <w:r>
        <w:rPr>
          <w:rStyle w:val="AERtextbold"/>
        </w:rPr>
        <w:t>Revision 10</w:t>
      </w:r>
      <w:r w:rsidRPr="00380A27">
        <w:rPr>
          <w:rStyle w:val="AERtextbold"/>
        </w:rPr>
        <w:t>.2:</w:t>
      </w:r>
      <w:r w:rsidR="00A046FE">
        <w:rPr>
          <w:rStyle w:val="AERtextbold"/>
        </w:rPr>
        <w:t xml:space="preserve"> </w:t>
      </w:r>
      <w:r w:rsidR="00A046FE">
        <w:rPr>
          <w:rStyle w:val="AERtextbold"/>
        </w:rPr>
        <w:tab/>
      </w:r>
      <w:r w:rsidRPr="00380A27">
        <w:t xml:space="preserve">When we calculate the carryover amounts </w:t>
      </w:r>
      <w:r>
        <w:t>accrued in</w:t>
      </w:r>
      <w:r w:rsidRPr="00380A27">
        <w:t xml:space="preserve"> the 201</w:t>
      </w:r>
      <w:r>
        <w:t>4</w:t>
      </w:r>
      <w:r w:rsidRPr="00380A27">
        <w:t>–1</w:t>
      </w:r>
      <w:r>
        <w:t>7</w:t>
      </w:r>
      <w:r w:rsidRPr="00380A27">
        <w:t xml:space="preserve"> regulatory control period we will not adjust forecast opex for changes in demand and we will exclude the following cost </w:t>
      </w:r>
      <w:r w:rsidRPr="003B00AC">
        <w:t>categories:</w:t>
      </w:r>
    </w:p>
    <w:p w:rsidR="0088341A" w:rsidRPr="003B00AC" w:rsidRDefault="0088341A" w:rsidP="0088341A">
      <w:pPr>
        <w:pStyle w:val="AERrevisionbox"/>
        <w:keepNext/>
        <w:keepLines/>
        <w:numPr>
          <w:ilvl w:val="0"/>
          <w:numId w:val="5"/>
        </w:numPr>
      </w:pPr>
      <w:r w:rsidRPr="003B00AC">
        <w:t>easement land tax</w:t>
      </w:r>
    </w:p>
    <w:p w:rsidR="0088341A" w:rsidRPr="003B00AC" w:rsidRDefault="0088341A" w:rsidP="0088341A">
      <w:pPr>
        <w:pStyle w:val="AERrevisionbox"/>
        <w:keepNext/>
        <w:keepLines/>
        <w:numPr>
          <w:ilvl w:val="0"/>
          <w:numId w:val="5"/>
        </w:numPr>
      </w:pPr>
      <w:r w:rsidRPr="003B00AC">
        <w:t xml:space="preserve">self-insurance </w:t>
      </w:r>
    </w:p>
    <w:p w:rsidR="0088341A" w:rsidRPr="003B00AC" w:rsidRDefault="0088341A" w:rsidP="0088341A">
      <w:pPr>
        <w:pStyle w:val="AERrevisionbox"/>
        <w:keepNext/>
        <w:keepLines/>
        <w:numPr>
          <w:ilvl w:val="0"/>
          <w:numId w:val="5"/>
        </w:numPr>
      </w:pPr>
      <w:r w:rsidRPr="003B00AC">
        <w:t xml:space="preserve">rebates made under the Availability Incentive Scheme </w:t>
      </w:r>
    </w:p>
    <w:p w:rsidR="0088341A" w:rsidRDefault="0088341A" w:rsidP="0088341A">
      <w:pPr>
        <w:pStyle w:val="AERrevisionbox"/>
        <w:keepNext/>
        <w:keepLines/>
        <w:numPr>
          <w:ilvl w:val="0"/>
          <w:numId w:val="5"/>
        </w:numPr>
      </w:pPr>
      <w:r w:rsidRPr="003B00AC">
        <w:t>debt raising costs</w:t>
      </w:r>
    </w:p>
    <w:p w:rsidR="0088341A" w:rsidRPr="003B00AC" w:rsidRDefault="0088341A" w:rsidP="0088341A">
      <w:pPr>
        <w:pStyle w:val="AERrevisionbox"/>
        <w:keepNext/>
        <w:keepLines/>
        <w:numPr>
          <w:ilvl w:val="0"/>
          <w:numId w:val="5"/>
        </w:numPr>
      </w:pPr>
      <w:r>
        <w:t>the cost of priority projects approved</w:t>
      </w:r>
      <w:r w:rsidRPr="004A2D3B">
        <w:t xml:space="preserve"> under the network capability component of the STPIS</w:t>
      </w:r>
      <w:r w:rsidRPr="003B00AC">
        <w:t xml:space="preserve">. </w:t>
      </w:r>
    </w:p>
    <w:p w:rsidR="0088341A" w:rsidRPr="003B00AC" w:rsidRDefault="0088341A" w:rsidP="0088341A">
      <w:pPr>
        <w:pStyle w:val="AERrevisionbox"/>
        <w:keepNext/>
        <w:keepLines/>
        <w:numPr>
          <w:ilvl w:val="0"/>
          <w:numId w:val="3"/>
        </w:numPr>
        <w:rPr>
          <w:b/>
        </w:rPr>
      </w:pPr>
      <w:r w:rsidRPr="003B00AC">
        <w:t>We will also adjust actual opex for the 2014–17 regulatory control period to reverse any movements in</w:t>
      </w:r>
      <w:r>
        <w:t xml:space="preserve"> provisions. </w:t>
      </w:r>
    </w:p>
    <w:p w:rsidR="0088341A" w:rsidRPr="00384088" w:rsidRDefault="0088341A" w:rsidP="0088341A">
      <w:pPr>
        <w:pStyle w:val="AERrevisionbox"/>
        <w:keepNext/>
        <w:keepLines/>
        <w:numPr>
          <w:ilvl w:val="0"/>
          <w:numId w:val="3"/>
        </w:numPr>
        <w:rPr>
          <w:rStyle w:val="AERtextbold"/>
        </w:rPr>
      </w:pPr>
      <w:r>
        <w:rPr>
          <w:rStyle w:val="AERtextbold"/>
        </w:rPr>
        <w:t>Revision</w:t>
      </w:r>
      <w:r w:rsidRPr="003B00AC">
        <w:rPr>
          <w:rStyle w:val="AERtextbold"/>
        </w:rPr>
        <w:t xml:space="preserve"> 1</w:t>
      </w:r>
      <w:r>
        <w:rPr>
          <w:rStyle w:val="AERtextbold"/>
        </w:rPr>
        <w:t>0</w:t>
      </w:r>
      <w:r w:rsidRPr="003B00AC">
        <w:rPr>
          <w:rStyle w:val="AERtextbold"/>
        </w:rPr>
        <w:t>.3:</w:t>
      </w:r>
      <w:r w:rsidR="00A046FE">
        <w:t xml:space="preserve"> </w:t>
      </w:r>
      <w:r w:rsidR="00A046FE">
        <w:tab/>
      </w:r>
      <w:r>
        <w:t>The length of the carryover period for efficiency gains (or losses) realised in 2014–17 will be on the same as the length of the regulatory control period commencing in 2017.</w:t>
      </w:r>
    </w:p>
    <w:p w:rsidR="0088341A" w:rsidRDefault="0088341A" w:rsidP="0088341A">
      <w:pPr>
        <w:pStyle w:val="AERrevisionbox"/>
        <w:keepNext/>
        <w:keepLines/>
        <w:numPr>
          <w:ilvl w:val="0"/>
          <w:numId w:val="3"/>
        </w:numPr>
        <w:rPr>
          <w:rStyle w:val="AERtextbold"/>
          <w:b w:val="0"/>
        </w:rPr>
      </w:pPr>
      <w:r>
        <w:rPr>
          <w:rStyle w:val="AERtextbold"/>
        </w:rPr>
        <w:t>Revision 10.4</w:t>
      </w:r>
      <w:r w:rsidRPr="00771B35">
        <w:rPr>
          <w:rStyle w:val="AERtextbold"/>
        </w:rPr>
        <w:t>:</w:t>
      </w:r>
      <w:r w:rsidR="00A046FE">
        <w:rPr>
          <w:rStyle w:val="AERtextbold"/>
        </w:rPr>
        <w:t xml:space="preserve"> </w:t>
      </w:r>
      <w:r w:rsidR="00A046FE">
        <w:rPr>
          <w:rStyle w:val="AERtextbold"/>
        </w:rPr>
        <w:tab/>
      </w:r>
      <w:r>
        <w:rPr>
          <w:rStyle w:val="AERtextbold"/>
        </w:rPr>
        <w:fldChar w:fldCharType="begin"/>
      </w:r>
      <w:r>
        <w:rPr>
          <w:rStyle w:val="AERtextbold"/>
        </w:rPr>
        <w:instrText xml:space="preserve"> REF _Ref359331619 \h  \* MERGEFORMAT </w:instrText>
      </w:r>
      <w:r>
        <w:rPr>
          <w:rStyle w:val="AERtextbold"/>
        </w:rPr>
      </w:r>
      <w:r>
        <w:rPr>
          <w:rStyle w:val="AERtextbold"/>
        </w:rPr>
        <w:fldChar w:fldCharType="separate"/>
      </w:r>
      <w:r w:rsidR="004F35AA">
        <w:t xml:space="preserve">Table </w:t>
      </w:r>
      <w:r w:rsidR="004F35AA">
        <w:rPr>
          <w:noProof/>
        </w:rPr>
        <w:t>10.4</w:t>
      </w:r>
      <w:r>
        <w:rPr>
          <w:rStyle w:val="AERtextbold"/>
        </w:rPr>
        <w:fldChar w:fldCharType="end"/>
      </w:r>
      <w:r>
        <w:rPr>
          <w:rStyle w:val="AERtextbold"/>
        </w:rPr>
        <w:t xml:space="preserve"> </w:t>
      </w:r>
      <w:r w:rsidRPr="00E2229F">
        <w:rPr>
          <w:rStyle w:val="AERtextbold"/>
          <w:b w:val="0"/>
        </w:rPr>
        <w:t>shows the forecast opex that we will use to calculate efficiency gains and losses in the 2014–17 regulatory control period.</w:t>
      </w:r>
    </w:p>
    <w:p w:rsidR="0088341A" w:rsidRPr="00CE71F2" w:rsidRDefault="0088341A" w:rsidP="0088341A">
      <w:pPr>
        <w:pStyle w:val="AERbodytext"/>
        <w:numPr>
          <w:ilvl w:val="0"/>
          <w:numId w:val="0"/>
        </w:numPr>
      </w:pPr>
    </w:p>
    <w:p w:rsidR="0088341A" w:rsidRPr="008F3D22" w:rsidRDefault="0088341A" w:rsidP="0088341A">
      <w:pPr>
        <w:pStyle w:val="AERbodytext"/>
        <w:numPr>
          <w:ilvl w:val="0"/>
          <w:numId w:val="1"/>
        </w:numPr>
        <w:rPr>
          <w:rStyle w:val="AERbody"/>
        </w:rPr>
        <w:sectPr w:rsidR="0088341A" w:rsidRPr="008F3D22">
          <w:footerReference w:type="default" r:id="rId72"/>
          <w:pgSz w:w="11906" w:h="16838"/>
          <w:pgMar w:top="1440" w:right="1440" w:bottom="1440" w:left="1440" w:header="708" w:footer="708" w:gutter="0"/>
          <w:cols w:space="708"/>
          <w:docGrid w:linePitch="360"/>
        </w:sectPr>
      </w:pPr>
    </w:p>
    <w:p w:rsidR="0088341A" w:rsidRPr="000A1CC2" w:rsidRDefault="0088341A" w:rsidP="0088341A">
      <w:pPr>
        <w:pStyle w:val="Heading1"/>
        <w:numPr>
          <w:ilvl w:val="1"/>
          <w:numId w:val="20"/>
        </w:numPr>
      </w:pPr>
      <w:bookmarkStart w:id="361" w:name="_Toc365283344"/>
      <w:bookmarkStart w:id="362" w:name="_Toc365462007"/>
      <w:r>
        <w:lastRenderedPageBreak/>
        <w:t>Contingent projects</w:t>
      </w:r>
      <w:bookmarkEnd w:id="361"/>
      <w:bookmarkEnd w:id="362"/>
    </w:p>
    <w:p w:rsidR="0088341A" w:rsidRDefault="0088341A" w:rsidP="0088341A">
      <w:r>
        <w:t xml:space="preserve">Contingent projects are significant capital expenditure (capex) projects that may arise in the regulatory control period. Expenditure for contingent projects is not included in a transmission network service provider's (TNSP) forecast capex. This is because contingent projects are linked to unique investment drivers known as trigger events. </w:t>
      </w:r>
    </w:p>
    <w:p w:rsidR="0088341A" w:rsidRDefault="0088341A" w:rsidP="0088341A">
      <w:r>
        <w:t>The occurrence of the trigger event must be probable.</w:t>
      </w:r>
      <w:r>
        <w:rPr>
          <w:rStyle w:val="FootnoteReference"/>
        </w:rPr>
        <w:footnoteReference w:id="550"/>
      </w:r>
      <w:r>
        <w:t xml:space="preserve"> However, the event or the costs associated with the event must be uncertain.</w:t>
      </w:r>
      <w:r>
        <w:rPr>
          <w:rStyle w:val="FootnoteReference"/>
        </w:rPr>
        <w:footnoteReference w:id="551"/>
      </w:r>
      <w:r>
        <w:t xml:space="preserve"> If a trigger event occurs during the 2014–17 regulatory control period, the Australian Energy Regulator (AER) will assess the contingent project's costs on application by SP AusNet.</w:t>
      </w:r>
      <w:r>
        <w:rPr>
          <w:rStyle w:val="FootnoteReference"/>
        </w:rPr>
        <w:footnoteReference w:id="552"/>
      </w:r>
      <w:r>
        <w:t xml:space="preserve"> If we approve the contingent project's costs at that time, we will amend SP AusNet's revenue determination to account for the increased costs associated with the contingent project.</w:t>
      </w:r>
    </w:p>
    <w:p w:rsidR="0088341A" w:rsidRDefault="0088341A" w:rsidP="0088341A">
      <w:r>
        <w:t>The description of the trigger event must be in such terms that the occurrence of that event or condition is all that is required for the amendment of the revenue determination.</w:t>
      </w:r>
      <w:r>
        <w:rPr>
          <w:rStyle w:val="FootnoteReference"/>
        </w:rPr>
        <w:footnoteReference w:id="553"/>
      </w:r>
      <w:r>
        <w:t xml:space="preserve"> For this reason, the definition of the trigger event must be adequate and the proposed contingent capex must reasonably reflect the capex criteria.</w:t>
      </w:r>
      <w:r>
        <w:rPr>
          <w:rStyle w:val="FootnoteReference"/>
        </w:rPr>
        <w:footnoteReference w:id="554"/>
      </w:r>
    </w:p>
    <w:p w:rsidR="0088341A" w:rsidRDefault="0088341A" w:rsidP="0088341A">
      <w:pPr>
        <w:pStyle w:val="Heading2"/>
        <w:numPr>
          <w:ilvl w:val="2"/>
          <w:numId w:val="20"/>
        </w:numPr>
      </w:pPr>
      <w:bookmarkStart w:id="363" w:name="_Toc365283345"/>
      <w:r>
        <w:t>Draft decision</w:t>
      </w:r>
      <w:bookmarkEnd w:id="363"/>
    </w:p>
    <w:p w:rsidR="0088341A" w:rsidRDefault="0088341A" w:rsidP="0088341A">
      <w:pPr>
        <w:pStyle w:val="AERbodytext"/>
        <w:numPr>
          <w:ilvl w:val="0"/>
          <w:numId w:val="1"/>
        </w:numPr>
      </w:pPr>
      <w:r>
        <w:t>We do not accept the three contingent projects SP AusNet proposed for the 2014–17 regulatory control period. We consider each proposed contingent project:</w:t>
      </w:r>
    </w:p>
    <w:p w:rsidR="0088341A" w:rsidRDefault="0088341A" w:rsidP="0088341A">
      <w:pPr>
        <w:pStyle w:val="AERbulletlistfirststyle"/>
      </w:pPr>
      <w:r>
        <w:t>is not reasonably required to meet the capex objectives; and</w:t>
      </w:r>
    </w:p>
    <w:p w:rsidR="0088341A" w:rsidRDefault="0088341A" w:rsidP="0088341A">
      <w:pPr>
        <w:pStyle w:val="AERbulletlistfirststyle"/>
      </w:pPr>
      <w:r>
        <w:t>the trigger event is not appropriate.</w:t>
      </w:r>
      <w:r>
        <w:rPr>
          <w:rStyle w:val="FootnoteReference"/>
        </w:rPr>
        <w:footnoteReference w:id="555"/>
      </w:r>
      <w:r>
        <w:t xml:space="preserve"> </w:t>
      </w:r>
    </w:p>
    <w:p w:rsidR="0088341A" w:rsidRPr="00A12502" w:rsidRDefault="0088341A" w:rsidP="0088341A">
      <w:pPr>
        <w:pStyle w:val="AERbodytext"/>
        <w:numPr>
          <w:ilvl w:val="0"/>
          <w:numId w:val="0"/>
        </w:numPr>
      </w:pPr>
      <w:r>
        <w:t>Information relating to our assessment of two contingent projects is commercially sensitive. It is therefore not discussed in this attachment. A sensitive information attachment was provided to SP AusNet with our reasons for not accepting these two contingent projects. Our considerations on the other contingent project are discussed below.</w:t>
      </w:r>
    </w:p>
    <w:p w:rsidR="0088341A" w:rsidRDefault="0088341A" w:rsidP="0088341A">
      <w:pPr>
        <w:pStyle w:val="Heading2"/>
        <w:numPr>
          <w:ilvl w:val="2"/>
          <w:numId w:val="20"/>
        </w:numPr>
      </w:pPr>
      <w:bookmarkStart w:id="364" w:name="_Toc365283346"/>
      <w:r>
        <w:t>SP AusNet's proposal</w:t>
      </w:r>
      <w:bookmarkEnd w:id="364"/>
    </w:p>
    <w:p w:rsidR="0088341A" w:rsidRDefault="0088341A" w:rsidP="0088341A">
      <w:pPr>
        <w:pStyle w:val="AERbodytext"/>
        <w:numPr>
          <w:ilvl w:val="0"/>
          <w:numId w:val="1"/>
        </w:numPr>
      </w:pPr>
      <w:r>
        <w:t xml:space="preserve">SP AusNet proposed three contingent projects for the 2014–17 regulatory control period. </w:t>
      </w:r>
      <w:r>
        <w:fldChar w:fldCharType="begin"/>
      </w:r>
      <w:r>
        <w:instrText xml:space="preserve"> REF _Ref358032943 \h </w:instrText>
      </w:r>
      <w:r>
        <w:fldChar w:fldCharType="separate"/>
      </w:r>
      <w:r w:rsidR="004F35AA">
        <w:t xml:space="preserve">Table </w:t>
      </w:r>
      <w:r w:rsidR="004F35AA">
        <w:rPr>
          <w:noProof/>
        </w:rPr>
        <w:t>11</w:t>
      </w:r>
      <w:r w:rsidR="004F35AA">
        <w:t>.</w:t>
      </w:r>
      <w:r w:rsidR="004F35AA">
        <w:rPr>
          <w:noProof/>
        </w:rPr>
        <w:t>1</w:t>
      </w:r>
      <w:r>
        <w:fldChar w:fldCharType="end"/>
      </w:r>
      <w:r>
        <w:t xml:space="preserve"> lists the proposed contingent projects, their trigger events and their forecast costs. </w:t>
      </w:r>
    </w:p>
    <w:p w:rsidR="0088341A" w:rsidRDefault="0088341A" w:rsidP="0088341A">
      <w:pPr>
        <w:pStyle w:val="Caption"/>
        <w:keepLines/>
      </w:pPr>
      <w:bookmarkStart w:id="365" w:name="_Ref358032943"/>
      <w:r>
        <w:lastRenderedPageBreak/>
        <w:t xml:space="preserve">Table </w:t>
      </w:r>
      <w:fldSimple w:instr=" STYLEREF 1 \s ">
        <w:r w:rsidR="004F35AA">
          <w:rPr>
            <w:noProof/>
          </w:rPr>
          <w:t>11</w:t>
        </w:r>
      </w:fldSimple>
      <w:r w:rsidR="00C56A87">
        <w:t>.</w:t>
      </w:r>
      <w:fldSimple w:instr=" SEQ Table \* ARABIC \s 1 ">
        <w:r w:rsidR="004F35AA">
          <w:rPr>
            <w:noProof/>
          </w:rPr>
          <w:t>1</w:t>
        </w:r>
      </w:fldSimple>
      <w:bookmarkEnd w:id="365"/>
      <w:r>
        <w:tab/>
        <w:t xml:space="preserve">Contingent projects proposed for 2014–17 </w:t>
      </w:r>
    </w:p>
    <w:tbl>
      <w:tblPr>
        <w:tblW w:w="0" w:type="auto"/>
        <w:tblBorders>
          <w:bottom w:val="single" w:sz="4" w:space="0" w:color="365F91"/>
        </w:tblBorders>
        <w:tblLook w:val="04A0" w:firstRow="1" w:lastRow="0" w:firstColumn="1" w:lastColumn="0" w:noHBand="0" w:noVBand="1"/>
      </w:tblPr>
      <w:tblGrid>
        <w:gridCol w:w="3080"/>
        <w:gridCol w:w="3081"/>
        <w:gridCol w:w="3081"/>
      </w:tblGrid>
      <w:tr w:rsidR="0088341A" w:rsidTr="00501137">
        <w:tc>
          <w:tcPr>
            <w:tcW w:w="3080" w:type="dxa"/>
            <w:shd w:val="clear" w:color="auto" w:fill="365F91"/>
            <w:vAlign w:val="center"/>
          </w:tcPr>
          <w:p w:rsidR="0088341A" w:rsidRPr="00B9051B" w:rsidRDefault="0088341A" w:rsidP="00501137">
            <w:pPr>
              <w:pStyle w:val="AERtabletextleft"/>
              <w:keepNext/>
              <w:keepLines/>
              <w:rPr>
                <w:b/>
                <w:color w:val="FFFFFF"/>
              </w:rPr>
            </w:pPr>
            <w:r w:rsidRPr="00B9051B">
              <w:rPr>
                <w:b/>
                <w:color w:val="FFFFFF"/>
              </w:rPr>
              <w:t>Project</w:t>
            </w:r>
          </w:p>
        </w:tc>
        <w:tc>
          <w:tcPr>
            <w:tcW w:w="3081" w:type="dxa"/>
            <w:shd w:val="clear" w:color="auto" w:fill="365F91"/>
            <w:vAlign w:val="center"/>
          </w:tcPr>
          <w:p w:rsidR="0088341A" w:rsidRPr="00B9051B" w:rsidRDefault="0088341A" w:rsidP="00501137">
            <w:pPr>
              <w:pStyle w:val="AERtabletextleft"/>
              <w:keepNext/>
              <w:keepLines/>
              <w:rPr>
                <w:b/>
                <w:color w:val="FFFFFF"/>
              </w:rPr>
            </w:pPr>
            <w:r w:rsidRPr="00B9051B">
              <w:rPr>
                <w:b/>
                <w:color w:val="FFFFFF"/>
              </w:rPr>
              <w:t>Trigger event</w:t>
            </w:r>
          </w:p>
        </w:tc>
        <w:tc>
          <w:tcPr>
            <w:tcW w:w="3081" w:type="dxa"/>
            <w:shd w:val="clear" w:color="auto" w:fill="365F91"/>
            <w:vAlign w:val="center"/>
          </w:tcPr>
          <w:p w:rsidR="0088341A" w:rsidRPr="00B9051B" w:rsidRDefault="0088341A" w:rsidP="00501137">
            <w:pPr>
              <w:pStyle w:val="AERtabletextright"/>
              <w:keepNext/>
              <w:keepLines/>
              <w:rPr>
                <w:b/>
                <w:color w:val="FFFFFF"/>
              </w:rPr>
            </w:pPr>
            <w:r w:rsidRPr="00B9051B">
              <w:rPr>
                <w:b/>
                <w:color w:val="FFFFFF"/>
              </w:rPr>
              <w:t>Total cost ($ million, 2013–14)</w:t>
            </w:r>
          </w:p>
        </w:tc>
      </w:tr>
      <w:tr w:rsidR="0088341A" w:rsidTr="00501137">
        <w:tc>
          <w:tcPr>
            <w:tcW w:w="3080" w:type="dxa"/>
            <w:shd w:val="clear" w:color="auto" w:fill="auto"/>
            <w:vAlign w:val="center"/>
          </w:tcPr>
          <w:p w:rsidR="0088341A" w:rsidRPr="00EE5614" w:rsidRDefault="0088341A" w:rsidP="00501137">
            <w:pPr>
              <w:pStyle w:val="AERtabletextleft"/>
              <w:keepNext/>
              <w:keepLines/>
            </w:pPr>
            <w:r w:rsidRPr="00EE5614">
              <w:t>South Morang transformer replacement—stage 2</w:t>
            </w:r>
          </w:p>
        </w:tc>
        <w:tc>
          <w:tcPr>
            <w:tcW w:w="3081" w:type="dxa"/>
            <w:shd w:val="clear" w:color="auto" w:fill="auto"/>
            <w:vAlign w:val="center"/>
          </w:tcPr>
          <w:p w:rsidR="0088341A" w:rsidRPr="009F56E0" w:rsidRDefault="0088341A" w:rsidP="00501137">
            <w:pPr>
              <w:pStyle w:val="AERtabletextleft"/>
              <w:keepNext/>
              <w:keepLines/>
            </w:pPr>
            <w:r w:rsidRPr="009F56E0">
              <w:t>Failure of any phase or phases of the H1 or H2 transformers at South Morang Terminal Station</w:t>
            </w:r>
          </w:p>
        </w:tc>
        <w:tc>
          <w:tcPr>
            <w:tcW w:w="3081" w:type="dxa"/>
            <w:shd w:val="clear" w:color="auto" w:fill="auto"/>
            <w:vAlign w:val="center"/>
          </w:tcPr>
          <w:p w:rsidR="0088341A" w:rsidRPr="00EE5614" w:rsidRDefault="0088341A" w:rsidP="00501137">
            <w:pPr>
              <w:pStyle w:val="AERtabletextright"/>
              <w:keepNext/>
              <w:keepLines/>
            </w:pPr>
            <w:r w:rsidRPr="00EE5614">
              <w:t>28.85</w:t>
            </w:r>
          </w:p>
        </w:tc>
      </w:tr>
      <w:tr w:rsidR="0088341A" w:rsidTr="00501137">
        <w:tc>
          <w:tcPr>
            <w:tcW w:w="3080" w:type="dxa"/>
            <w:shd w:val="clear" w:color="auto" w:fill="DBE5F1"/>
            <w:vAlign w:val="center"/>
          </w:tcPr>
          <w:p w:rsidR="0088341A" w:rsidRPr="00EE5614" w:rsidRDefault="0088341A" w:rsidP="00501137">
            <w:pPr>
              <w:pStyle w:val="AERtabletextleft"/>
              <w:keepNext/>
              <w:keepLines/>
            </w:pPr>
            <w:r>
              <w:t>C-I-C</w:t>
            </w:r>
          </w:p>
        </w:tc>
        <w:tc>
          <w:tcPr>
            <w:tcW w:w="3081" w:type="dxa"/>
            <w:shd w:val="clear" w:color="auto" w:fill="DBE5F1"/>
            <w:vAlign w:val="center"/>
          </w:tcPr>
          <w:p w:rsidR="0088341A" w:rsidRPr="009F56E0" w:rsidRDefault="0088341A" w:rsidP="00501137">
            <w:pPr>
              <w:pStyle w:val="AERtabletextleft"/>
              <w:keepNext/>
              <w:keepLines/>
            </w:pPr>
            <w:r>
              <w:t>C-I-C</w:t>
            </w:r>
          </w:p>
        </w:tc>
        <w:tc>
          <w:tcPr>
            <w:tcW w:w="3081" w:type="dxa"/>
            <w:shd w:val="clear" w:color="auto" w:fill="DBE5F1"/>
            <w:vAlign w:val="center"/>
          </w:tcPr>
          <w:p w:rsidR="0088341A" w:rsidRPr="00EE5614" w:rsidRDefault="0088341A" w:rsidP="00501137">
            <w:pPr>
              <w:pStyle w:val="AERtabletextright"/>
              <w:keepNext/>
              <w:keepLines/>
            </w:pPr>
            <w:r>
              <w:t>C-I-C</w:t>
            </w:r>
          </w:p>
        </w:tc>
      </w:tr>
      <w:tr w:rsidR="0088341A" w:rsidTr="00501137">
        <w:tc>
          <w:tcPr>
            <w:tcW w:w="3080" w:type="dxa"/>
            <w:shd w:val="clear" w:color="auto" w:fill="auto"/>
            <w:vAlign w:val="center"/>
          </w:tcPr>
          <w:p w:rsidR="0088341A" w:rsidRPr="00EE5614" w:rsidRDefault="0088341A" w:rsidP="00501137">
            <w:pPr>
              <w:pStyle w:val="AERtabletextleft"/>
              <w:keepNext/>
              <w:keepLines/>
            </w:pPr>
            <w:r>
              <w:t>C-I-C</w:t>
            </w:r>
          </w:p>
        </w:tc>
        <w:tc>
          <w:tcPr>
            <w:tcW w:w="3081" w:type="dxa"/>
            <w:shd w:val="clear" w:color="auto" w:fill="auto"/>
            <w:vAlign w:val="center"/>
          </w:tcPr>
          <w:p w:rsidR="0088341A" w:rsidRPr="009F56E0" w:rsidRDefault="0088341A" w:rsidP="00501137">
            <w:pPr>
              <w:pStyle w:val="AERtabletextleft"/>
              <w:keepNext/>
              <w:keepLines/>
            </w:pPr>
            <w:r>
              <w:t>C-I-C</w:t>
            </w:r>
          </w:p>
        </w:tc>
        <w:tc>
          <w:tcPr>
            <w:tcW w:w="3081" w:type="dxa"/>
            <w:shd w:val="clear" w:color="auto" w:fill="auto"/>
            <w:vAlign w:val="center"/>
          </w:tcPr>
          <w:p w:rsidR="0088341A" w:rsidRPr="00EE5614" w:rsidRDefault="0088341A" w:rsidP="00501137">
            <w:pPr>
              <w:pStyle w:val="AERtabletextright"/>
              <w:keepNext/>
              <w:keepLines/>
            </w:pPr>
            <w:r>
              <w:t>C-I-C</w:t>
            </w:r>
          </w:p>
        </w:tc>
      </w:tr>
    </w:tbl>
    <w:p w:rsidR="0088341A" w:rsidRDefault="0088341A" w:rsidP="00224FED">
      <w:pPr>
        <w:pStyle w:val="AERtablesource"/>
      </w:pPr>
      <w:r>
        <w:t xml:space="preserve">Source: </w:t>
      </w:r>
      <w:r>
        <w:tab/>
        <w:t xml:space="preserve">SP AusNet, </w:t>
      </w:r>
      <w:r w:rsidRPr="00A12502">
        <w:rPr>
          <w:rStyle w:val="AERtextitalic"/>
        </w:rPr>
        <w:t>Revenue proposal for the 2014–17 regulatory control period</w:t>
      </w:r>
      <w:r>
        <w:t>, Appendix G: Proposed contingent projects for the 2014–17 regulatory control period, 28 February 2013, p. 4</w:t>
      </w:r>
    </w:p>
    <w:p w:rsidR="0088341A" w:rsidRPr="00A12502" w:rsidRDefault="0088341A" w:rsidP="0088341A">
      <w:pPr>
        <w:pStyle w:val="AERbodytext"/>
        <w:numPr>
          <w:ilvl w:val="0"/>
          <w:numId w:val="1"/>
        </w:numPr>
      </w:pPr>
      <w:r w:rsidRPr="00A12502">
        <w:t>SP AusNet's proposed contingent projects relate to the replacement of existing assets</w:t>
      </w:r>
      <w:r>
        <w:t>.</w:t>
      </w:r>
      <w:r w:rsidRPr="00A12502">
        <w:t xml:space="preserve"> </w:t>
      </w:r>
      <w:r>
        <w:t>As discussed in section</w:t>
      </w:r>
      <w:r w:rsidR="000B11F1">
        <w:t xml:space="preserve"> 1.4</w:t>
      </w:r>
      <w:r>
        <w:t>, under</w:t>
      </w:r>
      <w:r w:rsidRPr="00A12502">
        <w:t xml:space="preserve"> the Victorian transmission arrangement</w:t>
      </w:r>
      <w:r>
        <w:t>,</w:t>
      </w:r>
      <w:r w:rsidRPr="00A12502">
        <w:t xml:space="preserve"> the Australian Energy Market Operator (AEMO) is responsible for </w:t>
      </w:r>
      <w:r>
        <w:t xml:space="preserve">the </w:t>
      </w:r>
      <w:r w:rsidRPr="00A12502">
        <w:t>augmentation</w:t>
      </w:r>
      <w:r>
        <w:t xml:space="preserve"> of SP AusNet's network. Therefore SP AusNet's capex proposal is primarily concerned with the replacement of existing assets.</w:t>
      </w:r>
    </w:p>
    <w:p w:rsidR="0088341A" w:rsidRDefault="0088341A" w:rsidP="0088341A">
      <w:pPr>
        <w:pStyle w:val="Heading2"/>
        <w:numPr>
          <w:ilvl w:val="2"/>
          <w:numId w:val="20"/>
        </w:numPr>
      </w:pPr>
      <w:bookmarkStart w:id="366" w:name="_Ref359415701"/>
      <w:bookmarkStart w:id="367" w:name="_Toc365283347"/>
      <w:r>
        <w:t>Assessment approach</w:t>
      </w:r>
      <w:bookmarkEnd w:id="366"/>
      <w:bookmarkEnd w:id="367"/>
    </w:p>
    <w:p w:rsidR="0088341A" w:rsidRDefault="0088341A" w:rsidP="0088341A">
      <w:pPr>
        <w:pStyle w:val="AERbodytext"/>
        <w:numPr>
          <w:ilvl w:val="0"/>
          <w:numId w:val="1"/>
        </w:numPr>
      </w:pPr>
      <w:r>
        <w:t>We assessed SP AusNet's proposed contingent projects against the NER requirements.</w:t>
      </w:r>
      <w:r>
        <w:rPr>
          <w:rStyle w:val="FootnoteReference"/>
        </w:rPr>
        <w:footnoteReference w:id="556"/>
      </w:r>
      <w:r>
        <w:t xml:space="preserve"> </w:t>
      </w:r>
      <w:r w:rsidR="002F4E38">
        <w:br/>
      </w:r>
      <w:r w:rsidR="002F4E38">
        <w:fldChar w:fldCharType="begin"/>
      </w:r>
      <w:r w:rsidR="002F4E38">
        <w:instrText xml:space="preserve"> REF _Ref365387244 \h </w:instrText>
      </w:r>
      <w:r w:rsidR="002F4E38">
        <w:fldChar w:fldCharType="separate"/>
      </w:r>
      <w:r w:rsidR="004F35AA">
        <w:t xml:space="preserve">Figure </w:t>
      </w:r>
      <w:r w:rsidR="004F35AA">
        <w:rPr>
          <w:noProof/>
        </w:rPr>
        <w:t>11</w:t>
      </w:r>
      <w:r w:rsidR="004F35AA">
        <w:t>.</w:t>
      </w:r>
      <w:r w:rsidR="004F35AA">
        <w:rPr>
          <w:noProof/>
        </w:rPr>
        <w:t>1</w:t>
      </w:r>
      <w:r w:rsidR="002F4E38">
        <w:fldChar w:fldCharType="end"/>
      </w:r>
      <w:r w:rsidR="002F4E38">
        <w:t xml:space="preserve"> </w:t>
      </w:r>
      <w:r>
        <w:t xml:space="preserve">summarises our assessment approach against those requirements. Each text box corresponds with components of our analysis which is contained in sections </w:t>
      </w:r>
      <w:r>
        <w:fldChar w:fldCharType="begin"/>
      </w:r>
      <w:r>
        <w:instrText xml:space="preserve"> REF _Ref359511433 \r \h </w:instrText>
      </w:r>
      <w:r>
        <w:fldChar w:fldCharType="separate"/>
      </w:r>
      <w:r w:rsidR="004F35AA">
        <w:t>11.4.1</w:t>
      </w:r>
      <w:r>
        <w:fldChar w:fldCharType="end"/>
      </w:r>
      <w:r>
        <w:t xml:space="preserve"> and </w:t>
      </w:r>
      <w:r>
        <w:fldChar w:fldCharType="begin"/>
      </w:r>
      <w:r>
        <w:instrText xml:space="preserve"> REF _Ref360018817 \r \h </w:instrText>
      </w:r>
      <w:r>
        <w:fldChar w:fldCharType="separate"/>
      </w:r>
      <w:r w:rsidR="004F35AA">
        <w:t>11.4.2</w:t>
      </w:r>
      <w:r>
        <w:fldChar w:fldCharType="end"/>
      </w:r>
      <w:r>
        <w:t>.</w:t>
      </w:r>
    </w:p>
    <w:p w:rsidR="0088341A" w:rsidRDefault="002F4E38" w:rsidP="002F4E38">
      <w:pPr>
        <w:pStyle w:val="Caption"/>
      </w:pPr>
      <w:bookmarkStart w:id="368" w:name="_Ref365387244"/>
      <w:r>
        <w:t xml:space="preserve">Figure </w:t>
      </w:r>
      <w:fldSimple w:instr=" STYLEREF 1 \s ">
        <w:r w:rsidR="004F35AA">
          <w:rPr>
            <w:noProof/>
          </w:rPr>
          <w:t>11</w:t>
        </w:r>
      </w:fldSimple>
      <w:r w:rsidR="00C56A87">
        <w:t>.</w:t>
      </w:r>
      <w:fldSimple w:instr=" SEQ Figure \* ARABIC \s 1 ">
        <w:r w:rsidR="004F35AA">
          <w:rPr>
            <w:noProof/>
          </w:rPr>
          <w:t>1</w:t>
        </w:r>
      </w:fldSimple>
      <w:bookmarkEnd w:id="368"/>
      <w:r w:rsidR="0088341A">
        <w:tab/>
        <w:t xml:space="preserve">The AER's assessment approach </w:t>
      </w:r>
    </w:p>
    <w:p w:rsidR="0088341A" w:rsidRDefault="003C5BD5" w:rsidP="003C5BD5">
      <w:pPr>
        <w:pStyle w:val="AERbodytext"/>
      </w:pPr>
      <w:r w:rsidRPr="003C5BD5">
        <w:rPr>
          <w:noProof/>
          <w:lang w:eastAsia="en-AU"/>
        </w:rPr>
        <w:drawing>
          <wp:inline distT="0" distB="0" distL="0" distR="0">
            <wp:extent cx="4975860" cy="37763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75860" cy="3776345"/>
                    </a:xfrm>
                    <a:prstGeom prst="rect">
                      <a:avLst/>
                    </a:prstGeom>
                    <a:noFill/>
                    <a:ln>
                      <a:noFill/>
                    </a:ln>
                  </pic:spPr>
                </pic:pic>
              </a:graphicData>
            </a:graphic>
          </wp:inline>
        </w:drawing>
      </w:r>
    </w:p>
    <w:p w:rsidR="0088341A" w:rsidRDefault="0088341A" w:rsidP="0088341A">
      <w:pPr>
        <w:pStyle w:val="AERtablesource"/>
        <w:ind w:left="0" w:firstLine="0"/>
      </w:pPr>
      <w:r>
        <w:t xml:space="preserve">Source: </w:t>
      </w:r>
      <w:r w:rsidR="002F4E38">
        <w:tab/>
      </w:r>
      <w:r>
        <w:t>AER analysis</w:t>
      </w:r>
      <w:r w:rsidR="002F4E38">
        <w:t>.</w:t>
      </w:r>
    </w:p>
    <w:p w:rsidR="0088341A" w:rsidRDefault="0088341A" w:rsidP="0088341A">
      <w:pPr>
        <w:pStyle w:val="AERbodytext"/>
        <w:numPr>
          <w:ilvl w:val="0"/>
          <w:numId w:val="0"/>
        </w:numPr>
      </w:pPr>
      <w:bookmarkStart w:id="369" w:name="_Ref359511551"/>
      <w:r>
        <w:lastRenderedPageBreak/>
        <w:t>Our assessment began with understanding the context in which expenditure for the contingent project is proposed.  This consideration is a requirement in the NER.</w:t>
      </w:r>
      <w:r>
        <w:rPr>
          <w:rStyle w:val="FootnoteReference"/>
        </w:rPr>
        <w:footnoteReference w:id="557"/>
      </w:r>
      <w:r>
        <w:t xml:space="preserve"> We then assessed whether the proposed contingent project is reasonably required to meet the capex objectives.</w:t>
      </w:r>
      <w:r>
        <w:rPr>
          <w:rStyle w:val="FootnoteReference"/>
        </w:rPr>
        <w:footnoteReference w:id="558"/>
      </w:r>
      <w:r>
        <w:t xml:space="preserve"> Following this, we considered the appropriateness of the proposed 'trigger event'.</w:t>
      </w:r>
      <w:r>
        <w:rPr>
          <w:rStyle w:val="FootnoteReference"/>
        </w:rPr>
        <w:footnoteReference w:id="559"/>
      </w:r>
      <w:r>
        <w:t xml:space="preserve"> </w:t>
      </w:r>
    </w:p>
    <w:p w:rsidR="0088341A" w:rsidRDefault="0088341A" w:rsidP="0088341A">
      <w:pPr>
        <w:pStyle w:val="AERbodytext"/>
        <w:numPr>
          <w:ilvl w:val="0"/>
          <w:numId w:val="0"/>
        </w:numPr>
      </w:pPr>
      <w:r>
        <w:t>Our assessment of the trigger event involved determining whether it is:</w:t>
      </w:r>
    </w:p>
    <w:p w:rsidR="0088341A" w:rsidRDefault="0088341A" w:rsidP="0088341A">
      <w:pPr>
        <w:pStyle w:val="AERbulletlistfirststyle"/>
      </w:pPr>
      <w:r>
        <w:t>reasonably specific</w:t>
      </w:r>
    </w:p>
    <w:p w:rsidR="0088341A" w:rsidRDefault="0088341A" w:rsidP="0088341A">
      <w:pPr>
        <w:pStyle w:val="AERbulletlistfirststyle"/>
      </w:pPr>
      <w:r>
        <w:t>makes the project reasonably necessary to achieve the capex objectives; and</w:t>
      </w:r>
    </w:p>
    <w:p w:rsidR="0088341A" w:rsidRDefault="0088341A" w:rsidP="0088341A">
      <w:pPr>
        <w:pStyle w:val="AERbulletlistfirststyle"/>
      </w:pPr>
      <w:r>
        <w:t>is all that is required for the revenue determination to be amended.</w:t>
      </w:r>
      <w:r>
        <w:rPr>
          <w:rStyle w:val="FootnoteReference"/>
        </w:rPr>
        <w:footnoteReference w:id="560"/>
      </w:r>
    </w:p>
    <w:p w:rsidR="0088341A" w:rsidRDefault="0088341A" w:rsidP="0088341A">
      <w:r w:rsidRPr="00444C03">
        <w:t>We</w:t>
      </w:r>
      <w:r>
        <w:t xml:space="preserve"> also considered whether the trigger event is probable during the 2014–17 regulatory control period and a condition that generates increased costs that relate to a specific location rather than a condition or event that affects the transmission network as a whole.</w:t>
      </w:r>
      <w:r>
        <w:rPr>
          <w:rStyle w:val="FootnoteReference"/>
        </w:rPr>
        <w:footnoteReference w:id="561"/>
      </w:r>
      <w:r>
        <w:t xml:space="preserve">   </w:t>
      </w:r>
    </w:p>
    <w:p w:rsidR="0088341A" w:rsidRDefault="0088341A" w:rsidP="0088341A">
      <w:r>
        <w:t>We note that the proposed costs of a contingent project must reasonably reflect the capex criteria.</w:t>
      </w:r>
      <w:r>
        <w:rPr>
          <w:rStyle w:val="FootnoteReference"/>
        </w:rPr>
        <w:footnoteReference w:id="562"/>
      </w:r>
      <w:r>
        <w:t xml:space="preserve"> This requires the proposed costs to be efficient and of the kind a prudent operator in SP AusNet's circumstances would reasonably require to meet </w:t>
      </w:r>
      <w:r w:rsidRPr="003A2B9E">
        <w:t>the capex objectives</w:t>
      </w:r>
      <w:r>
        <w:t>.</w:t>
      </w:r>
      <w:r>
        <w:rPr>
          <w:rStyle w:val="FootnoteReference"/>
        </w:rPr>
        <w:footnoteReference w:id="563"/>
      </w:r>
      <w:r>
        <w:t xml:space="preserve"> Thus if we are not satisfied that a project is reasonably required to achieve the capex objectives, then its costs cannot reflect the capex criteria. </w:t>
      </w:r>
    </w:p>
    <w:p w:rsidR="0088341A" w:rsidRPr="00C777EC" w:rsidRDefault="0088341A" w:rsidP="0088341A">
      <w:pPr>
        <w:pStyle w:val="AERbodytext"/>
        <w:numPr>
          <w:ilvl w:val="0"/>
          <w:numId w:val="0"/>
        </w:numPr>
      </w:pPr>
      <w:r>
        <w:t>Through our assessment we are satisfied that the</w:t>
      </w:r>
      <w:r w:rsidRPr="00650567">
        <w:t xml:space="preserve"> proposed contingent project</w:t>
      </w:r>
      <w:r>
        <w:t>s</w:t>
      </w:r>
      <w:r w:rsidRPr="00650567">
        <w:t xml:space="preserve"> </w:t>
      </w:r>
      <w:r>
        <w:t>are</w:t>
      </w:r>
      <w:r w:rsidRPr="00650567">
        <w:t xml:space="preserve"> not otherwise provided for in SP AusNet'</w:t>
      </w:r>
      <w:r>
        <w:t>s forecast capex allowance and meet the required</w:t>
      </w:r>
      <w:r w:rsidRPr="00AB34CE">
        <w:t xml:space="preserve"> cost threshold.</w:t>
      </w:r>
      <w:r>
        <w:rPr>
          <w:rStyle w:val="FootnoteReference"/>
        </w:rPr>
        <w:footnoteReference w:id="564"/>
      </w:r>
      <w:r>
        <w:t xml:space="preserve"> </w:t>
      </w:r>
    </w:p>
    <w:p w:rsidR="0088341A" w:rsidRPr="003800E4" w:rsidRDefault="0088341A" w:rsidP="0088341A">
      <w:pPr>
        <w:pStyle w:val="Heading2"/>
        <w:numPr>
          <w:ilvl w:val="2"/>
          <w:numId w:val="20"/>
        </w:numPr>
      </w:pPr>
      <w:bookmarkStart w:id="370" w:name="_Ref359571847"/>
      <w:bookmarkStart w:id="371" w:name="_Toc365283348"/>
      <w:r>
        <w:t>Reasons for draft decision</w:t>
      </w:r>
      <w:bookmarkEnd w:id="369"/>
      <w:bookmarkEnd w:id="370"/>
      <w:bookmarkEnd w:id="371"/>
      <w:r>
        <w:t xml:space="preserve"> </w:t>
      </w:r>
    </w:p>
    <w:p w:rsidR="0088341A" w:rsidRDefault="0088341A" w:rsidP="0088341A">
      <w:pPr>
        <w:pStyle w:val="AERbodytext"/>
        <w:numPr>
          <w:ilvl w:val="0"/>
          <w:numId w:val="1"/>
        </w:numPr>
      </w:pPr>
      <w:r>
        <w:t>We do not accept SP AusNet's proposed contingent projects. We consider each proposed contingent project:</w:t>
      </w:r>
    </w:p>
    <w:p w:rsidR="0088341A" w:rsidRDefault="0088341A" w:rsidP="0088341A">
      <w:pPr>
        <w:pStyle w:val="AERbulletlistfirststyle"/>
      </w:pPr>
      <w:r>
        <w:t>is not reasonably required to meet the capex objectives; and</w:t>
      </w:r>
    </w:p>
    <w:p w:rsidR="0088341A" w:rsidRDefault="0088341A" w:rsidP="0088341A">
      <w:pPr>
        <w:pStyle w:val="AERbulletlistfirststyle"/>
      </w:pPr>
      <w:r>
        <w:t>the trigger event is not appropriate.</w:t>
      </w:r>
      <w:r>
        <w:rPr>
          <w:rStyle w:val="FootnoteReference"/>
        </w:rPr>
        <w:footnoteReference w:id="565"/>
      </w:r>
      <w:r>
        <w:t xml:space="preserve"> </w:t>
      </w:r>
    </w:p>
    <w:p w:rsidR="0088341A" w:rsidRDefault="0088341A" w:rsidP="0088341A">
      <w:pPr>
        <w:pStyle w:val="AERbodytext"/>
        <w:numPr>
          <w:ilvl w:val="0"/>
          <w:numId w:val="1"/>
        </w:numPr>
      </w:pPr>
      <w:r>
        <w:t>Our review of each proposed contingent project follows.</w:t>
      </w:r>
    </w:p>
    <w:p w:rsidR="0088341A" w:rsidRPr="00A907E9" w:rsidRDefault="0088341A" w:rsidP="0088341A">
      <w:pPr>
        <w:pStyle w:val="Heading3"/>
        <w:numPr>
          <w:ilvl w:val="3"/>
          <w:numId w:val="20"/>
        </w:numPr>
      </w:pPr>
      <w:bookmarkStart w:id="372" w:name="_Ref359511433"/>
      <w:r w:rsidRPr="00A907E9">
        <w:t>South Morang transformer replacement</w:t>
      </w:r>
      <w:bookmarkEnd w:id="372"/>
      <w:r w:rsidRPr="00A907E9">
        <w:t xml:space="preserve"> (stage 2)</w:t>
      </w:r>
    </w:p>
    <w:p w:rsidR="0088341A" w:rsidRDefault="0088341A" w:rsidP="0088341A">
      <w:r>
        <w:t>We do not accept SP AusNet's proposed contingent project for the South Morang terminal station (SMTS). We consider the SMTS transformer replacements within SP AusNet's forecast capex (stage 1) will satisfy this capex objective.</w:t>
      </w:r>
      <w:r>
        <w:rPr>
          <w:rStyle w:val="FootnoteReference"/>
        </w:rPr>
        <w:footnoteReference w:id="566"/>
      </w:r>
      <w:r>
        <w:t xml:space="preserve"> Thus we consider this contingent project is not reasonably required in order to achieve the capex objectives.</w:t>
      </w:r>
      <w:r>
        <w:rPr>
          <w:rStyle w:val="FootnoteReference"/>
        </w:rPr>
        <w:footnoteReference w:id="567"/>
      </w:r>
      <w:r>
        <w:t xml:space="preserve"> Nor is the proposed trigger event appropriate.</w:t>
      </w:r>
      <w:r>
        <w:rPr>
          <w:rStyle w:val="FootnoteReference"/>
        </w:rPr>
        <w:footnoteReference w:id="568"/>
      </w:r>
      <w:r>
        <w:t xml:space="preserve"> </w:t>
      </w:r>
    </w:p>
    <w:p w:rsidR="0088341A" w:rsidRDefault="0088341A" w:rsidP="0088341A">
      <w:pPr>
        <w:pStyle w:val="HeadingBoldBlue"/>
      </w:pPr>
      <w:r>
        <w:lastRenderedPageBreak/>
        <w:t>Context</w:t>
      </w:r>
    </w:p>
    <w:p w:rsidR="0088341A" w:rsidRDefault="0088341A" w:rsidP="0088341A">
      <w:r>
        <w:t xml:space="preserve">The terminal station at South Morang has two aging transformer banks, H1 and H2. SP AusNet proposed a staged replacement approach of these two transformer banks. Stage 1 would occur in the 2014–17 regulatory control period and involves replacing the H2 bank. Stage 2 is scheduled for the period between 2021–25 and involves replacing the H1 bank. SP AusNet's proposed forecast capex for the 2014–17 regulatory control period includes the cost of stage 1 only. </w:t>
      </w:r>
    </w:p>
    <w:p w:rsidR="0088341A" w:rsidRDefault="0088341A" w:rsidP="0088341A">
      <w:r>
        <w:t>SP AusNet's proposed contingent project is to bring forward stage 2 into the 2014–17 regulatory control period</w:t>
      </w:r>
      <w:r w:rsidRPr="008516A5">
        <w:t xml:space="preserve"> </w:t>
      </w:r>
      <w:r>
        <w:t>should either of the H1 or H2 transformer banks fail. SP AusNet proposed the trigger event as the 'Failure of any phase or phases of either the H1 or H2 transformers at South Morang Terminal Station before 31 March 2017'.</w:t>
      </w:r>
      <w:r>
        <w:rPr>
          <w:rStyle w:val="FootnoteReference"/>
        </w:rPr>
        <w:footnoteReference w:id="569"/>
      </w:r>
      <w:r>
        <w:t xml:space="preserve"> </w:t>
      </w:r>
      <w:r w:rsidR="002F4E38">
        <w:fldChar w:fldCharType="begin"/>
      </w:r>
      <w:r w:rsidR="002F4E38">
        <w:instrText xml:space="preserve"> REF _Ref365387313 \h </w:instrText>
      </w:r>
      <w:r w:rsidR="002F4E38">
        <w:fldChar w:fldCharType="separate"/>
      </w:r>
      <w:r w:rsidR="004F35AA">
        <w:t xml:space="preserve">Figure </w:t>
      </w:r>
      <w:r w:rsidR="004F35AA">
        <w:rPr>
          <w:noProof/>
        </w:rPr>
        <w:t>11</w:t>
      </w:r>
      <w:r w:rsidR="004F35AA">
        <w:t>.</w:t>
      </w:r>
      <w:r w:rsidR="004F35AA">
        <w:rPr>
          <w:noProof/>
        </w:rPr>
        <w:t>2</w:t>
      </w:r>
      <w:r w:rsidR="002F4E38">
        <w:fldChar w:fldCharType="end"/>
      </w:r>
      <w:r w:rsidR="002F4E38">
        <w:t xml:space="preserve"> </w:t>
      </w:r>
      <w:r>
        <w:t>outlines the project, and notes the use of the replaced H2 transformers in stage 1 as 'cold spares'.</w:t>
      </w:r>
    </w:p>
    <w:p w:rsidR="0088341A" w:rsidRDefault="002F4E38" w:rsidP="002F4E38">
      <w:pPr>
        <w:pStyle w:val="Caption"/>
      </w:pPr>
      <w:bookmarkStart w:id="373" w:name="_Ref365387313"/>
      <w:r>
        <w:t xml:space="preserve">Figure </w:t>
      </w:r>
      <w:fldSimple w:instr=" STYLEREF 1 \s ">
        <w:r w:rsidR="004F35AA">
          <w:rPr>
            <w:noProof/>
          </w:rPr>
          <w:t>11</w:t>
        </w:r>
      </w:fldSimple>
      <w:r w:rsidR="00C56A87">
        <w:t>.</w:t>
      </w:r>
      <w:fldSimple w:instr=" SEQ Figure \* ARABIC \s 1 ">
        <w:r w:rsidR="004F35AA">
          <w:rPr>
            <w:noProof/>
          </w:rPr>
          <w:t>2</w:t>
        </w:r>
      </w:fldSimple>
      <w:bookmarkEnd w:id="373"/>
      <w:r w:rsidR="0088341A">
        <w:tab/>
      </w:r>
      <w:bookmarkStart w:id="374" w:name="_Ref359406691"/>
      <w:r w:rsidR="0088341A">
        <w:t>South Morang transformer replacement project</w:t>
      </w:r>
      <w:bookmarkEnd w:id="374"/>
      <w:r w:rsidR="0088341A">
        <w:t xml:space="preserve"> </w:t>
      </w:r>
    </w:p>
    <w:p w:rsidR="0088341A" w:rsidRPr="00881BDB" w:rsidRDefault="003C5BD5" w:rsidP="0088341A">
      <w:pPr>
        <w:pStyle w:val="AERtablesource"/>
      </w:pPr>
      <w:r w:rsidRPr="003C5BD5">
        <w:rPr>
          <w:noProof/>
          <w:lang w:eastAsia="en-AU"/>
        </w:rPr>
        <w:drawing>
          <wp:inline distT="0" distB="0" distL="0" distR="0">
            <wp:extent cx="4951730" cy="4892675"/>
            <wp:effectExtent l="0" t="0" r="127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51730" cy="4892675"/>
                    </a:xfrm>
                    <a:prstGeom prst="rect">
                      <a:avLst/>
                    </a:prstGeom>
                    <a:noFill/>
                    <a:ln>
                      <a:noFill/>
                    </a:ln>
                  </pic:spPr>
                </pic:pic>
              </a:graphicData>
            </a:graphic>
          </wp:inline>
        </w:drawing>
      </w:r>
    </w:p>
    <w:p w:rsidR="0088341A" w:rsidRDefault="0088341A" w:rsidP="0088341A">
      <w:pPr>
        <w:pStyle w:val="AERtablesource"/>
      </w:pPr>
      <w:r>
        <w:t xml:space="preserve">Source: </w:t>
      </w:r>
      <w:r w:rsidR="002F4E38">
        <w:tab/>
      </w:r>
      <w:r>
        <w:t>AER analysis</w:t>
      </w:r>
      <w:r w:rsidR="002F4E38">
        <w:t>.</w:t>
      </w:r>
    </w:p>
    <w:p w:rsidR="0088341A" w:rsidRDefault="0088341A" w:rsidP="0088341A">
      <w:pPr>
        <w:pStyle w:val="HeadingBoldBlue"/>
      </w:pPr>
      <w:r>
        <w:t>Project</w:t>
      </w:r>
    </w:p>
    <w:p w:rsidR="0088341A" w:rsidRDefault="0088341A" w:rsidP="0088341A">
      <w:r>
        <w:t xml:space="preserve">SP AusNet proposed the SMTS contingent project in terms of satisfying one of the capex objectives— the project 'is required to maintain the reliability, safety and security of supply of the transmission </w:t>
      </w:r>
      <w:r>
        <w:lastRenderedPageBreak/>
        <w:t>system'.</w:t>
      </w:r>
      <w:r>
        <w:rPr>
          <w:rStyle w:val="FootnoteReference"/>
        </w:rPr>
        <w:footnoteReference w:id="570"/>
      </w:r>
      <w:r w:rsidRPr="00960E89">
        <w:t xml:space="preserve"> </w:t>
      </w:r>
      <w:r>
        <w:t>However, we consider the stage 1 replacements in SP AusNet's forecast capex will satisfy this capex objective and that the contingent project proposed overstates SP AusNet's requirements for the 2014–17 regulatory control period.</w:t>
      </w:r>
    </w:p>
    <w:p w:rsidR="0088341A" w:rsidRDefault="0088341A" w:rsidP="0088341A">
      <w:r>
        <w:t>The SMTS replacement project is driven by supply risk rather than transformer condition.</w:t>
      </w:r>
      <w:r>
        <w:rPr>
          <w:rStyle w:val="FootnoteReference"/>
        </w:rPr>
        <w:footnoteReference w:id="571"/>
      </w:r>
      <w:r>
        <w:t xml:space="preserve"> SP AusNet's assessment of supply risk and market impact of failure of one of the SMTS transformers shows that it is efficient to proceed with only stage 1 in the 2014–17 regulatory control period.</w:t>
      </w:r>
      <w:r>
        <w:rPr>
          <w:rStyle w:val="FootnoteReference"/>
        </w:rPr>
        <w:footnoteReference w:id="572"/>
      </w:r>
      <w:r>
        <w:t xml:space="preserve"> </w:t>
      </w:r>
    </w:p>
    <w:p w:rsidR="0088341A" w:rsidRDefault="0088341A" w:rsidP="0088341A">
      <w:r>
        <w:t>Energy Market Consulting associates (EMCa) provided us with a technical report. It found that the transformers at the H1 bank are currently in good operating condition.</w:t>
      </w:r>
      <w:r>
        <w:rPr>
          <w:rStyle w:val="FootnoteReference"/>
        </w:rPr>
        <w:footnoteReference w:id="573"/>
      </w:r>
      <w:r>
        <w:t xml:space="preserve"> Moreover, EMCa noted that in stage 1 a new H2 bank will be installed. Those transformers will have a high level of reliability.</w:t>
      </w:r>
      <w:r>
        <w:rPr>
          <w:rStyle w:val="FootnoteReference"/>
        </w:rPr>
        <w:footnoteReference w:id="574"/>
      </w:r>
      <w:r>
        <w:t xml:space="preserve"> And if any of them fail, then the manufacturer's warranty would cover their replacement or repair.</w:t>
      </w:r>
      <w:r>
        <w:rPr>
          <w:rStyle w:val="FootnoteReference"/>
        </w:rPr>
        <w:footnoteReference w:id="575"/>
      </w:r>
      <w:r>
        <w:t xml:space="preserve"> Stage 1 will also introduce the availability of using the old H2 transformers as spares. If a failure did occur, then the ability to draw on these spares further increases the reliability and security of supply of the transmission system. </w:t>
      </w:r>
    </w:p>
    <w:p w:rsidR="0088341A" w:rsidRDefault="0088341A" w:rsidP="0088341A">
      <w:r>
        <w:t>Therefore, we do not consider the proposed contingent project to replace the H1 transformer bank is reasonably required to satisfy the capex objectives in the 2014–17 regulatory control period.</w:t>
      </w:r>
      <w:r>
        <w:rPr>
          <w:rStyle w:val="FootnoteReference"/>
        </w:rPr>
        <w:footnoteReference w:id="576"/>
      </w:r>
      <w:r>
        <w:t xml:space="preserve"> Stage 1 will achieve that objective without the further assurance of a contingent project.</w:t>
      </w:r>
    </w:p>
    <w:p w:rsidR="0088341A" w:rsidRDefault="0088341A" w:rsidP="0088341A">
      <w:r>
        <w:t>It follows that the proposed contingent project capex does not reflect the capex criteria.</w:t>
      </w:r>
      <w:r>
        <w:rPr>
          <w:rStyle w:val="FootnoteReference"/>
        </w:rPr>
        <w:footnoteReference w:id="577"/>
      </w:r>
      <w:r>
        <w:t xml:space="preserve"> All that is required for SP AusNet to maintain the reliability, safety and security of supply are the costs associated with stage 1. We conclude that the proposed contingent project capex is not prudent and efficient because it overstates SP AusNet's requirements for the 2014–17 regulatory control period.</w:t>
      </w:r>
      <w:r>
        <w:rPr>
          <w:rStyle w:val="FootnoteReference"/>
        </w:rPr>
        <w:footnoteReference w:id="578"/>
      </w:r>
    </w:p>
    <w:p w:rsidR="0088341A" w:rsidRDefault="0088341A" w:rsidP="0088341A">
      <w:pPr>
        <w:pStyle w:val="HeadingBoldBlue"/>
      </w:pPr>
      <w:r>
        <w:t>Trigger event</w:t>
      </w:r>
    </w:p>
    <w:p w:rsidR="0088341A" w:rsidRDefault="0088341A" w:rsidP="0088341A">
      <w:pPr>
        <w:pStyle w:val="AERbodytext"/>
        <w:numPr>
          <w:ilvl w:val="0"/>
          <w:numId w:val="1"/>
        </w:numPr>
      </w:pPr>
      <w:r>
        <w:t>The SP AusNet proposed trigger event for the SMTS contingent project</w:t>
      </w:r>
      <w:r w:rsidRPr="004B1582">
        <w:t xml:space="preserve"> </w:t>
      </w:r>
      <w:r>
        <w:t>was</w:t>
      </w:r>
      <w:r w:rsidRPr="004B1582">
        <w:t>: 'Failure of any phase or phases of either the H1 or H2 transformers at South Morang Terminal Station before 31 March 2017'.</w:t>
      </w:r>
      <w:r w:rsidRPr="004B1582">
        <w:rPr>
          <w:rStyle w:val="FootnoteReference"/>
        </w:rPr>
        <w:footnoteReference w:id="579"/>
      </w:r>
      <w:r w:rsidRPr="004B1582">
        <w:t xml:space="preserve"> </w:t>
      </w:r>
      <w:r>
        <w:t>We do not consider the proposed trigger event is appropriate because:</w:t>
      </w:r>
    </w:p>
    <w:p w:rsidR="0088341A" w:rsidRDefault="0088341A" w:rsidP="0088341A">
      <w:pPr>
        <w:pStyle w:val="AERbulletlistfirststyle"/>
      </w:pPr>
      <w:r>
        <w:t>its occurrence is not probable in the 2014–17 regulatory control period</w:t>
      </w:r>
      <w:r>
        <w:rPr>
          <w:rStyle w:val="FootnoteReference"/>
        </w:rPr>
        <w:footnoteReference w:id="580"/>
      </w:r>
    </w:p>
    <w:p w:rsidR="0088341A" w:rsidRDefault="0088341A" w:rsidP="0088341A">
      <w:pPr>
        <w:pStyle w:val="AERbulletlistfirststyle"/>
      </w:pPr>
      <w:r>
        <w:t>it is not a condition or event which generates increased costs affecting a specific location.</w:t>
      </w:r>
      <w:r>
        <w:rPr>
          <w:rStyle w:val="FootnoteReference"/>
        </w:rPr>
        <w:footnoteReference w:id="581"/>
      </w:r>
    </w:p>
    <w:p w:rsidR="0088341A" w:rsidRDefault="0088341A" w:rsidP="0088341A">
      <w:pPr>
        <w:pStyle w:val="AERbodytext"/>
        <w:numPr>
          <w:ilvl w:val="0"/>
          <w:numId w:val="1"/>
        </w:numPr>
      </w:pPr>
      <w:r>
        <w:t>We consider the occurrence of the proposed trigger event is not probable in the 2014–17 regulatory control period</w:t>
      </w:r>
      <w:r w:rsidRPr="00CD395E">
        <w:t>.</w:t>
      </w:r>
      <w:r>
        <w:t xml:space="preserve"> The installation of the new transformers at the H2 bank, the good working condition of the H1 bank transformers and the ability to draw on the cold spares leads to this conclusion. This finding is consistent with advice from our technical consultants EMCa.</w:t>
      </w:r>
      <w:r w:rsidRPr="006554F0">
        <w:rPr>
          <w:rStyle w:val="FootnoteReference"/>
        </w:rPr>
        <w:footnoteReference w:id="582"/>
      </w:r>
      <w:r w:rsidRPr="00520C26">
        <w:t xml:space="preserve"> </w:t>
      </w:r>
    </w:p>
    <w:p w:rsidR="0088341A" w:rsidRDefault="0088341A" w:rsidP="0088341A">
      <w:pPr>
        <w:pStyle w:val="AERbodytext"/>
        <w:numPr>
          <w:ilvl w:val="0"/>
          <w:numId w:val="1"/>
        </w:numPr>
      </w:pPr>
      <w:r w:rsidRPr="00D05191">
        <w:lastRenderedPageBreak/>
        <w:t>Another requirement is that the trigger event generates increased costs that affect a specific location of SP AusNet's transmission network.</w:t>
      </w:r>
      <w:r w:rsidRPr="00D05191">
        <w:rPr>
          <w:rStyle w:val="FootnoteReference"/>
        </w:rPr>
        <w:footnoteReference w:id="583"/>
      </w:r>
      <w:r w:rsidRPr="00D05191">
        <w:t xml:space="preserve"> We do not consider the proposed trigger event meets this requirement. As shown in </w:t>
      </w:r>
      <w:r w:rsidRPr="00D05191">
        <w:fldChar w:fldCharType="begin"/>
      </w:r>
      <w:r w:rsidRPr="00D05191">
        <w:instrText xml:space="preserve"> REF  _Ref359406696 \* Lower \h </w:instrText>
      </w:r>
      <w:r w:rsidRPr="00D05191">
        <w:fldChar w:fldCharType="separate"/>
      </w:r>
      <w:r w:rsidR="004F35AA">
        <w:rPr>
          <w:b/>
          <w:bCs/>
          <w:lang w:val="en-US"/>
        </w:rPr>
        <w:t>Error! Reference source not found.</w:t>
      </w:r>
      <w:r w:rsidRPr="00D05191">
        <w:fldChar w:fldCharType="end"/>
      </w:r>
      <w:r w:rsidRPr="00D05191">
        <w:t>, SP AusNet plans to use the replaced H2 transformers in stage 1 as cold spares. Thus no additional costs to SP AusNet's capex should be generated if the proposed trigger event occurs. That is</w:t>
      </w:r>
      <w:r>
        <w:t>,</w:t>
      </w:r>
      <w:r w:rsidRPr="00D05191">
        <w:t xml:space="preserve"> existing assets—the replaced H2 transformers—should be available for the specific circumstances of the trigger event.</w:t>
      </w:r>
    </w:p>
    <w:p w:rsidR="0088341A" w:rsidRPr="00A907E9" w:rsidRDefault="0088341A" w:rsidP="0088341A">
      <w:pPr>
        <w:pStyle w:val="Heading3"/>
        <w:numPr>
          <w:ilvl w:val="3"/>
          <w:numId w:val="20"/>
        </w:numPr>
      </w:pPr>
      <w:bookmarkStart w:id="375" w:name="_Ref360018817"/>
      <w:r w:rsidRPr="00A907E9">
        <w:t>C-I-C</w:t>
      </w:r>
      <w:bookmarkEnd w:id="375"/>
    </w:p>
    <w:p w:rsidR="0088341A" w:rsidRDefault="0088341A" w:rsidP="0088341A">
      <w:pPr>
        <w:pStyle w:val="AERbodytext"/>
        <w:numPr>
          <w:ilvl w:val="0"/>
          <w:numId w:val="1"/>
        </w:numPr>
      </w:pPr>
      <w:r>
        <w:t>Our assessment of two of the contingent projects SP AusNet proposed for the 2014–17 regulatory control period contains sensitive information. Our reasons for not accepting them as contingent projects are set out in a sensitive information attachment provided to SP AusNet.</w:t>
      </w:r>
    </w:p>
    <w:p w:rsidR="0088341A" w:rsidRDefault="0088341A" w:rsidP="0088341A">
      <w:pPr>
        <w:pStyle w:val="Heading2"/>
        <w:numPr>
          <w:ilvl w:val="2"/>
          <w:numId w:val="20"/>
        </w:numPr>
      </w:pPr>
      <w:bookmarkStart w:id="376" w:name="_Toc365283349"/>
      <w:r>
        <w:t>Revisions</w:t>
      </w:r>
      <w:bookmarkEnd w:id="376"/>
    </w:p>
    <w:p w:rsidR="0088341A" w:rsidRDefault="0088341A" w:rsidP="0088341A">
      <w:pPr>
        <w:pStyle w:val="AERrevisionbox"/>
      </w:pPr>
      <w:r>
        <w:rPr>
          <w:rStyle w:val="AERtextbold"/>
        </w:rPr>
        <w:t>Revisions</w:t>
      </w:r>
      <w:r w:rsidRPr="00C87760">
        <w:rPr>
          <w:rStyle w:val="AERtextbold"/>
        </w:rPr>
        <w:t xml:space="preserve"> </w:t>
      </w:r>
      <w:r w:rsidR="002F4E38">
        <w:rPr>
          <w:rStyle w:val="AERtextbold"/>
        </w:rPr>
        <w:t>11</w:t>
      </w:r>
      <w:r w:rsidRPr="00C87760">
        <w:rPr>
          <w:rStyle w:val="AERtextbold"/>
        </w:rPr>
        <w:t>.1:</w:t>
      </w:r>
      <w:r>
        <w:t xml:space="preserve"> We do not accept the three contingent projects SP AusNet proposed for the </w:t>
      </w:r>
      <w:r w:rsidR="00FA07D3">
        <w:br/>
      </w:r>
      <w:r>
        <w:t>2014–17 regulatory control period.</w:t>
      </w:r>
    </w:p>
    <w:p w:rsidR="0088341A" w:rsidRDefault="0088341A" w:rsidP="0088341A">
      <w:pPr>
        <w:pStyle w:val="AERbodytext"/>
        <w:numPr>
          <w:ilvl w:val="0"/>
          <w:numId w:val="0"/>
        </w:numPr>
      </w:pPr>
    </w:p>
    <w:p w:rsidR="0088341A" w:rsidRPr="00CE71F2" w:rsidRDefault="0088341A" w:rsidP="0088341A">
      <w:pPr>
        <w:pStyle w:val="AERbodytext"/>
        <w:numPr>
          <w:ilvl w:val="0"/>
          <w:numId w:val="0"/>
        </w:numPr>
        <w:sectPr w:rsidR="0088341A" w:rsidRPr="00CE71F2">
          <w:footerReference w:type="default" r:id="rId75"/>
          <w:pgSz w:w="11906" w:h="16838"/>
          <w:pgMar w:top="1440" w:right="1440" w:bottom="1440" w:left="1440" w:header="708" w:footer="708" w:gutter="0"/>
          <w:cols w:space="708"/>
          <w:docGrid w:linePitch="360"/>
        </w:sectPr>
      </w:pPr>
    </w:p>
    <w:p w:rsidR="0088341A" w:rsidRPr="00A32C02" w:rsidRDefault="0088341A" w:rsidP="0088341A">
      <w:pPr>
        <w:pStyle w:val="Heading1"/>
        <w:numPr>
          <w:ilvl w:val="1"/>
          <w:numId w:val="20"/>
        </w:numPr>
      </w:pPr>
      <w:bookmarkStart w:id="377" w:name="_Toc365283350"/>
      <w:bookmarkStart w:id="378" w:name="_Toc365462008"/>
      <w:r w:rsidRPr="00A32C02">
        <w:lastRenderedPageBreak/>
        <w:t>Pricing methodology</w:t>
      </w:r>
      <w:bookmarkEnd w:id="377"/>
      <w:bookmarkEnd w:id="378"/>
    </w:p>
    <w:p w:rsidR="0088341A" w:rsidRPr="00D10CD6" w:rsidRDefault="0088341A" w:rsidP="0088341A">
      <w:pPr>
        <w:pStyle w:val="AERbodytext"/>
        <w:numPr>
          <w:ilvl w:val="0"/>
          <w:numId w:val="1"/>
        </w:numPr>
      </w:pPr>
      <w:r>
        <w:t>As part of it transmission determination t</w:t>
      </w:r>
      <w:r w:rsidRPr="00D10CD6">
        <w:t xml:space="preserve">he Australian Energy Regulator (AER) must </w:t>
      </w:r>
      <w:r>
        <w:t xml:space="preserve">specify </w:t>
      </w:r>
      <w:r w:rsidRPr="00D10CD6">
        <w:t>a pricing method</w:t>
      </w:r>
      <w:r>
        <w:t>ology for SP AusNet</w:t>
      </w:r>
      <w:r w:rsidRPr="00D10CD6">
        <w:t>.</w:t>
      </w:r>
      <w:r>
        <w:rPr>
          <w:rStyle w:val="FootnoteReference"/>
        </w:rPr>
        <w:footnoteReference w:id="584"/>
      </w:r>
      <w:r w:rsidRPr="00D10CD6">
        <w:t xml:space="preserve"> This</w:t>
      </w:r>
      <w:r>
        <w:t xml:space="preserve"> methodology</w:t>
      </w:r>
      <w:r w:rsidRPr="00D10CD6">
        <w:t xml:space="preserve"> establishes a tariff structure </w:t>
      </w:r>
      <w:r>
        <w:t xml:space="preserve">for the transmission network service provider (TNSP), </w:t>
      </w:r>
      <w:r w:rsidRPr="00D10CD6">
        <w:t xml:space="preserve">and describes how </w:t>
      </w:r>
      <w:r>
        <w:t xml:space="preserve">it </w:t>
      </w:r>
      <w:r w:rsidRPr="00D10CD6">
        <w:t>allocates it</w:t>
      </w:r>
      <w:r>
        <w:t>s</w:t>
      </w:r>
      <w:r w:rsidRPr="00D10CD6">
        <w:t xml:space="preserve"> revenue to its prescribed transmission services and connection points.</w:t>
      </w:r>
      <w:r w:rsidRPr="00D10CD6">
        <w:rPr>
          <w:rStyle w:val="FootnoteReference"/>
        </w:rPr>
        <w:footnoteReference w:id="585"/>
      </w:r>
      <w:r>
        <w:t xml:space="preserve"> </w:t>
      </w:r>
      <w:r w:rsidRPr="00D10CD6">
        <w:t>SP AusNet's proposed pricing method</w:t>
      </w:r>
      <w:r>
        <w:t>ology</w:t>
      </w:r>
      <w:r w:rsidRPr="00D10CD6">
        <w:t xml:space="preserve"> addresses</w:t>
      </w:r>
      <w:r>
        <w:t xml:space="preserve"> only</w:t>
      </w:r>
      <w:r w:rsidRPr="00D10CD6">
        <w:t xml:space="preserve"> the pricing matters for which it has responsibility</w:t>
      </w:r>
      <w:r w:rsidRPr="00D10CD6">
        <w:rPr>
          <w:rStyle w:val="FootnoteReference"/>
        </w:rPr>
        <w:footnoteReference w:id="586"/>
      </w:r>
      <w:r>
        <w:t xml:space="preserve">—that is, </w:t>
      </w:r>
      <w:r w:rsidRPr="00D10CD6">
        <w:t>prescribed entry and exit services. In Victoria, the pricing of all other prescribed transmission services is the responsibility of the Australian Energy Market Operator (AEMO).</w:t>
      </w:r>
      <w:r w:rsidRPr="00D10CD6">
        <w:rPr>
          <w:rStyle w:val="FootnoteReference"/>
        </w:rPr>
        <w:footnoteReference w:id="587"/>
      </w:r>
      <w:r>
        <w:t xml:space="preserve"> AEMO is also the co-ordinating network service provider in Victoria. It is therefore responsible for allocating the aggregate annual revenue requirement (AARR) for all TNSPs in the region including SP AusNet.</w:t>
      </w:r>
      <w:r>
        <w:rPr>
          <w:rStyle w:val="FootnoteReference"/>
        </w:rPr>
        <w:footnoteReference w:id="588"/>
      </w:r>
    </w:p>
    <w:p w:rsidR="0088341A" w:rsidRPr="00A32C02" w:rsidRDefault="0088341A" w:rsidP="0088341A">
      <w:pPr>
        <w:pStyle w:val="Heading2"/>
        <w:numPr>
          <w:ilvl w:val="2"/>
          <w:numId w:val="20"/>
        </w:numPr>
      </w:pPr>
      <w:bookmarkStart w:id="379" w:name="_Toc365283351"/>
      <w:r w:rsidRPr="00A32C02">
        <w:t>Draft decision</w:t>
      </w:r>
      <w:bookmarkEnd w:id="379"/>
    </w:p>
    <w:p w:rsidR="0088341A" w:rsidRPr="00D10CD6" w:rsidRDefault="0088341A" w:rsidP="0088341A">
      <w:pPr>
        <w:pStyle w:val="AERbodytext"/>
        <w:numPr>
          <w:ilvl w:val="0"/>
          <w:numId w:val="1"/>
        </w:numPr>
      </w:pPr>
      <w:r w:rsidRPr="00D10CD6">
        <w:t>We approve the pricing method</w:t>
      </w:r>
      <w:r>
        <w:t>ology</w:t>
      </w:r>
      <w:r w:rsidRPr="00D10CD6">
        <w:t xml:space="preserve"> proposed by SP AusNet for the 2014</w:t>
      </w:r>
      <w:r>
        <w:t>–</w:t>
      </w:r>
      <w:r w:rsidRPr="00D10CD6">
        <w:t xml:space="preserve">17 regulatory control period. As required, </w:t>
      </w:r>
      <w:r>
        <w:t>the proposed methodology</w:t>
      </w:r>
      <w:r w:rsidRPr="00D10CD6">
        <w:t xml:space="preserve"> gives effect to the pricing principles in the </w:t>
      </w:r>
      <w:r>
        <w:t>National Electricity Rules (</w:t>
      </w:r>
      <w:r w:rsidRPr="00D10CD6">
        <w:t>NER</w:t>
      </w:r>
      <w:r>
        <w:t>)</w:t>
      </w:r>
      <w:r w:rsidRPr="00D10CD6">
        <w:t xml:space="preserve"> and complies with the information requirements of the pricing method</w:t>
      </w:r>
      <w:r>
        <w:t>ology</w:t>
      </w:r>
      <w:r w:rsidRPr="00D10CD6">
        <w:t xml:space="preserve"> guidelines.</w:t>
      </w:r>
      <w:r w:rsidRPr="00D10CD6">
        <w:rPr>
          <w:rStyle w:val="FootnoteReference"/>
        </w:rPr>
        <w:footnoteReference w:id="589"/>
      </w:r>
    </w:p>
    <w:p w:rsidR="0088341A" w:rsidRPr="00A32C02" w:rsidRDefault="0088341A" w:rsidP="0088341A">
      <w:pPr>
        <w:pStyle w:val="Heading2"/>
        <w:numPr>
          <w:ilvl w:val="2"/>
          <w:numId w:val="20"/>
        </w:numPr>
      </w:pPr>
      <w:bookmarkStart w:id="380" w:name="_Toc365283352"/>
      <w:r w:rsidRPr="00A32C02">
        <w:t>SP AusNet's proposal</w:t>
      </w:r>
      <w:bookmarkEnd w:id="380"/>
    </w:p>
    <w:p w:rsidR="0088341A" w:rsidRPr="00D10CD6" w:rsidRDefault="0088341A" w:rsidP="0088341A">
      <w:pPr>
        <w:pStyle w:val="AERbodytext"/>
        <w:numPr>
          <w:ilvl w:val="0"/>
          <w:numId w:val="1"/>
        </w:numPr>
      </w:pPr>
      <w:r w:rsidRPr="00D10CD6">
        <w:t>On 28 February 2013, SP AusNet submitted its proposed pricing method</w:t>
      </w:r>
      <w:r>
        <w:t>ology</w:t>
      </w:r>
      <w:r w:rsidRPr="00D10CD6">
        <w:t>. SP AusNet stated we should consider the unique transmission network arrangements in Victoria. Under these arrangements</w:t>
      </w:r>
      <w:r>
        <w:t>,</w:t>
      </w:r>
      <w:r w:rsidRPr="00D10CD6">
        <w:t xml:space="preserve"> </w:t>
      </w:r>
      <w:r>
        <w:t>SP AusNet</w:t>
      </w:r>
      <w:r w:rsidRPr="00D10CD6">
        <w:t xml:space="preserve"> owns and operates the majority of the declared shared transmission network. But</w:t>
      </w:r>
      <w:r>
        <w:t>,</w:t>
      </w:r>
      <w:r w:rsidRPr="00D10CD6">
        <w:t xml:space="preserve"> unlike other similar network operators in the NEM</w:t>
      </w:r>
      <w:r>
        <w:t>,</w:t>
      </w:r>
      <w:r w:rsidRPr="00D10CD6">
        <w:t xml:space="preserve"> it does not have pricing responsibility for all transmission services in the region. </w:t>
      </w:r>
      <w:r>
        <w:t>Given</w:t>
      </w:r>
      <w:r w:rsidRPr="00D10CD6">
        <w:t xml:space="preserve"> </w:t>
      </w:r>
      <w:r>
        <w:t>this</w:t>
      </w:r>
      <w:r w:rsidRPr="00D10CD6">
        <w:t xml:space="preserve">, SP AusNet </w:t>
      </w:r>
      <w:r>
        <w:t>proposed</w:t>
      </w:r>
      <w:r w:rsidRPr="00D10CD6">
        <w:t xml:space="preserve"> its pricing method</w:t>
      </w:r>
      <w:r>
        <w:t>ology</w:t>
      </w:r>
      <w:r w:rsidRPr="00D10CD6">
        <w:t xml:space="preserve"> should address </w:t>
      </w:r>
      <w:r>
        <w:t xml:space="preserve">only </w:t>
      </w:r>
      <w:r w:rsidRPr="00D10CD6">
        <w:t>the pricing matters for which it has responsibility.</w:t>
      </w:r>
      <w:r w:rsidRPr="00D10CD6">
        <w:rPr>
          <w:rStyle w:val="FootnoteReference"/>
        </w:rPr>
        <w:footnoteReference w:id="590"/>
      </w:r>
      <w:r w:rsidRPr="00D10CD6">
        <w:t xml:space="preserve"> </w:t>
      </w:r>
      <w:r>
        <w:t>These are prescribed entry services and prescribed exit services.</w:t>
      </w:r>
    </w:p>
    <w:p w:rsidR="0088341A" w:rsidRPr="00A32C02" w:rsidRDefault="0088341A" w:rsidP="0088341A">
      <w:pPr>
        <w:pStyle w:val="Heading2"/>
        <w:numPr>
          <w:ilvl w:val="2"/>
          <w:numId w:val="20"/>
        </w:numPr>
      </w:pPr>
      <w:bookmarkStart w:id="381" w:name="_Toc365283353"/>
      <w:r w:rsidRPr="00A32C02">
        <w:t>Assessment approach</w:t>
      </w:r>
      <w:bookmarkEnd w:id="381"/>
    </w:p>
    <w:p w:rsidR="0088341A" w:rsidRPr="00D10CD6" w:rsidRDefault="0088341A" w:rsidP="0088341A">
      <w:pPr>
        <w:pStyle w:val="AERbodytext"/>
        <w:numPr>
          <w:ilvl w:val="0"/>
          <w:numId w:val="1"/>
        </w:numPr>
      </w:pPr>
      <w:r w:rsidRPr="00D10CD6">
        <w:t>We must approve a proposed pricing method</w:t>
      </w:r>
      <w:r>
        <w:t>ology</w:t>
      </w:r>
      <w:r w:rsidRPr="00D10CD6">
        <w:t xml:space="preserve"> if satisfied that it:</w:t>
      </w:r>
    </w:p>
    <w:p w:rsidR="0088341A" w:rsidRPr="00D10CD6" w:rsidRDefault="0088341A" w:rsidP="0088341A">
      <w:pPr>
        <w:pStyle w:val="AERbulletlistfirststyle"/>
      </w:pPr>
      <w:r w:rsidRPr="00D10CD6">
        <w:t>gives effect to, and complies with, the pricing principles for prescribed transmission services</w:t>
      </w:r>
      <w:r w:rsidRPr="00D10CD6">
        <w:rPr>
          <w:rStyle w:val="FootnoteReference"/>
        </w:rPr>
        <w:footnoteReference w:id="591"/>
      </w:r>
    </w:p>
    <w:p w:rsidR="0088341A" w:rsidRPr="00D10CD6" w:rsidRDefault="0088341A" w:rsidP="0088341A">
      <w:pPr>
        <w:pStyle w:val="AERbulletlistfirststyle"/>
      </w:pPr>
      <w:r w:rsidRPr="00D10CD6">
        <w:t>complies with the information requirements of the pricing method guidelines.</w:t>
      </w:r>
      <w:r w:rsidRPr="00D10CD6">
        <w:rPr>
          <w:rStyle w:val="FootnoteReference"/>
        </w:rPr>
        <w:footnoteReference w:id="592"/>
      </w:r>
      <w:r w:rsidRPr="00D10CD6">
        <w:t xml:space="preserve"> </w:t>
      </w:r>
    </w:p>
    <w:p w:rsidR="0088341A" w:rsidRPr="00A646F8" w:rsidRDefault="0088341A" w:rsidP="0088341A">
      <w:r w:rsidRPr="00D10CD6">
        <w:t>In making our assessment</w:t>
      </w:r>
      <w:r w:rsidRPr="00C32C71">
        <w:t>, we agree the transmission arrangements in Victoria need to be considered.</w:t>
      </w:r>
      <w:r>
        <w:t xml:space="preserve"> </w:t>
      </w:r>
      <w:r w:rsidRPr="00A646F8">
        <w:t xml:space="preserve">In Victoria, ownership and planning of the electricity transmission network is split. Ownership rests with </w:t>
      </w:r>
      <w:r>
        <w:t xml:space="preserve">the </w:t>
      </w:r>
      <w:r w:rsidRPr="00A646F8">
        <w:t>declared transmission system operators (DTSOs</w:t>
      </w:r>
      <w:r>
        <w:t xml:space="preserve">). Of these, SP AusNet is the largest. Planning </w:t>
      </w:r>
      <w:r w:rsidRPr="00A646F8">
        <w:t>is</w:t>
      </w:r>
      <w:r>
        <w:t xml:space="preserve"> the responsibility of the </w:t>
      </w:r>
      <w:r w:rsidRPr="00A646F8">
        <w:t xml:space="preserve">Australian Energy Market Operator (AEMO). </w:t>
      </w:r>
      <w:r>
        <w:t>It</w:t>
      </w:r>
      <w:r w:rsidRPr="00A646F8">
        <w:t xml:space="preserve"> is a not-for-profit organisation jointly owned by industry and Australian governments.</w:t>
      </w:r>
      <w:r>
        <w:rPr>
          <w:rStyle w:val="FootnoteReference"/>
        </w:rPr>
        <w:footnoteReference w:id="593"/>
      </w:r>
      <w:r w:rsidRPr="00A646F8">
        <w:t xml:space="preserve"> AEMO's objective</w:t>
      </w:r>
      <w:r>
        <w:t xml:space="preserve"> </w:t>
      </w:r>
      <w:r w:rsidRPr="00A646F8">
        <w:lastRenderedPageBreak/>
        <w:t>as a planner is to ensure that the transmission network operate</w:t>
      </w:r>
      <w:r>
        <w:t>s</w:t>
      </w:r>
      <w:r w:rsidRPr="00A646F8">
        <w:t xml:space="preserve"> within the security and performance obligations set out in schedules 5.1a and 5.1 of the NER. AEMO bases its investment decisions on cost benefit analysis and considers the long term interests of electricity consumers.</w:t>
      </w:r>
      <w:r>
        <w:rPr>
          <w:rStyle w:val="FootnoteReference"/>
        </w:rPr>
        <w:footnoteReference w:id="594"/>
      </w:r>
    </w:p>
    <w:p w:rsidR="0088341A" w:rsidRDefault="0088341A" w:rsidP="0088341A">
      <w:r w:rsidRPr="00A646F8">
        <w:t xml:space="preserve">In addition to its role as planner, AEMO is responsible for managing certain services in Victoria. Prescribed transmission services consist of four types. </w:t>
      </w:r>
      <w:r w:rsidR="000A3D03">
        <w:fldChar w:fldCharType="begin"/>
      </w:r>
      <w:r w:rsidR="000A3D03">
        <w:instrText xml:space="preserve"> REF _Ref365387418 \h </w:instrText>
      </w:r>
      <w:r w:rsidR="000A3D03">
        <w:fldChar w:fldCharType="separate"/>
      </w:r>
      <w:r w:rsidR="004F35AA">
        <w:t xml:space="preserve">Figure </w:t>
      </w:r>
      <w:r w:rsidR="004F35AA">
        <w:rPr>
          <w:noProof/>
        </w:rPr>
        <w:t>12</w:t>
      </w:r>
      <w:r w:rsidR="004F35AA">
        <w:t>.</w:t>
      </w:r>
      <w:r w:rsidR="004F35AA">
        <w:rPr>
          <w:noProof/>
        </w:rPr>
        <w:t>1</w:t>
      </w:r>
      <w:r w:rsidR="000A3D03">
        <w:fldChar w:fldCharType="end"/>
      </w:r>
      <w:r w:rsidR="000A3D03">
        <w:t xml:space="preserve"> </w:t>
      </w:r>
      <w:r w:rsidRPr="00A646F8">
        <w:t>shows each of these and delineation between the services SP AusNet and AEMO manage. SP AusNet manages connection services. These are prescribed entry services and prescribed exit services.  AEMO is responsible for shared transmission services, namely transmission use of system (TUOS) services and common transmission services. Prescribed TUOS services provide different benefits to transmission customers depending on their location within the transmission system.</w:t>
      </w:r>
      <w:r>
        <w:rPr>
          <w:rStyle w:val="FootnoteReference"/>
        </w:rPr>
        <w:footnoteReference w:id="595"/>
      </w:r>
      <w:r w:rsidRPr="00A646F8">
        <w:t xml:space="preserve"> Prescribed common transmission services provide equivalent benefits to all transmission customers without any differ</w:t>
      </w:r>
      <w:r>
        <w:t xml:space="preserve">entiation based on </w:t>
      </w:r>
      <w:r w:rsidRPr="00A646F8">
        <w:t>their location.</w:t>
      </w:r>
      <w:r>
        <w:rPr>
          <w:rStyle w:val="FootnoteReference"/>
        </w:rPr>
        <w:footnoteReference w:id="596"/>
      </w:r>
    </w:p>
    <w:p w:rsidR="0088341A" w:rsidRDefault="000A3D03" w:rsidP="000A3D03">
      <w:pPr>
        <w:pStyle w:val="Caption"/>
      </w:pPr>
      <w:bookmarkStart w:id="382" w:name="_Ref365387418"/>
      <w:r>
        <w:lastRenderedPageBreak/>
        <w:t xml:space="preserve">Figure </w:t>
      </w:r>
      <w:fldSimple w:instr=" STYLEREF 1 \s ">
        <w:r w:rsidR="004F35AA">
          <w:rPr>
            <w:noProof/>
          </w:rPr>
          <w:t>12</w:t>
        </w:r>
      </w:fldSimple>
      <w:r w:rsidR="00C56A87">
        <w:t>.</w:t>
      </w:r>
      <w:fldSimple w:instr=" SEQ Figure \* ARABIC \s 1 ">
        <w:r w:rsidR="004F35AA">
          <w:rPr>
            <w:noProof/>
          </w:rPr>
          <w:t>1</w:t>
        </w:r>
      </w:fldSimple>
      <w:bookmarkEnd w:id="382"/>
      <w:r w:rsidR="0088341A">
        <w:tab/>
        <w:t>Delineation of transmission services in Victoria</w:t>
      </w:r>
    </w:p>
    <w:p w:rsidR="0088341A" w:rsidRPr="00D9715A" w:rsidRDefault="0088341A" w:rsidP="0088341A">
      <w:pPr>
        <w:pStyle w:val="AERbodytext"/>
        <w:numPr>
          <w:ilvl w:val="0"/>
          <w:numId w:val="1"/>
        </w:numPr>
      </w:pPr>
      <w:r>
        <w:rPr>
          <w:noProof/>
          <w:lang w:eastAsia="en-AU"/>
        </w:rPr>
        <w:drawing>
          <wp:inline distT="0" distB="0" distL="0" distR="0" wp14:anchorId="2988B00B" wp14:editId="7BD66A49">
            <wp:extent cx="5730875" cy="7291705"/>
            <wp:effectExtent l="0" t="0" r="3175"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0875" cy="7291705"/>
                    </a:xfrm>
                    <a:prstGeom prst="rect">
                      <a:avLst/>
                    </a:prstGeom>
                    <a:noFill/>
                  </pic:spPr>
                </pic:pic>
              </a:graphicData>
            </a:graphic>
          </wp:inline>
        </w:drawing>
      </w:r>
    </w:p>
    <w:p w:rsidR="0088341A" w:rsidRPr="009A7414" w:rsidRDefault="0088341A" w:rsidP="0088341A">
      <w:pPr>
        <w:pStyle w:val="AERtabletextleft"/>
      </w:pPr>
      <w:r>
        <w:t>Source:</w:t>
      </w:r>
      <w:r>
        <w:tab/>
        <w:t xml:space="preserve">AER analysis; SP AusNet, </w:t>
      </w:r>
      <w:r w:rsidRPr="0068702F">
        <w:rPr>
          <w:rStyle w:val="AERtextitalic"/>
        </w:rPr>
        <w:t>Revenue Proposal</w:t>
      </w:r>
      <w:r>
        <w:t>, Appendix 13A, p.17.</w:t>
      </w:r>
    </w:p>
    <w:p w:rsidR="0088341A" w:rsidRPr="00A646F8" w:rsidRDefault="0088341A" w:rsidP="0088341A">
      <w:r w:rsidRPr="00A646F8">
        <w:t xml:space="preserve">AEMO does not own the infrastructure constituting the shared transmission network. Instead, it procures services from DTSOs. In most cases this is SP AusNet. However there are other DTSOs in Victoria. This is because when AEMO identifies a network constraint which is 'separable' from the existing network it calls for tenders for the construction, ownership and maintenance of the augmentation to the network. The successful bidder then becomes the DTSO for the addition to the </w:t>
      </w:r>
      <w:r w:rsidRPr="00A646F8">
        <w:lastRenderedPageBreak/>
        <w:t>network</w:t>
      </w:r>
      <w:r>
        <w:t xml:space="preserve"> which it constructs</w:t>
      </w:r>
      <w:r w:rsidRPr="00A646F8">
        <w:t>. In total, 15 projects have gone to tender; 13 of which were won by SP AusNet.</w:t>
      </w:r>
      <w:r>
        <w:rPr>
          <w:rStyle w:val="FootnoteReference"/>
        </w:rPr>
        <w:footnoteReference w:id="597"/>
      </w:r>
      <w:r w:rsidRPr="00A646F8">
        <w:t xml:space="preserve"> Where the augmentation is not separable, the work is undertaken by the incumbent DTSO. This is usually SP AusNet.</w:t>
      </w:r>
    </w:p>
    <w:p w:rsidR="0088341A" w:rsidRPr="00A646F8" w:rsidRDefault="0088341A" w:rsidP="0088341A">
      <w:pPr>
        <w:numPr>
          <w:ilvl w:val="0"/>
          <w:numId w:val="2"/>
        </w:numPr>
      </w:pPr>
      <w:r w:rsidRPr="00A646F8">
        <w:t xml:space="preserve">The transmission arrangements in Victoria affect SP AusNet's pricing responsibilities. SP AusNet has pricing responsibility for prescribed entry services and prescribed exit services only. Taking this into account we determined that SP AusNet's proposed pricing methodology could be approved if it only addressed those </w:t>
      </w:r>
      <w:r>
        <w:t>connection services</w:t>
      </w:r>
      <w:r w:rsidRPr="00A646F8">
        <w:t xml:space="preserve">. The services </w:t>
      </w:r>
      <w:r>
        <w:t xml:space="preserve">for </w:t>
      </w:r>
      <w:r w:rsidRPr="00A646F8">
        <w:t>which SP AusNet does not have pricing responsibility</w:t>
      </w:r>
      <w:r>
        <w:t>—TUOS services and common transmission services—</w:t>
      </w:r>
      <w:r w:rsidRPr="00A646F8">
        <w:t>should be addressed by AEMO. We expect to make a draft decision on AEMO'</w:t>
      </w:r>
      <w:r>
        <w:t xml:space="preserve">s proposed pricing methodology </w:t>
      </w:r>
      <w:r w:rsidRPr="00A646F8">
        <w:t>in December 2013</w:t>
      </w:r>
      <w:r>
        <w:t>, and a final decision by 30 April 2014</w:t>
      </w:r>
      <w:r w:rsidRPr="00A646F8">
        <w:t>.</w:t>
      </w:r>
    </w:p>
    <w:p w:rsidR="0088341A" w:rsidRPr="00A32C02" w:rsidRDefault="0088341A" w:rsidP="0088341A">
      <w:pPr>
        <w:pStyle w:val="Heading2"/>
        <w:numPr>
          <w:ilvl w:val="2"/>
          <w:numId w:val="20"/>
        </w:numPr>
      </w:pPr>
      <w:bookmarkStart w:id="383" w:name="_Toc365283354"/>
      <w:r w:rsidRPr="00A32C02">
        <w:t>Reasons for draft decision</w:t>
      </w:r>
      <w:bookmarkEnd w:id="383"/>
      <w:r w:rsidRPr="00A32C02">
        <w:t xml:space="preserve"> </w:t>
      </w:r>
    </w:p>
    <w:p w:rsidR="0088341A" w:rsidRPr="00D10CD6" w:rsidRDefault="0088341A" w:rsidP="0088341A">
      <w:pPr>
        <w:pStyle w:val="AERbodytext"/>
        <w:numPr>
          <w:ilvl w:val="0"/>
          <w:numId w:val="1"/>
        </w:numPr>
      </w:pPr>
      <w:r w:rsidRPr="00D10CD6">
        <w:t>We approve SP AusNet's proposed pricing method</w:t>
      </w:r>
      <w:r>
        <w:t>ology,</w:t>
      </w:r>
      <w:r w:rsidRPr="00D10CD6">
        <w:t xml:space="preserve"> following</w:t>
      </w:r>
      <w:r>
        <w:t xml:space="preserve"> our</w:t>
      </w:r>
      <w:r w:rsidRPr="00D10CD6">
        <w:t xml:space="preserve"> consideration of the unique transmission arrangements in Victoria. </w:t>
      </w:r>
      <w:r>
        <w:t>W</w:t>
      </w:r>
      <w:r w:rsidRPr="00D10CD6">
        <w:t xml:space="preserve">e determine </w:t>
      </w:r>
      <w:r>
        <w:t xml:space="preserve">the proposal meets </w:t>
      </w:r>
      <w:r w:rsidRPr="00D10CD6">
        <w:t>each of the pricing principles and pricing method</w:t>
      </w:r>
      <w:r>
        <w:t>ology</w:t>
      </w:r>
      <w:r w:rsidRPr="00D10CD6">
        <w:t xml:space="preserve"> guideline</w:t>
      </w:r>
      <w:r>
        <w:t xml:space="preserve"> requirement</w:t>
      </w:r>
      <w:r w:rsidRPr="00D10CD6">
        <w:t>s</w:t>
      </w:r>
      <w:r>
        <w:t xml:space="preserve"> that are</w:t>
      </w:r>
      <w:r w:rsidRPr="00D10CD6">
        <w:t xml:space="preserve"> relevant to SP AusNet's</w:t>
      </w:r>
      <w:r>
        <w:t xml:space="preserve"> responsibility for</w:t>
      </w:r>
      <w:r w:rsidRPr="00D10CD6">
        <w:t xml:space="preserve"> connection services. The</w:t>
      </w:r>
      <w:r>
        <w:t xml:space="preserve"> pricing of</w:t>
      </w:r>
      <w:r w:rsidRPr="00D10CD6">
        <w:t xml:space="preserve"> other prescribed transmission services provided in Victoria</w:t>
      </w:r>
      <w:r>
        <w:t>—</w:t>
      </w:r>
      <w:r w:rsidRPr="00D10CD6">
        <w:t>TUOS and common transmission services</w:t>
      </w:r>
      <w:r>
        <w:t>—will be</w:t>
      </w:r>
      <w:r w:rsidRPr="00D10CD6">
        <w:t xml:space="preserve"> addressed in AEMO's proposed pricing method</w:t>
      </w:r>
      <w:r>
        <w:t>ology</w:t>
      </w:r>
      <w:r w:rsidRPr="00D10CD6">
        <w:t xml:space="preserve"> for the 2014–17 regulatory control period</w:t>
      </w:r>
      <w:r>
        <w:t>, which we expect to receive in August 2013</w:t>
      </w:r>
      <w:r w:rsidRPr="00D10CD6">
        <w:t>.</w:t>
      </w:r>
      <w:r w:rsidRPr="00D10CD6">
        <w:rPr>
          <w:rStyle w:val="FootnoteReference"/>
        </w:rPr>
        <w:footnoteReference w:id="598"/>
      </w:r>
    </w:p>
    <w:p w:rsidR="0088341A" w:rsidRPr="00A907E9" w:rsidRDefault="0088341A" w:rsidP="0088341A">
      <w:pPr>
        <w:pStyle w:val="Heading3"/>
        <w:numPr>
          <w:ilvl w:val="3"/>
          <w:numId w:val="20"/>
        </w:numPr>
      </w:pPr>
      <w:r w:rsidRPr="00A907E9">
        <w:t>Assessment against the pricing principles</w:t>
      </w:r>
    </w:p>
    <w:p w:rsidR="0088341A" w:rsidRPr="00D10CD6" w:rsidRDefault="0088341A" w:rsidP="0088341A">
      <w:r>
        <w:t>In considering</w:t>
      </w:r>
      <w:r w:rsidRPr="00D10CD6">
        <w:t xml:space="preserve"> </w:t>
      </w:r>
      <w:r>
        <w:t>SP AusNet's proposed</w:t>
      </w:r>
      <w:r w:rsidRPr="00D10CD6">
        <w:t xml:space="preserve"> pricing method</w:t>
      </w:r>
      <w:r>
        <w:t>ology against</w:t>
      </w:r>
      <w:r w:rsidRPr="00D10CD6">
        <w:t xml:space="preserve"> the requirements of the pricing principles</w:t>
      </w:r>
      <w:r>
        <w:t>, we</w:t>
      </w:r>
      <w:r w:rsidRPr="00D10CD6">
        <w:t xml:space="preserve"> addressed only those </w:t>
      </w:r>
      <w:r>
        <w:t>principles that</w:t>
      </w:r>
      <w:r w:rsidRPr="00D10CD6">
        <w:t xml:space="preserve"> are relevant to SP AusNet's transmission pricing responsibilities. We consider this </w:t>
      </w:r>
      <w:r>
        <w:t>approach is</w:t>
      </w:r>
      <w:r w:rsidRPr="00D10CD6">
        <w:t xml:space="preserve"> appropriate</w:t>
      </w:r>
      <w:r>
        <w:t>, because</w:t>
      </w:r>
      <w:r w:rsidRPr="00D10CD6">
        <w:t xml:space="preserve"> the pricing principles are intended to provide scope for TNSPs to develop pricing arrangements that address the</w:t>
      </w:r>
      <w:r>
        <w:t>ir operating</w:t>
      </w:r>
      <w:r w:rsidRPr="00D10CD6">
        <w:t xml:space="preserve"> circumstances.</w:t>
      </w:r>
      <w:r w:rsidRPr="00D10CD6">
        <w:rPr>
          <w:rStyle w:val="FootnoteReference"/>
        </w:rPr>
        <w:footnoteReference w:id="599"/>
      </w:r>
      <w:r>
        <w:t xml:space="preserve"> </w:t>
      </w:r>
    </w:p>
    <w:p w:rsidR="0088341A" w:rsidRPr="00D10CD6" w:rsidRDefault="0088341A" w:rsidP="0088341A">
      <w:pPr>
        <w:pStyle w:val="HeadingBoldBlue"/>
      </w:pPr>
      <w:r w:rsidRPr="00D10CD6">
        <w:t>Calculation and allocation of annual revenue</w:t>
      </w:r>
    </w:p>
    <w:p w:rsidR="0088341A" w:rsidRDefault="0088341A" w:rsidP="0088341A">
      <w:pPr>
        <w:pStyle w:val="AERbodytext"/>
        <w:numPr>
          <w:ilvl w:val="0"/>
          <w:numId w:val="1"/>
        </w:numPr>
      </w:pPr>
      <w:r w:rsidRPr="00D10CD6">
        <w:t xml:space="preserve">We assessed </w:t>
      </w:r>
      <w:r>
        <w:t xml:space="preserve">how </w:t>
      </w:r>
      <w:r w:rsidRPr="00D10CD6">
        <w:t>SP AusNet's proposed pricing method</w:t>
      </w:r>
      <w:r>
        <w:t>ology</w:t>
      </w:r>
      <w:r w:rsidRPr="00D10CD6">
        <w:t xml:space="preserve"> </w:t>
      </w:r>
      <w:r>
        <w:t>calculates</w:t>
      </w:r>
      <w:r w:rsidRPr="00D10CD6">
        <w:t xml:space="preserve"> and allocat</w:t>
      </w:r>
      <w:r>
        <w:t>es</w:t>
      </w:r>
      <w:r w:rsidRPr="00D10CD6">
        <w:t xml:space="preserve"> </w:t>
      </w:r>
      <w:r>
        <w:t>its</w:t>
      </w:r>
      <w:r w:rsidRPr="00D10CD6">
        <w:t xml:space="preserve"> aggregate annual revenue requirement (AARR). The AARR is derived from an adjustment </w:t>
      </w:r>
      <w:r>
        <w:t xml:space="preserve">that </w:t>
      </w:r>
      <w:r w:rsidRPr="00D10CD6">
        <w:t xml:space="preserve">a TNSP makes to the maximum allowed revenue (MAR) </w:t>
      </w:r>
      <w:r>
        <w:t xml:space="preserve">that </w:t>
      </w:r>
      <w:r w:rsidRPr="00D10CD6">
        <w:t xml:space="preserve">we approve in </w:t>
      </w:r>
      <w:r>
        <w:t>SP AusNet's transmission determination.</w:t>
      </w:r>
      <w:r w:rsidRPr="00D10CD6">
        <w:t xml:space="preserve"> That adjustment must accord with the method prescribed under clause 6A.3.2 of the NER. </w:t>
      </w:r>
      <w:r w:rsidRPr="00D10CD6">
        <w:fldChar w:fldCharType="begin"/>
      </w:r>
      <w:r w:rsidRPr="00D10CD6">
        <w:instrText xml:space="preserve"> REF _Ref357092199 \h </w:instrText>
      </w:r>
      <w:r w:rsidRPr="00D10CD6">
        <w:fldChar w:fldCharType="separate"/>
      </w:r>
      <w:r w:rsidR="004F35AA" w:rsidRPr="00D10CD6">
        <w:t xml:space="preserve">Table </w:t>
      </w:r>
      <w:r w:rsidR="004F35AA">
        <w:rPr>
          <w:noProof/>
        </w:rPr>
        <w:t>12</w:t>
      </w:r>
      <w:r w:rsidR="004F35AA">
        <w:t>.</w:t>
      </w:r>
      <w:r w:rsidR="004F35AA">
        <w:rPr>
          <w:noProof/>
        </w:rPr>
        <w:t>1</w:t>
      </w:r>
      <w:r w:rsidRPr="00D10CD6">
        <w:fldChar w:fldCharType="end"/>
      </w:r>
      <w:r w:rsidRPr="00D10CD6">
        <w:t xml:space="preserve"> summari</w:t>
      </w:r>
      <w:r>
        <w:t>s</w:t>
      </w:r>
      <w:r w:rsidRPr="00D10CD6">
        <w:t>es our assessment</w:t>
      </w:r>
      <w:r>
        <w:t xml:space="preserve"> which found that SP AusNet's proposal satisfactorily addresses the pricing principles.</w:t>
      </w:r>
    </w:p>
    <w:p w:rsidR="0088341A" w:rsidRPr="00D10CD6" w:rsidRDefault="0088341A" w:rsidP="0088341A">
      <w:pPr>
        <w:pStyle w:val="Caption"/>
        <w:keepLines/>
      </w:pPr>
      <w:bookmarkStart w:id="384" w:name="_Ref357092199"/>
      <w:r w:rsidRPr="00D10CD6">
        <w:lastRenderedPageBreak/>
        <w:t xml:space="preserve">Table </w:t>
      </w:r>
      <w:fldSimple w:instr=" STYLEREF 1 \s ">
        <w:r w:rsidR="004F35AA">
          <w:rPr>
            <w:noProof/>
          </w:rPr>
          <w:t>12</w:t>
        </w:r>
      </w:fldSimple>
      <w:r w:rsidR="00C56A87">
        <w:t>.</w:t>
      </w:r>
      <w:fldSimple w:instr=" SEQ Table \* ARABIC \s 1 ">
        <w:r w:rsidR="004F35AA">
          <w:rPr>
            <w:noProof/>
          </w:rPr>
          <w:t>1</w:t>
        </w:r>
      </w:fldSimple>
      <w:bookmarkEnd w:id="384"/>
      <w:r w:rsidRPr="00D10CD6">
        <w:tab/>
      </w:r>
      <w:r>
        <w:t xml:space="preserve">AER's assessment of </w:t>
      </w:r>
      <w:r w:rsidRPr="00D10CD6">
        <w:t>SP AusNet's proposed calculation and allocation of the AARR</w:t>
      </w:r>
    </w:p>
    <w:tbl>
      <w:tblPr>
        <w:tblW w:w="0" w:type="auto"/>
        <w:tblBorders>
          <w:bottom w:val="single" w:sz="4" w:space="0" w:color="365F91"/>
        </w:tblBorders>
        <w:tblLook w:val="04A0" w:firstRow="1" w:lastRow="0" w:firstColumn="1" w:lastColumn="0" w:noHBand="0" w:noVBand="1"/>
      </w:tblPr>
      <w:tblGrid>
        <w:gridCol w:w="4621"/>
        <w:gridCol w:w="4621"/>
      </w:tblGrid>
      <w:tr w:rsidR="0088341A" w:rsidTr="00501137">
        <w:tc>
          <w:tcPr>
            <w:tcW w:w="4621" w:type="dxa"/>
            <w:shd w:val="clear" w:color="auto" w:fill="365F91"/>
            <w:vAlign w:val="center"/>
          </w:tcPr>
          <w:p w:rsidR="0088341A" w:rsidRPr="009A3C07" w:rsidRDefault="0088341A" w:rsidP="00501137">
            <w:pPr>
              <w:pStyle w:val="AERbodytext"/>
              <w:keepNext/>
              <w:keepLines/>
              <w:numPr>
                <w:ilvl w:val="0"/>
                <w:numId w:val="1"/>
              </w:numPr>
              <w:spacing w:before="120"/>
              <w:rPr>
                <w:b/>
                <w:color w:val="FFFFFF"/>
                <w:sz w:val="16"/>
              </w:rPr>
            </w:pPr>
            <w:r w:rsidRPr="009A3C07">
              <w:rPr>
                <w:b/>
                <w:color w:val="FFFFFF"/>
                <w:sz w:val="16"/>
              </w:rPr>
              <w:t>NER requirements</w:t>
            </w:r>
          </w:p>
        </w:tc>
        <w:tc>
          <w:tcPr>
            <w:tcW w:w="4621" w:type="dxa"/>
            <w:shd w:val="clear" w:color="auto" w:fill="365F91"/>
            <w:vAlign w:val="center"/>
          </w:tcPr>
          <w:p w:rsidR="0088341A" w:rsidRPr="009A3C07" w:rsidRDefault="0088341A" w:rsidP="00501137">
            <w:pPr>
              <w:pStyle w:val="AERbodytext"/>
              <w:keepNext/>
              <w:keepLines/>
              <w:numPr>
                <w:ilvl w:val="0"/>
                <w:numId w:val="1"/>
              </w:numPr>
              <w:spacing w:before="120"/>
              <w:rPr>
                <w:b/>
                <w:color w:val="FFFFFF"/>
                <w:sz w:val="16"/>
              </w:rPr>
            </w:pPr>
            <w:r w:rsidRPr="009A3C07">
              <w:rPr>
                <w:b/>
                <w:color w:val="FFFFFF"/>
                <w:sz w:val="16"/>
              </w:rPr>
              <w:t>AER assessment</w:t>
            </w:r>
          </w:p>
        </w:tc>
      </w:tr>
      <w:tr w:rsidR="0088341A" w:rsidTr="00501137">
        <w:tc>
          <w:tcPr>
            <w:tcW w:w="4621" w:type="dxa"/>
            <w:shd w:val="clear" w:color="auto" w:fill="auto"/>
            <w:vAlign w:val="center"/>
          </w:tcPr>
          <w:p w:rsidR="0088341A" w:rsidRPr="009A3C07" w:rsidRDefault="0088341A" w:rsidP="00501137">
            <w:pPr>
              <w:pStyle w:val="AERbodytext"/>
              <w:keepNext/>
              <w:keepLines/>
              <w:numPr>
                <w:ilvl w:val="0"/>
                <w:numId w:val="1"/>
              </w:numPr>
              <w:spacing w:before="120"/>
              <w:rPr>
                <w:sz w:val="16"/>
              </w:rPr>
            </w:pPr>
            <w:r w:rsidRPr="009A3C07">
              <w:rPr>
                <w:sz w:val="16"/>
              </w:rPr>
              <w:t>Requirement for the AARR to be calculated as defined in the NER—clause 6A.22.1</w:t>
            </w:r>
          </w:p>
        </w:tc>
        <w:tc>
          <w:tcPr>
            <w:tcW w:w="4621" w:type="dxa"/>
            <w:shd w:val="clear" w:color="auto" w:fill="auto"/>
            <w:vAlign w:val="center"/>
          </w:tcPr>
          <w:p w:rsidR="0088341A" w:rsidRPr="009A3C07" w:rsidRDefault="0088341A" w:rsidP="00501137">
            <w:pPr>
              <w:pStyle w:val="AERbodytext"/>
              <w:keepNext/>
              <w:keepLines/>
              <w:numPr>
                <w:ilvl w:val="0"/>
                <w:numId w:val="1"/>
              </w:numPr>
              <w:spacing w:before="120"/>
              <w:rPr>
                <w:sz w:val="16"/>
              </w:rPr>
            </w:pPr>
            <w:r w:rsidRPr="009A3C07">
              <w:rPr>
                <w:sz w:val="16"/>
              </w:rPr>
              <w:t>Clause 3 of SP AusNet's proposed pricing methodology satisfies this requirement.</w:t>
            </w:r>
          </w:p>
        </w:tc>
      </w:tr>
      <w:tr w:rsidR="0088341A" w:rsidTr="00501137">
        <w:tc>
          <w:tcPr>
            <w:tcW w:w="4621" w:type="dxa"/>
            <w:shd w:val="clear" w:color="auto" w:fill="DBE5F1"/>
            <w:vAlign w:val="center"/>
          </w:tcPr>
          <w:p w:rsidR="0088341A" w:rsidRPr="009A3C07" w:rsidRDefault="0088341A" w:rsidP="00501137">
            <w:pPr>
              <w:pStyle w:val="AERbodytext"/>
              <w:keepNext/>
              <w:keepLines/>
              <w:numPr>
                <w:ilvl w:val="0"/>
                <w:numId w:val="1"/>
              </w:numPr>
              <w:spacing w:before="120"/>
              <w:rPr>
                <w:sz w:val="16"/>
              </w:rPr>
            </w:pPr>
            <w:r w:rsidRPr="009A3C07">
              <w:rPr>
                <w:sz w:val="16"/>
              </w:rPr>
              <w:t>Requirement for the AARR to be allocated to each category of prescribed transmission services in accordance with the attributable cost share for each such category of service—clause 6A.23.2(a)</w:t>
            </w:r>
          </w:p>
        </w:tc>
        <w:tc>
          <w:tcPr>
            <w:tcW w:w="4621" w:type="dxa"/>
            <w:shd w:val="clear" w:color="auto" w:fill="DBE5F1"/>
            <w:vAlign w:val="center"/>
          </w:tcPr>
          <w:p w:rsidR="0088341A" w:rsidRPr="009A3C07" w:rsidRDefault="0088341A" w:rsidP="00501137">
            <w:pPr>
              <w:pStyle w:val="AERbodytext"/>
              <w:keepNext/>
              <w:keepLines/>
              <w:numPr>
                <w:ilvl w:val="0"/>
                <w:numId w:val="1"/>
              </w:numPr>
              <w:spacing w:before="120"/>
              <w:rPr>
                <w:sz w:val="16"/>
              </w:rPr>
            </w:pPr>
            <w:r w:rsidRPr="009A3C07">
              <w:rPr>
                <w:sz w:val="16"/>
              </w:rPr>
              <w:t>Clause 4.1 and appendix B of SP AusNet's proposed pricing methodology satisfies this requirement.</w:t>
            </w:r>
          </w:p>
        </w:tc>
      </w:tr>
      <w:tr w:rsidR="0088341A" w:rsidTr="00501137">
        <w:tc>
          <w:tcPr>
            <w:tcW w:w="4621" w:type="dxa"/>
            <w:shd w:val="clear" w:color="auto" w:fill="auto"/>
            <w:vAlign w:val="center"/>
          </w:tcPr>
          <w:p w:rsidR="0088341A" w:rsidRPr="009A3C07" w:rsidRDefault="0088341A" w:rsidP="00501137">
            <w:pPr>
              <w:pStyle w:val="AERbodytext"/>
              <w:keepNext/>
              <w:keepLines/>
              <w:numPr>
                <w:ilvl w:val="0"/>
                <w:numId w:val="1"/>
              </w:numPr>
              <w:spacing w:before="120"/>
              <w:rPr>
                <w:sz w:val="16"/>
              </w:rPr>
            </w:pPr>
            <w:r w:rsidRPr="009A3C07">
              <w:rPr>
                <w:sz w:val="16"/>
              </w:rPr>
              <w:t>Requirement for every portion of the AARR to be allocated and for the same portion of AARR to be allocated more than once—clause 6A.23.2(c)</w:t>
            </w:r>
          </w:p>
        </w:tc>
        <w:tc>
          <w:tcPr>
            <w:tcW w:w="4621" w:type="dxa"/>
            <w:shd w:val="clear" w:color="auto" w:fill="auto"/>
            <w:vAlign w:val="center"/>
          </w:tcPr>
          <w:p w:rsidR="0088341A" w:rsidRPr="009A3C07" w:rsidRDefault="0088341A" w:rsidP="00501137">
            <w:pPr>
              <w:pStyle w:val="AERbodytext"/>
              <w:keepNext/>
              <w:keepLines/>
              <w:numPr>
                <w:ilvl w:val="0"/>
                <w:numId w:val="1"/>
              </w:numPr>
              <w:spacing w:before="120"/>
              <w:rPr>
                <w:sz w:val="16"/>
              </w:rPr>
            </w:pPr>
            <w:r w:rsidRPr="009A3C07">
              <w:rPr>
                <w:sz w:val="16"/>
              </w:rPr>
              <w:t>Clause 4.1 and appendix B of SP AusNet's proposed pricing methodology satisfies this requirement.</w:t>
            </w:r>
          </w:p>
        </w:tc>
      </w:tr>
      <w:tr w:rsidR="0088341A" w:rsidTr="00501137">
        <w:tc>
          <w:tcPr>
            <w:tcW w:w="4621" w:type="dxa"/>
            <w:shd w:val="clear" w:color="auto" w:fill="DBE5F1"/>
            <w:vAlign w:val="center"/>
          </w:tcPr>
          <w:p w:rsidR="0088341A" w:rsidRPr="009A3C07" w:rsidRDefault="0088341A" w:rsidP="00501137">
            <w:pPr>
              <w:pStyle w:val="AERbodytext"/>
              <w:keepNext/>
              <w:keepLines/>
              <w:numPr>
                <w:ilvl w:val="0"/>
                <w:numId w:val="1"/>
              </w:numPr>
              <w:spacing w:before="120"/>
              <w:rPr>
                <w:sz w:val="16"/>
              </w:rPr>
            </w:pPr>
            <w:r w:rsidRPr="009A3C07">
              <w:rPr>
                <w:sz w:val="16"/>
              </w:rPr>
              <w:t>Subject to clause 11.6.11 of the NER, requirement for adjusting the attributable cost share and priority ordering approach to asset costs that would otherwise be attributed to the provision of more than one other category of prescribed transmission service—clause 6A.23.2(d)</w:t>
            </w:r>
          </w:p>
        </w:tc>
        <w:tc>
          <w:tcPr>
            <w:tcW w:w="4621" w:type="dxa"/>
            <w:shd w:val="clear" w:color="auto" w:fill="DBE5F1"/>
            <w:vAlign w:val="center"/>
          </w:tcPr>
          <w:p w:rsidR="0088341A" w:rsidRPr="009A3C07" w:rsidRDefault="0088341A" w:rsidP="00501137">
            <w:pPr>
              <w:pStyle w:val="AERbodytext"/>
              <w:keepNext/>
              <w:keepLines/>
              <w:numPr>
                <w:ilvl w:val="0"/>
                <w:numId w:val="1"/>
              </w:numPr>
              <w:spacing w:before="120"/>
              <w:rPr>
                <w:sz w:val="16"/>
              </w:rPr>
            </w:pPr>
            <w:r w:rsidRPr="009A3C07">
              <w:rPr>
                <w:sz w:val="16"/>
              </w:rPr>
              <w:t>Clause 4.2 and appendix B of SP AusNet's proposed pricing methodology satisfies this requirement.</w:t>
            </w:r>
          </w:p>
        </w:tc>
      </w:tr>
    </w:tbl>
    <w:p w:rsidR="0088341A" w:rsidRPr="00D10CD6" w:rsidRDefault="0088341A" w:rsidP="00224FED">
      <w:pPr>
        <w:pStyle w:val="AERbodytext"/>
        <w:numPr>
          <w:ilvl w:val="0"/>
          <w:numId w:val="1"/>
        </w:numPr>
      </w:pPr>
    </w:p>
    <w:p w:rsidR="0088341A" w:rsidRPr="00D10CD6" w:rsidRDefault="0088341A" w:rsidP="0088341A">
      <w:pPr>
        <w:pStyle w:val="HeadingBoldBlue"/>
      </w:pPr>
      <w:r w:rsidRPr="00D10CD6">
        <w:t>Allocation</w:t>
      </w:r>
      <w:r>
        <w:t xml:space="preserve"> of annual service revenue</w:t>
      </w:r>
      <w:r w:rsidRPr="00D10CD6">
        <w:t xml:space="preserve"> to network connection points</w:t>
      </w:r>
    </w:p>
    <w:p w:rsidR="0088341A" w:rsidRPr="00D10CD6" w:rsidRDefault="0088341A" w:rsidP="0088341A">
      <w:pPr>
        <w:pStyle w:val="AERbodytext"/>
        <w:numPr>
          <w:ilvl w:val="0"/>
          <w:numId w:val="1"/>
        </w:numPr>
      </w:pPr>
      <w:r w:rsidRPr="00D10CD6">
        <w:t>We assessed</w:t>
      </w:r>
      <w:r>
        <w:t xml:space="preserve"> how</w:t>
      </w:r>
      <w:r w:rsidRPr="00D10CD6">
        <w:t xml:space="preserve"> SP AusNet's proposed pricing method</w:t>
      </w:r>
      <w:r>
        <w:t>ology</w:t>
      </w:r>
      <w:r w:rsidRPr="00D10CD6">
        <w:t xml:space="preserve"> allocat</w:t>
      </w:r>
      <w:r>
        <w:t>es</w:t>
      </w:r>
      <w:r w:rsidRPr="00D10CD6">
        <w:t xml:space="preserve"> the annual service revenue requirement (ASRR). The ASRR is derived from allocating a TNSP's AARR to each category of prescribed transmission services in accordance with </w:t>
      </w:r>
      <w:r>
        <w:t>each category's</w:t>
      </w:r>
      <w:r w:rsidRPr="00D10CD6">
        <w:t xml:space="preserve"> attributable cost share.</w:t>
      </w:r>
      <w:r w:rsidRPr="00D10CD6">
        <w:rPr>
          <w:rStyle w:val="FootnoteReference"/>
        </w:rPr>
        <w:footnoteReference w:id="600"/>
      </w:r>
      <w:r w:rsidRPr="00D10CD6">
        <w:t xml:space="preserve"> </w:t>
      </w:r>
      <w:r w:rsidR="00912A44">
        <w:br/>
      </w:r>
      <w:r w:rsidRPr="00D10CD6">
        <w:fldChar w:fldCharType="begin"/>
      </w:r>
      <w:r w:rsidRPr="00D10CD6">
        <w:instrText xml:space="preserve"> REF _Ref357093057 \h </w:instrText>
      </w:r>
      <w:r w:rsidRPr="00D10CD6">
        <w:fldChar w:fldCharType="separate"/>
      </w:r>
      <w:r w:rsidR="004F35AA" w:rsidRPr="00D10CD6">
        <w:t xml:space="preserve">Table </w:t>
      </w:r>
      <w:r w:rsidR="004F35AA">
        <w:rPr>
          <w:noProof/>
        </w:rPr>
        <w:t>12</w:t>
      </w:r>
      <w:r w:rsidR="004F35AA">
        <w:t>.</w:t>
      </w:r>
      <w:r w:rsidR="004F35AA">
        <w:rPr>
          <w:noProof/>
        </w:rPr>
        <w:t>2</w:t>
      </w:r>
      <w:r w:rsidRPr="00D10CD6">
        <w:fldChar w:fldCharType="end"/>
      </w:r>
      <w:r w:rsidRPr="00D10CD6">
        <w:t xml:space="preserve"> summarises our assessment</w:t>
      </w:r>
      <w:r>
        <w:t xml:space="preserve"> which found that SP AusNet's proposal satisfactorily addresses the pricing principles.</w:t>
      </w:r>
    </w:p>
    <w:p w:rsidR="0088341A" w:rsidRPr="00D10CD6" w:rsidRDefault="0088341A" w:rsidP="0088341A">
      <w:pPr>
        <w:pStyle w:val="Caption"/>
        <w:keepLines/>
      </w:pPr>
      <w:bookmarkStart w:id="385" w:name="_Ref357093057"/>
      <w:r w:rsidRPr="00D10CD6">
        <w:lastRenderedPageBreak/>
        <w:t xml:space="preserve">Table </w:t>
      </w:r>
      <w:fldSimple w:instr=" STYLEREF 1 \s ">
        <w:r w:rsidR="004F35AA">
          <w:rPr>
            <w:noProof/>
          </w:rPr>
          <w:t>12</w:t>
        </w:r>
      </w:fldSimple>
      <w:r w:rsidR="00C56A87">
        <w:t>.</w:t>
      </w:r>
      <w:fldSimple w:instr=" SEQ Table \* ARABIC \s 1 ">
        <w:r w:rsidR="004F35AA">
          <w:rPr>
            <w:noProof/>
          </w:rPr>
          <w:t>2</w:t>
        </w:r>
      </w:fldSimple>
      <w:bookmarkEnd w:id="385"/>
      <w:r w:rsidRPr="00D10CD6">
        <w:tab/>
      </w:r>
      <w:r>
        <w:t xml:space="preserve">AER's assessment of </w:t>
      </w:r>
      <w:r w:rsidRPr="00D10CD6">
        <w:t>SP AusNet's proposed allocation of the ASRR</w:t>
      </w:r>
    </w:p>
    <w:tbl>
      <w:tblPr>
        <w:tblW w:w="0" w:type="auto"/>
        <w:tblBorders>
          <w:bottom w:val="single" w:sz="4" w:space="0" w:color="365F91"/>
        </w:tblBorders>
        <w:tblLook w:val="04A0" w:firstRow="1" w:lastRow="0" w:firstColumn="1" w:lastColumn="0" w:noHBand="0" w:noVBand="1"/>
      </w:tblPr>
      <w:tblGrid>
        <w:gridCol w:w="4621"/>
        <w:gridCol w:w="4621"/>
      </w:tblGrid>
      <w:tr w:rsidR="0088341A" w:rsidTr="00501137">
        <w:tc>
          <w:tcPr>
            <w:tcW w:w="4621" w:type="dxa"/>
            <w:shd w:val="clear" w:color="auto" w:fill="365F91"/>
            <w:vAlign w:val="center"/>
          </w:tcPr>
          <w:p w:rsidR="0088341A" w:rsidRPr="009A3C07" w:rsidRDefault="0088341A" w:rsidP="00501137">
            <w:pPr>
              <w:pStyle w:val="AERbodytext"/>
              <w:keepNext/>
              <w:keepLines/>
              <w:numPr>
                <w:ilvl w:val="0"/>
                <w:numId w:val="1"/>
              </w:numPr>
              <w:spacing w:before="120"/>
              <w:rPr>
                <w:b/>
                <w:color w:val="FFFFFF"/>
                <w:sz w:val="16"/>
              </w:rPr>
            </w:pPr>
            <w:r w:rsidRPr="009A3C07">
              <w:rPr>
                <w:b/>
                <w:color w:val="FFFFFF"/>
                <w:sz w:val="16"/>
              </w:rPr>
              <w:t>NER requirements</w:t>
            </w:r>
          </w:p>
        </w:tc>
        <w:tc>
          <w:tcPr>
            <w:tcW w:w="4621" w:type="dxa"/>
            <w:shd w:val="clear" w:color="auto" w:fill="365F91"/>
            <w:vAlign w:val="center"/>
          </w:tcPr>
          <w:p w:rsidR="0088341A" w:rsidRPr="009A3C07" w:rsidRDefault="0088341A" w:rsidP="00501137">
            <w:pPr>
              <w:pStyle w:val="AERbodytext"/>
              <w:keepNext/>
              <w:keepLines/>
              <w:numPr>
                <w:ilvl w:val="0"/>
                <w:numId w:val="1"/>
              </w:numPr>
              <w:spacing w:before="120"/>
              <w:rPr>
                <w:b/>
                <w:color w:val="FFFFFF"/>
                <w:sz w:val="16"/>
              </w:rPr>
            </w:pPr>
            <w:r w:rsidRPr="009A3C07">
              <w:rPr>
                <w:b/>
                <w:color w:val="FFFFFF"/>
                <w:sz w:val="16"/>
              </w:rPr>
              <w:t>AER assessment</w:t>
            </w:r>
          </w:p>
        </w:tc>
      </w:tr>
      <w:tr w:rsidR="0088341A" w:rsidTr="00501137">
        <w:tc>
          <w:tcPr>
            <w:tcW w:w="4621" w:type="dxa"/>
            <w:shd w:val="clear" w:color="auto" w:fill="auto"/>
            <w:vAlign w:val="center"/>
          </w:tcPr>
          <w:p w:rsidR="0088341A" w:rsidRPr="009A3C07" w:rsidRDefault="0088341A" w:rsidP="00501137">
            <w:pPr>
              <w:pStyle w:val="AERbodytext"/>
              <w:keepNext/>
              <w:keepLines/>
              <w:numPr>
                <w:ilvl w:val="0"/>
                <w:numId w:val="1"/>
              </w:numPr>
              <w:spacing w:before="120"/>
              <w:rPr>
                <w:sz w:val="16"/>
              </w:rPr>
            </w:pPr>
            <w:r w:rsidRPr="009A3C07">
              <w:rPr>
                <w:sz w:val="16"/>
              </w:rPr>
              <w:t>Requirement for the whole ASRR for prescribed entry services to be allocated to transmission network connection points in accordance with the attributable connection point cost share for prescribed entry services that are provided by the TNSP at that connection point—clause 6A.23.3(a)</w:t>
            </w:r>
          </w:p>
        </w:tc>
        <w:tc>
          <w:tcPr>
            <w:tcW w:w="4621" w:type="dxa"/>
            <w:shd w:val="clear" w:color="auto" w:fill="auto"/>
            <w:vAlign w:val="center"/>
          </w:tcPr>
          <w:p w:rsidR="0088341A" w:rsidRPr="009A3C07" w:rsidRDefault="0088341A" w:rsidP="00501137">
            <w:pPr>
              <w:pStyle w:val="AERbodytext"/>
              <w:keepNext/>
              <w:keepLines/>
              <w:numPr>
                <w:ilvl w:val="0"/>
                <w:numId w:val="1"/>
              </w:numPr>
              <w:spacing w:before="120"/>
              <w:rPr>
                <w:sz w:val="16"/>
              </w:rPr>
            </w:pPr>
            <w:r w:rsidRPr="009A3C07">
              <w:rPr>
                <w:sz w:val="16"/>
              </w:rPr>
              <w:t>Clause 5.1 of SP AusNet's proposed pricing methodology satisfies this requirement.</w:t>
            </w:r>
          </w:p>
        </w:tc>
      </w:tr>
      <w:tr w:rsidR="0088341A" w:rsidTr="00501137">
        <w:tc>
          <w:tcPr>
            <w:tcW w:w="4621" w:type="dxa"/>
            <w:shd w:val="clear" w:color="auto" w:fill="DBE5F1"/>
            <w:vAlign w:val="center"/>
          </w:tcPr>
          <w:p w:rsidR="0088341A" w:rsidRPr="009A3C07" w:rsidRDefault="0088341A" w:rsidP="00501137">
            <w:pPr>
              <w:pStyle w:val="AERbodytext"/>
              <w:keepNext/>
              <w:keepLines/>
              <w:numPr>
                <w:ilvl w:val="0"/>
                <w:numId w:val="1"/>
              </w:numPr>
              <w:spacing w:before="120"/>
              <w:rPr>
                <w:sz w:val="16"/>
              </w:rPr>
            </w:pPr>
            <w:r w:rsidRPr="009A3C07">
              <w:rPr>
                <w:sz w:val="16"/>
              </w:rPr>
              <w:t>Requirement for the whole ASRR prescribed exit services to be allocated to transmission network connection points in accordance with the attributable connection point cost share for prescribed exit services that are provided by the TNSP at that connection point—clause 6A.23.3(b)</w:t>
            </w:r>
          </w:p>
        </w:tc>
        <w:tc>
          <w:tcPr>
            <w:tcW w:w="4621" w:type="dxa"/>
            <w:shd w:val="clear" w:color="auto" w:fill="DBE5F1"/>
            <w:vAlign w:val="center"/>
          </w:tcPr>
          <w:p w:rsidR="0088341A" w:rsidRPr="009A3C07" w:rsidRDefault="0088341A" w:rsidP="00501137">
            <w:pPr>
              <w:pStyle w:val="AERbodytext"/>
              <w:keepNext/>
              <w:keepLines/>
              <w:numPr>
                <w:ilvl w:val="0"/>
                <w:numId w:val="1"/>
              </w:numPr>
              <w:spacing w:before="120"/>
              <w:rPr>
                <w:sz w:val="16"/>
              </w:rPr>
            </w:pPr>
            <w:r w:rsidRPr="009A3C07">
              <w:rPr>
                <w:sz w:val="16"/>
              </w:rPr>
              <w:t>Clause 5.1 of SP AusNet's proposed pricing methodology satisfies this requirement.</w:t>
            </w:r>
          </w:p>
        </w:tc>
      </w:tr>
      <w:tr w:rsidR="0088341A" w:rsidTr="00501137">
        <w:tc>
          <w:tcPr>
            <w:tcW w:w="4621" w:type="dxa"/>
            <w:shd w:val="clear" w:color="auto" w:fill="auto"/>
            <w:vAlign w:val="center"/>
          </w:tcPr>
          <w:p w:rsidR="0088341A" w:rsidRPr="009A3C07" w:rsidRDefault="0088341A" w:rsidP="00501137">
            <w:pPr>
              <w:pStyle w:val="AERbodytext"/>
              <w:keepNext/>
              <w:keepLines/>
              <w:numPr>
                <w:ilvl w:val="0"/>
                <w:numId w:val="1"/>
              </w:numPr>
              <w:spacing w:before="120"/>
              <w:rPr>
                <w:sz w:val="16"/>
              </w:rPr>
            </w:pPr>
            <w:r w:rsidRPr="009A3C07">
              <w:rPr>
                <w:sz w:val="16"/>
              </w:rPr>
              <w:t>Requirement for the ASRR to be allocated for prescribed TUOS services locational components and pre-adjusted non</w:t>
            </w:r>
            <w:r>
              <w:t xml:space="preserve"> </w:t>
            </w:r>
            <w:r w:rsidRPr="009A3C07">
              <w:rPr>
                <w:sz w:val="16"/>
              </w:rPr>
              <w:t>locational components—clause 6A.23.3(c)</w:t>
            </w:r>
          </w:p>
        </w:tc>
        <w:tc>
          <w:tcPr>
            <w:tcW w:w="4621" w:type="dxa"/>
            <w:shd w:val="clear" w:color="auto" w:fill="auto"/>
            <w:vAlign w:val="center"/>
          </w:tcPr>
          <w:p w:rsidR="0088341A" w:rsidRPr="009A3C07" w:rsidRDefault="0088341A" w:rsidP="00501137">
            <w:pPr>
              <w:pStyle w:val="AERbodytext"/>
              <w:keepNext/>
              <w:keepLines/>
              <w:numPr>
                <w:ilvl w:val="0"/>
                <w:numId w:val="1"/>
              </w:numPr>
              <w:spacing w:before="120"/>
              <w:rPr>
                <w:sz w:val="16"/>
              </w:rPr>
            </w:pPr>
            <w:r w:rsidRPr="009A3C07">
              <w:rPr>
                <w:sz w:val="16"/>
              </w:rPr>
              <w:t>Not addressed, since AEMO (not SP AusNet) is responsible for the pricing of prescribed TUOS services.</w:t>
            </w:r>
          </w:p>
        </w:tc>
      </w:tr>
      <w:tr w:rsidR="0088341A" w:rsidTr="00501137">
        <w:tc>
          <w:tcPr>
            <w:tcW w:w="4621" w:type="dxa"/>
            <w:shd w:val="clear" w:color="auto" w:fill="DBE5F1"/>
            <w:vAlign w:val="center"/>
          </w:tcPr>
          <w:p w:rsidR="0088341A" w:rsidRPr="009A3C07" w:rsidRDefault="0088341A" w:rsidP="00501137">
            <w:pPr>
              <w:pStyle w:val="AERbodytext"/>
              <w:keepNext/>
              <w:keepLines/>
              <w:numPr>
                <w:ilvl w:val="0"/>
                <w:numId w:val="1"/>
              </w:numPr>
              <w:spacing w:before="120"/>
              <w:rPr>
                <w:sz w:val="16"/>
              </w:rPr>
            </w:pPr>
            <w:r w:rsidRPr="009A3C07">
              <w:rPr>
                <w:sz w:val="16"/>
              </w:rPr>
              <w:t>Requirement for adjusting attributable cost share and priority ordering approach to asset costs that would otherwise be attributed to the provision of more than on category of prescribed transmission services—clause 6A.23.2(d)</w:t>
            </w:r>
          </w:p>
        </w:tc>
        <w:tc>
          <w:tcPr>
            <w:tcW w:w="4621" w:type="dxa"/>
            <w:shd w:val="clear" w:color="auto" w:fill="DBE5F1"/>
            <w:vAlign w:val="center"/>
          </w:tcPr>
          <w:p w:rsidR="0088341A" w:rsidRPr="009A3C07" w:rsidRDefault="0088341A" w:rsidP="00501137">
            <w:pPr>
              <w:pStyle w:val="AERbodytext"/>
              <w:keepNext/>
              <w:keepLines/>
              <w:numPr>
                <w:ilvl w:val="0"/>
                <w:numId w:val="1"/>
              </w:numPr>
              <w:spacing w:before="120"/>
              <w:rPr>
                <w:sz w:val="16"/>
              </w:rPr>
            </w:pPr>
            <w:r w:rsidRPr="009A3C07">
              <w:rPr>
                <w:sz w:val="16"/>
              </w:rPr>
              <w:t>Clause 5.2 of SP AusNet's proposed pricing methodology satisfies this requirement.</w:t>
            </w:r>
          </w:p>
        </w:tc>
      </w:tr>
      <w:tr w:rsidR="0088341A" w:rsidTr="00501137">
        <w:tc>
          <w:tcPr>
            <w:tcW w:w="4621" w:type="dxa"/>
            <w:shd w:val="clear" w:color="auto" w:fill="auto"/>
            <w:vAlign w:val="center"/>
          </w:tcPr>
          <w:p w:rsidR="0088341A" w:rsidRPr="009A3C07" w:rsidRDefault="0088341A" w:rsidP="00501137">
            <w:pPr>
              <w:pStyle w:val="AERbodytext"/>
              <w:keepNext/>
              <w:keepLines/>
              <w:numPr>
                <w:ilvl w:val="0"/>
                <w:numId w:val="1"/>
              </w:numPr>
              <w:spacing w:before="120"/>
              <w:rPr>
                <w:sz w:val="16"/>
              </w:rPr>
            </w:pPr>
            <w:r w:rsidRPr="009A3C07">
              <w:rPr>
                <w:sz w:val="16"/>
              </w:rPr>
              <w:t>Requirement for the recovery of the ASRR for prescribed common transmission services and the operating and maintenance costs incurred in the provision of those services to be recovered through prices charged to transmission customers and network service provider transmission connection points set in accordance with price structure principles set out in clause 6A.23.4—clause 6A.23.3(f)</w:t>
            </w:r>
          </w:p>
        </w:tc>
        <w:tc>
          <w:tcPr>
            <w:tcW w:w="4621" w:type="dxa"/>
            <w:shd w:val="clear" w:color="auto" w:fill="auto"/>
            <w:vAlign w:val="center"/>
          </w:tcPr>
          <w:p w:rsidR="0088341A" w:rsidRPr="009A3C07" w:rsidRDefault="0088341A" w:rsidP="00501137">
            <w:pPr>
              <w:pStyle w:val="AERbodytext"/>
              <w:keepNext/>
              <w:keepLines/>
              <w:numPr>
                <w:ilvl w:val="0"/>
                <w:numId w:val="1"/>
              </w:numPr>
              <w:spacing w:before="120"/>
              <w:rPr>
                <w:sz w:val="16"/>
              </w:rPr>
            </w:pPr>
            <w:r w:rsidRPr="009A3C07">
              <w:rPr>
                <w:sz w:val="16"/>
              </w:rPr>
              <w:t>Not addressed, since AEMO (not SP AusNet) is responsible for the pricing of prescribed common transmission services.</w:t>
            </w:r>
          </w:p>
          <w:p w:rsidR="0088341A" w:rsidRPr="009A3C07" w:rsidRDefault="0088341A" w:rsidP="00501137">
            <w:pPr>
              <w:pStyle w:val="AERbodytext"/>
              <w:keepNext/>
              <w:keepLines/>
              <w:numPr>
                <w:ilvl w:val="0"/>
                <w:numId w:val="1"/>
              </w:numPr>
              <w:spacing w:before="120"/>
              <w:rPr>
                <w:sz w:val="16"/>
              </w:rPr>
            </w:pPr>
          </w:p>
        </w:tc>
      </w:tr>
    </w:tbl>
    <w:p w:rsidR="0088341A" w:rsidRPr="00D10CD6" w:rsidRDefault="0088341A" w:rsidP="00224FED">
      <w:pPr>
        <w:pStyle w:val="HeadingBoldBlue"/>
        <w:keepNext w:val="0"/>
      </w:pPr>
    </w:p>
    <w:p w:rsidR="0088341A" w:rsidRPr="00D10CD6" w:rsidRDefault="0088341A" w:rsidP="0088341A">
      <w:pPr>
        <w:pStyle w:val="HeadingBoldBlue"/>
      </w:pPr>
      <w:r w:rsidRPr="00D10CD6">
        <w:t>Development of price structure</w:t>
      </w:r>
    </w:p>
    <w:p w:rsidR="0088341A" w:rsidRPr="00D10CD6" w:rsidRDefault="0088341A" w:rsidP="0088341A">
      <w:pPr>
        <w:pStyle w:val="AERbodytext"/>
        <w:numPr>
          <w:ilvl w:val="0"/>
          <w:numId w:val="1"/>
        </w:numPr>
      </w:pPr>
      <w:r>
        <w:t>SP AusNet's proposed pricing</w:t>
      </w:r>
      <w:r w:rsidRPr="00D10CD6">
        <w:t xml:space="preserve"> method</w:t>
      </w:r>
      <w:r>
        <w:t>ology</w:t>
      </w:r>
      <w:r w:rsidRPr="00D10CD6">
        <w:t xml:space="preserve"> </w:t>
      </w:r>
      <w:r>
        <w:t xml:space="preserve">must develop </w:t>
      </w:r>
      <w:r w:rsidRPr="00D10CD6">
        <w:t>different pri</w:t>
      </w:r>
      <w:r>
        <w:t>ces for recovering the ASRR.</w:t>
      </w:r>
      <w:r w:rsidRPr="00D10CD6">
        <w:t xml:space="preserve"> </w:t>
      </w:r>
      <w:r>
        <w:t>We are satisfied that this requirement is met</w:t>
      </w:r>
      <w:r w:rsidRPr="00D10CD6">
        <w:t xml:space="preserve">. </w:t>
      </w:r>
      <w:r w:rsidR="006F242D">
        <w:fldChar w:fldCharType="begin"/>
      </w:r>
      <w:r w:rsidR="006F242D">
        <w:instrText xml:space="preserve"> REF _Ref359849207 \h </w:instrText>
      </w:r>
      <w:r w:rsidR="006F242D">
        <w:fldChar w:fldCharType="separate"/>
      </w:r>
      <w:r w:rsidR="004F35AA" w:rsidRPr="00D10CD6">
        <w:t xml:space="preserve">Table </w:t>
      </w:r>
      <w:r w:rsidR="004F35AA">
        <w:rPr>
          <w:noProof/>
        </w:rPr>
        <w:t>12</w:t>
      </w:r>
      <w:r w:rsidR="004F35AA">
        <w:t>.</w:t>
      </w:r>
      <w:r w:rsidR="004F35AA">
        <w:rPr>
          <w:noProof/>
        </w:rPr>
        <w:t>3</w:t>
      </w:r>
      <w:r w:rsidR="006F242D">
        <w:fldChar w:fldCharType="end"/>
      </w:r>
      <w:r w:rsidR="006F242D">
        <w:t xml:space="preserve"> </w:t>
      </w:r>
      <w:r>
        <w:t>summarises our assessment against the pricing principles.</w:t>
      </w:r>
    </w:p>
    <w:p w:rsidR="0088341A" w:rsidRPr="00D10CD6" w:rsidRDefault="0088341A" w:rsidP="0088341A">
      <w:pPr>
        <w:pStyle w:val="Caption"/>
        <w:keepLines/>
      </w:pPr>
      <w:bookmarkStart w:id="386" w:name="_Ref359849207"/>
      <w:r w:rsidRPr="00D10CD6">
        <w:lastRenderedPageBreak/>
        <w:t xml:space="preserve">Table </w:t>
      </w:r>
      <w:fldSimple w:instr=" STYLEREF 1 \s ">
        <w:r w:rsidR="004F35AA">
          <w:rPr>
            <w:noProof/>
          </w:rPr>
          <w:t>12</w:t>
        </w:r>
      </w:fldSimple>
      <w:r w:rsidR="00C56A87">
        <w:t>.</w:t>
      </w:r>
      <w:fldSimple w:instr=" SEQ Table \* ARABIC \s 1 ">
        <w:r w:rsidR="004F35AA">
          <w:rPr>
            <w:noProof/>
          </w:rPr>
          <w:t>3</w:t>
        </w:r>
      </w:fldSimple>
      <w:bookmarkEnd w:id="386"/>
      <w:r w:rsidRPr="00D10CD6">
        <w:tab/>
      </w:r>
      <w:r>
        <w:t xml:space="preserve">AER's assessment of </w:t>
      </w:r>
      <w:r w:rsidRPr="00D10CD6">
        <w:t>SP AusNet's proposed pricing structure</w:t>
      </w:r>
    </w:p>
    <w:tbl>
      <w:tblPr>
        <w:tblW w:w="0" w:type="auto"/>
        <w:tblBorders>
          <w:bottom w:val="single" w:sz="4" w:space="0" w:color="365F91"/>
        </w:tblBorders>
        <w:tblLook w:val="04A0" w:firstRow="1" w:lastRow="0" w:firstColumn="1" w:lastColumn="0" w:noHBand="0" w:noVBand="1"/>
      </w:tblPr>
      <w:tblGrid>
        <w:gridCol w:w="4621"/>
        <w:gridCol w:w="4621"/>
      </w:tblGrid>
      <w:tr w:rsidR="0088341A" w:rsidTr="00501137">
        <w:tc>
          <w:tcPr>
            <w:tcW w:w="4621" w:type="dxa"/>
            <w:shd w:val="clear" w:color="auto" w:fill="365F91"/>
            <w:vAlign w:val="center"/>
          </w:tcPr>
          <w:p w:rsidR="0088341A" w:rsidRPr="009A3C07" w:rsidRDefault="0088341A" w:rsidP="00501137">
            <w:pPr>
              <w:pStyle w:val="AERbodytext"/>
              <w:keepNext/>
              <w:keepLines/>
              <w:numPr>
                <w:ilvl w:val="0"/>
                <w:numId w:val="1"/>
              </w:numPr>
              <w:spacing w:before="120"/>
              <w:rPr>
                <w:b/>
                <w:color w:val="FFFFFF"/>
                <w:sz w:val="16"/>
              </w:rPr>
            </w:pPr>
            <w:r w:rsidRPr="009A3C07">
              <w:rPr>
                <w:b/>
                <w:color w:val="FFFFFF"/>
                <w:sz w:val="16"/>
              </w:rPr>
              <w:t>NER requirements</w:t>
            </w:r>
          </w:p>
        </w:tc>
        <w:tc>
          <w:tcPr>
            <w:tcW w:w="4621" w:type="dxa"/>
            <w:shd w:val="clear" w:color="auto" w:fill="365F91"/>
            <w:vAlign w:val="center"/>
          </w:tcPr>
          <w:p w:rsidR="0088341A" w:rsidRPr="009A3C07" w:rsidRDefault="0088341A" w:rsidP="00501137">
            <w:pPr>
              <w:pStyle w:val="AERbodytext"/>
              <w:keepNext/>
              <w:keepLines/>
              <w:numPr>
                <w:ilvl w:val="0"/>
                <w:numId w:val="1"/>
              </w:numPr>
              <w:spacing w:before="120"/>
              <w:rPr>
                <w:b/>
                <w:color w:val="FFFFFF"/>
                <w:sz w:val="16"/>
              </w:rPr>
            </w:pPr>
            <w:r w:rsidRPr="009A3C07">
              <w:rPr>
                <w:b/>
                <w:color w:val="FFFFFF"/>
                <w:sz w:val="16"/>
              </w:rPr>
              <w:t>AER assessment</w:t>
            </w:r>
          </w:p>
        </w:tc>
      </w:tr>
      <w:tr w:rsidR="0088341A" w:rsidTr="00501137">
        <w:tc>
          <w:tcPr>
            <w:tcW w:w="4621" w:type="dxa"/>
            <w:shd w:val="clear" w:color="auto" w:fill="auto"/>
            <w:vAlign w:val="center"/>
          </w:tcPr>
          <w:p w:rsidR="0088341A" w:rsidRPr="009A3C07" w:rsidRDefault="0088341A" w:rsidP="00501137">
            <w:pPr>
              <w:pStyle w:val="AERbodytext"/>
              <w:keepNext/>
              <w:keepLines/>
              <w:numPr>
                <w:ilvl w:val="0"/>
                <w:numId w:val="1"/>
              </w:numPr>
              <w:spacing w:before="120"/>
              <w:rPr>
                <w:sz w:val="16"/>
              </w:rPr>
            </w:pPr>
            <w:r w:rsidRPr="009A3C07">
              <w:rPr>
                <w:sz w:val="16"/>
              </w:rPr>
              <w:t>Requirement for separate prices for each category of prescribed transmission services—clause 6A.23.4(b)</w:t>
            </w:r>
          </w:p>
        </w:tc>
        <w:tc>
          <w:tcPr>
            <w:tcW w:w="4621" w:type="dxa"/>
            <w:shd w:val="clear" w:color="auto" w:fill="auto"/>
            <w:vAlign w:val="center"/>
          </w:tcPr>
          <w:p w:rsidR="0088341A" w:rsidRPr="009A3C07" w:rsidRDefault="0088341A" w:rsidP="00501137">
            <w:pPr>
              <w:pStyle w:val="AERtabletextleft"/>
              <w:keepNext/>
              <w:keepLines/>
            </w:pPr>
            <w:r w:rsidRPr="009A3C07">
              <w:t>Clause 6 of SP AusNet's proposed pricing methodology satisfies this requirement</w:t>
            </w:r>
            <w:r>
              <w:t xml:space="preserve"> for prescribed entry and prescribed exit services</w:t>
            </w:r>
            <w:r w:rsidRPr="009A3C07">
              <w:t>.</w:t>
            </w:r>
          </w:p>
        </w:tc>
      </w:tr>
      <w:tr w:rsidR="0088341A" w:rsidTr="00501137">
        <w:tc>
          <w:tcPr>
            <w:tcW w:w="4621" w:type="dxa"/>
            <w:shd w:val="clear" w:color="auto" w:fill="DBE5F1"/>
            <w:vAlign w:val="center"/>
          </w:tcPr>
          <w:p w:rsidR="0088341A" w:rsidRPr="009A3C07" w:rsidRDefault="0088341A" w:rsidP="00501137">
            <w:pPr>
              <w:pStyle w:val="AERbodytext"/>
              <w:keepNext/>
              <w:keepLines/>
              <w:numPr>
                <w:ilvl w:val="0"/>
                <w:numId w:val="1"/>
              </w:numPr>
              <w:spacing w:before="120"/>
              <w:rPr>
                <w:sz w:val="16"/>
              </w:rPr>
            </w:pPr>
            <w:r w:rsidRPr="009A3C07">
              <w:rPr>
                <w:sz w:val="16"/>
              </w:rPr>
              <w:t>Requirement for fixed annual amount prices for prescribed entry and exit services—clause 6A.23.4(c)</w:t>
            </w:r>
          </w:p>
        </w:tc>
        <w:tc>
          <w:tcPr>
            <w:tcW w:w="4621" w:type="dxa"/>
            <w:shd w:val="clear" w:color="auto" w:fill="DBE5F1"/>
            <w:vAlign w:val="center"/>
          </w:tcPr>
          <w:p w:rsidR="0088341A" w:rsidRPr="009A3C07" w:rsidRDefault="0088341A" w:rsidP="00501137">
            <w:pPr>
              <w:pStyle w:val="AERbodytext"/>
              <w:keepNext/>
              <w:keepLines/>
              <w:numPr>
                <w:ilvl w:val="0"/>
                <w:numId w:val="1"/>
              </w:numPr>
              <w:spacing w:before="120"/>
              <w:rPr>
                <w:sz w:val="16"/>
              </w:rPr>
            </w:pPr>
            <w:r w:rsidRPr="009A3C07">
              <w:rPr>
                <w:sz w:val="16"/>
              </w:rPr>
              <w:t>Clause 6 of SP AusNet's proposed pricing methodology satisfies this requirement.</w:t>
            </w:r>
          </w:p>
        </w:tc>
      </w:tr>
      <w:tr w:rsidR="0088341A" w:rsidTr="00501137">
        <w:tc>
          <w:tcPr>
            <w:tcW w:w="4621" w:type="dxa"/>
            <w:shd w:val="clear" w:color="auto" w:fill="auto"/>
            <w:vAlign w:val="center"/>
          </w:tcPr>
          <w:p w:rsidR="0088341A" w:rsidRPr="009A3C07" w:rsidRDefault="0088341A" w:rsidP="00501137">
            <w:pPr>
              <w:pStyle w:val="AERbodytext"/>
              <w:keepNext/>
              <w:keepLines/>
              <w:numPr>
                <w:ilvl w:val="0"/>
                <w:numId w:val="1"/>
              </w:numPr>
              <w:spacing w:before="120"/>
              <w:rPr>
                <w:sz w:val="16"/>
              </w:rPr>
            </w:pPr>
            <w:r w:rsidRPr="009A3C07">
              <w:rPr>
                <w:sz w:val="16"/>
              </w:rPr>
              <w:t>Requirement for postage stamped prices for prescribed common transmission services—clause 6A.23.4(d)</w:t>
            </w:r>
          </w:p>
        </w:tc>
        <w:tc>
          <w:tcPr>
            <w:tcW w:w="4621" w:type="dxa"/>
            <w:shd w:val="clear" w:color="auto" w:fill="auto"/>
            <w:vAlign w:val="center"/>
          </w:tcPr>
          <w:p w:rsidR="0088341A" w:rsidRPr="009A3C07" w:rsidRDefault="0088341A" w:rsidP="00501137">
            <w:pPr>
              <w:pStyle w:val="AERbodytext"/>
              <w:keepNext/>
              <w:keepLines/>
              <w:numPr>
                <w:ilvl w:val="0"/>
                <w:numId w:val="1"/>
              </w:numPr>
              <w:spacing w:before="120"/>
              <w:rPr>
                <w:sz w:val="16"/>
              </w:rPr>
            </w:pPr>
          </w:p>
          <w:p w:rsidR="0088341A" w:rsidRPr="009A3C07" w:rsidRDefault="0088341A" w:rsidP="00501137">
            <w:pPr>
              <w:pStyle w:val="AERbodytext"/>
              <w:keepNext/>
              <w:keepLines/>
              <w:numPr>
                <w:ilvl w:val="0"/>
                <w:numId w:val="1"/>
              </w:numPr>
              <w:spacing w:before="120"/>
              <w:rPr>
                <w:sz w:val="16"/>
              </w:rPr>
            </w:pPr>
            <w:r w:rsidRPr="009A3C07">
              <w:rPr>
                <w:sz w:val="16"/>
              </w:rPr>
              <w:t>Not addressed, since AEMO (not SP AusNet) is responsible for the pricing of prescribed common transmission services.</w:t>
            </w:r>
          </w:p>
        </w:tc>
      </w:tr>
      <w:tr w:rsidR="0088341A" w:rsidTr="00501137">
        <w:tc>
          <w:tcPr>
            <w:tcW w:w="4621" w:type="dxa"/>
            <w:shd w:val="clear" w:color="auto" w:fill="DBE5F1"/>
            <w:vAlign w:val="center"/>
          </w:tcPr>
          <w:p w:rsidR="0088341A" w:rsidRPr="009A3C07" w:rsidRDefault="0088341A" w:rsidP="00501137">
            <w:pPr>
              <w:pStyle w:val="AERbodytext"/>
              <w:keepNext/>
              <w:keepLines/>
              <w:numPr>
                <w:ilvl w:val="0"/>
                <w:numId w:val="1"/>
              </w:numPr>
              <w:spacing w:before="120"/>
              <w:rPr>
                <w:sz w:val="16"/>
              </w:rPr>
            </w:pPr>
            <w:r w:rsidRPr="009A3C07">
              <w:rPr>
                <w:sz w:val="16"/>
              </w:rPr>
              <w:t>Requirement for prices for locational component of prescribed TUOS services to be based on demand at times of greatest use of the transmission network and for which network investment is most likely to be contemplated—clause 6A.23.4(e)</w:t>
            </w:r>
          </w:p>
        </w:tc>
        <w:tc>
          <w:tcPr>
            <w:tcW w:w="4621" w:type="dxa"/>
            <w:shd w:val="clear" w:color="auto" w:fill="DBE5F1"/>
            <w:vAlign w:val="center"/>
          </w:tcPr>
          <w:p w:rsidR="0088341A" w:rsidRPr="009A3C07" w:rsidRDefault="0088341A" w:rsidP="00501137">
            <w:pPr>
              <w:pStyle w:val="AERbodytext"/>
              <w:keepNext/>
              <w:keepLines/>
              <w:numPr>
                <w:ilvl w:val="0"/>
                <w:numId w:val="1"/>
              </w:numPr>
              <w:spacing w:before="120"/>
              <w:rPr>
                <w:sz w:val="16"/>
              </w:rPr>
            </w:pPr>
            <w:r w:rsidRPr="009A3C07">
              <w:rPr>
                <w:sz w:val="16"/>
              </w:rPr>
              <w:t>Not addressed, since AEMO (not SP AusNet) is responsible for the pricing of prescribed TUOS services.</w:t>
            </w:r>
          </w:p>
        </w:tc>
      </w:tr>
      <w:tr w:rsidR="0088341A" w:rsidTr="00501137">
        <w:tc>
          <w:tcPr>
            <w:tcW w:w="4621" w:type="dxa"/>
            <w:shd w:val="clear" w:color="auto" w:fill="auto"/>
            <w:vAlign w:val="center"/>
          </w:tcPr>
          <w:p w:rsidR="0088341A" w:rsidRPr="009A3C07" w:rsidRDefault="0088341A" w:rsidP="00501137">
            <w:pPr>
              <w:pStyle w:val="AERbodytext"/>
              <w:keepNext/>
              <w:keepLines/>
              <w:numPr>
                <w:ilvl w:val="0"/>
                <w:numId w:val="1"/>
              </w:numPr>
              <w:spacing w:before="120"/>
              <w:rPr>
                <w:sz w:val="16"/>
              </w:rPr>
            </w:pPr>
            <w:r w:rsidRPr="009A3C07">
              <w:rPr>
                <w:sz w:val="16"/>
              </w:rPr>
              <w:t>Requirement for prices for the locational component of the ASRR for prescribed TUOS services not to change by more than 2 per cent per year compared with the load weighted average price for this component for the relevant region—clauses 6A.23.4– 6A.23.4(f)</w:t>
            </w:r>
          </w:p>
        </w:tc>
        <w:tc>
          <w:tcPr>
            <w:tcW w:w="4621" w:type="dxa"/>
            <w:shd w:val="clear" w:color="auto" w:fill="auto"/>
            <w:vAlign w:val="center"/>
          </w:tcPr>
          <w:p w:rsidR="0088341A" w:rsidRPr="009A3C07" w:rsidRDefault="0088341A" w:rsidP="00501137">
            <w:pPr>
              <w:pStyle w:val="AERbodytext"/>
              <w:keepNext/>
              <w:keepLines/>
              <w:numPr>
                <w:ilvl w:val="0"/>
                <w:numId w:val="1"/>
              </w:numPr>
              <w:spacing w:before="120"/>
              <w:rPr>
                <w:sz w:val="16"/>
              </w:rPr>
            </w:pPr>
            <w:r w:rsidRPr="009A3C07">
              <w:rPr>
                <w:sz w:val="16"/>
              </w:rPr>
              <w:t>Not addressed, since AEMO (not SP AusNet) is responsible for the pricing of prescribed TUOS services.</w:t>
            </w:r>
          </w:p>
        </w:tc>
      </w:tr>
      <w:tr w:rsidR="0088341A" w:rsidTr="00501137">
        <w:tc>
          <w:tcPr>
            <w:tcW w:w="4621" w:type="dxa"/>
            <w:shd w:val="clear" w:color="auto" w:fill="DBE5F1"/>
            <w:vAlign w:val="center"/>
          </w:tcPr>
          <w:p w:rsidR="0088341A" w:rsidRPr="009A3C07" w:rsidRDefault="0088341A" w:rsidP="00501137">
            <w:pPr>
              <w:pStyle w:val="AERbodytext"/>
              <w:keepNext/>
              <w:keepLines/>
              <w:numPr>
                <w:ilvl w:val="0"/>
                <w:numId w:val="1"/>
              </w:numPr>
              <w:spacing w:before="120"/>
              <w:rPr>
                <w:sz w:val="16"/>
              </w:rPr>
            </w:pPr>
            <w:r w:rsidRPr="009A3C07">
              <w:rPr>
                <w:sz w:val="16"/>
              </w:rPr>
              <w:t>Requirement for prices for the adjusted nonlocational component of prescribed TUOS services to be on a postage stamped basis—clause 6A.23.4(j)</w:t>
            </w:r>
          </w:p>
        </w:tc>
        <w:tc>
          <w:tcPr>
            <w:tcW w:w="4621" w:type="dxa"/>
            <w:shd w:val="clear" w:color="auto" w:fill="DBE5F1"/>
            <w:vAlign w:val="center"/>
          </w:tcPr>
          <w:p w:rsidR="0088341A" w:rsidRPr="009A3C07" w:rsidRDefault="0088341A" w:rsidP="00501137">
            <w:pPr>
              <w:pStyle w:val="AERbodytext"/>
              <w:keepNext/>
              <w:keepLines/>
              <w:numPr>
                <w:ilvl w:val="0"/>
                <w:numId w:val="1"/>
              </w:numPr>
              <w:spacing w:before="120"/>
              <w:rPr>
                <w:sz w:val="16"/>
              </w:rPr>
            </w:pPr>
            <w:r w:rsidRPr="009A3C07">
              <w:rPr>
                <w:sz w:val="16"/>
              </w:rPr>
              <w:t>Not addressed, since AEMO (not SP AusNet) is responsible for the pricing of prescribed TUOS services.</w:t>
            </w:r>
          </w:p>
        </w:tc>
      </w:tr>
    </w:tbl>
    <w:p w:rsidR="0088341A" w:rsidRPr="00D10CD6" w:rsidRDefault="0088341A" w:rsidP="00FD5F97">
      <w:pPr>
        <w:pStyle w:val="AERbodytext"/>
        <w:numPr>
          <w:ilvl w:val="0"/>
          <w:numId w:val="1"/>
        </w:numPr>
      </w:pPr>
    </w:p>
    <w:p w:rsidR="0088341A" w:rsidRPr="00A907E9" w:rsidRDefault="0088341A" w:rsidP="0088341A">
      <w:pPr>
        <w:pStyle w:val="Heading3"/>
        <w:numPr>
          <w:ilvl w:val="3"/>
          <w:numId w:val="20"/>
        </w:numPr>
      </w:pPr>
      <w:r w:rsidRPr="00A907E9">
        <w:t>Assessment against the pricing methodology guidelines</w:t>
      </w:r>
    </w:p>
    <w:p w:rsidR="0088341A" w:rsidRPr="00D10CD6" w:rsidRDefault="0088341A" w:rsidP="0088341A">
      <w:pPr>
        <w:pStyle w:val="AERbodytext"/>
        <w:numPr>
          <w:ilvl w:val="0"/>
          <w:numId w:val="1"/>
        </w:numPr>
        <w:rPr>
          <w:rStyle w:val="AERbody"/>
        </w:rPr>
      </w:pPr>
      <w:r>
        <w:rPr>
          <w:rStyle w:val="AERbody"/>
        </w:rPr>
        <w:t>We are</w:t>
      </w:r>
      <w:r w:rsidRPr="00D10CD6">
        <w:rPr>
          <w:rStyle w:val="AERbody"/>
        </w:rPr>
        <w:t xml:space="preserve"> satisfied </w:t>
      </w:r>
      <w:r>
        <w:rPr>
          <w:rStyle w:val="AERbody"/>
        </w:rPr>
        <w:t>SP AusNet's</w:t>
      </w:r>
      <w:r w:rsidRPr="00D10CD6">
        <w:rPr>
          <w:rStyle w:val="AERbody"/>
        </w:rPr>
        <w:t xml:space="preserve"> proposed pricing method complies with the information requirements of the pricing method guidelines.</w:t>
      </w:r>
      <w:r>
        <w:rPr>
          <w:rStyle w:val="AERbody"/>
        </w:rPr>
        <w:t xml:space="preserve"> Features of the proposal that reflect the guideline requirements include:</w:t>
      </w:r>
      <w:r w:rsidRPr="00D10CD6">
        <w:rPr>
          <w:rStyle w:val="AERbody"/>
        </w:rPr>
        <w:t xml:space="preserve"> </w:t>
      </w:r>
    </w:p>
    <w:p w:rsidR="0088341A" w:rsidRPr="00D10CD6" w:rsidRDefault="0088341A" w:rsidP="0088341A">
      <w:pPr>
        <w:pStyle w:val="AERbulletlistfirststyle"/>
        <w:rPr>
          <w:rStyle w:val="AERbody"/>
        </w:rPr>
      </w:pPr>
      <w:r w:rsidRPr="00D10CD6">
        <w:rPr>
          <w:rStyle w:val="AERbody"/>
        </w:rPr>
        <w:t>acknowledging AEMO is the coordinating network service in Victoria</w:t>
      </w:r>
      <w:r>
        <w:rPr>
          <w:rStyle w:val="FootnoteReference"/>
        </w:rPr>
        <w:footnoteReference w:id="601"/>
      </w:r>
    </w:p>
    <w:p w:rsidR="0088341A" w:rsidRPr="00D10CD6" w:rsidRDefault="0088341A" w:rsidP="0088341A">
      <w:pPr>
        <w:pStyle w:val="AERbulletlistfirststyle"/>
        <w:rPr>
          <w:rStyle w:val="AERbody"/>
        </w:rPr>
      </w:pPr>
      <w:r w:rsidRPr="00D10CD6">
        <w:rPr>
          <w:rStyle w:val="AERbody"/>
        </w:rPr>
        <w:t>using the priority ordering approach under clause 6A.23.3(d) of the NER to implement priority ordering</w:t>
      </w:r>
      <w:r>
        <w:rPr>
          <w:rStyle w:val="FootnoteReference"/>
        </w:rPr>
        <w:footnoteReference w:id="602"/>
      </w:r>
    </w:p>
    <w:p w:rsidR="0088341A" w:rsidRPr="00D10CD6" w:rsidRDefault="0088341A" w:rsidP="0088341A">
      <w:pPr>
        <w:pStyle w:val="AERbulletlistfirststyle"/>
        <w:rPr>
          <w:rStyle w:val="AERbody"/>
        </w:rPr>
      </w:pPr>
      <w:r w:rsidRPr="00D10CD6">
        <w:rPr>
          <w:rStyle w:val="AERbody"/>
        </w:rPr>
        <w:t>describing how asset costs that may be attributable to both prescribed entry services and prescribed exit services will be allocated at a connection point</w:t>
      </w:r>
      <w:r>
        <w:rPr>
          <w:rStyle w:val="FootnoteReference"/>
        </w:rPr>
        <w:footnoteReference w:id="603"/>
      </w:r>
    </w:p>
    <w:p w:rsidR="0088341A" w:rsidRPr="00D10CD6" w:rsidRDefault="0088341A" w:rsidP="0088341A">
      <w:pPr>
        <w:pStyle w:val="AERbulletlistfirststyle"/>
        <w:rPr>
          <w:rStyle w:val="AERbody"/>
        </w:rPr>
      </w:pPr>
      <w:r w:rsidRPr="00D10CD6">
        <w:rPr>
          <w:rStyle w:val="AERbody"/>
        </w:rPr>
        <w:t>describing billing arrangements as in clause 6A.27 of the NER</w:t>
      </w:r>
      <w:r>
        <w:rPr>
          <w:rStyle w:val="FootnoteReference"/>
        </w:rPr>
        <w:footnoteReference w:id="604"/>
      </w:r>
    </w:p>
    <w:p w:rsidR="0088341A" w:rsidRPr="00D10CD6" w:rsidRDefault="0088341A" w:rsidP="0088341A">
      <w:pPr>
        <w:pStyle w:val="AERbulletlistfirststyle"/>
        <w:rPr>
          <w:rStyle w:val="AERbody"/>
        </w:rPr>
      </w:pPr>
      <w:r w:rsidRPr="00D10CD6">
        <w:rPr>
          <w:rStyle w:val="AERbody"/>
        </w:rPr>
        <w:t>describing prudential requirements as in clause 6A.28 of the NER</w:t>
      </w:r>
      <w:r>
        <w:rPr>
          <w:rStyle w:val="FootnoteReference"/>
        </w:rPr>
        <w:footnoteReference w:id="605"/>
      </w:r>
    </w:p>
    <w:p w:rsidR="0088341A" w:rsidRPr="00D10CD6" w:rsidRDefault="0088341A" w:rsidP="0088341A">
      <w:pPr>
        <w:pStyle w:val="AERbulletlistfirststyle"/>
        <w:rPr>
          <w:rStyle w:val="AERbody"/>
        </w:rPr>
      </w:pPr>
      <w:r w:rsidRPr="00D10CD6">
        <w:rPr>
          <w:rStyle w:val="AERbody"/>
        </w:rPr>
        <w:lastRenderedPageBreak/>
        <w:t>including hypothetical examples</w:t>
      </w:r>
      <w:r>
        <w:rPr>
          <w:rStyle w:val="FootnoteReference"/>
        </w:rPr>
        <w:footnoteReference w:id="606"/>
      </w:r>
    </w:p>
    <w:p w:rsidR="0088341A" w:rsidRPr="00D10CD6" w:rsidRDefault="0088341A" w:rsidP="0088341A">
      <w:pPr>
        <w:pStyle w:val="AERbulletlistfirststyle"/>
      </w:pPr>
      <w:r w:rsidRPr="00D10CD6">
        <w:rPr>
          <w:rStyle w:val="AERbody"/>
        </w:rPr>
        <w:t>describing how SP AusNet intends to monitor and develop records of its compliance with its approved pricing method</w:t>
      </w:r>
      <w:r>
        <w:rPr>
          <w:rStyle w:val="AERbody"/>
        </w:rPr>
        <w:t>ology</w:t>
      </w:r>
      <w:r w:rsidRPr="00D10CD6">
        <w:rPr>
          <w:rStyle w:val="AERbody"/>
        </w:rPr>
        <w:t>.</w:t>
      </w:r>
      <w:r>
        <w:rPr>
          <w:rStyle w:val="FootnoteReference"/>
        </w:rPr>
        <w:footnoteReference w:id="607"/>
      </w:r>
    </w:p>
    <w:p w:rsidR="0088341A" w:rsidRDefault="0088341A" w:rsidP="0088341A">
      <w:pPr>
        <w:pStyle w:val="AERbodytext"/>
        <w:numPr>
          <w:ilvl w:val="0"/>
          <w:numId w:val="0"/>
        </w:numPr>
      </w:pPr>
    </w:p>
    <w:p w:rsidR="0088341A" w:rsidRDefault="0088341A" w:rsidP="0088341A">
      <w:pPr>
        <w:pStyle w:val="AERbodytext"/>
        <w:numPr>
          <w:ilvl w:val="0"/>
          <w:numId w:val="1"/>
        </w:numPr>
        <w:sectPr w:rsidR="0088341A">
          <w:footerReference w:type="default" r:id="rId77"/>
          <w:pgSz w:w="11906" w:h="16838"/>
          <w:pgMar w:top="1440" w:right="1440" w:bottom="1440" w:left="1440" w:header="708" w:footer="708" w:gutter="0"/>
          <w:cols w:space="708"/>
          <w:docGrid w:linePitch="360"/>
        </w:sectPr>
      </w:pPr>
    </w:p>
    <w:p w:rsidR="0088341A" w:rsidRPr="00A32C02" w:rsidRDefault="0088341A" w:rsidP="0088341A">
      <w:pPr>
        <w:pStyle w:val="Heading1"/>
        <w:numPr>
          <w:ilvl w:val="1"/>
          <w:numId w:val="20"/>
        </w:numPr>
      </w:pPr>
      <w:bookmarkStart w:id="387" w:name="_Toc365283355"/>
      <w:bookmarkStart w:id="388" w:name="_Toc365462009"/>
      <w:r w:rsidRPr="00A32C02">
        <w:lastRenderedPageBreak/>
        <w:t>Negotiated services</w:t>
      </w:r>
      <w:bookmarkEnd w:id="387"/>
      <w:bookmarkEnd w:id="388"/>
    </w:p>
    <w:p w:rsidR="0088341A" w:rsidRPr="0096778C" w:rsidRDefault="0088341A" w:rsidP="0088341A">
      <w:pPr>
        <w:pStyle w:val="AERbodytext"/>
        <w:numPr>
          <w:ilvl w:val="0"/>
          <w:numId w:val="3"/>
        </w:numPr>
      </w:pPr>
      <w:r w:rsidRPr="0096778C">
        <w:t xml:space="preserve">The Australian Energy Regulator's (AER) transmission determination imposes control over revenues that a transmission network service provider (TNSP) can recover from </w:t>
      </w:r>
      <w:r>
        <w:t>its</w:t>
      </w:r>
      <w:r w:rsidRPr="0096778C">
        <w:t xml:space="preserve"> provision of prescribed transmission services. </w:t>
      </w:r>
      <w:r>
        <w:t>But we do not determine the terms and conditions of n</w:t>
      </w:r>
      <w:r w:rsidRPr="0096778C">
        <w:t xml:space="preserve">egotiated transmission services. Under the National Electricity Rules (NER), </w:t>
      </w:r>
      <w:r>
        <w:t xml:space="preserve">negotiated services are provided under an agreement or as a result of a determination of a commercial arbitrator. </w:t>
      </w:r>
      <w:r w:rsidRPr="0096778C">
        <w:t xml:space="preserve">These processes are facilitated by: </w:t>
      </w:r>
    </w:p>
    <w:p w:rsidR="0088341A" w:rsidRDefault="0088341A" w:rsidP="0088341A">
      <w:pPr>
        <w:pStyle w:val="AERbulletlistfirststyle"/>
        <w:ind w:left="357" w:hanging="357"/>
      </w:pPr>
      <w:r w:rsidRPr="0096778C">
        <w:t>a negotiating framework</w:t>
      </w:r>
    </w:p>
    <w:p w:rsidR="0088341A" w:rsidRPr="0096778C" w:rsidRDefault="0088341A" w:rsidP="0088341A">
      <w:pPr>
        <w:pStyle w:val="AERbulletlistfirststyle"/>
        <w:ind w:left="357" w:hanging="357"/>
      </w:pPr>
      <w:r w:rsidRPr="0096778C">
        <w:t>negotiated transmission service criteria (NTSC)</w:t>
      </w:r>
      <w:r>
        <w:t>.</w:t>
      </w:r>
    </w:p>
    <w:p w:rsidR="0088341A" w:rsidRDefault="0088341A" w:rsidP="0088341A">
      <w:pPr>
        <w:pStyle w:val="AERbodytext"/>
        <w:numPr>
          <w:ilvl w:val="0"/>
          <w:numId w:val="3"/>
        </w:numPr>
      </w:pPr>
      <w:r w:rsidRPr="0096778C">
        <w:t xml:space="preserve">A TNSP must prepare a negotiating framework </w:t>
      </w:r>
      <w:r>
        <w:t>that</w:t>
      </w:r>
      <w:r w:rsidRPr="0096778C">
        <w:t xml:space="preserve"> sets out procedures for negotiating the terms and conditions of access to a negotiated transmission service.</w:t>
      </w:r>
      <w:r>
        <w:t xml:space="preserve"> </w:t>
      </w:r>
      <w:r w:rsidRPr="0096778C">
        <w:t xml:space="preserve">The NTSC set out criteria that a TNSP must apply in negotiating </w:t>
      </w:r>
      <w:r>
        <w:t xml:space="preserve">those </w:t>
      </w:r>
      <w:r w:rsidRPr="0096778C">
        <w:t xml:space="preserve">terms and conditions, including the prices and access charges for negotiated transmission services. They also contain the criteria that a commercial arbitrator must apply to resolve disputes about such terms and conditions and/or access charges. This attachment sets out </w:t>
      </w:r>
      <w:r>
        <w:t>our</w:t>
      </w:r>
      <w:r w:rsidRPr="0096778C">
        <w:t xml:space="preserve"> considerations and conclusions on </w:t>
      </w:r>
      <w:r>
        <w:t>SP AusNet's</w:t>
      </w:r>
      <w:r w:rsidRPr="0096778C">
        <w:t xml:space="preserve"> proposed negotiating framework and</w:t>
      </w:r>
      <w:r>
        <w:t xml:space="preserve"> the</w:t>
      </w:r>
      <w:r w:rsidRPr="0096778C">
        <w:t xml:space="preserve"> NTSC.</w:t>
      </w:r>
    </w:p>
    <w:p w:rsidR="0088341A" w:rsidRPr="00A32C02" w:rsidRDefault="0088341A" w:rsidP="0088341A">
      <w:pPr>
        <w:pStyle w:val="Heading2"/>
        <w:numPr>
          <w:ilvl w:val="2"/>
          <w:numId w:val="20"/>
        </w:numPr>
      </w:pPr>
      <w:bookmarkStart w:id="389" w:name="_Toc365283356"/>
      <w:r w:rsidRPr="00A32C02">
        <w:t>Draft decision</w:t>
      </w:r>
      <w:bookmarkEnd w:id="389"/>
    </w:p>
    <w:p w:rsidR="0088341A" w:rsidRPr="002D6DEC" w:rsidRDefault="0088341A" w:rsidP="0088341A">
      <w:pPr>
        <w:pStyle w:val="AERbodytext"/>
        <w:numPr>
          <w:ilvl w:val="0"/>
          <w:numId w:val="3"/>
        </w:numPr>
      </w:pPr>
      <w:r>
        <w:t>We approve</w:t>
      </w:r>
      <w:r w:rsidRPr="00FF366B">
        <w:t xml:space="preserve"> </w:t>
      </w:r>
      <w:r>
        <w:t>SP AusNet's</w:t>
      </w:r>
      <w:r w:rsidRPr="00FF366B">
        <w:t xml:space="preserve"> proposed negotiating framework </w:t>
      </w:r>
      <w:r>
        <w:t>because</w:t>
      </w:r>
      <w:r w:rsidRPr="00FF366B">
        <w:t xml:space="preserve"> </w:t>
      </w:r>
      <w:r>
        <w:t>it meets the requirements in the NER.</w:t>
      </w:r>
      <w:r>
        <w:rPr>
          <w:rStyle w:val="FootnoteReference"/>
        </w:rPr>
        <w:footnoteReference w:id="608"/>
      </w:r>
      <w:r w:rsidRPr="00FF366B">
        <w:t xml:space="preserve"> </w:t>
      </w:r>
      <w:r>
        <w:t xml:space="preserve">Further, our draft decision is that the </w:t>
      </w:r>
      <w:r w:rsidRPr="00FF366B">
        <w:t xml:space="preserve">NTSC </w:t>
      </w:r>
      <w:r>
        <w:t>we published in April 2013</w:t>
      </w:r>
      <w:r w:rsidRPr="00FF366B">
        <w:t xml:space="preserve"> will ap</w:t>
      </w:r>
      <w:r>
        <w:t>ply to SP AusNet in the 2014–17 regulatory control period, because those criteria give</w:t>
      </w:r>
      <w:r w:rsidRPr="00FF366B">
        <w:t xml:space="preserve"> effect to the negotiated transmission service principles</w:t>
      </w:r>
      <w:r>
        <w:t>.</w:t>
      </w:r>
      <w:r>
        <w:rPr>
          <w:rStyle w:val="FootnoteReference"/>
        </w:rPr>
        <w:footnoteReference w:id="609"/>
      </w:r>
      <w:r w:rsidRPr="00FF366B">
        <w:t xml:space="preserve"> </w:t>
      </w:r>
    </w:p>
    <w:p w:rsidR="0088341A" w:rsidRPr="00A32C02" w:rsidRDefault="0088341A" w:rsidP="0088341A">
      <w:pPr>
        <w:pStyle w:val="Heading2"/>
        <w:numPr>
          <w:ilvl w:val="2"/>
          <w:numId w:val="20"/>
        </w:numPr>
      </w:pPr>
      <w:bookmarkStart w:id="390" w:name="_Toc365283357"/>
      <w:r w:rsidRPr="00A32C02">
        <w:t>SP AusNet's proposal</w:t>
      </w:r>
      <w:bookmarkEnd w:id="390"/>
    </w:p>
    <w:p w:rsidR="0088341A" w:rsidRDefault="0088341A" w:rsidP="0088341A">
      <w:pPr>
        <w:pStyle w:val="AERbodytext"/>
        <w:numPr>
          <w:ilvl w:val="0"/>
          <w:numId w:val="3"/>
        </w:numPr>
      </w:pPr>
      <w:r>
        <w:t>SP AusNet stated its proposed negotiating framework should be approved because it meets the minimum requirements of NER clause 6A.9.5(c). Those minimum requirements address the</w:t>
      </w:r>
      <w:r w:rsidRPr="0096778C">
        <w:t xml:space="preserve"> procedures for negotiating the terms and conditions of access to a negotiated transmission service</w:t>
      </w:r>
      <w:r>
        <w:t xml:space="preserve">. </w:t>
      </w:r>
    </w:p>
    <w:p w:rsidR="0088341A" w:rsidRDefault="0088341A" w:rsidP="0088341A">
      <w:pPr>
        <w:pStyle w:val="AERbodytext"/>
        <w:numPr>
          <w:ilvl w:val="0"/>
          <w:numId w:val="3"/>
        </w:numPr>
      </w:pPr>
      <w:r>
        <w:t>In Victoria, SP AusNet provides transmission services in conjunction with the Australian Energy Market Operator (AEMO). SP AusNet provides and offers connection services whereas AEMO provides shared transmission services. Because of this SP AusNet stated that it worked with AEMO to devise a common negotiating framework for them both.</w:t>
      </w:r>
      <w:r>
        <w:rPr>
          <w:rStyle w:val="FootnoteReference"/>
        </w:rPr>
        <w:footnoteReference w:id="610"/>
      </w:r>
      <w:r>
        <w:t xml:space="preserve"> AEMO is a not-for-profit organisation owned</w:t>
      </w:r>
      <w:r w:rsidRPr="006F6B2C">
        <w:t xml:space="preserve"> </w:t>
      </w:r>
      <w:r>
        <w:t>jointly by industry and Australian governments.</w:t>
      </w:r>
      <w:r>
        <w:rPr>
          <w:rStyle w:val="FootnoteReference"/>
        </w:rPr>
        <w:footnoteReference w:id="611"/>
      </w:r>
    </w:p>
    <w:p w:rsidR="0088341A" w:rsidRDefault="0088341A" w:rsidP="0088341A">
      <w:pPr>
        <w:pStyle w:val="AERbodytext"/>
        <w:numPr>
          <w:ilvl w:val="0"/>
          <w:numId w:val="3"/>
        </w:numPr>
      </w:pPr>
      <w:r>
        <w:t>Given AEMO's transmission responsibilities, SP AusNet outlined how their common negotiating framework would operate. Negotiated transmission services include connection services that are provided to service a specific user, or group of users, at a single transmission connection point.</w:t>
      </w:r>
      <w:r>
        <w:rPr>
          <w:rStyle w:val="FootnoteReference"/>
        </w:rPr>
        <w:footnoteReference w:id="612"/>
      </w:r>
      <w:r>
        <w:t xml:space="preserve"> They also include negotiated transmission services which exceed the network performance </w:t>
      </w:r>
      <w:r>
        <w:lastRenderedPageBreak/>
        <w:t>requirements under jurisdictional electricity legislation.</w:t>
      </w:r>
      <w:r>
        <w:rPr>
          <w:rStyle w:val="FootnoteReference"/>
        </w:rPr>
        <w:footnoteReference w:id="613"/>
      </w:r>
      <w:r>
        <w:t xml:space="preserve"> Of these types of negotiated services SP AusNet stated that it is responsible for connection services whereas AEMO is responsible for shared transmission services. This is such that SP AusNet proposed that its common negotiating framework applies to:</w:t>
      </w:r>
    </w:p>
    <w:p w:rsidR="0088341A" w:rsidRDefault="0088341A" w:rsidP="0088341A">
      <w:pPr>
        <w:pStyle w:val="AERbulletlistfirststyle"/>
        <w:ind w:left="357" w:hanging="357"/>
      </w:pPr>
      <w:r>
        <w:t>SP AusNet and each Service Applicant who applies in writing to SP AusNet for the provision of connection services which are negotiated services; and</w:t>
      </w:r>
    </w:p>
    <w:p w:rsidR="0088341A" w:rsidRDefault="0088341A" w:rsidP="0088341A">
      <w:pPr>
        <w:pStyle w:val="AERbulletlistfirststyle"/>
        <w:ind w:left="357" w:hanging="357"/>
      </w:pPr>
      <w:r>
        <w:t>AEMO and each Service Applicant who applies in writing to AEMO for the provision of shared transmission services which are negotiated services.</w:t>
      </w:r>
    </w:p>
    <w:p w:rsidR="0088341A" w:rsidRDefault="0088341A" w:rsidP="0088341A">
      <w:pPr>
        <w:pStyle w:val="AERbulletlistfirststyle"/>
        <w:numPr>
          <w:ilvl w:val="0"/>
          <w:numId w:val="0"/>
        </w:numPr>
      </w:pPr>
      <w:r w:rsidRPr="00E35475">
        <w:t>Further, AEMO has primary responsibility for assessing the impact of a proposed connection on the Victorian Transmission Network.</w:t>
      </w:r>
      <w:r>
        <w:rPr>
          <w:rStyle w:val="FootnoteReference"/>
        </w:rPr>
        <w:footnoteReference w:id="614"/>
      </w:r>
      <w:r w:rsidRPr="00E35475">
        <w:t xml:space="preserve"> </w:t>
      </w:r>
    </w:p>
    <w:p w:rsidR="0088341A" w:rsidRPr="00A32C02" w:rsidRDefault="0088341A" w:rsidP="0088341A">
      <w:pPr>
        <w:pStyle w:val="Heading2"/>
        <w:numPr>
          <w:ilvl w:val="2"/>
          <w:numId w:val="20"/>
        </w:numPr>
      </w:pPr>
      <w:bookmarkStart w:id="391" w:name="_Toc365283358"/>
      <w:r w:rsidRPr="00A32C02">
        <w:t>Assessment approach</w:t>
      </w:r>
      <w:bookmarkEnd w:id="391"/>
    </w:p>
    <w:p w:rsidR="0088341A" w:rsidRPr="00DF4F38" w:rsidRDefault="0088341A" w:rsidP="0088341A">
      <w:pPr>
        <w:pStyle w:val="AERbodytext"/>
        <w:numPr>
          <w:ilvl w:val="0"/>
          <w:numId w:val="3"/>
        </w:numPr>
      </w:pPr>
      <w:r>
        <w:t>To be approved,</w:t>
      </w:r>
      <w:r w:rsidRPr="00DF4F38">
        <w:t xml:space="preserve"> a proposed negotiating framework must specify each requirement in clause</w:t>
      </w:r>
      <w:r>
        <w:t> 6A.9.5(c) of the NER. We</w:t>
      </w:r>
      <w:r w:rsidRPr="00DF4F38">
        <w:t xml:space="preserve"> examined whether </w:t>
      </w:r>
      <w:r>
        <w:t>SP AusNet's</w:t>
      </w:r>
      <w:r w:rsidRPr="00DF4F38">
        <w:t xml:space="preserve"> proposed negotiating framework met these requirements.</w:t>
      </w:r>
    </w:p>
    <w:p w:rsidR="0088341A" w:rsidRPr="002D6DEC" w:rsidRDefault="0088341A" w:rsidP="0088341A">
      <w:pPr>
        <w:pStyle w:val="AERbodytext"/>
        <w:numPr>
          <w:ilvl w:val="0"/>
          <w:numId w:val="3"/>
        </w:numPr>
      </w:pPr>
      <w:r>
        <w:t>We consider</w:t>
      </w:r>
      <w:r w:rsidRPr="00DF4F38">
        <w:t xml:space="preserve"> NTSC that adopt the negotiated transmission service principles would satisfy the NER requirements. </w:t>
      </w:r>
      <w:r>
        <w:t>We</w:t>
      </w:r>
      <w:r w:rsidRPr="00DF4F38">
        <w:t xml:space="preserve"> thus assessed whether </w:t>
      </w:r>
      <w:r>
        <w:t>our</w:t>
      </w:r>
      <w:r w:rsidRPr="00DF4F38">
        <w:t xml:space="preserve"> proposed NTSC reflect the negotiating transmission service principles in clause 6A.9.1 of the NER.</w:t>
      </w:r>
    </w:p>
    <w:p w:rsidR="0088341A" w:rsidRPr="00A32C02" w:rsidRDefault="0088341A" w:rsidP="0088341A">
      <w:pPr>
        <w:pStyle w:val="Heading2"/>
        <w:numPr>
          <w:ilvl w:val="2"/>
          <w:numId w:val="20"/>
        </w:numPr>
      </w:pPr>
      <w:bookmarkStart w:id="392" w:name="_Toc365283359"/>
      <w:r w:rsidRPr="00A32C02">
        <w:t>Reasons for draft decision</w:t>
      </w:r>
      <w:bookmarkEnd w:id="392"/>
      <w:r w:rsidRPr="00A32C02">
        <w:t xml:space="preserve"> </w:t>
      </w:r>
    </w:p>
    <w:p w:rsidR="0088341A" w:rsidRDefault="0088341A" w:rsidP="0088341A">
      <w:pPr>
        <w:pStyle w:val="AERbodytext"/>
        <w:numPr>
          <w:ilvl w:val="0"/>
          <w:numId w:val="3"/>
        </w:numPr>
      </w:pPr>
      <w:r>
        <w:t xml:space="preserve">We </w:t>
      </w:r>
      <w:r w:rsidRPr="00DF4F38">
        <w:t xml:space="preserve">approve </w:t>
      </w:r>
      <w:r>
        <w:t>SP AusNet's proposed negotiating framework because it</w:t>
      </w:r>
      <w:r w:rsidRPr="00DF4F38">
        <w:t xml:space="preserve"> </w:t>
      </w:r>
      <w:r>
        <w:t>specifies the minimum</w:t>
      </w:r>
      <w:r w:rsidRPr="00DF4F38">
        <w:t xml:space="preserve"> requirements</w:t>
      </w:r>
      <w:r>
        <w:t xml:space="preserve"> in the NER.</w:t>
      </w:r>
      <w:r>
        <w:rPr>
          <w:rStyle w:val="FootnoteReference"/>
        </w:rPr>
        <w:footnoteReference w:id="615"/>
      </w:r>
      <w:r>
        <w:t xml:space="preserve"> Those requirements include, among other things, a statement that SP AusNet will negotiate in good faith and a description of procedures for dealing with disputes. </w:t>
      </w:r>
    </w:p>
    <w:p w:rsidR="0088341A" w:rsidRDefault="0088341A" w:rsidP="0088341A">
      <w:pPr>
        <w:pStyle w:val="AERbodytext"/>
        <w:numPr>
          <w:ilvl w:val="0"/>
          <w:numId w:val="3"/>
        </w:numPr>
      </w:pPr>
      <w:r>
        <w:t>SP AusNet worked with AEMO to develop its proposed negotiating framework. We accept that benefits arise from SP AusNet and AEMO having a common negotiating framework. When SP AusNet receives an application to connect to the Victorian Transmission Network, that service applicant must also negotiate with AEMO for shared transmission services. For these reasons, a common negotiating framework that both SP AusNet and AEMO apply during their negotiations with service applicants would be useful. But, while we approve the negotiating framework that SP AusNet proposed, this draft decision does not apply the framework to AEMO too. For that to happen, we must approve the same negotiating framework for AEMO. We expect to receive AEMO's proposed negotiating framework in August 2013.</w:t>
      </w:r>
      <w:r>
        <w:rPr>
          <w:rStyle w:val="FootnoteReference"/>
        </w:rPr>
        <w:footnoteReference w:id="616"/>
      </w:r>
      <w:r>
        <w:t xml:space="preserve"> </w:t>
      </w:r>
    </w:p>
    <w:p w:rsidR="0088341A" w:rsidRDefault="0088341A" w:rsidP="0088341A">
      <w:pPr>
        <w:pStyle w:val="AERbodytext"/>
        <w:numPr>
          <w:ilvl w:val="0"/>
          <w:numId w:val="3"/>
        </w:numPr>
      </w:pPr>
      <w:r>
        <w:fldChar w:fldCharType="begin"/>
      </w:r>
      <w:r>
        <w:instrText xml:space="preserve"> REF _Ref357173680 \h </w:instrText>
      </w:r>
      <w:r>
        <w:fldChar w:fldCharType="separate"/>
      </w:r>
      <w:r w:rsidR="004F35AA">
        <w:t xml:space="preserve">Table </w:t>
      </w:r>
      <w:r w:rsidR="004F35AA">
        <w:rPr>
          <w:noProof/>
        </w:rPr>
        <w:t>13</w:t>
      </w:r>
      <w:r w:rsidR="004F35AA">
        <w:t>.</w:t>
      </w:r>
      <w:r w:rsidR="004F35AA">
        <w:rPr>
          <w:noProof/>
        </w:rPr>
        <w:t>1</w:t>
      </w:r>
      <w:r>
        <w:fldChar w:fldCharType="end"/>
      </w:r>
      <w:r>
        <w:t xml:space="preserve"> summarises our findings on SP AusNet's proposed negotiating framework. It shows that each of the requirements under the NER for a negotiating framework is satisfactorily addressed.</w:t>
      </w:r>
    </w:p>
    <w:p w:rsidR="0088341A" w:rsidRPr="00DF4F38" w:rsidRDefault="0088341A" w:rsidP="0088341A">
      <w:pPr>
        <w:pStyle w:val="Caption"/>
        <w:keepLines/>
      </w:pPr>
      <w:bookmarkStart w:id="393" w:name="_Ref357173680"/>
      <w:r>
        <w:lastRenderedPageBreak/>
        <w:t xml:space="preserve">Table </w:t>
      </w:r>
      <w:fldSimple w:instr=" STYLEREF 1 \s ">
        <w:r w:rsidR="004F35AA">
          <w:rPr>
            <w:noProof/>
          </w:rPr>
          <w:t>13</w:t>
        </w:r>
      </w:fldSimple>
      <w:r w:rsidR="00C56A87">
        <w:t>.</w:t>
      </w:r>
      <w:fldSimple w:instr=" SEQ Table \* ARABIC \s 1 ">
        <w:r w:rsidR="004F35AA">
          <w:rPr>
            <w:noProof/>
          </w:rPr>
          <w:t>1</w:t>
        </w:r>
      </w:fldSimple>
      <w:bookmarkEnd w:id="393"/>
      <w:r w:rsidRPr="00DF4F38">
        <w:tab/>
        <w:t xml:space="preserve">AER’s assessment of </w:t>
      </w:r>
      <w:r>
        <w:t>SP AusNet's proposed</w:t>
      </w:r>
      <w:r w:rsidRPr="00DF4F38">
        <w:t xml:space="preserve"> negotiating framework</w:t>
      </w:r>
      <w:r>
        <w:t xml:space="preserve"> </w:t>
      </w:r>
    </w:p>
    <w:tbl>
      <w:tblPr>
        <w:tblW w:w="0" w:type="auto"/>
        <w:tblBorders>
          <w:bottom w:val="single" w:sz="4" w:space="0" w:color="365F91"/>
        </w:tblBorders>
        <w:tblLook w:val="04A0" w:firstRow="1" w:lastRow="0" w:firstColumn="1" w:lastColumn="0" w:noHBand="0" w:noVBand="1"/>
      </w:tblPr>
      <w:tblGrid>
        <w:gridCol w:w="4621"/>
        <w:gridCol w:w="4621"/>
      </w:tblGrid>
      <w:tr w:rsidR="0088341A" w:rsidTr="00501137">
        <w:tc>
          <w:tcPr>
            <w:tcW w:w="4621" w:type="dxa"/>
            <w:shd w:val="clear" w:color="auto" w:fill="365F91"/>
            <w:vAlign w:val="center"/>
          </w:tcPr>
          <w:p w:rsidR="0088341A" w:rsidRPr="002D2AED" w:rsidRDefault="0088341A" w:rsidP="00501137">
            <w:pPr>
              <w:pStyle w:val="AERbodytext"/>
              <w:keepNext/>
              <w:keepLines/>
              <w:numPr>
                <w:ilvl w:val="0"/>
                <w:numId w:val="3"/>
              </w:numPr>
              <w:spacing w:before="120"/>
              <w:rPr>
                <w:b/>
                <w:color w:val="FFFFFF"/>
                <w:sz w:val="16"/>
              </w:rPr>
            </w:pPr>
            <w:r w:rsidRPr="002D2AED">
              <w:rPr>
                <w:b/>
                <w:color w:val="FFFFFF"/>
                <w:sz w:val="16"/>
              </w:rPr>
              <w:t>NER requirements</w:t>
            </w:r>
          </w:p>
        </w:tc>
        <w:tc>
          <w:tcPr>
            <w:tcW w:w="4621" w:type="dxa"/>
            <w:shd w:val="clear" w:color="auto" w:fill="365F91"/>
            <w:vAlign w:val="center"/>
          </w:tcPr>
          <w:p w:rsidR="0088341A" w:rsidRPr="002D2AED" w:rsidRDefault="0088341A" w:rsidP="00501137">
            <w:pPr>
              <w:pStyle w:val="AERbodytext"/>
              <w:keepNext/>
              <w:keepLines/>
              <w:numPr>
                <w:ilvl w:val="0"/>
                <w:numId w:val="3"/>
              </w:numPr>
              <w:spacing w:before="120"/>
              <w:rPr>
                <w:b/>
                <w:color w:val="FFFFFF"/>
                <w:sz w:val="16"/>
              </w:rPr>
            </w:pPr>
            <w:r w:rsidRPr="002D2AED">
              <w:rPr>
                <w:b/>
                <w:color w:val="FFFFFF"/>
                <w:sz w:val="16"/>
              </w:rPr>
              <w:t>AER assessment</w:t>
            </w:r>
          </w:p>
        </w:tc>
      </w:tr>
      <w:tr w:rsidR="0088341A" w:rsidTr="00501137">
        <w:tc>
          <w:tcPr>
            <w:tcW w:w="4621" w:type="dxa"/>
            <w:shd w:val="clear" w:color="auto" w:fill="auto"/>
            <w:vAlign w:val="center"/>
          </w:tcPr>
          <w:p w:rsidR="0088341A" w:rsidRPr="008628E5" w:rsidRDefault="0088341A" w:rsidP="00501137">
            <w:pPr>
              <w:pStyle w:val="AERtabletextleft"/>
              <w:keepNext/>
              <w:keepLines/>
            </w:pPr>
            <w:r w:rsidRPr="008628E5">
              <w:t xml:space="preserve">Requirement for </w:t>
            </w:r>
            <w:r>
              <w:t>SP AusNet</w:t>
            </w:r>
            <w:r w:rsidRPr="008628E5">
              <w:t xml:space="preserve"> and the applicant of a negotiated transmission service to negotiate in good faith—clause 6A.9.5(c)(1) </w:t>
            </w:r>
          </w:p>
        </w:tc>
        <w:tc>
          <w:tcPr>
            <w:tcW w:w="4621" w:type="dxa"/>
            <w:shd w:val="clear" w:color="auto" w:fill="auto"/>
            <w:vAlign w:val="center"/>
          </w:tcPr>
          <w:p w:rsidR="0088341A" w:rsidRPr="00DF4F38" w:rsidRDefault="0088341A" w:rsidP="00501137">
            <w:pPr>
              <w:pStyle w:val="AERtabletextleft"/>
              <w:keepNext/>
              <w:keepLines/>
            </w:pPr>
            <w:r>
              <w:t>Section 4 of SP AusNet's proposed negotiating framework satisfies this requirement.</w:t>
            </w:r>
          </w:p>
        </w:tc>
      </w:tr>
      <w:tr w:rsidR="0088341A" w:rsidTr="00501137">
        <w:tc>
          <w:tcPr>
            <w:tcW w:w="4621" w:type="dxa"/>
            <w:shd w:val="clear" w:color="auto" w:fill="DBE5F1"/>
            <w:vAlign w:val="center"/>
          </w:tcPr>
          <w:p w:rsidR="0088341A" w:rsidRPr="00DF4F38" w:rsidRDefault="0088341A" w:rsidP="00501137">
            <w:pPr>
              <w:pStyle w:val="AERtabletextleft"/>
              <w:keepNext/>
              <w:keepLines/>
            </w:pPr>
            <w:r w:rsidRPr="00DF4F38">
              <w:t>Requirement fo</w:t>
            </w:r>
            <w:r>
              <w:t>r SP AusNet to provide</w:t>
            </w:r>
            <w:r w:rsidRPr="00DF4F38">
              <w:t xml:space="preserve"> all such commercial information reasonably required to enable the applicant of a negotiated transmission service to engage in effective negotiations—clause 6A.9.5(c)(2)</w:t>
            </w:r>
          </w:p>
        </w:tc>
        <w:tc>
          <w:tcPr>
            <w:tcW w:w="4621" w:type="dxa"/>
            <w:shd w:val="clear" w:color="auto" w:fill="DBE5F1"/>
            <w:vAlign w:val="center"/>
          </w:tcPr>
          <w:p w:rsidR="0088341A" w:rsidRPr="00DF4F38" w:rsidRDefault="0088341A" w:rsidP="00501137">
            <w:pPr>
              <w:pStyle w:val="AERtabletextleft"/>
              <w:keepNext/>
              <w:keepLines/>
            </w:pPr>
            <w:r>
              <w:t>Section 8 of SP AusNet's proposed negotiating framework satisfies this requirement.</w:t>
            </w:r>
          </w:p>
        </w:tc>
      </w:tr>
      <w:tr w:rsidR="0088341A" w:rsidTr="00501137">
        <w:tc>
          <w:tcPr>
            <w:tcW w:w="4621" w:type="dxa"/>
            <w:shd w:val="clear" w:color="auto" w:fill="auto"/>
            <w:vAlign w:val="center"/>
          </w:tcPr>
          <w:p w:rsidR="0088341A" w:rsidRPr="00DF4F38" w:rsidRDefault="0088341A" w:rsidP="00501137">
            <w:pPr>
              <w:pStyle w:val="AERtabletextleft"/>
              <w:keepNext/>
              <w:keepLines/>
            </w:pPr>
            <w:r w:rsidRPr="00DF4F38">
              <w:t xml:space="preserve">Requirement for </w:t>
            </w:r>
            <w:r>
              <w:t>SP AusNet</w:t>
            </w:r>
            <w:r w:rsidRPr="00DF4F38">
              <w:t xml:space="preserve"> to identify and inform the negotiated transmission service applicant of the reasonable costs of providing the negotiated service; and demonstrate that charges reflect costs—clause 6A.9.5(c)(3) </w:t>
            </w:r>
          </w:p>
        </w:tc>
        <w:tc>
          <w:tcPr>
            <w:tcW w:w="4621" w:type="dxa"/>
            <w:shd w:val="clear" w:color="auto" w:fill="auto"/>
            <w:vAlign w:val="center"/>
          </w:tcPr>
          <w:p w:rsidR="0088341A" w:rsidRPr="00DF4F38" w:rsidRDefault="0088341A" w:rsidP="00501137">
            <w:pPr>
              <w:pStyle w:val="AERtabletextleft"/>
              <w:keepNext/>
              <w:keepLines/>
            </w:pPr>
            <w:r>
              <w:t>Section 8 of SP AusNet's proposed negotiating framework satisfies this requirement.</w:t>
            </w:r>
          </w:p>
        </w:tc>
      </w:tr>
      <w:tr w:rsidR="0088341A" w:rsidTr="00501137">
        <w:tc>
          <w:tcPr>
            <w:tcW w:w="4621" w:type="dxa"/>
            <w:shd w:val="clear" w:color="auto" w:fill="DBE5F1"/>
            <w:vAlign w:val="center"/>
          </w:tcPr>
          <w:p w:rsidR="0088341A" w:rsidRPr="00DF4F38" w:rsidRDefault="0088341A" w:rsidP="00501137">
            <w:pPr>
              <w:pStyle w:val="AERtabletextleft"/>
              <w:keepNext/>
              <w:keepLines/>
            </w:pPr>
            <w:r w:rsidRPr="00DF4F38">
              <w:t xml:space="preserve">Requirement for a negotiated transmission service applicant to provide all such commercial information reasonably required to enable </w:t>
            </w:r>
            <w:r>
              <w:t>SP AusNet</w:t>
            </w:r>
            <w:r w:rsidRPr="00DF4F38">
              <w:t xml:space="preserve"> to engage in effective negotiation—clause 6A.9.5(c)(4)</w:t>
            </w:r>
          </w:p>
        </w:tc>
        <w:tc>
          <w:tcPr>
            <w:tcW w:w="4621" w:type="dxa"/>
            <w:shd w:val="clear" w:color="auto" w:fill="DBE5F1"/>
            <w:vAlign w:val="center"/>
          </w:tcPr>
          <w:p w:rsidR="0088341A" w:rsidRPr="00DF4F38" w:rsidRDefault="0088341A" w:rsidP="00501137">
            <w:pPr>
              <w:pStyle w:val="AERtabletextleft"/>
              <w:keepNext/>
              <w:keepLines/>
            </w:pPr>
            <w:r>
              <w:t>Section 8 of SP AusNet's proposed negotiating framework satisfies this requirement.</w:t>
            </w:r>
          </w:p>
        </w:tc>
      </w:tr>
      <w:tr w:rsidR="0088341A" w:rsidTr="00501137">
        <w:tc>
          <w:tcPr>
            <w:tcW w:w="4621" w:type="dxa"/>
            <w:shd w:val="clear" w:color="auto" w:fill="auto"/>
            <w:vAlign w:val="center"/>
          </w:tcPr>
          <w:p w:rsidR="0088341A" w:rsidRPr="00DF4F38" w:rsidRDefault="0088341A" w:rsidP="00501137">
            <w:pPr>
              <w:pStyle w:val="AERtabletextleft"/>
              <w:keepNext/>
              <w:keepLines/>
            </w:pPr>
            <w:r w:rsidRPr="00DF4F38">
              <w:t xml:space="preserve">Requirement to specify a reasonable period of time for commencing, progressing and finalising negotiations; and a requirement for each party to use </w:t>
            </w:r>
            <w:r>
              <w:t>their</w:t>
            </w:r>
            <w:r w:rsidRPr="00DF4F38">
              <w:t xml:space="preserve"> reasonable endeavours to adhere to those time periods during the negotiation—clause 6A.9.5(c)(5)</w:t>
            </w:r>
          </w:p>
        </w:tc>
        <w:tc>
          <w:tcPr>
            <w:tcW w:w="4621" w:type="dxa"/>
            <w:shd w:val="clear" w:color="auto" w:fill="auto"/>
            <w:vAlign w:val="center"/>
          </w:tcPr>
          <w:p w:rsidR="0088341A" w:rsidRPr="00DF4F38" w:rsidRDefault="0088341A" w:rsidP="00501137">
            <w:pPr>
              <w:pStyle w:val="AERtabletextleft"/>
              <w:keepNext/>
              <w:keepLines/>
            </w:pPr>
            <w:r>
              <w:t>Section 5 of SP AusNet's proposed negotiating framework satisfies this requirement.</w:t>
            </w:r>
          </w:p>
        </w:tc>
      </w:tr>
      <w:tr w:rsidR="0088341A" w:rsidTr="00501137">
        <w:tc>
          <w:tcPr>
            <w:tcW w:w="4621" w:type="dxa"/>
            <w:shd w:val="clear" w:color="auto" w:fill="DBE5F1"/>
            <w:vAlign w:val="center"/>
          </w:tcPr>
          <w:p w:rsidR="0088341A" w:rsidRPr="00DF4F38" w:rsidRDefault="0088341A" w:rsidP="00501137">
            <w:pPr>
              <w:pStyle w:val="AERtabletextleft"/>
              <w:keepNext/>
              <w:keepLines/>
            </w:pPr>
            <w:r w:rsidRPr="00DF4F38">
              <w:t>Requirement to specify a process for dispute</w:t>
            </w:r>
            <w:r>
              <w:t>s</w:t>
            </w:r>
            <w:r w:rsidRPr="00DF4F38">
              <w:t xml:space="preserve"> to be dealt with in accordance with the relevant provisions for dispute resolution</w:t>
            </w:r>
            <w:r w:rsidRPr="00DF4F38">
              <w:rPr>
                <w:rStyle w:val="FootnoteReference"/>
              </w:rPr>
              <w:footnoteReference w:id="617"/>
            </w:r>
            <w:r w:rsidRPr="00DF4F38">
              <w:t>—clause 6A.9.5(c)(6)</w:t>
            </w:r>
          </w:p>
        </w:tc>
        <w:tc>
          <w:tcPr>
            <w:tcW w:w="4621" w:type="dxa"/>
            <w:shd w:val="clear" w:color="auto" w:fill="DBE5F1"/>
            <w:vAlign w:val="center"/>
          </w:tcPr>
          <w:p w:rsidR="0088341A" w:rsidRPr="00DF4F38" w:rsidRDefault="0088341A" w:rsidP="00501137">
            <w:pPr>
              <w:pStyle w:val="AERtabletextleft"/>
              <w:keepNext/>
              <w:keepLines/>
            </w:pPr>
            <w:r>
              <w:t>Section 10 of SP AusNet's proposed negotiating framework satisfies this requirement.</w:t>
            </w:r>
          </w:p>
        </w:tc>
      </w:tr>
      <w:tr w:rsidR="0088341A" w:rsidTr="00501137">
        <w:tc>
          <w:tcPr>
            <w:tcW w:w="4621" w:type="dxa"/>
            <w:shd w:val="clear" w:color="auto" w:fill="auto"/>
            <w:vAlign w:val="center"/>
          </w:tcPr>
          <w:p w:rsidR="0088341A" w:rsidRPr="00DF4F38" w:rsidRDefault="0088341A" w:rsidP="00501137">
            <w:pPr>
              <w:pStyle w:val="AERtabletextleft"/>
              <w:keepNext/>
              <w:keepLines/>
            </w:pPr>
            <w:r w:rsidRPr="00DF4F38">
              <w:t xml:space="preserve">Requirement to specify arrangements for the payment of </w:t>
            </w:r>
            <w:r>
              <w:t>SP AusNet</w:t>
            </w:r>
            <w:r w:rsidRPr="00DF4F38">
              <w:t>’s reasonable direct expenses incurred in processing the application to provide the negotiated transmission service—clause 6A.9.5(c)(7)</w:t>
            </w:r>
          </w:p>
        </w:tc>
        <w:tc>
          <w:tcPr>
            <w:tcW w:w="4621" w:type="dxa"/>
            <w:shd w:val="clear" w:color="auto" w:fill="auto"/>
            <w:vAlign w:val="center"/>
          </w:tcPr>
          <w:p w:rsidR="0088341A" w:rsidRPr="00DF4F38" w:rsidRDefault="0088341A" w:rsidP="00501137">
            <w:pPr>
              <w:pStyle w:val="AERtabletextleft"/>
              <w:keepNext/>
              <w:keepLines/>
            </w:pPr>
            <w:r>
              <w:t>Section 6 of SP AusNet's proposed negotiating framework satisfies this requirement.</w:t>
            </w:r>
          </w:p>
        </w:tc>
      </w:tr>
      <w:tr w:rsidR="0088341A" w:rsidTr="00501137">
        <w:tc>
          <w:tcPr>
            <w:tcW w:w="4621" w:type="dxa"/>
            <w:shd w:val="clear" w:color="auto" w:fill="DBE5F1"/>
            <w:vAlign w:val="center"/>
          </w:tcPr>
          <w:p w:rsidR="0088341A" w:rsidRPr="00DF4F38" w:rsidRDefault="0088341A" w:rsidP="00501137">
            <w:pPr>
              <w:pStyle w:val="AERtabletextleft"/>
              <w:keepNext/>
              <w:keepLines/>
            </w:pPr>
            <w:r w:rsidRPr="00DF4F38">
              <w:t xml:space="preserve">Requirement for </w:t>
            </w:r>
            <w:r>
              <w:t>SP AusNet</w:t>
            </w:r>
            <w:r w:rsidRPr="00DF4F38">
              <w:t xml:space="preserve"> to determine the potential impact of the provision of a negotiated transmission service on other network users—clause 6A.9.5(c)(8)</w:t>
            </w:r>
          </w:p>
        </w:tc>
        <w:tc>
          <w:tcPr>
            <w:tcW w:w="4621" w:type="dxa"/>
            <w:shd w:val="clear" w:color="auto" w:fill="DBE5F1"/>
            <w:vAlign w:val="center"/>
          </w:tcPr>
          <w:p w:rsidR="0088341A" w:rsidRPr="00DF4F38" w:rsidRDefault="0088341A" w:rsidP="00501137">
            <w:pPr>
              <w:pStyle w:val="AERtabletextleft"/>
              <w:keepNext/>
              <w:keepLines/>
            </w:pPr>
            <w:r>
              <w:t>Section 11 of SP AusNet's proposed negotiating framework satisfies this requirement.</w:t>
            </w:r>
          </w:p>
        </w:tc>
      </w:tr>
      <w:tr w:rsidR="0088341A" w:rsidTr="00501137">
        <w:trPr>
          <w:trHeight w:val="1151"/>
        </w:trPr>
        <w:tc>
          <w:tcPr>
            <w:tcW w:w="4621" w:type="dxa"/>
            <w:shd w:val="clear" w:color="auto" w:fill="auto"/>
            <w:vAlign w:val="center"/>
          </w:tcPr>
          <w:p w:rsidR="0088341A" w:rsidRPr="00DF4F38" w:rsidRDefault="0088341A" w:rsidP="00501137">
            <w:pPr>
              <w:pStyle w:val="AERtabletextleft"/>
              <w:keepNext/>
              <w:keepLines/>
            </w:pPr>
            <w:r w:rsidRPr="00DF4F38">
              <w:t xml:space="preserve">Requirement for </w:t>
            </w:r>
            <w:r>
              <w:t>SP AusNet</w:t>
            </w:r>
            <w:r w:rsidRPr="00DF4F38">
              <w:t xml:space="preserve"> to notify and consult with any affected network user and ensure the negotiated transmission service does not result in noncompliance with obligations in relation to other network users under the NER—clause 6A.9.5(c)(9)</w:t>
            </w:r>
          </w:p>
        </w:tc>
        <w:tc>
          <w:tcPr>
            <w:tcW w:w="4621" w:type="dxa"/>
            <w:shd w:val="clear" w:color="auto" w:fill="auto"/>
            <w:vAlign w:val="center"/>
          </w:tcPr>
          <w:p w:rsidR="0088341A" w:rsidRPr="00DF4F38" w:rsidRDefault="0088341A" w:rsidP="00501137">
            <w:pPr>
              <w:pStyle w:val="AERtabletextleft"/>
              <w:keepNext/>
              <w:keepLines/>
            </w:pPr>
            <w:r>
              <w:t>Section 11 of SP AusNet's proposed negotiating framework satisfies this requirement.</w:t>
            </w:r>
          </w:p>
        </w:tc>
      </w:tr>
    </w:tbl>
    <w:p w:rsidR="000E2A79" w:rsidRPr="000E2A79" w:rsidRDefault="000E2A79" w:rsidP="000E2A79">
      <w:pPr>
        <w:pStyle w:val="AERbodytext"/>
        <w:rPr>
          <w:rStyle w:val="AERbody"/>
        </w:rPr>
      </w:pPr>
    </w:p>
    <w:p w:rsidR="0088341A" w:rsidRPr="00A32C02" w:rsidRDefault="0088341A" w:rsidP="0088341A">
      <w:pPr>
        <w:pStyle w:val="Heading2"/>
        <w:numPr>
          <w:ilvl w:val="2"/>
          <w:numId w:val="20"/>
        </w:numPr>
      </w:pPr>
      <w:bookmarkStart w:id="394" w:name="_Toc365283360"/>
      <w:r w:rsidRPr="00A32C02">
        <w:t>Negotiated transmission service criteria</w:t>
      </w:r>
      <w:bookmarkEnd w:id="394"/>
    </w:p>
    <w:p w:rsidR="0088341A" w:rsidRPr="00912722" w:rsidRDefault="0088341A" w:rsidP="0088341A">
      <w:pPr>
        <w:pStyle w:val="AERbodytext"/>
        <w:numPr>
          <w:ilvl w:val="0"/>
          <w:numId w:val="3"/>
        </w:numPr>
      </w:pPr>
      <w:r>
        <w:t xml:space="preserve">In April 2013, we published </w:t>
      </w:r>
      <w:r w:rsidRPr="00912722">
        <w:t xml:space="preserve">an invitation for submissions on the NTSC. Our draft decision is that the NTSC which we published with that invitation (reproduced in section </w:t>
      </w:r>
      <w:r w:rsidRPr="00912722">
        <w:fldChar w:fldCharType="begin"/>
      </w:r>
      <w:r w:rsidRPr="00912722">
        <w:instrText xml:space="preserve"> REF _Ref358982673 \r \h </w:instrText>
      </w:r>
      <w:r w:rsidRPr="00912722">
        <w:fldChar w:fldCharType="separate"/>
      </w:r>
      <w:r w:rsidR="004F35AA">
        <w:t>13.5.1</w:t>
      </w:r>
      <w:r w:rsidRPr="00912722">
        <w:fldChar w:fldCharType="end"/>
      </w:r>
      <w:r w:rsidRPr="00912722">
        <w:t xml:space="preserve">) should apply to SP AusNet's 2014–17 regulatory control period. This is because it adopts the negotiated transmission service principles as its criteria. </w:t>
      </w:r>
      <w:r>
        <w:t>We did not receive</w:t>
      </w:r>
      <w:r w:rsidRPr="00912722">
        <w:t xml:space="preserve"> stakeholder submissions </w:t>
      </w:r>
      <w:r>
        <w:t xml:space="preserve">on the NTSC. </w:t>
      </w:r>
      <w:r w:rsidRPr="00912722">
        <w:t xml:space="preserve">  </w:t>
      </w:r>
    </w:p>
    <w:p w:rsidR="0088341A" w:rsidRPr="00A907E9" w:rsidRDefault="0088341A" w:rsidP="0088341A">
      <w:pPr>
        <w:pStyle w:val="Heading3"/>
        <w:numPr>
          <w:ilvl w:val="3"/>
          <w:numId w:val="20"/>
        </w:numPr>
      </w:pPr>
      <w:bookmarkStart w:id="395" w:name="_Ref358982673"/>
      <w:r w:rsidRPr="00A907E9">
        <w:lastRenderedPageBreak/>
        <w:t>The NTSC</w:t>
      </w:r>
      <w:bookmarkEnd w:id="395"/>
    </w:p>
    <w:p w:rsidR="0088341A" w:rsidRPr="00BF4045" w:rsidRDefault="0088341A" w:rsidP="0088341A">
      <w:pPr>
        <w:pStyle w:val="HeadingBoldBlue"/>
      </w:pPr>
      <w:r w:rsidRPr="00BF4045">
        <w:t>National Electricity Objective</w:t>
      </w:r>
    </w:p>
    <w:p w:rsidR="0088341A" w:rsidRPr="00BF4045" w:rsidRDefault="0088341A" w:rsidP="0088341A">
      <w:pPr>
        <w:pStyle w:val="AERnumberedlistfirststyle"/>
        <w:numPr>
          <w:ilvl w:val="1"/>
          <w:numId w:val="3"/>
        </w:numPr>
        <w:rPr>
          <w:rStyle w:val="AERbody"/>
        </w:rPr>
      </w:pPr>
      <w:r>
        <w:rPr>
          <w:rStyle w:val="AERbody"/>
        </w:rPr>
        <w:t>The terms and conditions of access for a negotiated transmission service, including the price that is to be charged for the provision of that service and any access charges, should promote the achievement of the National Electricity Objective.</w:t>
      </w:r>
    </w:p>
    <w:p w:rsidR="0088341A" w:rsidRPr="00BF4045" w:rsidRDefault="0088341A" w:rsidP="0088341A">
      <w:pPr>
        <w:pStyle w:val="HeadingBoldBlue"/>
      </w:pPr>
      <w:r w:rsidRPr="00BF4045">
        <w:t>Criteria for terms and conditions of access</w:t>
      </w:r>
    </w:p>
    <w:p w:rsidR="0088341A" w:rsidRPr="00BF4045" w:rsidRDefault="0088341A" w:rsidP="0088341A">
      <w:pPr>
        <w:pStyle w:val="Caption"/>
      </w:pPr>
      <w:r w:rsidRPr="00BF4045">
        <w:t>Terms and conditions of access</w:t>
      </w:r>
    </w:p>
    <w:p w:rsidR="0088341A" w:rsidRPr="00BF4045" w:rsidRDefault="0088341A" w:rsidP="0088341A">
      <w:pPr>
        <w:pStyle w:val="AERnumberedlistfirststyle"/>
        <w:numPr>
          <w:ilvl w:val="1"/>
          <w:numId w:val="3"/>
        </w:numPr>
      </w:pPr>
      <w:r>
        <w:t>The terms and conditions of access for a negotiated transmission service must be fair, reasonable and consistent with the safe and reliable operation of the power system in accordance with the NER.</w:t>
      </w:r>
    </w:p>
    <w:p w:rsidR="0088341A" w:rsidRPr="00BF4045" w:rsidRDefault="0088341A" w:rsidP="0088341A">
      <w:pPr>
        <w:pStyle w:val="AERnumberedlistfirststyle"/>
        <w:numPr>
          <w:ilvl w:val="1"/>
          <w:numId w:val="3"/>
        </w:numPr>
      </w:pPr>
      <w:r w:rsidRPr="00050B7F">
        <w:t>The terms and conditions of access for negotiated transmission services, particularly any exclusions and limitations of liability and indemnities, must not be unreasonably onerous. Relevant considerations include the allocation of risk between the TNSP and the other party, the price for the negotiated transmission service and the cost to the TNSP of providing the negotiated service.</w:t>
      </w:r>
    </w:p>
    <w:p w:rsidR="0088341A" w:rsidRPr="00BF4045" w:rsidRDefault="0088341A" w:rsidP="0088341A">
      <w:pPr>
        <w:pStyle w:val="AERnumberedlistfirststyle"/>
        <w:numPr>
          <w:ilvl w:val="1"/>
          <w:numId w:val="3"/>
        </w:numPr>
      </w:pPr>
      <w:r>
        <w:t>The terms and conditions of access for a negotiated transmission service must take into account the need for the service to be provided in a manner that does not adversely affect the safe and reliable operation of the power system in accordance with the NER.</w:t>
      </w:r>
    </w:p>
    <w:p w:rsidR="0088341A" w:rsidRPr="00BF4045" w:rsidRDefault="0088341A" w:rsidP="0088341A">
      <w:pPr>
        <w:pStyle w:val="HeadingBoldBlue"/>
      </w:pPr>
      <w:r w:rsidRPr="00BF4045">
        <w:t>Price of services</w:t>
      </w:r>
    </w:p>
    <w:p w:rsidR="0088341A" w:rsidRPr="00BF4045" w:rsidRDefault="0088341A" w:rsidP="0088341A">
      <w:pPr>
        <w:pStyle w:val="AERnumberedlistfirststyle"/>
        <w:numPr>
          <w:ilvl w:val="1"/>
          <w:numId w:val="3"/>
        </w:numPr>
      </w:pPr>
      <w:r>
        <w:t>The</w:t>
      </w:r>
      <w:r w:rsidRPr="00BF4045">
        <w:t xml:space="preserve"> price of a negotiated transmission service must reflect the cost that the TNSP has incurred or incurs in providing that service, and must be determined in accordance with the principles and policies set out in the Cost Allocation Methodology.</w:t>
      </w:r>
    </w:p>
    <w:p w:rsidR="0088341A" w:rsidRPr="00BF4045" w:rsidRDefault="0088341A" w:rsidP="0088341A">
      <w:pPr>
        <w:pStyle w:val="AERnumberedlistfirststyle"/>
        <w:numPr>
          <w:ilvl w:val="1"/>
          <w:numId w:val="3"/>
        </w:numPr>
      </w:pPr>
      <w:r>
        <w:t>Subject to criteria 7 and 8, the price for a negotiated transmission service must be at least equal to the avoided cost of providing that service but no more than the cost of providing it on a stand alone basis.</w:t>
      </w:r>
    </w:p>
    <w:p w:rsidR="0088341A" w:rsidRPr="00BF4045" w:rsidRDefault="0088341A" w:rsidP="0088341A">
      <w:pPr>
        <w:pStyle w:val="AERnumberedlistfirststyle"/>
        <w:numPr>
          <w:ilvl w:val="1"/>
          <w:numId w:val="3"/>
        </w:numPr>
      </w:pPr>
      <w:r w:rsidRPr="00050B7F">
        <w:t>If the negotiated transmission service is a shared transmission service that:</w:t>
      </w:r>
    </w:p>
    <w:p w:rsidR="0088341A" w:rsidRPr="00BF4045" w:rsidRDefault="0088341A" w:rsidP="0088341A">
      <w:pPr>
        <w:pStyle w:val="AERnumberedlistsecondstyle"/>
        <w:numPr>
          <w:ilvl w:val="2"/>
          <w:numId w:val="3"/>
        </w:numPr>
      </w:pPr>
      <w:r w:rsidRPr="00050B7F">
        <w:t>exceeds any network performance requirements which it is required to meet under any relevant electricity legislation; or</w:t>
      </w:r>
    </w:p>
    <w:p w:rsidR="0088341A" w:rsidRPr="00BF4045" w:rsidRDefault="0088341A" w:rsidP="0088341A">
      <w:pPr>
        <w:pStyle w:val="AERnumberedlistsecondstyle"/>
        <w:numPr>
          <w:ilvl w:val="2"/>
          <w:numId w:val="3"/>
        </w:numPr>
      </w:pPr>
      <w:r w:rsidRPr="00050B7F">
        <w:t>exceeds the network performance requirements set out in schedule 5.1a and 5.1 of the NER</w:t>
      </w:r>
    </w:p>
    <w:p w:rsidR="0088341A" w:rsidRPr="00912722" w:rsidRDefault="0088341A" w:rsidP="0088341A">
      <w:pPr>
        <w:pStyle w:val="AERnumberedlistfirststyle"/>
        <w:numPr>
          <w:ilvl w:val="1"/>
          <w:numId w:val="3"/>
        </w:numPr>
      </w:pPr>
      <w:r w:rsidRPr="00050B7F">
        <w:t>then the difference between the price for that service and the price for the shared transmission service which meets network performance requirements must reflect the TNSP’s incremental cost of providing that service (as appropriate).</w:t>
      </w:r>
    </w:p>
    <w:p w:rsidR="0088341A" w:rsidRPr="00BF4045" w:rsidRDefault="0088341A" w:rsidP="0088341A">
      <w:pPr>
        <w:pStyle w:val="AERnumberedlistfirststyle"/>
        <w:numPr>
          <w:ilvl w:val="1"/>
          <w:numId w:val="3"/>
        </w:numPr>
      </w:pPr>
      <w:r w:rsidRPr="00050B7F">
        <w:t>For shared transmission services, the difference in price between a negotiated transmission service that does not meet or exceed network performance requirements and a service that meets those requirements should reflect the TNSP’s avoided costs. Schedule 5.1a and 5.1 of the NER or any relevant electricity legislation must be considered in determining whether any network service performance requirements have not been met or exceeded.</w:t>
      </w:r>
    </w:p>
    <w:p w:rsidR="0088341A" w:rsidRPr="00BF4045" w:rsidRDefault="0088341A" w:rsidP="0088341A">
      <w:pPr>
        <w:pStyle w:val="AERnumberedlistfirststyle"/>
        <w:numPr>
          <w:ilvl w:val="1"/>
          <w:numId w:val="3"/>
        </w:numPr>
      </w:pPr>
      <w:r>
        <w:t xml:space="preserve">The price for a negotiated transmission service must be the same for all Transmission Network Users. The exception is if there is a material difference in the costs of providing the negotiated </w:t>
      </w:r>
      <w:r>
        <w:lastRenderedPageBreak/>
        <w:t>transmission service to different Transmission Network Users or classes of Transmission Network Users.</w:t>
      </w:r>
    </w:p>
    <w:p w:rsidR="0088341A" w:rsidRPr="00BF4045" w:rsidRDefault="0088341A" w:rsidP="0088341A">
      <w:pPr>
        <w:pStyle w:val="AERnumberedlistfirststyle"/>
        <w:numPr>
          <w:ilvl w:val="1"/>
          <w:numId w:val="3"/>
        </w:numPr>
      </w:pPr>
      <w:r>
        <w:t>The price for a negotiated transmission service must be subject to adjustment over time to the extent that the assets used to provide that service are subsequently used to provide services to another person. In such cases the adjustment must reflect the extent to which the costs of that asset are being recovered through charges to that other person.</w:t>
      </w:r>
    </w:p>
    <w:p w:rsidR="0088341A" w:rsidRDefault="0088341A" w:rsidP="0088341A">
      <w:pPr>
        <w:pStyle w:val="AERnumberedlistfirststyle"/>
        <w:numPr>
          <w:ilvl w:val="1"/>
          <w:numId w:val="3"/>
        </w:numPr>
      </w:pPr>
      <w:r>
        <w:t>The price for a negotiated transmission service must be such as to enable the TNSP to recover the efficient costs of complying with all regulatory obligations associated with the provision of the negotiated transmission service.</w:t>
      </w:r>
    </w:p>
    <w:p w:rsidR="0088341A" w:rsidRDefault="0088341A" w:rsidP="0088341A">
      <w:pPr>
        <w:pStyle w:val="HeadingBoldBlue"/>
      </w:pPr>
      <w:r>
        <w:t>Criteria for access charges</w:t>
      </w:r>
    </w:p>
    <w:p w:rsidR="0088341A" w:rsidRPr="00BF4045" w:rsidRDefault="0088341A" w:rsidP="0088341A">
      <w:pPr>
        <w:pStyle w:val="Caption"/>
      </w:pPr>
      <w:r>
        <w:t>Access charges</w:t>
      </w:r>
    </w:p>
    <w:p w:rsidR="0088341A" w:rsidRDefault="0088341A" w:rsidP="0088341A">
      <w:pPr>
        <w:pStyle w:val="AERnumberedlistfirststyle"/>
        <w:numPr>
          <w:ilvl w:val="1"/>
          <w:numId w:val="3"/>
        </w:numPr>
      </w:pPr>
      <w:r w:rsidRPr="00050B7F">
        <w:t>Any access charges must be based on the costs reasonably incurred by the TNSP in providing Transmission Network User access. This includes the compensation for f</w:t>
      </w:r>
      <w:r>
        <w:t>or</w:t>
      </w:r>
      <w:r w:rsidRPr="00050B7F">
        <w:t>gone revenue referred to in clause 5.4A(h) to (j) of the NER and the costs that are likely to be incurred by a person referred to in clause 5.4A(h) to (j) of the NER (as appropriate).</w:t>
      </w:r>
    </w:p>
    <w:p w:rsidR="0088341A" w:rsidRDefault="0088341A" w:rsidP="0088341A">
      <w:pPr>
        <w:pStyle w:val="AERbodytext"/>
        <w:numPr>
          <w:ilvl w:val="0"/>
          <w:numId w:val="0"/>
        </w:numPr>
      </w:pPr>
    </w:p>
    <w:p w:rsidR="0088341A" w:rsidRDefault="0088341A" w:rsidP="0088341A">
      <w:pPr>
        <w:pStyle w:val="AERbodytext"/>
        <w:numPr>
          <w:ilvl w:val="0"/>
          <w:numId w:val="1"/>
        </w:numPr>
        <w:sectPr w:rsidR="0088341A">
          <w:footerReference w:type="default" r:id="rId78"/>
          <w:pgSz w:w="11906" w:h="16838"/>
          <w:pgMar w:top="1440" w:right="1440" w:bottom="1440" w:left="1440" w:header="708" w:footer="708" w:gutter="0"/>
          <w:cols w:space="708"/>
          <w:docGrid w:linePitch="360"/>
        </w:sectPr>
      </w:pPr>
    </w:p>
    <w:p w:rsidR="0088341A" w:rsidRPr="003A4093" w:rsidRDefault="0088341A" w:rsidP="0088341A">
      <w:pPr>
        <w:pStyle w:val="Heading1"/>
        <w:numPr>
          <w:ilvl w:val="1"/>
          <w:numId w:val="20"/>
        </w:numPr>
      </w:pPr>
      <w:bookmarkStart w:id="396" w:name="_Toc365283361"/>
      <w:bookmarkStart w:id="397" w:name="_Toc365462010"/>
      <w:r w:rsidRPr="003A4093">
        <w:lastRenderedPageBreak/>
        <w:t>Cost pass throughs</w:t>
      </w:r>
      <w:bookmarkEnd w:id="396"/>
      <w:bookmarkEnd w:id="397"/>
    </w:p>
    <w:p w:rsidR="0088341A" w:rsidRPr="00B40D9B" w:rsidRDefault="0088341A" w:rsidP="0088341A">
      <w:pPr>
        <w:pStyle w:val="AERbodytext"/>
        <w:numPr>
          <w:ilvl w:val="0"/>
          <w:numId w:val="1"/>
        </w:numPr>
      </w:pPr>
      <w:r w:rsidRPr="00B40D9B">
        <w:t>The pass through mechanism of the National Energy Rules (NER) recognises a transmission</w:t>
      </w:r>
      <w:r>
        <w:t xml:space="preserve"> </w:t>
      </w:r>
      <w:r w:rsidRPr="00B40D9B">
        <w:t xml:space="preserve">network service provider (TNSP) can be exposed to risks beyond its control, which may have </w:t>
      </w:r>
      <w:r>
        <w:t xml:space="preserve">a </w:t>
      </w:r>
      <w:r w:rsidRPr="00B40D9B">
        <w:t>material</w:t>
      </w:r>
      <w:r>
        <w:t xml:space="preserve"> </w:t>
      </w:r>
      <w:r w:rsidRPr="00B40D9B">
        <w:t>impact on its costs. A cost pass through enables a business to recover (or pass through) the costs of</w:t>
      </w:r>
      <w:r>
        <w:t xml:space="preserve"> defined unpredictable, high </w:t>
      </w:r>
      <w:r w:rsidRPr="00B40D9B">
        <w:t xml:space="preserve">cost events </w:t>
      </w:r>
      <w:r>
        <w:t>that</w:t>
      </w:r>
      <w:r w:rsidRPr="00B40D9B">
        <w:t xml:space="preserve"> are not built into the transmission determination.</w:t>
      </w:r>
    </w:p>
    <w:p w:rsidR="0088341A" w:rsidRPr="00B40D9B" w:rsidRDefault="0088341A" w:rsidP="0088341A">
      <w:pPr>
        <w:pStyle w:val="AERbodytext"/>
        <w:numPr>
          <w:ilvl w:val="0"/>
          <w:numId w:val="1"/>
        </w:numPr>
      </w:pPr>
      <w:r w:rsidRPr="00B40D9B">
        <w:t xml:space="preserve">The NER specifies </w:t>
      </w:r>
      <w:r>
        <w:t xml:space="preserve">the following </w:t>
      </w:r>
      <w:r w:rsidRPr="00B40D9B">
        <w:t xml:space="preserve">pass through </w:t>
      </w:r>
      <w:r>
        <w:t>events that apply to all TNSPs:</w:t>
      </w:r>
      <w:r>
        <w:rPr>
          <w:rStyle w:val="FootnoteReference"/>
        </w:rPr>
        <w:footnoteReference w:id="618"/>
      </w:r>
    </w:p>
    <w:p w:rsidR="0088341A" w:rsidRPr="00B40D9B" w:rsidRDefault="0088341A" w:rsidP="0088341A">
      <w:pPr>
        <w:pStyle w:val="AERbulletlistfirststyle"/>
      </w:pPr>
      <w:r w:rsidRPr="00B40D9B">
        <w:t>a regulatory change event</w:t>
      </w:r>
    </w:p>
    <w:p w:rsidR="0088341A" w:rsidRPr="00B40D9B" w:rsidRDefault="0088341A" w:rsidP="0088341A">
      <w:pPr>
        <w:pStyle w:val="AERbulletlistfirststyle"/>
      </w:pPr>
      <w:r w:rsidRPr="00B40D9B">
        <w:t>a service standard event</w:t>
      </w:r>
    </w:p>
    <w:p w:rsidR="0088341A" w:rsidRPr="00B40D9B" w:rsidRDefault="0088341A" w:rsidP="0088341A">
      <w:pPr>
        <w:pStyle w:val="AERbulletlistfirststyle"/>
      </w:pPr>
      <w:r w:rsidRPr="00B40D9B">
        <w:t>a tax change event</w:t>
      </w:r>
    </w:p>
    <w:p w:rsidR="0088341A" w:rsidRPr="00B40D9B" w:rsidRDefault="0088341A" w:rsidP="0088341A">
      <w:pPr>
        <w:pStyle w:val="AERbulletlistfirststyle"/>
      </w:pPr>
      <w:r>
        <w:t>an insurance event</w:t>
      </w:r>
    </w:p>
    <w:p w:rsidR="0088341A" w:rsidRPr="00864BF9" w:rsidRDefault="0088341A" w:rsidP="0088341A">
      <w:pPr>
        <w:pStyle w:val="AERbulletlistfirststyle"/>
      </w:pPr>
      <w:r>
        <w:t>i</w:t>
      </w:r>
      <w:r w:rsidRPr="0035726E">
        <w:t>n addition to those defined events</w:t>
      </w:r>
      <w:r w:rsidRPr="00864BF9">
        <w:t>, an event specified in a transmission determination for a regulatory control period.</w:t>
      </w:r>
    </w:p>
    <w:p w:rsidR="0088341A" w:rsidRPr="00B40D9B" w:rsidRDefault="0088341A" w:rsidP="0088341A">
      <w:pPr>
        <w:pStyle w:val="AERbodytext"/>
        <w:numPr>
          <w:ilvl w:val="0"/>
          <w:numId w:val="1"/>
        </w:numPr>
      </w:pPr>
      <w:r w:rsidRPr="00B40D9B">
        <w:t xml:space="preserve">This section sets out our </w:t>
      </w:r>
      <w:r>
        <w:t>draft</w:t>
      </w:r>
      <w:r w:rsidRPr="00B40D9B">
        <w:t xml:space="preserve"> decision on the additional pass through events that </w:t>
      </w:r>
      <w:r>
        <w:t>SP AusNet</w:t>
      </w:r>
      <w:r w:rsidRPr="00B40D9B">
        <w:t xml:space="preserve"> nominated for the 201</w:t>
      </w:r>
      <w:r>
        <w:t>4</w:t>
      </w:r>
      <w:r w:rsidRPr="00B40D9B">
        <w:t>–1</w:t>
      </w:r>
      <w:r>
        <w:t>7</w:t>
      </w:r>
      <w:r w:rsidRPr="00B40D9B">
        <w:t xml:space="preserve"> regulatory control period.</w:t>
      </w:r>
    </w:p>
    <w:p w:rsidR="0088341A" w:rsidRPr="003800E4" w:rsidRDefault="0088341A" w:rsidP="0088341A">
      <w:pPr>
        <w:pStyle w:val="Heading2"/>
        <w:numPr>
          <w:ilvl w:val="2"/>
          <w:numId w:val="20"/>
        </w:numPr>
      </w:pPr>
      <w:bookmarkStart w:id="398" w:name="_Ref358278185"/>
      <w:bookmarkStart w:id="399" w:name="_Toc365283362"/>
      <w:r>
        <w:t>Draft decision</w:t>
      </w:r>
      <w:bookmarkEnd w:id="398"/>
      <w:bookmarkEnd w:id="399"/>
    </w:p>
    <w:p w:rsidR="0088341A" w:rsidRDefault="0088341A" w:rsidP="0088341A">
      <w:pPr>
        <w:pStyle w:val="AERbulletlistfirststyle"/>
        <w:numPr>
          <w:ilvl w:val="0"/>
          <w:numId w:val="0"/>
        </w:numPr>
      </w:pPr>
      <w:r>
        <w:t xml:space="preserve">We do not accept a natural disaster event, a terrorism event or a liability above insurance cap event as nominated pass through events in the forms proposed by SP AusNet. Before we can accept these events as nominated pass through events, we require SP AusNet to amend its definitions in accordance with section </w:t>
      </w:r>
      <w:r>
        <w:fldChar w:fldCharType="begin"/>
      </w:r>
      <w:r>
        <w:instrText xml:space="preserve"> REF _Ref363749998 \r \h </w:instrText>
      </w:r>
      <w:r>
        <w:fldChar w:fldCharType="separate"/>
      </w:r>
      <w:r w:rsidR="004F35AA">
        <w:t>14.5</w:t>
      </w:r>
      <w:r>
        <w:fldChar w:fldCharType="end"/>
      </w:r>
      <w:r>
        <w:t>.</w:t>
      </w:r>
    </w:p>
    <w:p w:rsidR="0088341A" w:rsidRDefault="0088341A" w:rsidP="0088341A">
      <w:pPr>
        <w:pStyle w:val="Heading2"/>
        <w:numPr>
          <w:ilvl w:val="2"/>
          <w:numId w:val="20"/>
        </w:numPr>
      </w:pPr>
      <w:bookmarkStart w:id="400" w:name="_Toc365283363"/>
      <w:r>
        <w:t>SP AusNet's proposal</w:t>
      </w:r>
      <w:bookmarkEnd w:id="400"/>
    </w:p>
    <w:p w:rsidR="0088341A" w:rsidRDefault="0088341A" w:rsidP="0088341A">
      <w:pPr>
        <w:pStyle w:val="AERbodytext"/>
        <w:numPr>
          <w:ilvl w:val="0"/>
          <w:numId w:val="1"/>
        </w:numPr>
      </w:pPr>
      <w:r>
        <w:t>SP AusNet proposed three nominated cost pass through events:</w:t>
      </w:r>
      <w:r>
        <w:rPr>
          <w:rStyle w:val="FootnoteReference"/>
        </w:rPr>
        <w:footnoteReference w:id="619"/>
      </w:r>
    </w:p>
    <w:p w:rsidR="0088341A" w:rsidRDefault="0088341A" w:rsidP="0088341A">
      <w:pPr>
        <w:pStyle w:val="AERbulletlistfirststyle"/>
      </w:pPr>
      <w:r>
        <w:t>a natural disaster event</w:t>
      </w:r>
    </w:p>
    <w:p w:rsidR="0088341A" w:rsidRDefault="0088341A" w:rsidP="0088341A">
      <w:pPr>
        <w:pStyle w:val="AERbulletlistfirststyle"/>
      </w:pPr>
      <w:r>
        <w:t>a terrorism event</w:t>
      </w:r>
    </w:p>
    <w:p w:rsidR="0088341A" w:rsidRDefault="0088341A" w:rsidP="0088341A">
      <w:pPr>
        <w:pStyle w:val="AERbulletlistfirststyle"/>
      </w:pPr>
      <w:r>
        <w:t>a liability above insurance cap event.</w:t>
      </w:r>
    </w:p>
    <w:p w:rsidR="0088341A" w:rsidRDefault="0088341A" w:rsidP="0088341A">
      <w:pPr>
        <w:pStyle w:val="AERbodytext"/>
        <w:numPr>
          <w:ilvl w:val="0"/>
          <w:numId w:val="1"/>
        </w:numPr>
      </w:pPr>
      <w:r w:rsidRPr="008B071F">
        <w:t xml:space="preserve">SP AusNet </w:t>
      </w:r>
      <w:r>
        <w:t>proposed the following cost pass through event definitions:</w:t>
      </w:r>
    </w:p>
    <w:p w:rsidR="0088341A" w:rsidRPr="008B071F" w:rsidRDefault="0088341A" w:rsidP="0088341A">
      <w:pPr>
        <w:pStyle w:val="HeadingBoldBlue"/>
      </w:pPr>
      <w:r>
        <w:t>Natural disaster event</w:t>
      </w:r>
    </w:p>
    <w:p w:rsidR="0088341A" w:rsidRPr="000E2F26" w:rsidRDefault="0088341A" w:rsidP="0088341A">
      <w:pPr>
        <w:pStyle w:val="AERquote"/>
      </w:pPr>
      <w:r>
        <w:t>A natural disaster event is:</w:t>
      </w:r>
    </w:p>
    <w:p w:rsidR="0088341A" w:rsidRDefault="0088341A" w:rsidP="0088341A">
      <w:pPr>
        <w:pStyle w:val="AERquote"/>
      </w:pPr>
      <w:r w:rsidRPr="000E2F26">
        <w:t xml:space="preserve">Any major fire, flood, earthquake or other natural disaster beyond the reasonable control of </w:t>
      </w:r>
      <w:r>
        <w:t>SP AusNet that occurs during the 2014–17</w:t>
      </w:r>
      <w:r w:rsidRPr="000E2F26">
        <w:t xml:space="preserve"> regulatory control period and </w:t>
      </w:r>
      <w:r w:rsidRPr="00260EB9">
        <w:rPr>
          <w:rStyle w:val="AERtextitalic"/>
        </w:rPr>
        <w:t>materially</w:t>
      </w:r>
      <w:r w:rsidRPr="000E2F26">
        <w:t xml:space="preserve"> increases the costs to </w:t>
      </w:r>
      <w:r>
        <w:t>SP Aus</w:t>
      </w:r>
      <w:r w:rsidRPr="000E2F26">
        <w:t xml:space="preserve">Net of providing </w:t>
      </w:r>
      <w:r w:rsidRPr="00260EB9">
        <w:rPr>
          <w:rStyle w:val="AERtextitalic"/>
        </w:rPr>
        <w:t>prescribed transmission services</w:t>
      </w:r>
      <w:r w:rsidRPr="000E2F26">
        <w:t xml:space="preserve">. </w:t>
      </w:r>
    </w:p>
    <w:p w:rsidR="0088341A" w:rsidRPr="000E2F26" w:rsidRDefault="0088341A" w:rsidP="0088341A">
      <w:pPr>
        <w:pStyle w:val="AERquote"/>
      </w:pPr>
      <w:r>
        <w:t>For the avoidance of doubt, i</w:t>
      </w:r>
      <w:r w:rsidRPr="000E2F26">
        <w:t xml:space="preserve">n assessing a natural disaster event application, the AER will have regard to: </w:t>
      </w:r>
    </w:p>
    <w:p w:rsidR="0088341A" w:rsidRPr="00B40D9B" w:rsidRDefault="0088341A" w:rsidP="0088341A">
      <w:pPr>
        <w:pStyle w:val="AERquoteindent1"/>
      </w:pPr>
      <w:r>
        <w:t xml:space="preserve">i.   </w:t>
      </w:r>
      <w:r w:rsidRPr="00B40D9B">
        <w:t xml:space="preserve">the insurance premium proposal submitted by </w:t>
      </w:r>
      <w:r>
        <w:t>SP Aus</w:t>
      </w:r>
      <w:r w:rsidRPr="00B40D9B">
        <w:t xml:space="preserve">Net in its </w:t>
      </w:r>
      <w:r w:rsidRPr="00B40D9B">
        <w:rPr>
          <w:rStyle w:val="AERtextitalic"/>
        </w:rPr>
        <w:t>revenue proposal</w:t>
      </w:r>
    </w:p>
    <w:p w:rsidR="0088341A" w:rsidRPr="00B40D9B" w:rsidRDefault="0088341A" w:rsidP="0088341A">
      <w:pPr>
        <w:pStyle w:val="AERquoteindent1"/>
      </w:pPr>
      <w:r>
        <w:lastRenderedPageBreak/>
        <w:t xml:space="preserve">ii.   </w:t>
      </w:r>
      <w:r w:rsidRPr="00B40D9B">
        <w:t>the forecast operating expenditure allowance appro</w:t>
      </w:r>
      <w:r>
        <w:t>ved in the AER’s final decision</w:t>
      </w:r>
    </w:p>
    <w:p w:rsidR="0088341A" w:rsidRDefault="0088341A" w:rsidP="0088341A">
      <w:pPr>
        <w:pStyle w:val="AERquoteindent1"/>
      </w:pPr>
      <w:r>
        <w:t xml:space="preserve">iii.  </w:t>
      </w:r>
      <w:r w:rsidRPr="000E2F26">
        <w:t>the reasons for that decision.</w:t>
      </w:r>
    </w:p>
    <w:p w:rsidR="0088341A" w:rsidRDefault="0088341A" w:rsidP="0088341A">
      <w:pPr>
        <w:pStyle w:val="HeadingBoldBlue"/>
      </w:pPr>
      <w:r>
        <w:t>Terrorism event</w:t>
      </w:r>
    </w:p>
    <w:p w:rsidR="0088341A" w:rsidRPr="008E78F9" w:rsidRDefault="0088341A" w:rsidP="0088341A">
      <w:pPr>
        <w:pStyle w:val="AERbodytext"/>
        <w:numPr>
          <w:ilvl w:val="0"/>
          <w:numId w:val="1"/>
        </w:numPr>
      </w:pPr>
      <w:r w:rsidRPr="008B071F">
        <w:t xml:space="preserve">SP AusNet </w:t>
      </w:r>
      <w:r>
        <w:t>proposed the following terrorism event definition:</w:t>
      </w:r>
    </w:p>
    <w:p w:rsidR="0088341A" w:rsidRPr="000E2F26" w:rsidRDefault="0088341A" w:rsidP="0088341A">
      <w:pPr>
        <w:pStyle w:val="AERquote"/>
      </w:pPr>
      <w:r>
        <w:t>A terrorism event is:</w:t>
      </w:r>
    </w:p>
    <w:p w:rsidR="0088341A" w:rsidRDefault="0088341A" w:rsidP="0088341A">
      <w:pPr>
        <w:pStyle w:val="AERquote"/>
      </w:pPr>
      <w:r w:rsidRPr="000E2F26">
        <w:t xml:space="preserve">An act (including, but not limited to, the use of force or violence or the threat of force or violence) of any person or group of persons (whether acting alone or on behalf of or in connection with any organisation or government), which from its nature or context is done for, or in connection with, political, religious, ideological, ethnic or similar purposes or reasons (including the intention to influence or intimidate any government and/or put the public, or any section of the public, in fear) and which </w:t>
      </w:r>
      <w:r w:rsidRPr="00260EB9">
        <w:rPr>
          <w:rStyle w:val="AERtextitalic"/>
        </w:rPr>
        <w:t>materially</w:t>
      </w:r>
      <w:r w:rsidRPr="000E2F26">
        <w:t xml:space="preserve"> increases the costs to </w:t>
      </w:r>
      <w:r>
        <w:t>SP AusNet</w:t>
      </w:r>
      <w:r w:rsidRPr="000E2F26">
        <w:t xml:space="preserve"> of providing </w:t>
      </w:r>
      <w:r w:rsidRPr="00C80D60">
        <w:rPr>
          <w:rStyle w:val="AERtextitalic"/>
        </w:rPr>
        <w:t>prescribed transmission services</w:t>
      </w:r>
      <w:r>
        <w:rPr>
          <w:rStyle w:val="AERtextitalic"/>
        </w:rPr>
        <w:t xml:space="preserve"> or the costs to a Distribution Network Service Provider of providing direct control services</w:t>
      </w:r>
      <w:r w:rsidRPr="000E2F26">
        <w:t>.</w:t>
      </w:r>
    </w:p>
    <w:p w:rsidR="0088341A" w:rsidRPr="008E78F9" w:rsidRDefault="0088341A" w:rsidP="0088341A">
      <w:pPr>
        <w:pStyle w:val="AERbodytext"/>
        <w:numPr>
          <w:ilvl w:val="0"/>
          <w:numId w:val="1"/>
        </w:numPr>
      </w:pPr>
      <w:r>
        <w:t>In response to our query why the definition included a reference to Distribution Network Service Providers, SP AusNet resubmitted the terrorism event definition.</w:t>
      </w:r>
      <w:r>
        <w:rPr>
          <w:rStyle w:val="FootnoteReference"/>
        </w:rPr>
        <w:footnoteReference w:id="620"/>
      </w:r>
      <w:r>
        <w:t xml:space="preserve"> The revised definition did not include the phrase </w:t>
      </w:r>
      <w:r w:rsidRPr="008E78F9">
        <w:t>'</w:t>
      </w:r>
      <w:r w:rsidRPr="008E78F9">
        <w:rPr>
          <w:rStyle w:val="AERtextitalic"/>
          <w:i w:val="0"/>
        </w:rPr>
        <w:t>or the costs to a Distribution Network Service Provider of providing direct control services'</w:t>
      </w:r>
      <w:r>
        <w:rPr>
          <w:rStyle w:val="AERtextitalic"/>
        </w:rPr>
        <w:t>.</w:t>
      </w:r>
      <w:r>
        <w:t xml:space="preserve"> </w:t>
      </w:r>
    </w:p>
    <w:p w:rsidR="0088341A" w:rsidRDefault="0088341A" w:rsidP="0088341A">
      <w:pPr>
        <w:pStyle w:val="HeadingBoldBlue"/>
      </w:pPr>
      <w:r>
        <w:t>Liability above insurance cap event</w:t>
      </w:r>
    </w:p>
    <w:p w:rsidR="0088341A" w:rsidRPr="005E5D60" w:rsidRDefault="0088341A" w:rsidP="0088341A">
      <w:pPr>
        <w:pStyle w:val="AERquote"/>
        <w:ind w:right="379"/>
      </w:pPr>
      <w:r>
        <w:t>A liability above</w:t>
      </w:r>
      <w:r w:rsidRPr="005E5D60">
        <w:t xml:space="preserve"> insurance cap event means an event whereby:</w:t>
      </w:r>
    </w:p>
    <w:p w:rsidR="0088341A" w:rsidRPr="00B40D9B" w:rsidRDefault="0088341A" w:rsidP="0088341A">
      <w:pPr>
        <w:pStyle w:val="AERquote"/>
        <w:tabs>
          <w:tab w:val="clear" w:pos="709"/>
          <w:tab w:val="num" w:pos="851"/>
        </w:tabs>
        <w:ind w:left="851" w:right="379" w:hanging="142"/>
      </w:pPr>
      <w:r>
        <w:t xml:space="preserve">1. SP AusNet </w:t>
      </w:r>
      <w:r w:rsidRPr="00B40D9B">
        <w:t xml:space="preserve">makes a claim </w:t>
      </w:r>
      <w:r>
        <w:t xml:space="preserve">or claims </w:t>
      </w:r>
      <w:r w:rsidRPr="00B40D9B">
        <w:t xml:space="preserve">and receives a payment </w:t>
      </w:r>
      <w:r>
        <w:t xml:space="preserve">or payments </w:t>
      </w:r>
      <w:r w:rsidRPr="00B40D9B">
        <w:t>und</w:t>
      </w:r>
      <w:r>
        <w:t>er a relevant insurance policy,</w:t>
      </w:r>
    </w:p>
    <w:p w:rsidR="0088341A" w:rsidRPr="00B40D9B" w:rsidRDefault="0088341A" w:rsidP="0088341A">
      <w:pPr>
        <w:pStyle w:val="AERquote"/>
        <w:tabs>
          <w:tab w:val="clear" w:pos="709"/>
          <w:tab w:val="num" w:pos="851"/>
        </w:tabs>
        <w:ind w:left="851" w:right="379" w:hanging="142"/>
      </w:pPr>
      <w:r>
        <w:t>2. SP AusNet</w:t>
      </w:r>
      <w:r w:rsidRPr="00B40D9B">
        <w:t xml:space="preserve"> incurs costs beyon</w:t>
      </w:r>
      <w:r>
        <w:t>d the relevant policy limit,</w:t>
      </w:r>
      <w:r w:rsidRPr="00B40D9B">
        <w:t xml:space="preserve"> and</w:t>
      </w:r>
    </w:p>
    <w:p w:rsidR="0088341A" w:rsidRPr="00B40D9B" w:rsidRDefault="0088341A" w:rsidP="0088341A">
      <w:pPr>
        <w:pStyle w:val="AERquote"/>
        <w:tabs>
          <w:tab w:val="clear" w:pos="709"/>
          <w:tab w:val="num" w:pos="851"/>
        </w:tabs>
        <w:ind w:left="851" w:right="379" w:hanging="142"/>
      </w:pPr>
      <w:r>
        <w:t>3. t</w:t>
      </w:r>
      <w:r w:rsidRPr="00B40D9B">
        <w:t xml:space="preserve">he costs beyond the relevant policy limit </w:t>
      </w:r>
      <w:r w:rsidRPr="00B40D9B">
        <w:rPr>
          <w:rStyle w:val="AERtextitalic"/>
        </w:rPr>
        <w:t xml:space="preserve">materially </w:t>
      </w:r>
      <w:r w:rsidRPr="00B40D9B">
        <w:t xml:space="preserve">increase the costs to </w:t>
      </w:r>
      <w:r>
        <w:t>SP AusNet</w:t>
      </w:r>
      <w:r w:rsidRPr="00B40D9B">
        <w:t xml:space="preserve"> of providing </w:t>
      </w:r>
      <w:r w:rsidRPr="00B40D9B">
        <w:rPr>
          <w:rStyle w:val="AERtextitalic"/>
        </w:rPr>
        <w:t>prescribed transmission services</w:t>
      </w:r>
      <w:r w:rsidRPr="00B40D9B">
        <w:t>.</w:t>
      </w:r>
    </w:p>
    <w:p w:rsidR="0088341A" w:rsidRPr="005E5D60" w:rsidRDefault="0088341A" w:rsidP="0088341A">
      <w:pPr>
        <w:pStyle w:val="AERquote"/>
        <w:ind w:right="379"/>
      </w:pPr>
      <w:r w:rsidRPr="005E5D60">
        <w:t xml:space="preserve">For </w:t>
      </w:r>
      <w:r>
        <w:t xml:space="preserve">the purposes of </w:t>
      </w:r>
      <w:r w:rsidRPr="005E5D60">
        <w:t>this insurance cap event:</w:t>
      </w:r>
    </w:p>
    <w:p w:rsidR="0088341A" w:rsidRPr="00B40D9B" w:rsidRDefault="0088341A" w:rsidP="0088341A">
      <w:pPr>
        <w:pStyle w:val="AERquote"/>
        <w:ind w:right="379"/>
      </w:pPr>
      <w:r>
        <w:t>4. t</w:t>
      </w:r>
      <w:r w:rsidRPr="00B40D9B">
        <w:t xml:space="preserve">he relevant policy limit is the greater of: </w:t>
      </w:r>
    </w:p>
    <w:p w:rsidR="0088341A" w:rsidRPr="00B40D9B" w:rsidRDefault="0088341A" w:rsidP="0088341A">
      <w:pPr>
        <w:pStyle w:val="AERquoteindent1"/>
        <w:ind w:right="379"/>
      </w:pPr>
      <w:r>
        <w:t>a.</w:t>
      </w:r>
      <w:r>
        <w:tab/>
        <w:t>SP Aus</w:t>
      </w:r>
      <w:r w:rsidRPr="00B40D9B">
        <w:t>Net’s actual policy limit at the time of the event that gives</w:t>
      </w:r>
      <w:r>
        <w:t xml:space="preserve"> </w:t>
      </w:r>
      <w:r w:rsidRPr="00B40D9B">
        <w:t>rise to the claim, and</w:t>
      </w:r>
    </w:p>
    <w:p w:rsidR="0088341A" w:rsidRPr="00B40D9B" w:rsidRDefault="0088341A" w:rsidP="0088341A">
      <w:pPr>
        <w:pStyle w:val="AERquoteindent1"/>
        <w:tabs>
          <w:tab w:val="clear" w:pos="1077"/>
          <w:tab w:val="num" w:pos="1418"/>
        </w:tabs>
        <w:ind w:left="1418" w:right="379" w:hanging="341"/>
      </w:pPr>
      <w:r>
        <w:t xml:space="preserve">b. </w:t>
      </w:r>
      <w:r>
        <w:tab/>
        <w:t>its policy limit at the time the AER made its final decision on SP AusNet's transmission determination proposal for the period 2014–17.</w:t>
      </w:r>
      <w:r w:rsidRPr="00B40D9B">
        <w:t xml:space="preserve"> </w:t>
      </w:r>
    </w:p>
    <w:p w:rsidR="0088341A" w:rsidRPr="005E5D60" w:rsidRDefault="0088341A" w:rsidP="0088341A">
      <w:pPr>
        <w:pStyle w:val="AERquote"/>
        <w:tabs>
          <w:tab w:val="clear" w:pos="709"/>
          <w:tab w:val="num" w:pos="851"/>
        </w:tabs>
        <w:ind w:left="851" w:right="379" w:hanging="142"/>
      </w:pPr>
      <w:r>
        <w:t>5. For the avoidance of doubt</w:t>
      </w:r>
      <w:r w:rsidRPr="005E5D60">
        <w:t xml:space="preserve">, in assessing an insurance cap event cost pass through application under rule 6A.7.3, the AER will have regard to: </w:t>
      </w:r>
    </w:p>
    <w:p w:rsidR="0088341A" w:rsidRPr="00B40D9B" w:rsidRDefault="0088341A" w:rsidP="0088341A">
      <w:pPr>
        <w:pStyle w:val="AERquoteindent1"/>
        <w:tabs>
          <w:tab w:val="clear" w:pos="1077"/>
        </w:tabs>
        <w:ind w:right="379"/>
      </w:pPr>
      <w:r>
        <w:t>i.</w:t>
      </w:r>
      <w:r>
        <w:tab/>
      </w:r>
      <w:r w:rsidRPr="00B40D9B">
        <w:t xml:space="preserve">the insurance premium proposal submitted by </w:t>
      </w:r>
      <w:r>
        <w:t>SP Aus</w:t>
      </w:r>
      <w:r w:rsidRPr="00B40D9B">
        <w:t xml:space="preserve">Net in its </w:t>
      </w:r>
      <w:r w:rsidRPr="00B40D9B">
        <w:rPr>
          <w:rStyle w:val="AERtextitalic"/>
        </w:rPr>
        <w:t>revenue proposal</w:t>
      </w:r>
    </w:p>
    <w:p w:rsidR="0088341A" w:rsidRPr="00B40D9B" w:rsidRDefault="0088341A" w:rsidP="0088341A">
      <w:pPr>
        <w:pStyle w:val="AERquoteindent1"/>
        <w:tabs>
          <w:tab w:val="clear" w:pos="1077"/>
        </w:tabs>
        <w:ind w:left="1418" w:right="379" w:hanging="341"/>
      </w:pPr>
      <w:r>
        <w:t>ii.</w:t>
      </w:r>
      <w:r>
        <w:tab/>
      </w:r>
      <w:r w:rsidRPr="00B40D9B">
        <w:t>the forecast operating expenditure allowance approved in the AER’s final decision; and</w:t>
      </w:r>
    </w:p>
    <w:p w:rsidR="0088341A" w:rsidRDefault="0088341A" w:rsidP="0088341A">
      <w:pPr>
        <w:pStyle w:val="AERquoteindent1"/>
        <w:tabs>
          <w:tab w:val="clear" w:pos="1077"/>
        </w:tabs>
        <w:ind w:right="379"/>
      </w:pPr>
      <w:r>
        <w:t xml:space="preserve">iii. </w:t>
      </w:r>
      <w:r>
        <w:tab/>
      </w:r>
      <w:r w:rsidRPr="00B40D9B">
        <w:t>the reasons for that decision.</w:t>
      </w:r>
    </w:p>
    <w:p w:rsidR="0088341A" w:rsidRPr="00B40D9B" w:rsidRDefault="0088341A" w:rsidP="0088341A">
      <w:pPr>
        <w:pStyle w:val="AERquote"/>
        <w:tabs>
          <w:tab w:val="clear" w:pos="709"/>
          <w:tab w:val="num" w:pos="851"/>
        </w:tabs>
        <w:ind w:left="851" w:right="379" w:hanging="142"/>
      </w:pPr>
      <w:r>
        <w:t xml:space="preserve">6. </w:t>
      </w:r>
      <w:r w:rsidRPr="00B40D9B">
        <w:t>A relevant insurance policy is an insura</w:t>
      </w:r>
      <w:r>
        <w:t>nce policy held during the 2014–17</w:t>
      </w:r>
      <w:r w:rsidRPr="00B40D9B">
        <w:t xml:space="preserve"> regulatory control period or a previous </w:t>
      </w:r>
      <w:r w:rsidRPr="00B40D9B">
        <w:rPr>
          <w:rStyle w:val="AERtextitalic"/>
        </w:rPr>
        <w:t>regulatory control period</w:t>
      </w:r>
      <w:r w:rsidRPr="00B40D9B">
        <w:t xml:space="preserve"> in which </w:t>
      </w:r>
      <w:r>
        <w:t>SP Aus</w:t>
      </w:r>
      <w:r w:rsidRPr="00B40D9B">
        <w:t>Net was regulated.</w:t>
      </w:r>
    </w:p>
    <w:p w:rsidR="0088341A" w:rsidRDefault="0088341A" w:rsidP="0088341A">
      <w:pPr>
        <w:pStyle w:val="Heading2"/>
        <w:numPr>
          <w:ilvl w:val="2"/>
          <w:numId w:val="20"/>
        </w:numPr>
      </w:pPr>
      <w:bookmarkStart w:id="401" w:name="_Toc365283364"/>
      <w:r>
        <w:t>Assessment approach</w:t>
      </w:r>
      <w:bookmarkEnd w:id="401"/>
    </w:p>
    <w:p w:rsidR="0088341A" w:rsidRPr="00371E87" w:rsidRDefault="0088341A" w:rsidP="0088341A">
      <w:pPr>
        <w:pStyle w:val="AERbodytext"/>
        <w:numPr>
          <w:ilvl w:val="0"/>
          <w:numId w:val="1"/>
        </w:numPr>
        <w:rPr>
          <w:highlight w:val="yellow"/>
        </w:rPr>
      </w:pPr>
      <w:r>
        <w:t>We assessed SP AusNet’s nominated cost pass through events taking into account the nominated pass through event considerations.</w:t>
      </w:r>
      <w:r>
        <w:rPr>
          <w:rStyle w:val="FootnoteReference"/>
        </w:rPr>
        <w:footnoteReference w:id="621"/>
      </w:r>
      <w:r>
        <w:t xml:space="preserve"> Where we were not satisfied that the nominated pass through event should be accepted we considered whether amendments could be made to the proposal that would make a pass through event acceptable within the terms of the NER. </w:t>
      </w:r>
    </w:p>
    <w:p w:rsidR="0088341A" w:rsidRDefault="0088341A" w:rsidP="0088341A">
      <w:pPr>
        <w:pStyle w:val="HeadingBoldBlue"/>
      </w:pPr>
      <w:r>
        <w:lastRenderedPageBreak/>
        <w:t>Nominated pass through event considerations</w:t>
      </w:r>
    </w:p>
    <w:p w:rsidR="0088341A" w:rsidRDefault="0088341A" w:rsidP="0088341A">
      <w:pPr>
        <w:pStyle w:val="AERbodytext"/>
        <w:numPr>
          <w:ilvl w:val="0"/>
          <w:numId w:val="1"/>
        </w:numPr>
      </w:pPr>
      <w:r>
        <w:t>To promote the efficient allocation of risk between service providers and their customers, the Australian Energy Market Commission (AEMC) amended the NER to include the following factors that we must consider when assessing nominated pass through events:</w:t>
      </w:r>
      <w:r>
        <w:rPr>
          <w:rStyle w:val="FootnoteReference"/>
        </w:rPr>
        <w:footnoteReference w:id="622"/>
      </w:r>
    </w:p>
    <w:p w:rsidR="0088341A" w:rsidRPr="00E30C26" w:rsidRDefault="0088341A" w:rsidP="0088341A">
      <w:pPr>
        <w:pStyle w:val="AERnumberedlistfirststyle"/>
        <w:numPr>
          <w:ilvl w:val="1"/>
          <w:numId w:val="1"/>
        </w:numPr>
      </w:pPr>
      <w:r w:rsidRPr="00E30C26">
        <w:t xml:space="preserve">whether the event </w:t>
      </w:r>
      <w:r>
        <w:t>is</w:t>
      </w:r>
      <w:r w:rsidRPr="00E30C26">
        <w:t xml:space="preserve"> covered by a</w:t>
      </w:r>
      <w:r>
        <w:t>nother</w:t>
      </w:r>
      <w:r w:rsidRPr="00E30C26">
        <w:t xml:space="preserve"> category of pass through event </w:t>
      </w:r>
    </w:p>
    <w:p w:rsidR="0088341A" w:rsidRPr="00E30C26" w:rsidRDefault="0088341A" w:rsidP="0088341A">
      <w:pPr>
        <w:pStyle w:val="AERnumberedlistfirststyle"/>
        <w:numPr>
          <w:ilvl w:val="1"/>
          <w:numId w:val="1"/>
        </w:numPr>
      </w:pPr>
      <w:r w:rsidRPr="00E30C26">
        <w:t xml:space="preserve">whether the nature or type of event can be clearly identified </w:t>
      </w:r>
    </w:p>
    <w:p w:rsidR="0088341A" w:rsidRPr="00E30C26" w:rsidRDefault="0088341A" w:rsidP="0088341A">
      <w:pPr>
        <w:pStyle w:val="AERnumberedlistfirststyle"/>
        <w:numPr>
          <w:ilvl w:val="1"/>
          <w:numId w:val="1"/>
        </w:numPr>
      </w:pPr>
      <w:r w:rsidRPr="00E30C26">
        <w:t>whether a prudent service provider could reasonably prevent an event of that nature from occurring or substantially mitigate t</w:t>
      </w:r>
      <w:r>
        <w:t>he cost impact of such an event</w:t>
      </w:r>
    </w:p>
    <w:p w:rsidR="0088341A" w:rsidRPr="00E30C26" w:rsidRDefault="0088341A" w:rsidP="0088341A">
      <w:pPr>
        <w:pStyle w:val="AERnumberedlistfirststyle"/>
        <w:numPr>
          <w:ilvl w:val="1"/>
          <w:numId w:val="1"/>
        </w:numPr>
      </w:pPr>
      <w:r w:rsidRPr="00E30C26">
        <w:t>whether the relevant service provider could insure against the event, having regard to:</w:t>
      </w:r>
    </w:p>
    <w:p w:rsidR="0088341A" w:rsidRPr="00E30C26" w:rsidRDefault="0088341A" w:rsidP="0088341A">
      <w:pPr>
        <w:pStyle w:val="AERnumberedlistsecondstyle"/>
        <w:numPr>
          <w:ilvl w:val="2"/>
          <w:numId w:val="1"/>
        </w:numPr>
      </w:pPr>
      <w:r w:rsidRPr="00E30C26">
        <w:t>the availability (including the extent of availability in terms of liability limits) of insurance against the event</w:t>
      </w:r>
      <w:r>
        <w:t xml:space="preserve"> on reasonable commercial terms,</w:t>
      </w:r>
      <w:r w:rsidRPr="00E30C26">
        <w:t xml:space="preserve"> or</w:t>
      </w:r>
    </w:p>
    <w:p w:rsidR="0088341A" w:rsidRPr="00E30C26" w:rsidRDefault="0088341A" w:rsidP="0088341A">
      <w:pPr>
        <w:pStyle w:val="AERnumberedlistsecondstyle"/>
        <w:numPr>
          <w:ilvl w:val="2"/>
          <w:numId w:val="1"/>
        </w:numPr>
      </w:pPr>
      <w:r>
        <w:t xml:space="preserve">whether the event can be self </w:t>
      </w:r>
      <w:r w:rsidRPr="00E30C26">
        <w:t>insured on the basis that:</w:t>
      </w:r>
    </w:p>
    <w:p w:rsidR="0088341A" w:rsidRPr="00E30C26" w:rsidRDefault="0088341A" w:rsidP="0088341A">
      <w:pPr>
        <w:pStyle w:val="AERnumberedlistthirdstyle"/>
        <w:numPr>
          <w:ilvl w:val="3"/>
          <w:numId w:val="1"/>
        </w:numPr>
      </w:pPr>
      <w:r w:rsidRPr="00E30C26">
        <w:t>it is</w:t>
      </w:r>
      <w:r>
        <w:t xml:space="preserve"> possible to calculate the self insurance premium,</w:t>
      </w:r>
      <w:r w:rsidRPr="00E30C26">
        <w:t xml:space="preserve"> and</w:t>
      </w:r>
    </w:p>
    <w:p w:rsidR="0088341A" w:rsidRDefault="0088341A" w:rsidP="0088341A">
      <w:pPr>
        <w:pStyle w:val="AERnumberedlistthirdstyle"/>
        <w:numPr>
          <w:ilvl w:val="3"/>
          <w:numId w:val="1"/>
        </w:numPr>
      </w:pPr>
      <w:r w:rsidRPr="00E30C26">
        <w:t xml:space="preserve">the potential cost to the relevant service provider would not have a significant impact on the service provider’s ability </w:t>
      </w:r>
      <w:r>
        <w:t>to provide network services</w:t>
      </w:r>
      <w:r w:rsidRPr="00E30C26">
        <w:t>.</w:t>
      </w:r>
    </w:p>
    <w:p w:rsidR="0088341A" w:rsidRPr="008260D2" w:rsidRDefault="0088341A" w:rsidP="0088341A">
      <w:pPr>
        <w:pStyle w:val="AERnumberedlistfirststyle"/>
        <w:numPr>
          <w:ilvl w:val="1"/>
          <w:numId w:val="1"/>
        </w:numPr>
      </w:pPr>
      <w:r>
        <w:t>any other matter the AER considers relevant and which the AER has notified Network Service Providers is a nominated pass through event consideration.</w:t>
      </w:r>
    </w:p>
    <w:p w:rsidR="0088341A" w:rsidRDefault="0088341A" w:rsidP="0088341A">
      <w:pPr>
        <w:pStyle w:val="AERbodytext"/>
        <w:numPr>
          <w:ilvl w:val="0"/>
          <w:numId w:val="1"/>
        </w:numPr>
      </w:pPr>
      <w:r>
        <w:t xml:space="preserve">We are also mindful of the overall context of incentive regulation. We need to preserve the incentives a TNSP faces to efficiently manage its risk. This is generally achieved when the party who is in the best position to manage the risk bears the risk. In addition to the efficient costs associated with managing, mitigating or avoiding risks, there is also the underlying question of the appropriate risk demarcation point and the person who is best placed to bear that risk. We intend to review our approach to </w:t>
      </w:r>
      <w:r w:rsidRPr="00051F3A">
        <w:t>nominated pass through events</w:t>
      </w:r>
      <w:r>
        <w:t xml:space="preserve">, and risk allocation more generally, in the near future. As part of this broader review, we will consider in detail how risks should be allocated </w:t>
      </w:r>
      <w:r w:rsidRPr="00051F3A">
        <w:t>between service providers and their customers</w:t>
      </w:r>
      <w:r>
        <w:t xml:space="preserve">. </w:t>
      </w:r>
      <w:r w:rsidRPr="00051F3A">
        <w:t xml:space="preserve">We </w:t>
      </w:r>
      <w:r>
        <w:t>will consult widely on these matters as part of that review.</w:t>
      </w:r>
    </w:p>
    <w:p w:rsidR="0088341A" w:rsidRDefault="00175900" w:rsidP="0088341A">
      <w:pPr>
        <w:pStyle w:val="AERbodytext"/>
        <w:numPr>
          <w:ilvl w:val="0"/>
          <w:numId w:val="1"/>
        </w:numPr>
      </w:pPr>
      <w:r>
        <w:fldChar w:fldCharType="begin"/>
      </w:r>
      <w:r>
        <w:instrText xml:space="preserve"> REF _Ref365387583 \h </w:instrText>
      </w:r>
      <w:r>
        <w:fldChar w:fldCharType="separate"/>
      </w:r>
      <w:r w:rsidR="004F35AA">
        <w:t xml:space="preserve">Figure </w:t>
      </w:r>
      <w:r w:rsidR="004F35AA">
        <w:rPr>
          <w:noProof/>
        </w:rPr>
        <w:t>14</w:t>
      </w:r>
      <w:r w:rsidR="004F35AA">
        <w:t>.</w:t>
      </w:r>
      <w:r w:rsidR="004F35AA">
        <w:rPr>
          <w:noProof/>
        </w:rPr>
        <w:t>1</w:t>
      </w:r>
      <w:r>
        <w:fldChar w:fldCharType="end"/>
      </w:r>
      <w:r>
        <w:t xml:space="preserve"> </w:t>
      </w:r>
      <w:r w:rsidR="0088341A">
        <w:t xml:space="preserve">summarises the underlying concept of risk allocation that will be explored more fully in our review. </w:t>
      </w:r>
    </w:p>
    <w:p w:rsidR="0088341A" w:rsidRDefault="00175900" w:rsidP="00175900">
      <w:pPr>
        <w:pStyle w:val="Caption"/>
      </w:pPr>
      <w:bookmarkStart w:id="402" w:name="_Ref365387583"/>
      <w:r>
        <w:lastRenderedPageBreak/>
        <w:t xml:space="preserve">Figure </w:t>
      </w:r>
      <w:fldSimple w:instr=" STYLEREF 1 \s ">
        <w:r w:rsidR="004F35AA">
          <w:rPr>
            <w:noProof/>
          </w:rPr>
          <w:t>14</w:t>
        </w:r>
      </w:fldSimple>
      <w:r w:rsidR="00C56A87">
        <w:t>.</w:t>
      </w:r>
      <w:fldSimple w:instr=" SEQ Figure \* ARABIC \s 1 ">
        <w:r w:rsidR="004F35AA">
          <w:rPr>
            <w:noProof/>
          </w:rPr>
          <w:t>1</w:t>
        </w:r>
      </w:fldSimple>
      <w:bookmarkEnd w:id="402"/>
      <w:r w:rsidR="0088341A">
        <w:tab/>
        <w:t xml:space="preserve">Efficient risk allocation </w:t>
      </w:r>
    </w:p>
    <w:p w:rsidR="0088341A" w:rsidRPr="00051F3A" w:rsidRDefault="0088341A" w:rsidP="0088341A">
      <w:pPr>
        <w:pStyle w:val="AERbodytext"/>
        <w:numPr>
          <w:ilvl w:val="0"/>
          <w:numId w:val="1"/>
        </w:numPr>
      </w:pPr>
      <w:r>
        <w:rPr>
          <w:noProof/>
          <w:lang w:eastAsia="en-AU"/>
        </w:rPr>
        <w:drawing>
          <wp:inline distT="0" distB="0" distL="0" distR="0" wp14:anchorId="6BB87FFB" wp14:editId="2012BDFE">
            <wp:extent cx="5730875" cy="30194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9" cstate="print">
                      <a:extLst>
                        <a:ext uri="{28A0092B-C50C-407E-A947-70E740481C1C}">
                          <a14:useLocalDpi xmlns:a14="http://schemas.microsoft.com/office/drawing/2010/main" val="0"/>
                        </a:ext>
                      </a:extLst>
                    </a:blip>
                    <a:srcRect t="8073"/>
                    <a:stretch>
                      <a:fillRect/>
                    </a:stretch>
                  </pic:blipFill>
                  <pic:spPr bwMode="auto">
                    <a:xfrm>
                      <a:off x="0" y="0"/>
                      <a:ext cx="5730875" cy="3019425"/>
                    </a:xfrm>
                    <a:prstGeom prst="rect">
                      <a:avLst/>
                    </a:prstGeom>
                    <a:noFill/>
                    <a:ln>
                      <a:noFill/>
                    </a:ln>
                  </pic:spPr>
                </pic:pic>
              </a:graphicData>
            </a:graphic>
          </wp:inline>
        </w:drawing>
      </w:r>
    </w:p>
    <w:p w:rsidR="0088341A" w:rsidRDefault="0088341A" w:rsidP="0088341A">
      <w:pPr>
        <w:pStyle w:val="AERbodytext"/>
        <w:numPr>
          <w:ilvl w:val="0"/>
          <w:numId w:val="1"/>
        </w:numPr>
      </w:pPr>
      <w:r>
        <w:t>There is an incentive for a TNSP to want to shift as much risk as possible onto consumers through nominating multiple cost pass through events, in addition to the events defined in the NER. It is our responsibility to allow only the events that we are satisfied are acceptable taking into account the nominated pass through event considerations.</w:t>
      </w:r>
      <w:r>
        <w:rPr>
          <w:rStyle w:val="FootnoteReference"/>
        </w:rPr>
        <w:footnoteReference w:id="623"/>
      </w:r>
    </w:p>
    <w:p w:rsidR="0088341A" w:rsidRDefault="0088341A" w:rsidP="0088341A">
      <w:pPr>
        <w:pStyle w:val="AERbodytext"/>
        <w:numPr>
          <w:ilvl w:val="0"/>
          <w:numId w:val="1"/>
        </w:numPr>
      </w:pPr>
      <w:r>
        <w:t>All businesses face risks. Strategies to manage risk typically involve transferring the risk to another party (insurance), avoiding the risk (prevention), reducing the negative effect or probability of the risk (mitigation) or even accepting some or all of the consequences of a particular risk (self-insurance). An efficient business will manage its risk by employing the most cost effective combination of these strategies.</w:t>
      </w:r>
    </w:p>
    <w:p w:rsidR="0088341A" w:rsidRDefault="0088341A" w:rsidP="0088341A">
      <w:pPr>
        <w:pStyle w:val="AERbodytext"/>
        <w:numPr>
          <w:ilvl w:val="0"/>
          <w:numId w:val="1"/>
        </w:numPr>
      </w:pPr>
      <w:r>
        <w:t>Factors which affect the market generally, and not just SP AusNet, are systematic risks. SP AusNet is compensated for these risks through the Weighted Average Cost of Capital. SP AusNet is expected to manage its residual risks through a combination of prevention, mitigation, insurance and self-insurance and these activities are generally compensated for through its opex and capex allowances.</w:t>
      </w:r>
    </w:p>
    <w:p w:rsidR="0088341A" w:rsidRDefault="0088341A" w:rsidP="0088341A">
      <w:pPr>
        <w:pStyle w:val="AERbodytext"/>
        <w:numPr>
          <w:ilvl w:val="0"/>
          <w:numId w:val="1"/>
        </w:numPr>
      </w:pPr>
      <w:r>
        <w:t xml:space="preserve">However, there are some risks, such as natural disasters, which have a very low probability of occurring but a very high cost, so high that they may impact on the financial viability of the network service provider. SP AusNet is expected to manage these types of risk. In doing so, there may be a level of cover beyond which it is not efficient/reasonable for SP AusNet to insure (either through commercial insurance or through self-insurance). In these circumstances, and only after all other risk management strategies have been exhausted, it may be in consumers’ interest to pay for the event if and when it happens through the cost pass through mechanism rather than annually through insurance premiums. </w:t>
      </w:r>
    </w:p>
    <w:p w:rsidR="0088341A" w:rsidRPr="00051F3A" w:rsidRDefault="0088341A" w:rsidP="0088341A">
      <w:pPr>
        <w:pStyle w:val="AERbodytext"/>
        <w:numPr>
          <w:ilvl w:val="0"/>
          <w:numId w:val="1"/>
        </w:numPr>
      </w:pPr>
      <w:r>
        <w:t xml:space="preserve">In this decision, we focus on assessing whether SP AusNet has given sufficient consideration to the availability of insurance and that its proposed event definitions do not inappropriately transfer risk to </w:t>
      </w:r>
      <w:r>
        <w:lastRenderedPageBreak/>
        <w:t>consumers. We also consider it good regulatory practice to achieve as much consistency as possible across our transmission determinations.</w:t>
      </w:r>
      <w:r w:rsidRPr="0030460F">
        <w:rPr>
          <w:rStyle w:val="FootnoteReference"/>
        </w:rPr>
        <w:t xml:space="preserve"> </w:t>
      </w:r>
      <w:r>
        <w:rPr>
          <w:rStyle w:val="FootnoteReference"/>
        </w:rPr>
        <w:footnoteReference w:id="624"/>
      </w:r>
    </w:p>
    <w:p w:rsidR="0088341A" w:rsidRPr="003800E4" w:rsidRDefault="0088341A" w:rsidP="0088341A">
      <w:pPr>
        <w:pStyle w:val="Heading2"/>
        <w:numPr>
          <w:ilvl w:val="2"/>
          <w:numId w:val="20"/>
        </w:numPr>
      </w:pPr>
      <w:bookmarkStart w:id="403" w:name="_Toc365283365"/>
      <w:r>
        <w:t>Reasons for draft decision</w:t>
      </w:r>
      <w:bookmarkEnd w:id="403"/>
      <w:r>
        <w:t xml:space="preserve"> </w:t>
      </w:r>
    </w:p>
    <w:p w:rsidR="0088341A" w:rsidRDefault="0088341A" w:rsidP="0088341A">
      <w:pPr>
        <w:pStyle w:val="AERbodytext"/>
        <w:numPr>
          <w:ilvl w:val="0"/>
          <w:numId w:val="1"/>
        </w:numPr>
      </w:pPr>
      <w:r>
        <w:t>The following sets out our reasons for amending and approving the cost pass through events proposed by SP AusNet.</w:t>
      </w:r>
    </w:p>
    <w:p w:rsidR="0088341A" w:rsidRDefault="0088341A" w:rsidP="0088341A">
      <w:pPr>
        <w:pStyle w:val="HeadingBoldBlue"/>
      </w:pPr>
      <w:r>
        <w:t>Natural disaster event</w:t>
      </w:r>
    </w:p>
    <w:p w:rsidR="0088341A" w:rsidRDefault="0088341A" w:rsidP="0088341A">
      <w:pPr>
        <w:pStyle w:val="AERbodytext"/>
        <w:numPr>
          <w:ilvl w:val="0"/>
          <w:numId w:val="1"/>
        </w:numPr>
      </w:pPr>
      <w:r w:rsidRPr="000E2F26">
        <w:t>We</w:t>
      </w:r>
      <w:r>
        <w:t xml:space="preserve"> do not</w:t>
      </w:r>
      <w:r w:rsidRPr="000E2F26">
        <w:t xml:space="preserve"> accept </w:t>
      </w:r>
      <w:r>
        <w:t>the</w:t>
      </w:r>
      <w:r w:rsidRPr="000E2F26">
        <w:t xml:space="preserve"> </w:t>
      </w:r>
      <w:r>
        <w:t>natural disaster</w:t>
      </w:r>
      <w:r w:rsidRPr="000E2F26">
        <w:t xml:space="preserve"> event </w:t>
      </w:r>
      <w:r>
        <w:t xml:space="preserve">as </w:t>
      </w:r>
      <w:r w:rsidRPr="000E2F26">
        <w:t xml:space="preserve">nominated by </w:t>
      </w:r>
      <w:r>
        <w:t>SP Aus</w:t>
      </w:r>
      <w:r w:rsidRPr="000E2F26">
        <w:t xml:space="preserve">Net in its </w:t>
      </w:r>
      <w:r>
        <w:t>revenue</w:t>
      </w:r>
      <w:r w:rsidRPr="000E2F26">
        <w:t xml:space="preserve"> proposal</w:t>
      </w:r>
      <w:r>
        <w:t xml:space="preserve">. We included an explanation of 'major' in the definition. </w:t>
      </w:r>
    </w:p>
    <w:p w:rsidR="0088341A" w:rsidRDefault="0088341A" w:rsidP="0088341A">
      <w:pPr>
        <w:pStyle w:val="AERbodytext"/>
        <w:numPr>
          <w:ilvl w:val="0"/>
          <w:numId w:val="1"/>
        </w:numPr>
      </w:pPr>
      <w:r>
        <w:t>The event must be a 'major' natural disaster event, in the sense that it is a serious or significant natural disaster event. Defining the term 'major' in the natural disaster event definition:</w:t>
      </w:r>
    </w:p>
    <w:p w:rsidR="0088341A" w:rsidRDefault="0088341A" w:rsidP="0088341A">
      <w:pPr>
        <w:pStyle w:val="AERbulletlistfirststyle"/>
      </w:pPr>
      <w:r>
        <w:t>is consistent with the nominated pass through event considerations (discussed below)</w:t>
      </w:r>
    </w:p>
    <w:p w:rsidR="0088341A" w:rsidRDefault="0088341A" w:rsidP="0088341A">
      <w:pPr>
        <w:pStyle w:val="AERbulletlistfirststyle"/>
      </w:pPr>
      <w:r>
        <w:t xml:space="preserve">ensures manageable and affordable risk lies with SP AusNet, not its customers </w:t>
      </w:r>
    </w:p>
    <w:p w:rsidR="0088341A" w:rsidRDefault="0088341A" w:rsidP="0088341A">
      <w:pPr>
        <w:pStyle w:val="AERbulletlistfirststyle"/>
      </w:pPr>
      <w:r>
        <w:t>requires SP AusNet to manage the risk of non-major events through insurance, self-insurance and mitigation.</w:t>
      </w:r>
    </w:p>
    <w:p w:rsidR="0088341A" w:rsidRDefault="0088341A" w:rsidP="0088341A">
      <w:pPr>
        <w:pStyle w:val="HeadingBoldItalic"/>
      </w:pPr>
      <w:r>
        <w:t>Nominated pass through event considerations</w:t>
      </w:r>
    </w:p>
    <w:p w:rsidR="0088341A" w:rsidRDefault="0088341A" w:rsidP="0088341A">
      <w:pPr>
        <w:pStyle w:val="AERbodytext"/>
        <w:numPr>
          <w:ilvl w:val="0"/>
          <w:numId w:val="1"/>
        </w:numPr>
      </w:pPr>
      <w:r>
        <w:t xml:space="preserve">After considering all of the </w:t>
      </w:r>
      <w:r w:rsidRPr="00437E63">
        <w:t>nominated pass through event considerations</w:t>
      </w:r>
      <w:r>
        <w:t>, we consider the following have not been sufficiently accounted for by SP AusNet:</w:t>
      </w:r>
      <w:r>
        <w:rPr>
          <w:rStyle w:val="FootnoteReference"/>
        </w:rPr>
        <w:footnoteReference w:id="625"/>
      </w:r>
    </w:p>
    <w:p w:rsidR="0088341A" w:rsidRPr="00E30C26" w:rsidRDefault="0088341A" w:rsidP="0088341A">
      <w:pPr>
        <w:pStyle w:val="AERnumberedlistfirststyle"/>
        <w:numPr>
          <w:ilvl w:val="1"/>
          <w:numId w:val="1"/>
        </w:numPr>
      </w:pPr>
      <w:r w:rsidRPr="00E30C26">
        <w:t xml:space="preserve">whether </w:t>
      </w:r>
      <w:r>
        <w:t>SP AusNet can insure against the proposed event on reasonable commercial terms</w:t>
      </w:r>
      <w:r w:rsidRPr="00E30C26">
        <w:t xml:space="preserve"> </w:t>
      </w:r>
    </w:p>
    <w:p w:rsidR="0088341A" w:rsidRDefault="0088341A" w:rsidP="0088341A">
      <w:pPr>
        <w:pStyle w:val="AERnumberedlistfirststyle"/>
        <w:numPr>
          <w:ilvl w:val="1"/>
          <w:numId w:val="1"/>
        </w:numPr>
      </w:pPr>
      <w:r w:rsidRPr="00E30C26">
        <w:t xml:space="preserve">whether </w:t>
      </w:r>
      <w:r>
        <w:t>the</w:t>
      </w:r>
      <w:r w:rsidRPr="00E30C26">
        <w:t xml:space="preserve"> </w:t>
      </w:r>
      <w:r>
        <w:t>proposed event can be self-insured</w:t>
      </w:r>
    </w:p>
    <w:p w:rsidR="0088341A" w:rsidRPr="00E30C26" w:rsidRDefault="0088341A" w:rsidP="0088341A">
      <w:pPr>
        <w:pStyle w:val="AERnumberedlistfirststyle"/>
        <w:numPr>
          <w:ilvl w:val="1"/>
          <w:numId w:val="1"/>
        </w:numPr>
      </w:pPr>
      <w:r>
        <w:t>other relevant factors.</w:t>
      </w:r>
      <w:r>
        <w:rPr>
          <w:rStyle w:val="FootnoteReference"/>
        </w:rPr>
        <w:footnoteReference w:id="626"/>
      </w:r>
    </w:p>
    <w:p w:rsidR="0088341A" w:rsidRDefault="0088341A" w:rsidP="0088341A">
      <w:pPr>
        <w:pStyle w:val="AERbodytext"/>
        <w:numPr>
          <w:ilvl w:val="0"/>
          <w:numId w:val="1"/>
        </w:numPr>
      </w:pPr>
      <w:r w:rsidRPr="00C65B22">
        <w:t>We consid</w:t>
      </w:r>
      <w:r>
        <w:t>er insurance is likely to be available on reasonable commercial terms for natural disasters that are less than serious or significant:</w:t>
      </w:r>
    </w:p>
    <w:p w:rsidR="0088341A" w:rsidRDefault="0088341A" w:rsidP="0088341A">
      <w:pPr>
        <w:pStyle w:val="AERbulletlistfirststyle"/>
      </w:pPr>
      <w:r>
        <w:t>Businesses may obtain insurance cover for transmission line loss up to US$20 million. A report commissioned by Grid Australia indicated commercial insurance for damage to transmission and distribution lines may be available for cover up to, but not above, US$20 million.</w:t>
      </w:r>
      <w:r>
        <w:rPr>
          <w:rStyle w:val="FootnoteReference"/>
        </w:rPr>
        <w:footnoteReference w:id="627"/>
      </w:r>
      <w:r>
        <w:t xml:space="preserve"> </w:t>
      </w:r>
    </w:p>
    <w:p w:rsidR="0088341A" w:rsidRDefault="0088341A" w:rsidP="0088341A">
      <w:pPr>
        <w:pStyle w:val="AERbulletlistfirststyle"/>
      </w:pPr>
      <w:r>
        <w:t>In 2010, Powerlink</w:t>
      </w:r>
      <w:r>
        <w:rPr>
          <w:rStyle w:val="FootnoteReference"/>
        </w:rPr>
        <w:footnoteReference w:id="628"/>
      </w:r>
      <w:r>
        <w:t>, obtained insurance for risks to its towers and lines consistent with the insurance ceiling noted in the Grid Australia report.</w:t>
      </w:r>
      <w:r>
        <w:rPr>
          <w:rStyle w:val="FootnoteReference"/>
        </w:rPr>
        <w:footnoteReference w:id="629"/>
      </w:r>
    </w:p>
    <w:p w:rsidR="0088341A" w:rsidRDefault="0088341A" w:rsidP="0088341A">
      <w:pPr>
        <w:pStyle w:val="AERbodytext"/>
        <w:numPr>
          <w:ilvl w:val="0"/>
          <w:numId w:val="1"/>
        </w:numPr>
      </w:pPr>
      <w:r>
        <w:lastRenderedPageBreak/>
        <w:t xml:space="preserve">Specifying that the natural disaster event must be a serious and significant event helps ensure the event captures only potential financial damage that is not insurable. </w:t>
      </w:r>
    </w:p>
    <w:p w:rsidR="0088341A" w:rsidRDefault="0088341A" w:rsidP="0088341A">
      <w:pPr>
        <w:pStyle w:val="AERbodytext"/>
        <w:numPr>
          <w:ilvl w:val="0"/>
          <w:numId w:val="1"/>
        </w:numPr>
      </w:pPr>
      <w:r>
        <w:t xml:space="preserve">We are also required to consider whether the event can be self-insured, such that it is possible to calculate the self-insurance premium and the potential cost would not have a significant impact on the service provider's ability to provide network services. </w:t>
      </w:r>
      <w:r w:rsidRPr="00C65B22">
        <w:t>We consid</w:t>
      </w:r>
      <w:r>
        <w:t xml:space="preserve">er a natural disaster event </w:t>
      </w:r>
      <w:r w:rsidRPr="00C65B22">
        <w:t xml:space="preserve">that </w:t>
      </w:r>
      <w:r>
        <w:t>is less than serious and significant can be self-insured. Further, an event would need to be major to have a significant impact on SP AusNet's ability to provide network services</w:t>
      </w:r>
      <w:r w:rsidRPr="00D3457F">
        <w:t>.</w:t>
      </w:r>
    </w:p>
    <w:p w:rsidR="0088341A" w:rsidRDefault="0088341A" w:rsidP="0088341A">
      <w:pPr>
        <w:pStyle w:val="AERbodytext"/>
        <w:numPr>
          <w:ilvl w:val="0"/>
          <w:numId w:val="1"/>
        </w:numPr>
      </w:pPr>
      <w:r w:rsidRPr="00FC39A1">
        <w:t xml:space="preserve">An indication of whether a significant and serious fire, earthquake or flood event has occurred may be if that event has been declared by a relevant government to constitute a ‘natural disaster event’. </w:t>
      </w:r>
    </w:p>
    <w:p w:rsidR="0088341A" w:rsidRPr="00102B07" w:rsidRDefault="0088341A" w:rsidP="0088341A">
      <w:pPr>
        <w:pStyle w:val="HeadingBoldItalic"/>
        <w:rPr>
          <w:rStyle w:val="AERtextbolditalics"/>
          <w:b/>
          <w:i/>
        </w:rPr>
      </w:pPr>
      <w:r w:rsidRPr="00102B07">
        <w:rPr>
          <w:rStyle w:val="AERtextbolditalics"/>
          <w:b/>
          <w:i/>
        </w:rPr>
        <w:t>Other relevant factors</w:t>
      </w:r>
    </w:p>
    <w:p w:rsidR="0088341A" w:rsidRDefault="0088341A" w:rsidP="0088341A">
      <w:pPr>
        <w:pStyle w:val="AERbodytext"/>
        <w:numPr>
          <w:ilvl w:val="0"/>
          <w:numId w:val="1"/>
        </w:numPr>
      </w:pPr>
      <w:r w:rsidRPr="000A278C">
        <w:rPr>
          <w:rStyle w:val="AERtextbolditalics"/>
          <w:b w:val="0"/>
          <w:i w:val="0"/>
        </w:rPr>
        <w:t>Manageable and affordable risk should remain with SP AusNet</w:t>
      </w:r>
      <w:r>
        <w:rPr>
          <w:rStyle w:val="AERtextbolditalics"/>
          <w:b w:val="0"/>
          <w:i w:val="0"/>
        </w:rPr>
        <w:t xml:space="preserve"> because it</w:t>
      </w:r>
      <w:r>
        <w:t xml:space="preserve"> is better placed than its customers to identify and manage the risks of natural events that are less than major. However, </w:t>
      </w:r>
      <w:r w:rsidRPr="009B60EB">
        <w:t>if we d</w:t>
      </w:r>
      <w:r>
        <w:t>o</w:t>
      </w:r>
      <w:r w:rsidRPr="009B60EB">
        <w:t xml:space="preserve"> not clarify </w:t>
      </w:r>
      <w:r>
        <w:t xml:space="preserve">that only the costs of major natural events may be passed through, in our opinion, too much manageable </w:t>
      </w:r>
      <w:r w:rsidRPr="009B60EB">
        <w:t xml:space="preserve">risk would be transferred from </w:t>
      </w:r>
      <w:r>
        <w:t>SP AusNet</w:t>
      </w:r>
      <w:r w:rsidRPr="009B60EB">
        <w:t xml:space="preserve"> to its customers</w:t>
      </w:r>
      <w:r>
        <w:t>.</w:t>
      </w:r>
      <w:r w:rsidRPr="009B60EB">
        <w:t xml:space="preserve"> </w:t>
      </w:r>
    </w:p>
    <w:p w:rsidR="0088341A" w:rsidRDefault="0088341A" w:rsidP="0088341A">
      <w:pPr>
        <w:pStyle w:val="AERbodytext"/>
        <w:numPr>
          <w:ilvl w:val="0"/>
          <w:numId w:val="1"/>
        </w:numPr>
      </w:pPr>
      <w:r w:rsidRPr="00D10B3D">
        <w:t>A key consideration of any pass through event is that it does not create disincentives for</w:t>
      </w:r>
      <w:r>
        <w:t xml:space="preserve"> the business to insure or self-</w:t>
      </w:r>
      <w:r w:rsidRPr="00D10B3D">
        <w:t xml:space="preserve">insure. </w:t>
      </w:r>
      <w:r w:rsidRPr="00F503BB">
        <w:rPr>
          <w:rFonts w:eastAsia="Calibri"/>
        </w:rPr>
        <w:t xml:space="preserve">If SP AusNet is allowed to pass through the costs to users of natural disaster events that are not major, it may create a disincentive for </w:t>
      </w:r>
      <w:r>
        <w:rPr>
          <w:rFonts w:eastAsia="Calibri"/>
        </w:rPr>
        <w:t>it</w:t>
      </w:r>
      <w:r w:rsidRPr="00F503BB">
        <w:rPr>
          <w:rFonts w:eastAsia="Calibri"/>
        </w:rPr>
        <w:t xml:space="preserve"> to obtain an efficient level of insurance coverage or self</w:t>
      </w:r>
      <w:r w:rsidRPr="00F503BB">
        <w:rPr>
          <w:rFonts w:eastAsia="Calibri"/>
        </w:rPr>
        <w:noBreakHyphen/>
        <w:t>insurance. SP AusNet's opex allowance include</w:t>
      </w:r>
      <w:r>
        <w:rPr>
          <w:rFonts w:eastAsia="Calibri"/>
        </w:rPr>
        <w:t>s</w:t>
      </w:r>
      <w:r w:rsidRPr="00F503BB">
        <w:rPr>
          <w:rFonts w:eastAsia="Calibri"/>
        </w:rPr>
        <w:t xml:space="preserve"> funding for insurance and self-insurance yet it may have an incentive to keep</w:t>
      </w:r>
      <w:r>
        <w:rPr>
          <w:rFonts w:eastAsia="Calibri"/>
        </w:rPr>
        <w:t xml:space="preserve"> that</w:t>
      </w:r>
      <w:r w:rsidRPr="00F503BB">
        <w:rPr>
          <w:rFonts w:eastAsia="Calibri"/>
        </w:rPr>
        <w:t xml:space="preserve"> allowance (</w:t>
      </w:r>
      <w:r>
        <w:rPr>
          <w:rFonts w:eastAsia="Calibri"/>
        </w:rPr>
        <w:t>and</w:t>
      </w:r>
      <w:r w:rsidRPr="00F503BB">
        <w:rPr>
          <w:rFonts w:eastAsia="Calibri"/>
        </w:rPr>
        <w:t xml:space="preserve"> not insure the risk) while managing this risk through the pass through mechanism. We consider that this disincentive to insure </w:t>
      </w:r>
      <w:r>
        <w:rPr>
          <w:rFonts w:eastAsia="Calibri"/>
        </w:rPr>
        <w:t xml:space="preserve">non-major natural disasters </w:t>
      </w:r>
      <w:r w:rsidRPr="00F503BB">
        <w:rPr>
          <w:rFonts w:eastAsia="Calibri"/>
        </w:rPr>
        <w:t>can be reduced by clarifying that the natural disaster event must be a 'major' natural disaster, in the sense that it is serious and significant.</w:t>
      </w:r>
    </w:p>
    <w:p w:rsidR="0088341A" w:rsidRDefault="0088341A" w:rsidP="0088341A">
      <w:pPr>
        <w:pStyle w:val="HeadingBoldBlue"/>
      </w:pPr>
      <w:r>
        <w:t>Terrorism event</w:t>
      </w:r>
    </w:p>
    <w:p w:rsidR="0088341A" w:rsidRDefault="0088341A" w:rsidP="0088341A">
      <w:pPr>
        <w:pStyle w:val="AERbodytext"/>
        <w:numPr>
          <w:ilvl w:val="0"/>
          <w:numId w:val="1"/>
        </w:numPr>
      </w:pPr>
      <w:r w:rsidRPr="000E2F26">
        <w:t>We</w:t>
      </w:r>
      <w:r>
        <w:t xml:space="preserve"> do not</w:t>
      </w:r>
      <w:r w:rsidRPr="000E2F26">
        <w:t xml:space="preserve"> accept </w:t>
      </w:r>
      <w:r>
        <w:t>the</w:t>
      </w:r>
      <w:r w:rsidRPr="000E2F26">
        <w:t xml:space="preserve"> </w:t>
      </w:r>
      <w:r>
        <w:t>terrorism</w:t>
      </w:r>
      <w:r w:rsidRPr="000E2F26">
        <w:t xml:space="preserve"> event </w:t>
      </w:r>
      <w:r>
        <w:t xml:space="preserve">definition </w:t>
      </w:r>
      <w:r w:rsidRPr="000E2F26">
        <w:t xml:space="preserve">nominated by </w:t>
      </w:r>
      <w:r>
        <w:t>SP AusNet because it included a reference to any event that</w:t>
      </w:r>
      <w:r w:rsidRPr="00E91F21">
        <w:t xml:space="preserve"> </w:t>
      </w:r>
      <w:r>
        <w:t>'</w:t>
      </w:r>
      <w:r w:rsidRPr="00E91F21">
        <w:t xml:space="preserve">materially increases the costs to a Distribution Network Service Provider </w:t>
      </w:r>
      <w:r>
        <w:t xml:space="preserve">(DNSPs) </w:t>
      </w:r>
      <w:r w:rsidRPr="00E91F21">
        <w:t>of providing direct control services</w:t>
      </w:r>
      <w:r>
        <w:t>'. A reference to a DNSP is not allowed in a determination for a TNSP.</w:t>
      </w:r>
      <w:r>
        <w:rPr>
          <w:rStyle w:val="FootnoteReference"/>
        </w:rPr>
        <w:footnoteReference w:id="630"/>
      </w:r>
      <w:r>
        <w:t xml:space="preserve"> We discussed the matter with SP AusNet who agreed and subsequently proposed to amend its definition.</w:t>
      </w:r>
      <w:r>
        <w:rPr>
          <w:rStyle w:val="FootnoteReference"/>
        </w:rPr>
        <w:footnoteReference w:id="631"/>
      </w:r>
      <w:r>
        <w:t>.</w:t>
      </w:r>
      <w:r w:rsidRPr="009057F6">
        <w:t xml:space="preserve"> </w:t>
      </w:r>
      <w:r>
        <w:t>We accept the revised definition having regard to all of the nominated  pass through event considerations:</w:t>
      </w:r>
    </w:p>
    <w:p w:rsidR="0088341A" w:rsidRDefault="0088341A" w:rsidP="0088341A">
      <w:pPr>
        <w:pStyle w:val="AERbulletlistfirststyle"/>
      </w:pPr>
      <w:r>
        <w:t xml:space="preserve">SP AusNet has a range of measures in place to prevent acts of terrorism, and mitigate the impacts of an event should one occur. </w:t>
      </w:r>
    </w:p>
    <w:p w:rsidR="0088341A" w:rsidRDefault="0088341A" w:rsidP="0088341A">
      <w:pPr>
        <w:pStyle w:val="AERbulletlistfirststyle"/>
      </w:pPr>
      <w:r>
        <w:t xml:space="preserve">It has commercial insurance for property damage to assets within a terminal station which includes damage caused by terrorism. </w:t>
      </w:r>
    </w:p>
    <w:p w:rsidR="0088341A" w:rsidRDefault="0088341A" w:rsidP="0088341A">
      <w:pPr>
        <w:pStyle w:val="AERbulletlistfirststyle"/>
      </w:pPr>
      <w:r>
        <w:t xml:space="preserve">SP AusNet has elected to self-insure its assets outside of a terminal station (towers and lines). Its self-insurance risk quantification for tower failures includes losses caused by natural perils but not by terrorism. It considers the relative infrequency and potentially very high costs of terrorism events create significant challenges for self-insurance. </w:t>
      </w:r>
    </w:p>
    <w:p w:rsidR="0088341A" w:rsidRDefault="0088341A" w:rsidP="0088341A">
      <w:pPr>
        <w:pStyle w:val="AERbulletlistfirststyle"/>
      </w:pPr>
      <w:r>
        <w:lastRenderedPageBreak/>
        <w:t>SP AusNet is effectively self-insuring for terrorism losses below the cost pass through materiality threshold (one per cent of its maximum allowed revenue (MAR) or around $5 million) because these costs are not eligible to be passed through.</w:t>
      </w:r>
    </w:p>
    <w:p w:rsidR="0088341A" w:rsidRDefault="0088341A" w:rsidP="0088341A">
      <w:pPr>
        <w:pStyle w:val="HeadingBoldBlue"/>
      </w:pPr>
      <w:r>
        <w:t>A liability above insurance cap event (insurance cap event)</w:t>
      </w:r>
    </w:p>
    <w:p w:rsidR="0088341A" w:rsidRDefault="0088341A" w:rsidP="0088341A">
      <w:pPr>
        <w:pStyle w:val="AERbodytext"/>
        <w:numPr>
          <w:ilvl w:val="0"/>
          <w:numId w:val="1"/>
        </w:numPr>
      </w:pPr>
      <w:r>
        <w:t>We do not accept the liability above insurance cap event definition nominated by SP AusNet.</w:t>
      </w:r>
      <w:r>
        <w:rPr>
          <w:rStyle w:val="FootnoteReference"/>
        </w:rPr>
        <w:footnoteReference w:id="632"/>
      </w:r>
      <w:r w:rsidRPr="0096151A">
        <w:t xml:space="preserve"> </w:t>
      </w:r>
      <w:r>
        <w:t xml:space="preserve">After considering the </w:t>
      </w:r>
      <w:r w:rsidRPr="00437E63">
        <w:t>nominated pass through event considerations</w:t>
      </w:r>
      <w:r>
        <w:t>, under the consideration ‘any other factor’,</w:t>
      </w:r>
      <w:r>
        <w:rPr>
          <w:rStyle w:val="FootnoteReference"/>
        </w:rPr>
        <w:footnoteReference w:id="633"/>
      </w:r>
      <w:r>
        <w:t xml:space="preserve"> we consider that SP AusNet’s insurance cap event should be amended to correctly define it in the context of SP AusNet’s total opex allowance.</w:t>
      </w:r>
    </w:p>
    <w:p w:rsidR="0088341A" w:rsidRDefault="0088341A" w:rsidP="0088341A">
      <w:pPr>
        <w:pStyle w:val="AERbodytext"/>
        <w:numPr>
          <w:ilvl w:val="0"/>
          <w:numId w:val="1"/>
        </w:numPr>
        <w:rPr>
          <w:rStyle w:val="AERbody"/>
        </w:rPr>
      </w:pPr>
      <w:r>
        <w:t>SP AusNet’s proposed definition is largely based on the definition of the insurance cap event that we approved in the final decision for ElectraNet's 2013–18 transmission determination.</w:t>
      </w:r>
      <w:r>
        <w:rPr>
          <w:rStyle w:val="FootnoteReference"/>
        </w:rPr>
        <w:footnoteReference w:id="634"/>
      </w:r>
      <w:r>
        <w:t xml:space="preserve"> However, </w:t>
      </w:r>
      <w:r>
        <w:rPr>
          <w:rStyle w:val="AERbody"/>
        </w:rPr>
        <w:t xml:space="preserve">it </w:t>
      </w:r>
      <w:r w:rsidRPr="00CA34A4">
        <w:rPr>
          <w:rStyle w:val="AERbody"/>
        </w:rPr>
        <w:t>refer</w:t>
      </w:r>
      <w:r>
        <w:rPr>
          <w:rStyle w:val="AERbody"/>
        </w:rPr>
        <w:t>red</w:t>
      </w:r>
      <w:r w:rsidRPr="00D1197A">
        <w:rPr>
          <w:rStyle w:val="AERbody"/>
        </w:rPr>
        <w:t xml:space="preserve"> to </w:t>
      </w:r>
      <w:r>
        <w:rPr>
          <w:rStyle w:val="AERbody"/>
        </w:rPr>
        <w:t>'the forecast operating expenditure allowance approved in the AER's final decision'</w:t>
      </w:r>
      <w:r w:rsidRPr="00D1197A">
        <w:rPr>
          <w:rStyle w:val="AERbody"/>
        </w:rPr>
        <w:t xml:space="preserve">. </w:t>
      </w:r>
      <w:r>
        <w:rPr>
          <w:rStyle w:val="AERbody"/>
        </w:rPr>
        <w:t>We</w:t>
      </w:r>
      <w:r w:rsidRPr="00D1197A">
        <w:rPr>
          <w:rStyle w:val="AERbody"/>
        </w:rPr>
        <w:t xml:space="preserve"> do not explicitly include allowances for insurance premiums in our final decision. </w:t>
      </w:r>
      <w:r>
        <w:rPr>
          <w:rStyle w:val="AERbody"/>
        </w:rPr>
        <w:t>Rather, we approve a total operating expenditure forecast. To ensure the nature of the event is clearly identified in accordance with the nominated pass through event considerations we substituted</w:t>
      </w:r>
      <w:r w:rsidRPr="00D1197A">
        <w:rPr>
          <w:rStyle w:val="AERbody"/>
        </w:rPr>
        <w:t xml:space="preserve"> the following words:</w:t>
      </w:r>
    </w:p>
    <w:p w:rsidR="0088341A" w:rsidRDefault="0088341A" w:rsidP="0088341A">
      <w:pPr>
        <w:pStyle w:val="AERnumberedlistsecondstyle"/>
        <w:numPr>
          <w:ilvl w:val="0"/>
          <w:numId w:val="0"/>
        </w:numPr>
        <w:ind w:left="357"/>
        <w:rPr>
          <w:rStyle w:val="AERbody"/>
        </w:rPr>
      </w:pPr>
      <w:r>
        <w:rPr>
          <w:rStyle w:val="AERbody"/>
        </w:rPr>
        <w:t xml:space="preserve">... </w:t>
      </w:r>
      <w:r w:rsidRPr="0020484E">
        <w:rPr>
          <w:rStyle w:val="AERbody"/>
        </w:rPr>
        <w:t xml:space="preserve">the policy limit that is </w:t>
      </w:r>
      <w:r w:rsidRPr="00707D6A">
        <w:rPr>
          <w:rStyle w:val="AERbody"/>
        </w:rPr>
        <w:t>explicitly or implicitly</w:t>
      </w:r>
      <w:r w:rsidRPr="0020484E">
        <w:rPr>
          <w:rStyle w:val="AERbody"/>
        </w:rPr>
        <w:t xml:space="preserve"> commensurate with the allowance for insurance premiums that is included in the forecast operating expenditure allowance approved in the AER's final decision for the regulatory control period in which the relevant insurance policy is issued.</w:t>
      </w:r>
    </w:p>
    <w:p w:rsidR="0088341A" w:rsidRDefault="0088341A" w:rsidP="0088341A">
      <w:pPr>
        <w:pStyle w:val="AERnumberedlistsecondstyle"/>
        <w:numPr>
          <w:ilvl w:val="0"/>
          <w:numId w:val="0"/>
        </w:numPr>
        <w:rPr>
          <w:rStyle w:val="AERbody"/>
        </w:rPr>
      </w:pPr>
      <w:r>
        <w:t xml:space="preserve">For </w:t>
      </w:r>
      <w:r w:rsidRPr="00E76E3B">
        <w:rPr>
          <w:rStyle w:val="AERbody"/>
        </w:rPr>
        <w:t>consistency</w:t>
      </w:r>
      <w:r>
        <w:rPr>
          <w:rStyle w:val="AERbody"/>
        </w:rPr>
        <w:t xml:space="preserve"> across jurisdictions</w:t>
      </w:r>
      <w:r>
        <w:t>, we renamed the event as an 'insurance cap event'.</w:t>
      </w:r>
    </w:p>
    <w:p w:rsidR="0088341A" w:rsidRDefault="0088341A" w:rsidP="0088341A">
      <w:pPr>
        <w:pStyle w:val="Heading2"/>
        <w:numPr>
          <w:ilvl w:val="2"/>
          <w:numId w:val="20"/>
        </w:numPr>
      </w:pPr>
      <w:bookmarkStart w:id="404" w:name="_Ref363749998"/>
      <w:bookmarkStart w:id="405" w:name="_Toc365283366"/>
      <w:r>
        <w:t>Revisions</w:t>
      </w:r>
      <w:bookmarkEnd w:id="404"/>
      <w:bookmarkEnd w:id="405"/>
    </w:p>
    <w:p w:rsidR="0088341A" w:rsidRDefault="006F242D" w:rsidP="0088341A">
      <w:pPr>
        <w:pStyle w:val="AERrevisionbox"/>
      </w:pPr>
      <w:r>
        <w:rPr>
          <w:rStyle w:val="AERtextbold"/>
        </w:rPr>
        <w:t>Revision 14</w:t>
      </w:r>
      <w:r w:rsidR="0088341A" w:rsidRPr="00771B35">
        <w:rPr>
          <w:rStyle w:val="AERtextbold"/>
        </w:rPr>
        <w:t>.1:</w:t>
      </w:r>
      <w:r w:rsidR="00175900">
        <w:t xml:space="preserve"> </w:t>
      </w:r>
      <w:r w:rsidR="00175900">
        <w:tab/>
      </w:r>
      <w:r w:rsidR="0088341A">
        <w:t>The following nominated pass through events will apply to SP AusNet in the 2014–17 regulatory control period:</w:t>
      </w:r>
    </w:p>
    <w:p w:rsidR="0088341A" w:rsidRPr="00787AB1" w:rsidRDefault="0088341A" w:rsidP="0088341A">
      <w:pPr>
        <w:pStyle w:val="AERrevisionbox"/>
        <w:rPr>
          <w:rStyle w:val="AERtextbold"/>
        </w:rPr>
      </w:pPr>
      <w:r>
        <w:rPr>
          <w:rStyle w:val="AERtextbold"/>
        </w:rPr>
        <w:t>N</w:t>
      </w:r>
      <w:r w:rsidRPr="00787AB1">
        <w:rPr>
          <w:rStyle w:val="AERtextbold"/>
        </w:rPr>
        <w:t xml:space="preserve">atural disaster event </w:t>
      </w:r>
    </w:p>
    <w:p w:rsidR="0088341A" w:rsidRDefault="0088341A" w:rsidP="0088341A">
      <w:pPr>
        <w:pStyle w:val="AERrevisionbox"/>
      </w:pPr>
      <w:r w:rsidRPr="000E2F26">
        <w:t xml:space="preserve">Any major fire, flood, earthquake or other natural disaster beyond the reasonable control of </w:t>
      </w:r>
      <w:r>
        <w:t>SP AusNet that occurs during the 2014–17</w:t>
      </w:r>
      <w:r w:rsidRPr="000E2F26">
        <w:t xml:space="preserve"> regulatory control period and </w:t>
      </w:r>
      <w:r w:rsidRPr="00260EB9">
        <w:rPr>
          <w:rStyle w:val="AERtextitalic"/>
        </w:rPr>
        <w:t>materially</w:t>
      </w:r>
      <w:r w:rsidRPr="000E2F26">
        <w:t xml:space="preserve"> increases the costs to </w:t>
      </w:r>
      <w:r>
        <w:t>SP Aus</w:t>
      </w:r>
      <w:r w:rsidRPr="000E2F26">
        <w:t xml:space="preserve">Net of providing </w:t>
      </w:r>
      <w:r w:rsidRPr="00260EB9">
        <w:rPr>
          <w:rStyle w:val="AERtextitalic"/>
        </w:rPr>
        <w:t>prescribed transmission services</w:t>
      </w:r>
      <w:r w:rsidRPr="000E2F26">
        <w:t xml:space="preserve">. </w:t>
      </w:r>
    </w:p>
    <w:p w:rsidR="0088341A" w:rsidRPr="000E2F26" w:rsidRDefault="0088341A" w:rsidP="0088341A">
      <w:pPr>
        <w:pStyle w:val="AERrevisionbox"/>
      </w:pPr>
      <w:r>
        <w:t xml:space="preserve">The term 'major' in the above paragraph means an event that is serious and significant. It does not mean </w:t>
      </w:r>
      <w:r w:rsidRPr="00CA2A43">
        <w:rPr>
          <w:rStyle w:val="AERtextitalic"/>
        </w:rPr>
        <w:t>materia</w:t>
      </w:r>
      <w:r>
        <w:rPr>
          <w:rStyle w:val="AERtextitalic"/>
        </w:rPr>
        <w:t xml:space="preserve">l </w:t>
      </w:r>
      <w:r>
        <w:t>as that term is defined in the Rules (that is, 1 per cent of the TNSP's maximum allowed revenue in that year).</w:t>
      </w:r>
    </w:p>
    <w:p w:rsidR="0088341A" w:rsidRPr="000E2F26" w:rsidRDefault="0088341A" w:rsidP="0088341A">
      <w:pPr>
        <w:pStyle w:val="AERrevisionbox"/>
      </w:pPr>
      <w:r>
        <w:t xml:space="preserve">Note: </w:t>
      </w:r>
      <w:r w:rsidRPr="000E2F26">
        <w:t xml:space="preserve"> </w:t>
      </w:r>
      <w:r>
        <w:t>I</w:t>
      </w:r>
      <w:r w:rsidRPr="000E2F26">
        <w:t xml:space="preserve">n assessing a natural disaster event </w:t>
      </w:r>
      <w:r>
        <w:t xml:space="preserve">pass through </w:t>
      </w:r>
      <w:r w:rsidRPr="000E2F26">
        <w:t>application, the AER will have regard to</w:t>
      </w:r>
      <w:r>
        <w:t xml:space="preserve"> the</w:t>
      </w:r>
      <w:r w:rsidRPr="000E2F26">
        <w:t xml:space="preserve">: </w:t>
      </w:r>
    </w:p>
    <w:p w:rsidR="0088341A" w:rsidRPr="00B40D9B" w:rsidRDefault="0088341A" w:rsidP="0088341A">
      <w:pPr>
        <w:pStyle w:val="AERrevisionbox"/>
      </w:pPr>
      <w:r>
        <w:t xml:space="preserve">i.   </w:t>
      </w:r>
      <w:r w:rsidRPr="00B40D9B">
        <w:t xml:space="preserve">insurance premium proposal submitted by </w:t>
      </w:r>
      <w:r>
        <w:t>SP Aus</w:t>
      </w:r>
      <w:r w:rsidRPr="00B40D9B">
        <w:t xml:space="preserve">Net in its </w:t>
      </w:r>
      <w:r w:rsidRPr="00B40D9B">
        <w:rPr>
          <w:rStyle w:val="AERtextitalic"/>
        </w:rPr>
        <w:t>revenue proposal</w:t>
      </w:r>
    </w:p>
    <w:p w:rsidR="0088341A" w:rsidRPr="00B40D9B" w:rsidRDefault="0088341A" w:rsidP="0088341A">
      <w:pPr>
        <w:pStyle w:val="AERrevisionbox"/>
      </w:pPr>
      <w:r>
        <w:t xml:space="preserve">ii.   </w:t>
      </w:r>
      <w:r w:rsidRPr="00B40D9B">
        <w:t>forecast expenditure allowance</w:t>
      </w:r>
      <w:r>
        <w:t>s</w:t>
      </w:r>
      <w:r w:rsidRPr="00B40D9B">
        <w:t xml:space="preserve"> approved in the AER’s final decision; and </w:t>
      </w:r>
    </w:p>
    <w:p w:rsidR="0088341A" w:rsidRDefault="0088341A" w:rsidP="0088341A">
      <w:pPr>
        <w:pStyle w:val="AERrevisionbox"/>
      </w:pPr>
      <w:r>
        <w:t xml:space="preserve">iii.  </w:t>
      </w:r>
      <w:r w:rsidRPr="000E2F26">
        <w:t>reasons for that decision.</w:t>
      </w:r>
    </w:p>
    <w:p w:rsidR="0088341A" w:rsidRPr="000E2F26" w:rsidRDefault="0088341A" w:rsidP="0088341A">
      <w:pPr>
        <w:pStyle w:val="AERrevisionbox"/>
        <w:keepNext/>
        <w:keepLines/>
      </w:pPr>
      <w:r>
        <w:rPr>
          <w:rStyle w:val="AERtextbold"/>
        </w:rPr>
        <w:lastRenderedPageBreak/>
        <w:t>T</w:t>
      </w:r>
      <w:r w:rsidRPr="00787AB1">
        <w:rPr>
          <w:rStyle w:val="AERtextbold"/>
        </w:rPr>
        <w:t>errorism event</w:t>
      </w:r>
    </w:p>
    <w:p w:rsidR="0088341A" w:rsidRPr="000E2F26" w:rsidRDefault="0088341A" w:rsidP="0088341A">
      <w:pPr>
        <w:pStyle w:val="AERrevisionbox"/>
        <w:keepNext/>
        <w:keepLines/>
      </w:pPr>
      <w:r w:rsidRPr="000E2F26">
        <w:t xml:space="preserve">An act (including, but not limited to, the use of force or violence or the threat of force or violence) of any person or group of persons (whether acting alone or on behalf of or in connection with any organisation or government), which from its nature or context is done for, or in connection with, political, religious, ideological, ethnic or similar purposes or reasons (including the intention to influence or intimidate any government and/or put the public, or any section of the public, in fear) and which </w:t>
      </w:r>
      <w:r w:rsidRPr="00260EB9">
        <w:rPr>
          <w:rStyle w:val="AERtextitalic"/>
        </w:rPr>
        <w:t>materially</w:t>
      </w:r>
      <w:r w:rsidRPr="000E2F26">
        <w:t xml:space="preserve"> increases the costs to </w:t>
      </w:r>
      <w:r>
        <w:t>SP AusNet</w:t>
      </w:r>
      <w:r w:rsidRPr="000E2F26">
        <w:t xml:space="preserve"> of providing </w:t>
      </w:r>
      <w:r w:rsidRPr="00C80D60">
        <w:rPr>
          <w:rStyle w:val="AERtextitalic"/>
        </w:rPr>
        <w:t>prescribed transmission services</w:t>
      </w:r>
      <w:r w:rsidRPr="000E2F26">
        <w:t>.</w:t>
      </w:r>
    </w:p>
    <w:p w:rsidR="0088341A" w:rsidRDefault="0088341A" w:rsidP="0088341A">
      <w:pPr>
        <w:pStyle w:val="AERrevisionbox"/>
      </w:pPr>
      <w:r>
        <w:rPr>
          <w:rStyle w:val="AERtextbold"/>
        </w:rPr>
        <w:t>I</w:t>
      </w:r>
      <w:r w:rsidRPr="00787AB1">
        <w:rPr>
          <w:rStyle w:val="AERtextbold"/>
        </w:rPr>
        <w:t xml:space="preserve">nsurance cap event </w:t>
      </w:r>
    </w:p>
    <w:p w:rsidR="0088341A" w:rsidRPr="005E5D60" w:rsidRDefault="0088341A" w:rsidP="0088341A">
      <w:pPr>
        <w:pStyle w:val="AERrevisionbox"/>
      </w:pPr>
      <w:r>
        <w:t>W</w:t>
      </w:r>
      <w:r w:rsidRPr="005E5D60">
        <w:t>hereby:</w:t>
      </w:r>
    </w:p>
    <w:p w:rsidR="0088341A" w:rsidRPr="00B40D9B" w:rsidRDefault="0088341A" w:rsidP="0088341A">
      <w:pPr>
        <w:pStyle w:val="AERrevisionbox"/>
      </w:pPr>
      <w:r>
        <w:t xml:space="preserve">1. SP AusNet </w:t>
      </w:r>
      <w:r w:rsidRPr="00B40D9B">
        <w:t xml:space="preserve">makes a claim </w:t>
      </w:r>
      <w:r>
        <w:t xml:space="preserve">or claims </w:t>
      </w:r>
      <w:r w:rsidRPr="00B40D9B">
        <w:t xml:space="preserve">and receives a payment </w:t>
      </w:r>
      <w:r>
        <w:t xml:space="preserve">or payments </w:t>
      </w:r>
      <w:r w:rsidRPr="00B40D9B">
        <w:t>und</w:t>
      </w:r>
      <w:r>
        <w:t>er a relevant insurance policy,</w:t>
      </w:r>
    </w:p>
    <w:p w:rsidR="0088341A" w:rsidRPr="00B40D9B" w:rsidRDefault="0088341A" w:rsidP="0088341A">
      <w:pPr>
        <w:pStyle w:val="AERrevisionbox"/>
      </w:pPr>
      <w:r>
        <w:t>2. SP AusNet</w:t>
      </w:r>
      <w:r w:rsidRPr="00B40D9B">
        <w:t xml:space="preserve"> incurs costs beyon</w:t>
      </w:r>
      <w:r>
        <w:t>d the relevant policy limit,</w:t>
      </w:r>
      <w:r w:rsidRPr="00B40D9B">
        <w:t xml:space="preserve"> and</w:t>
      </w:r>
    </w:p>
    <w:p w:rsidR="0088341A" w:rsidRPr="00B40D9B" w:rsidRDefault="0088341A" w:rsidP="0088341A">
      <w:pPr>
        <w:pStyle w:val="AERrevisionbox"/>
      </w:pPr>
      <w:r>
        <w:t>3. t</w:t>
      </w:r>
      <w:r w:rsidRPr="00B40D9B">
        <w:t xml:space="preserve">he costs beyond the relevant policy limit </w:t>
      </w:r>
      <w:r w:rsidRPr="00B40D9B">
        <w:rPr>
          <w:rStyle w:val="AERtextitalic"/>
        </w:rPr>
        <w:t xml:space="preserve">materially </w:t>
      </w:r>
      <w:r w:rsidRPr="00B40D9B">
        <w:t xml:space="preserve">increase the costs to </w:t>
      </w:r>
      <w:r>
        <w:t>SP AusNet</w:t>
      </w:r>
      <w:r w:rsidRPr="00B40D9B">
        <w:t xml:space="preserve"> of providing </w:t>
      </w:r>
      <w:r w:rsidRPr="00B40D9B">
        <w:rPr>
          <w:rStyle w:val="AERtextitalic"/>
        </w:rPr>
        <w:t>prescribed transmission services</w:t>
      </w:r>
      <w:r w:rsidRPr="00B40D9B">
        <w:t>.</w:t>
      </w:r>
    </w:p>
    <w:p w:rsidR="0088341A" w:rsidRPr="005E5D60" w:rsidRDefault="0088341A" w:rsidP="0088341A">
      <w:pPr>
        <w:pStyle w:val="AERrevisionbox"/>
      </w:pPr>
      <w:r w:rsidRPr="005E5D60">
        <w:t>For this insurance cap event:</w:t>
      </w:r>
    </w:p>
    <w:p w:rsidR="0088341A" w:rsidRPr="00B40D9B" w:rsidRDefault="0088341A" w:rsidP="0088341A">
      <w:pPr>
        <w:pStyle w:val="AERrevisionbox"/>
      </w:pPr>
      <w:r>
        <w:t>4. t</w:t>
      </w:r>
      <w:r w:rsidRPr="00B40D9B">
        <w:t xml:space="preserve">he relevant policy limit is the greater of: </w:t>
      </w:r>
    </w:p>
    <w:p w:rsidR="0088341A" w:rsidRPr="00B40D9B" w:rsidRDefault="0088341A" w:rsidP="0088341A">
      <w:pPr>
        <w:pStyle w:val="AERrevisionbox"/>
      </w:pPr>
      <w:r>
        <w:t>a. SP Aus</w:t>
      </w:r>
      <w:r w:rsidRPr="00B40D9B">
        <w:t>Net’s actual policy limit at the time of the event that gives</w:t>
      </w:r>
      <w:r>
        <w:t xml:space="preserve"> </w:t>
      </w:r>
      <w:r w:rsidRPr="00B40D9B">
        <w:t>rise to the claim, and</w:t>
      </w:r>
    </w:p>
    <w:p w:rsidR="0088341A" w:rsidRPr="00B40D9B" w:rsidRDefault="0088341A" w:rsidP="0088341A">
      <w:pPr>
        <w:pStyle w:val="AERrevisionbox"/>
      </w:pPr>
      <w:r>
        <w:t>b. the</w:t>
      </w:r>
      <w:r w:rsidRPr="00B40D9B">
        <w:t xml:space="preserve"> policy limit that is explicitly or implicitly commensurate with the allowance for insurance premiums that is included in the forecast operating expenditure allowance approved in the AER's final decision for the </w:t>
      </w:r>
      <w:r w:rsidRPr="00B40D9B">
        <w:rPr>
          <w:rStyle w:val="AERtextitalic"/>
        </w:rPr>
        <w:t>regulatory control period</w:t>
      </w:r>
      <w:r w:rsidRPr="00B40D9B">
        <w:t xml:space="preserve"> in which the insurance policy is issued. </w:t>
      </w:r>
    </w:p>
    <w:p w:rsidR="0088341A" w:rsidRPr="00B40D9B" w:rsidRDefault="0088341A" w:rsidP="0088341A">
      <w:pPr>
        <w:pStyle w:val="AERrevisionbox"/>
      </w:pPr>
      <w:r>
        <w:t xml:space="preserve">5. </w:t>
      </w:r>
      <w:r w:rsidRPr="00B40D9B">
        <w:t>A relevant insurance policy is an insur</w:t>
      </w:r>
      <w:r>
        <w:t>ance policy held during the 2014–17</w:t>
      </w:r>
      <w:r w:rsidRPr="00B40D9B">
        <w:t xml:space="preserve"> regulatory control period or a previous </w:t>
      </w:r>
      <w:r w:rsidRPr="00B40D9B">
        <w:rPr>
          <w:rStyle w:val="AERtextitalic"/>
        </w:rPr>
        <w:t>regulatory control period</w:t>
      </w:r>
      <w:r w:rsidRPr="00B40D9B">
        <w:t xml:space="preserve"> in which </w:t>
      </w:r>
      <w:r>
        <w:t>SP Aus</w:t>
      </w:r>
      <w:r w:rsidRPr="00B40D9B">
        <w:t>Net was regulated.</w:t>
      </w:r>
    </w:p>
    <w:p w:rsidR="0088341A" w:rsidRPr="005E5D60" w:rsidRDefault="0088341A" w:rsidP="0088341A">
      <w:pPr>
        <w:pStyle w:val="AERrevisionbox"/>
      </w:pPr>
      <w:r>
        <w:t>Note: For the avoidance of doubt</w:t>
      </w:r>
      <w:r w:rsidRPr="005E5D60">
        <w:t xml:space="preserve">, in assessing an insurance cap event cost pass through application under rule 6A.7.3, the AER will have regard to: </w:t>
      </w:r>
    </w:p>
    <w:p w:rsidR="0088341A" w:rsidRPr="00B40D9B" w:rsidRDefault="0088341A" w:rsidP="0088341A">
      <w:pPr>
        <w:pStyle w:val="AERrevisionbox"/>
      </w:pPr>
      <w:r>
        <w:t xml:space="preserve">i. </w:t>
      </w:r>
      <w:r w:rsidRPr="00B40D9B">
        <w:t xml:space="preserve">the insurance premium proposal submitted by </w:t>
      </w:r>
      <w:r>
        <w:t>SP Aus</w:t>
      </w:r>
      <w:r w:rsidRPr="00B40D9B">
        <w:t xml:space="preserve">Net in its </w:t>
      </w:r>
      <w:r w:rsidRPr="00B40D9B">
        <w:rPr>
          <w:rStyle w:val="AERtextitalic"/>
        </w:rPr>
        <w:t>revenue proposal</w:t>
      </w:r>
    </w:p>
    <w:p w:rsidR="0088341A" w:rsidRPr="00B40D9B" w:rsidRDefault="0088341A" w:rsidP="0088341A">
      <w:pPr>
        <w:pStyle w:val="AERrevisionbox"/>
      </w:pPr>
      <w:r>
        <w:t xml:space="preserve">ii. </w:t>
      </w:r>
      <w:r w:rsidRPr="00B40D9B">
        <w:t>the forecast operating expenditure allowance appro</w:t>
      </w:r>
      <w:r>
        <w:t>ved in the AER’s final decision,</w:t>
      </w:r>
      <w:r w:rsidRPr="00B40D9B">
        <w:t xml:space="preserve"> and</w:t>
      </w:r>
    </w:p>
    <w:p w:rsidR="0088341A" w:rsidRDefault="0088341A" w:rsidP="0088341A">
      <w:pPr>
        <w:pStyle w:val="AERrevisionbox"/>
      </w:pPr>
      <w:r>
        <w:t xml:space="preserve">iii. </w:t>
      </w:r>
      <w:r w:rsidRPr="00B40D9B">
        <w:t>the reasons for that decision.</w:t>
      </w:r>
    </w:p>
    <w:p w:rsidR="0088341A" w:rsidRDefault="0088341A" w:rsidP="0088341A">
      <w:pPr>
        <w:pStyle w:val="AERbodytext"/>
        <w:numPr>
          <w:ilvl w:val="0"/>
          <w:numId w:val="0"/>
        </w:numPr>
      </w:pPr>
    </w:p>
    <w:p w:rsidR="0088341A" w:rsidRDefault="0088341A" w:rsidP="0088341A">
      <w:pPr>
        <w:pStyle w:val="AERbodytext"/>
        <w:numPr>
          <w:ilvl w:val="0"/>
          <w:numId w:val="0"/>
        </w:numPr>
        <w:sectPr w:rsidR="0088341A">
          <w:footerReference w:type="default" r:id="rId80"/>
          <w:pgSz w:w="11906" w:h="16838"/>
          <w:pgMar w:top="1440" w:right="1440" w:bottom="1440" w:left="1440" w:header="708" w:footer="708" w:gutter="0"/>
          <w:cols w:space="708"/>
          <w:docGrid w:linePitch="360"/>
        </w:sectPr>
      </w:pPr>
    </w:p>
    <w:p w:rsidR="0088341A" w:rsidRDefault="0088341A" w:rsidP="0088341A">
      <w:pPr>
        <w:pStyle w:val="UnnumberedHeading"/>
        <w:numPr>
          <w:ilvl w:val="0"/>
          <w:numId w:val="2"/>
        </w:numPr>
      </w:pPr>
      <w:bookmarkStart w:id="406" w:name="_Toc365283367"/>
      <w:bookmarkStart w:id="407" w:name="_Toc365462011"/>
      <w:bookmarkEnd w:id="151"/>
      <w:bookmarkEnd w:id="152"/>
      <w:r>
        <w:lastRenderedPageBreak/>
        <w:t>Part 3 – Appendixes</w:t>
      </w:r>
      <w:bookmarkEnd w:id="406"/>
      <w:bookmarkEnd w:id="407"/>
    </w:p>
    <w:p w:rsidR="0088341A" w:rsidRDefault="0088341A" w:rsidP="0088341A">
      <w:pPr>
        <w:pStyle w:val="Heading7"/>
        <w:numPr>
          <w:ilvl w:val="4"/>
          <w:numId w:val="2"/>
        </w:numPr>
        <w:sectPr w:rsidR="0088341A">
          <w:footerReference w:type="default" r:id="rId81"/>
          <w:pgSz w:w="11906" w:h="16838"/>
          <w:pgMar w:top="1440" w:right="1440" w:bottom="1440" w:left="1440" w:header="708" w:footer="708" w:gutter="0"/>
          <w:cols w:space="708"/>
          <w:docGrid w:linePitch="360"/>
        </w:sectPr>
      </w:pPr>
      <w:bookmarkStart w:id="408" w:name="_Toc360024862"/>
    </w:p>
    <w:p w:rsidR="0088341A" w:rsidRPr="00171FC0" w:rsidRDefault="0088341A" w:rsidP="0088341A">
      <w:pPr>
        <w:pStyle w:val="Heading7"/>
        <w:numPr>
          <w:ilvl w:val="4"/>
          <w:numId w:val="20"/>
        </w:numPr>
      </w:pPr>
      <w:bookmarkStart w:id="409" w:name="_Toc365283368"/>
      <w:bookmarkEnd w:id="408"/>
      <w:r w:rsidRPr="00171FC0">
        <w:lastRenderedPageBreak/>
        <w:t>Capital expenditure (sensitive information)</w:t>
      </w:r>
      <w:bookmarkEnd w:id="409"/>
    </w:p>
    <w:p w:rsidR="006674C4" w:rsidRDefault="006674C4" w:rsidP="006674C4">
      <w:pPr>
        <w:pStyle w:val="AERbodytext"/>
      </w:pPr>
      <w:r>
        <w:t xml:space="preserve">This appendix is not public because it contains commercial–in–confidence (sensitive) information. </w:t>
      </w:r>
    </w:p>
    <w:p w:rsidR="0088341A" w:rsidRPr="005D1337" w:rsidRDefault="0088341A" w:rsidP="0088341A">
      <w:pPr>
        <w:pStyle w:val="Heading7"/>
        <w:numPr>
          <w:ilvl w:val="4"/>
          <w:numId w:val="20"/>
        </w:numPr>
      </w:pPr>
      <w:bookmarkStart w:id="410" w:name="_Toc365283372"/>
      <w:r w:rsidRPr="005D1337">
        <w:lastRenderedPageBreak/>
        <w:t>Insurance</w:t>
      </w:r>
      <w:r>
        <w:t xml:space="preserve"> (sensitive information)</w:t>
      </w:r>
      <w:bookmarkEnd w:id="410"/>
    </w:p>
    <w:p w:rsidR="0088341A" w:rsidRPr="00E6387A" w:rsidRDefault="006674C4" w:rsidP="0088341A">
      <w:pPr>
        <w:pStyle w:val="AERbodytext"/>
        <w:numPr>
          <w:ilvl w:val="0"/>
          <w:numId w:val="1"/>
        </w:numPr>
      </w:pPr>
      <w:r>
        <w:t>This appendix is not public because it contains commercial–in–confidence (sensitive) information.</w:t>
      </w:r>
    </w:p>
    <w:p w:rsidR="0088341A" w:rsidRPr="00E6387A" w:rsidRDefault="0088341A" w:rsidP="0088341A">
      <w:pPr>
        <w:pStyle w:val="AERbodytext"/>
        <w:numPr>
          <w:ilvl w:val="0"/>
          <w:numId w:val="1"/>
        </w:numPr>
      </w:pPr>
    </w:p>
    <w:p w:rsidR="0088341A" w:rsidRDefault="0088341A" w:rsidP="0088341A">
      <w:pPr>
        <w:pStyle w:val="Heading7"/>
        <w:numPr>
          <w:ilvl w:val="4"/>
          <w:numId w:val="20"/>
        </w:numPr>
        <w:sectPr w:rsidR="0088341A">
          <w:footerReference w:type="default" r:id="rId82"/>
          <w:pgSz w:w="11906" w:h="16838"/>
          <w:pgMar w:top="1440" w:right="1440" w:bottom="1440" w:left="1440" w:header="708" w:footer="708" w:gutter="0"/>
          <w:cols w:space="708"/>
          <w:docGrid w:linePitch="360"/>
        </w:sectPr>
      </w:pPr>
    </w:p>
    <w:p w:rsidR="0088341A" w:rsidRPr="00E6387A" w:rsidRDefault="0088341A" w:rsidP="0088341A">
      <w:pPr>
        <w:pStyle w:val="Heading7"/>
        <w:numPr>
          <w:ilvl w:val="4"/>
          <w:numId w:val="20"/>
        </w:numPr>
      </w:pPr>
      <w:bookmarkStart w:id="411" w:name="_Toc365283377"/>
      <w:r w:rsidRPr="00E6387A">
        <w:lastRenderedPageBreak/>
        <w:t>Self-insurance</w:t>
      </w:r>
      <w:r>
        <w:t xml:space="preserve"> (sensitive information)</w:t>
      </w:r>
      <w:bookmarkEnd w:id="411"/>
    </w:p>
    <w:p w:rsidR="0088341A" w:rsidRDefault="006674C4" w:rsidP="0088341A">
      <w:pPr>
        <w:pStyle w:val="AERbodytext"/>
        <w:numPr>
          <w:ilvl w:val="0"/>
          <w:numId w:val="1"/>
        </w:numPr>
      </w:pPr>
      <w:r>
        <w:t>This appendix is not public because it contains commercial–in–confidence (sensitive) information.</w:t>
      </w:r>
      <w:r w:rsidR="0088341A" w:rsidRPr="003554D8">
        <w:t xml:space="preserve"> </w:t>
      </w:r>
    </w:p>
    <w:p w:rsidR="006674C4" w:rsidRPr="003554D8" w:rsidRDefault="006674C4" w:rsidP="0088341A">
      <w:pPr>
        <w:pStyle w:val="AERbodytext"/>
        <w:numPr>
          <w:ilvl w:val="0"/>
          <w:numId w:val="1"/>
        </w:numPr>
      </w:pPr>
    </w:p>
    <w:p w:rsidR="0088341A" w:rsidRDefault="0088341A" w:rsidP="0088341A">
      <w:pPr>
        <w:pStyle w:val="AERbodytext"/>
        <w:numPr>
          <w:ilvl w:val="0"/>
          <w:numId w:val="0"/>
        </w:numPr>
        <w:sectPr w:rsidR="0088341A">
          <w:footerReference w:type="default" r:id="rId83"/>
          <w:pgSz w:w="11906" w:h="16838"/>
          <w:pgMar w:top="1440" w:right="1440" w:bottom="1440" w:left="1440" w:header="708" w:footer="708" w:gutter="0"/>
          <w:cols w:space="708"/>
          <w:docGrid w:linePitch="360"/>
        </w:sectPr>
      </w:pPr>
    </w:p>
    <w:p w:rsidR="0088341A" w:rsidRPr="000A1CC2" w:rsidRDefault="0088341A" w:rsidP="0088341A">
      <w:pPr>
        <w:pStyle w:val="Heading7"/>
        <w:numPr>
          <w:ilvl w:val="4"/>
          <w:numId w:val="20"/>
        </w:numPr>
      </w:pPr>
      <w:bookmarkStart w:id="412" w:name="_Toc365283382"/>
      <w:r>
        <w:lastRenderedPageBreak/>
        <w:t>Operating expenditure step changes</w:t>
      </w:r>
      <w:bookmarkEnd w:id="412"/>
    </w:p>
    <w:p w:rsidR="0088341A" w:rsidRDefault="0088341A" w:rsidP="0088341A">
      <w:pPr>
        <w:pStyle w:val="AERbodytext"/>
        <w:numPr>
          <w:ilvl w:val="0"/>
          <w:numId w:val="1"/>
        </w:numPr>
      </w:pPr>
      <w:r>
        <w:t>Attachment 3 sets out the AER’s draft decision on SP AusNet’s operating expenditure (opex) proposal for the 2014–17 regulatory control period. This appendix sets out our assessment of SP AusNet's proposed opex step changes for that period. SP AusNet proposed 12 step changes, with a total value of $32.5. million ($2013–14).</w:t>
      </w:r>
      <w:r>
        <w:rPr>
          <w:rStyle w:val="FootnoteReference"/>
        </w:rPr>
        <w:footnoteReference w:id="635"/>
      </w:r>
      <w:r>
        <w:t xml:space="preserve"> </w:t>
      </w:r>
    </w:p>
    <w:p w:rsidR="0088341A" w:rsidRDefault="0088341A" w:rsidP="0088341A">
      <w:pPr>
        <w:pStyle w:val="AERbodytext"/>
        <w:numPr>
          <w:ilvl w:val="0"/>
          <w:numId w:val="1"/>
        </w:numPr>
      </w:pPr>
      <w:r>
        <w:t>This appendix contains:</w:t>
      </w:r>
    </w:p>
    <w:p w:rsidR="0088341A" w:rsidRDefault="0088341A" w:rsidP="0088341A">
      <w:pPr>
        <w:pStyle w:val="AERnumberedlistfirststyle"/>
        <w:numPr>
          <w:ilvl w:val="1"/>
          <w:numId w:val="1"/>
        </w:numPr>
      </w:pPr>
      <w:r>
        <w:t xml:space="preserve">our draft decision on SP AusNet’s proposed step changes </w:t>
      </w:r>
    </w:p>
    <w:p w:rsidR="0088341A" w:rsidRDefault="0088341A" w:rsidP="0088341A">
      <w:pPr>
        <w:pStyle w:val="AERnumberedlistfirststyle"/>
        <w:numPr>
          <w:ilvl w:val="1"/>
          <w:numId w:val="1"/>
        </w:numPr>
      </w:pPr>
      <w:r>
        <w:t>SP AusNet’s step change proposal</w:t>
      </w:r>
    </w:p>
    <w:p w:rsidR="0088341A" w:rsidRDefault="0088341A" w:rsidP="0088341A">
      <w:pPr>
        <w:pStyle w:val="AERnumberedlistfirststyle"/>
        <w:numPr>
          <w:ilvl w:val="1"/>
          <w:numId w:val="1"/>
        </w:numPr>
      </w:pPr>
      <w:r>
        <w:t>the proposed step changes we accept</w:t>
      </w:r>
    </w:p>
    <w:p w:rsidR="0088341A" w:rsidRDefault="0088341A" w:rsidP="0088341A">
      <w:pPr>
        <w:pStyle w:val="AERnumberedlistfirststyle"/>
        <w:numPr>
          <w:ilvl w:val="1"/>
          <w:numId w:val="1"/>
        </w:numPr>
      </w:pPr>
      <w:r>
        <w:t>the proposed step changes we do not accept</w:t>
      </w:r>
    </w:p>
    <w:p w:rsidR="0088341A" w:rsidRDefault="0088341A" w:rsidP="0088341A">
      <w:pPr>
        <w:pStyle w:val="AERbodytext"/>
        <w:numPr>
          <w:ilvl w:val="0"/>
          <w:numId w:val="1"/>
        </w:numPr>
      </w:pPr>
      <w:r>
        <w:t xml:space="preserve">Step changes allow for additional funding when a new requirement or change in circumstance requires the service provider to undertake new activities that the base year opex does not incorporate. Examples of step changes include new safety regulations or new legislative requirements. </w:t>
      </w:r>
    </w:p>
    <w:p w:rsidR="0088341A" w:rsidRDefault="0088341A" w:rsidP="0088341A">
      <w:pPr>
        <w:pStyle w:val="AERbodytext"/>
        <w:numPr>
          <w:ilvl w:val="0"/>
          <w:numId w:val="1"/>
        </w:numPr>
      </w:pPr>
      <w:r>
        <w:t>When assessing SP AusNet's proposed step changes, we considered whether they are consistent with the efficient expenditure a prudent service provider would incur, in accordance with the opex criteria.</w:t>
      </w:r>
      <w:r>
        <w:rPr>
          <w:rStyle w:val="FootnoteReference"/>
        </w:rPr>
        <w:footnoteReference w:id="636"/>
      </w:r>
      <w:r>
        <w:t xml:space="preserve"> In doing so, we considered whether each proposed step change is driven by an external obligation (such as new legislation or regulations) or an internal management decision (such as a decision to increase maintenance opex). If the step change is driven by a management decision, then we looked for evidence of the benefits that customers can expect from SP AusNet’s decision to increase its opex. If we considered a step change met these requirements, then we included an incremental increase to the base year opex to account for the step change.</w:t>
      </w:r>
    </w:p>
    <w:p w:rsidR="0088341A" w:rsidRDefault="0088341A" w:rsidP="0088341A">
      <w:pPr>
        <w:pStyle w:val="AERbodytext"/>
        <w:numPr>
          <w:ilvl w:val="0"/>
          <w:numId w:val="1"/>
        </w:numPr>
      </w:pPr>
      <w:r>
        <w:t xml:space="preserve">Our technical consultant, EMCa, reviewed each proposed step change. We considered EMCa’s advice in forming our opinion on SP AusNet’s proposal. </w:t>
      </w:r>
    </w:p>
    <w:p w:rsidR="0088341A" w:rsidRDefault="0088341A" w:rsidP="0088341A">
      <w:pPr>
        <w:pStyle w:val="Heading8"/>
        <w:numPr>
          <w:ilvl w:val="5"/>
          <w:numId w:val="20"/>
        </w:numPr>
      </w:pPr>
      <w:bookmarkStart w:id="413" w:name="_Toc365283383"/>
      <w:r>
        <w:t xml:space="preserve">Draft </w:t>
      </w:r>
      <w:r w:rsidRPr="0052114E">
        <w:t>decision</w:t>
      </w:r>
      <w:bookmarkEnd w:id="413"/>
      <w:r>
        <w:t xml:space="preserve"> </w:t>
      </w:r>
    </w:p>
    <w:p w:rsidR="0088341A" w:rsidRDefault="0088341A" w:rsidP="0088341A">
      <w:pPr>
        <w:pStyle w:val="AERbodytext"/>
        <w:numPr>
          <w:ilvl w:val="0"/>
          <w:numId w:val="1"/>
        </w:numPr>
      </w:pPr>
      <w:r>
        <w:t>We accept one ($0.9 million, $2013–14) of SP AusNet’s 12 proposed step changes as proposed. (</w:t>
      </w:r>
      <w:r w:rsidR="007034EF">
        <w:t>Table D.1</w:t>
      </w:r>
      <w:r>
        <w:t xml:space="preserve">). </w:t>
      </w:r>
    </w:p>
    <w:p w:rsidR="0088341A" w:rsidRPr="00596DDA" w:rsidRDefault="007034EF" w:rsidP="00596DDA">
      <w:pPr>
        <w:pStyle w:val="Caption"/>
        <w:keepLines/>
      </w:pPr>
      <w:r>
        <w:lastRenderedPageBreak/>
        <w:t>Table D.1</w:t>
      </w:r>
      <w:r>
        <w:tab/>
      </w:r>
      <w:r w:rsidR="0088341A" w:rsidRPr="00596DDA">
        <w:t>AER’s draft decision on SP AusNet’s step changes ($ million, 2013–14)</w:t>
      </w:r>
    </w:p>
    <w:tbl>
      <w:tblPr>
        <w:tblStyle w:val="AERtable-numbers"/>
        <w:tblW w:w="0" w:type="auto"/>
        <w:tblLook w:val="04A0" w:firstRow="1" w:lastRow="0" w:firstColumn="1" w:lastColumn="0" w:noHBand="0" w:noVBand="1"/>
      </w:tblPr>
      <w:tblGrid>
        <w:gridCol w:w="5070"/>
        <w:gridCol w:w="1043"/>
        <w:gridCol w:w="1043"/>
        <w:gridCol w:w="1043"/>
        <w:gridCol w:w="1043"/>
      </w:tblGrid>
      <w:tr w:rsidR="0088341A" w:rsidRPr="00596DDA" w:rsidTr="00596D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88341A" w:rsidRPr="00596DDA" w:rsidRDefault="0088341A" w:rsidP="00596DDA">
            <w:pPr>
              <w:pStyle w:val="AERtabletextleft"/>
              <w:keepNext/>
              <w:keepLines/>
            </w:pPr>
          </w:p>
        </w:tc>
        <w:tc>
          <w:tcPr>
            <w:tcW w:w="1043" w:type="dxa"/>
          </w:tcPr>
          <w:p w:rsidR="0088341A" w:rsidRPr="00596DDA" w:rsidRDefault="0088341A" w:rsidP="00596DDA">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596DDA">
              <w:t>2014</w:t>
            </w:r>
            <w:r w:rsidRPr="00596DDA">
              <w:rPr>
                <w:rFonts w:hint="eastAsia"/>
              </w:rPr>
              <w:t>–</w:t>
            </w:r>
            <w:r w:rsidRPr="00596DDA">
              <w:t>15</w:t>
            </w:r>
          </w:p>
        </w:tc>
        <w:tc>
          <w:tcPr>
            <w:tcW w:w="1043" w:type="dxa"/>
          </w:tcPr>
          <w:p w:rsidR="0088341A" w:rsidRPr="00596DDA" w:rsidRDefault="0088341A" w:rsidP="00596DDA">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596DDA">
              <w:t>2015</w:t>
            </w:r>
            <w:r w:rsidRPr="00596DDA">
              <w:rPr>
                <w:rFonts w:hint="eastAsia"/>
              </w:rPr>
              <w:t>–</w:t>
            </w:r>
            <w:r w:rsidRPr="00596DDA">
              <w:t>16</w:t>
            </w:r>
          </w:p>
        </w:tc>
        <w:tc>
          <w:tcPr>
            <w:tcW w:w="1043" w:type="dxa"/>
          </w:tcPr>
          <w:p w:rsidR="0088341A" w:rsidRPr="00596DDA" w:rsidRDefault="0088341A" w:rsidP="00596DDA">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596DDA">
              <w:t>2016</w:t>
            </w:r>
            <w:r w:rsidRPr="00596DDA">
              <w:rPr>
                <w:rFonts w:hint="eastAsia"/>
              </w:rPr>
              <w:t>–</w:t>
            </w:r>
            <w:r w:rsidRPr="00596DDA">
              <w:t>17</w:t>
            </w:r>
          </w:p>
        </w:tc>
        <w:tc>
          <w:tcPr>
            <w:tcW w:w="1043" w:type="dxa"/>
          </w:tcPr>
          <w:p w:rsidR="0088341A" w:rsidRPr="00596DDA" w:rsidRDefault="0088341A" w:rsidP="00596DDA">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596DDA">
              <w:t>Total</w:t>
            </w:r>
          </w:p>
        </w:tc>
      </w:tr>
      <w:tr w:rsidR="0088341A" w:rsidRPr="00596DDA" w:rsidTr="00596DDA">
        <w:tc>
          <w:tcPr>
            <w:cnfStyle w:val="001000000000" w:firstRow="0" w:lastRow="0" w:firstColumn="1" w:lastColumn="0" w:oddVBand="0" w:evenVBand="0" w:oddHBand="0" w:evenHBand="0" w:firstRowFirstColumn="0" w:firstRowLastColumn="0" w:lastRowFirstColumn="0" w:lastRowLastColumn="0"/>
            <w:tcW w:w="5070" w:type="dxa"/>
          </w:tcPr>
          <w:p w:rsidR="0088341A" w:rsidRPr="00596DDA" w:rsidRDefault="0088341A" w:rsidP="00596DDA">
            <w:pPr>
              <w:pStyle w:val="AERtabletextleft"/>
              <w:keepNext/>
              <w:keepLines/>
            </w:pPr>
            <w:r w:rsidRPr="00596DDA">
              <w:t>Ageing asset profile</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p>
        </w:tc>
      </w:tr>
      <w:tr w:rsidR="0088341A" w:rsidRPr="00596DDA" w:rsidTr="00596D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88341A" w:rsidRPr="00596DDA" w:rsidRDefault="0088341A" w:rsidP="00596DDA">
            <w:pPr>
              <w:pStyle w:val="AERtabletextleft"/>
              <w:keepNext/>
              <w:keepLines/>
            </w:pPr>
            <w:r w:rsidRPr="00596DDA">
              <w:t>Overhead line condition assessment</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596DDA">
              <w:t>0.0</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596DDA">
              <w:t>0.0</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596DDA">
              <w:t>0.0</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596DDA">
              <w:t>0.0</w:t>
            </w:r>
          </w:p>
        </w:tc>
      </w:tr>
      <w:tr w:rsidR="0088341A" w:rsidRPr="00596DDA" w:rsidTr="00596DDA">
        <w:tc>
          <w:tcPr>
            <w:cnfStyle w:val="001000000000" w:firstRow="0" w:lastRow="0" w:firstColumn="1" w:lastColumn="0" w:oddVBand="0" w:evenVBand="0" w:oddHBand="0" w:evenHBand="0" w:firstRowFirstColumn="0" w:firstRowLastColumn="0" w:lastRowFirstColumn="0" w:lastRowLastColumn="0"/>
            <w:tcW w:w="5070" w:type="dxa"/>
          </w:tcPr>
          <w:p w:rsidR="0088341A" w:rsidRPr="00596DDA" w:rsidRDefault="0088341A" w:rsidP="00596DDA">
            <w:pPr>
              <w:pStyle w:val="AERtabletextleft"/>
              <w:keepNext/>
              <w:keepLines/>
            </w:pPr>
            <w:r w:rsidRPr="00596DDA">
              <w:t>Corrosion risk mitigation</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596DDA">
              <w:t>0.0</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596DDA">
              <w:t>0.0</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596DDA">
              <w:t>0.0</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596DDA">
              <w:t>0.0</w:t>
            </w:r>
          </w:p>
        </w:tc>
      </w:tr>
      <w:tr w:rsidR="0088341A" w:rsidRPr="00596DDA" w:rsidTr="00596D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88341A" w:rsidRPr="00596DDA" w:rsidRDefault="0088341A" w:rsidP="00596DDA">
            <w:pPr>
              <w:pStyle w:val="AERtabletextleft"/>
              <w:keepNext/>
              <w:keepLines/>
            </w:pPr>
            <w:r w:rsidRPr="00596DDA">
              <w:t>Changes in compliance obligations</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p>
        </w:tc>
      </w:tr>
      <w:tr w:rsidR="0088341A" w:rsidRPr="00596DDA" w:rsidTr="00596DDA">
        <w:tc>
          <w:tcPr>
            <w:cnfStyle w:val="001000000000" w:firstRow="0" w:lastRow="0" w:firstColumn="1" w:lastColumn="0" w:oddVBand="0" w:evenVBand="0" w:oddHBand="0" w:evenHBand="0" w:firstRowFirstColumn="0" w:firstRowLastColumn="0" w:lastRowFirstColumn="0" w:lastRowLastColumn="0"/>
            <w:tcW w:w="5070" w:type="dxa"/>
          </w:tcPr>
          <w:p w:rsidR="0088341A" w:rsidRPr="00596DDA" w:rsidRDefault="0088341A" w:rsidP="00596DDA">
            <w:pPr>
              <w:pStyle w:val="AERtabletextleft"/>
              <w:keepNext/>
              <w:keepLines/>
            </w:pPr>
            <w:r w:rsidRPr="00596DDA">
              <w:t>AEMO outage planning requirements</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596DDA">
              <w:t>0.0</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596DDA">
              <w:t>0.0</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596DDA">
              <w:t>0.0</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596DDA">
              <w:t>0.0</w:t>
            </w:r>
          </w:p>
        </w:tc>
      </w:tr>
      <w:tr w:rsidR="0088341A" w:rsidRPr="00596DDA" w:rsidTr="00596D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88341A" w:rsidRPr="00596DDA" w:rsidRDefault="0088341A" w:rsidP="00596DDA">
            <w:pPr>
              <w:pStyle w:val="AERtabletextleft"/>
              <w:keepNext/>
              <w:keepLines/>
            </w:pPr>
            <w:r w:rsidRPr="00596DDA">
              <w:t>Security of critical infrastructure (terminal stations)</w:t>
            </w:r>
          </w:p>
        </w:tc>
        <w:tc>
          <w:tcPr>
            <w:tcW w:w="1043" w:type="dxa"/>
          </w:tcPr>
          <w:p w:rsidR="0088341A" w:rsidRPr="00596DDA" w:rsidRDefault="004D1525"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t>CIC</w:t>
            </w:r>
          </w:p>
        </w:tc>
        <w:tc>
          <w:tcPr>
            <w:tcW w:w="1043" w:type="dxa"/>
          </w:tcPr>
          <w:p w:rsidR="0088341A" w:rsidRPr="00596DDA" w:rsidRDefault="004D1525"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t>CIC</w:t>
            </w:r>
          </w:p>
        </w:tc>
        <w:tc>
          <w:tcPr>
            <w:tcW w:w="1043" w:type="dxa"/>
          </w:tcPr>
          <w:p w:rsidR="0088341A" w:rsidRPr="00596DDA" w:rsidRDefault="004D1525"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t>CIC</w:t>
            </w:r>
          </w:p>
        </w:tc>
        <w:tc>
          <w:tcPr>
            <w:tcW w:w="1043" w:type="dxa"/>
          </w:tcPr>
          <w:p w:rsidR="0088341A" w:rsidRPr="00596DDA" w:rsidRDefault="004D1525"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t>CIC</w:t>
            </w:r>
          </w:p>
        </w:tc>
      </w:tr>
      <w:tr w:rsidR="0088341A" w:rsidRPr="00596DDA" w:rsidTr="00596DDA">
        <w:tc>
          <w:tcPr>
            <w:cnfStyle w:val="001000000000" w:firstRow="0" w:lastRow="0" w:firstColumn="1" w:lastColumn="0" w:oddVBand="0" w:evenVBand="0" w:oddHBand="0" w:evenHBand="0" w:firstRowFirstColumn="0" w:firstRowLastColumn="0" w:lastRowFirstColumn="0" w:lastRowLastColumn="0"/>
            <w:tcW w:w="5070" w:type="dxa"/>
          </w:tcPr>
          <w:p w:rsidR="0088341A" w:rsidRPr="00596DDA" w:rsidRDefault="0088341A" w:rsidP="00596DDA">
            <w:pPr>
              <w:pStyle w:val="AERtabletextleft"/>
              <w:keepNext/>
              <w:keepLines/>
            </w:pPr>
            <w:r w:rsidRPr="00596DDA">
              <w:t>Regulatory changes and government policy initiatives</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p>
        </w:tc>
      </w:tr>
      <w:tr w:rsidR="0088341A" w:rsidRPr="00596DDA" w:rsidTr="00596D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88341A" w:rsidRPr="00596DDA" w:rsidRDefault="0088341A" w:rsidP="00596DDA">
            <w:pPr>
              <w:pStyle w:val="AERtabletextleft"/>
              <w:keepNext/>
              <w:keepLines/>
            </w:pPr>
            <w:r w:rsidRPr="00596DDA">
              <w:t xml:space="preserve">Impact of the </w:t>
            </w:r>
            <w:r w:rsidRPr="00596DDA">
              <w:rPr>
                <w:rFonts w:hint="eastAsia"/>
              </w:rPr>
              <w:t>‘</w:t>
            </w:r>
            <w:r w:rsidRPr="00596DDA">
              <w:t>Clean Energy Future</w:t>
            </w:r>
            <w:r w:rsidRPr="00596DDA">
              <w:rPr>
                <w:rFonts w:hint="eastAsia"/>
              </w:rPr>
              <w:t>’</w:t>
            </w:r>
            <w:r w:rsidRPr="00596DDA">
              <w:t xml:space="preserve"> legislation on SF6 top ups</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596DDA">
              <w:t>0.0</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596DDA">
              <w:t>0.0</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596DDA">
              <w:t>0.0</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596DDA">
              <w:t>0.0</w:t>
            </w:r>
          </w:p>
        </w:tc>
      </w:tr>
      <w:tr w:rsidR="0088341A" w:rsidRPr="00596DDA" w:rsidTr="00596DDA">
        <w:tc>
          <w:tcPr>
            <w:cnfStyle w:val="001000000000" w:firstRow="0" w:lastRow="0" w:firstColumn="1" w:lastColumn="0" w:oddVBand="0" w:evenVBand="0" w:oddHBand="0" w:evenHBand="0" w:firstRowFirstColumn="0" w:firstRowLastColumn="0" w:lastRowFirstColumn="0" w:lastRowLastColumn="0"/>
            <w:tcW w:w="5070" w:type="dxa"/>
          </w:tcPr>
          <w:p w:rsidR="0088341A" w:rsidRPr="00596DDA" w:rsidRDefault="0088341A" w:rsidP="00596DDA">
            <w:pPr>
              <w:pStyle w:val="AERtabletextleft"/>
              <w:keepNext/>
              <w:keepLines/>
            </w:pPr>
            <w:r w:rsidRPr="00596DDA">
              <w:t>Transitional arrangements for the Economic Regulation of NSPs rule change</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596DDA">
              <w:t>0.0</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596DDA">
              <w:t>1.1</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596DDA">
              <w:t>0.8</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596DDA">
              <w:t>1.9</w:t>
            </w:r>
          </w:p>
        </w:tc>
      </w:tr>
      <w:tr w:rsidR="0088341A" w:rsidRPr="00596DDA" w:rsidTr="00596D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88341A" w:rsidRPr="00596DDA" w:rsidRDefault="0088341A" w:rsidP="00596DDA">
            <w:pPr>
              <w:pStyle w:val="AERtabletextleft"/>
              <w:keepNext/>
              <w:keepLines/>
            </w:pPr>
            <w:r w:rsidRPr="00596DDA">
              <w:t>Potential transfer of planning responsibilities</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596DDA">
              <w:t>n/a</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596DDA">
              <w:t>n/a</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596DDA">
              <w:t>n/a</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596DDA">
              <w:t>n/a</w:t>
            </w:r>
          </w:p>
        </w:tc>
      </w:tr>
      <w:tr w:rsidR="0088341A" w:rsidRPr="00596DDA" w:rsidTr="00596DDA">
        <w:tc>
          <w:tcPr>
            <w:cnfStyle w:val="001000000000" w:firstRow="0" w:lastRow="0" w:firstColumn="1" w:lastColumn="0" w:oddVBand="0" w:evenVBand="0" w:oddHBand="0" w:evenHBand="0" w:firstRowFirstColumn="0" w:firstRowLastColumn="0" w:lastRowFirstColumn="0" w:lastRowLastColumn="0"/>
            <w:tcW w:w="5070" w:type="dxa"/>
          </w:tcPr>
          <w:p w:rsidR="0088341A" w:rsidRPr="00596DDA" w:rsidRDefault="0088341A" w:rsidP="00596DDA">
            <w:pPr>
              <w:pStyle w:val="AERtabletextleft"/>
              <w:keepNext/>
              <w:keepLines/>
            </w:pPr>
            <w:r w:rsidRPr="00596DDA">
              <w:t>Opex to support ICT capital works</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p>
        </w:tc>
      </w:tr>
      <w:tr w:rsidR="0088341A" w:rsidRPr="00596DDA" w:rsidTr="00596D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88341A" w:rsidRPr="00596DDA" w:rsidRDefault="0088341A" w:rsidP="00596DDA">
            <w:pPr>
              <w:pStyle w:val="AERtabletextleft"/>
              <w:keepNext/>
              <w:keepLines/>
            </w:pPr>
            <w:r w:rsidRPr="00596DDA">
              <w:t xml:space="preserve">SCADA enhancements </w:t>
            </w:r>
            <w:r w:rsidRPr="00596DDA">
              <w:rPr>
                <w:rFonts w:hint="eastAsia"/>
              </w:rPr>
              <w:t>–</w:t>
            </w:r>
            <w:r w:rsidRPr="00596DDA">
              <w:t xml:space="preserve"> controller simulator training</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596DDA">
              <w:t>0.3</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596DDA">
              <w:t>0.3</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596DDA">
              <w:t>0.3</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596DDA">
              <w:t>0.9</w:t>
            </w:r>
          </w:p>
        </w:tc>
      </w:tr>
      <w:tr w:rsidR="0088341A" w:rsidRPr="00596DDA" w:rsidTr="00596DDA">
        <w:tc>
          <w:tcPr>
            <w:cnfStyle w:val="001000000000" w:firstRow="0" w:lastRow="0" w:firstColumn="1" w:lastColumn="0" w:oddVBand="0" w:evenVBand="0" w:oddHBand="0" w:evenHBand="0" w:firstRowFirstColumn="0" w:firstRowLastColumn="0" w:lastRowFirstColumn="0" w:lastRowLastColumn="0"/>
            <w:tcW w:w="5070" w:type="dxa"/>
          </w:tcPr>
          <w:p w:rsidR="0088341A" w:rsidRPr="00596DDA" w:rsidRDefault="0088341A" w:rsidP="00596DDA">
            <w:pPr>
              <w:pStyle w:val="AERtabletextleft"/>
              <w:keepNext/>
              <w:keepLines/>
            </w:pPr>
            <w:r w:rsidRPr="00596DDA">
              <w:t xml:space="preserve">SCADA security </w:t>
            </w:r>
            <w:r w:rsidRPr="00596DDA">
              <w:rPr>
                <w:rFonts w:hint="eastAsia"/>
              </w:rPr>
              <w:t>–</w:t>
            </w:r>
            <w:r w:rsidRPr="00596DDA">
              <w:t xml:space="preserve"> Software QA/QC environment</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596DDA">
              <w:t>0.0</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596DDA">
              <w:t>0.0</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596DDA">
              <w:t>0.0</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596DDA">
              <w:t>0.0</w:t>
            </w:r>
          </w:p>
        </w:tc>
      </w:tr>
      <w:tr w:rsidR="0088341A" w:rsidRPr="00596DDA" w:rsidTr="00596D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88341A" w:rsidRPr="00596DDA" w:rsidRDefault="0088341A" w:rsidP="00596DDA">
            <w:pPr>
              <w:pStyle w:val="AERtabletextleft"/>
              <w:keepNext/>
              <w:keepLines/>
            </w:pPr>
            <w:r w:rsidRPr="00596DDA">
              <w:t>IT network security</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596DDA">
              <w:t>0.0</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596DDA">
              <w:t>0.0</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596DDA">
              <w:t>0.0</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596DDA">
              <w:t>0.0</w:t>
            </w:r>
          </w:p>
        </w:tc>
      </w:tr>
      <w:tr w:rsidR="0088341A" w:rsidRPr="00596DDA" w:rsidTr="00596DDA">
        <w:tc>
          <w:tcPr>
            <w:cnfStyle w:val="001000000000" w:firstRow="0" w:lastRow="0" w:firstColumn="1" w:lastColumn="0" w:oddVBand="0" w:evenVBand="0" w:oddHBand="0" w:evenHBand="0" w:firstRowFirstColumn="0" w:firstRowLastColumn="0" w:lastRowFirstColumn="0" w:lastRowLastColumn="0"/>
            <w:tcW w:w="5070" w:type="dxa"/>
          </w:tcPr>
          <w:p w:rsidR="0088341A" w:rsidRPr="00596DDA" w:rsidRDefault="0088341A" w:rsidP="00596DDA">
            <w:pPr>
              <w:pStyle w:val="AERtabletextleft"/>
              <w:keepNext/>
              <w:keepLines/>
            </w:pPr>
            <w:r w:rsidRPr="00596DDA">
              <w:t xml:space="preserve">Service standard reporting tools </w:t>
            </w:r>
            <w:r w:rsidRPr="00596DDA">
              <w:rPr>
                <w:rFonts w:hint="eastAsia"/>
              </w:rPr>
              <w:t>–</w:t>
            </w:r>
            <w:r w:rsidRPr="00596DDA">
              <w:t xml:space="preserve"> enable market reporting </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596DDA">
              <w:t>0.0</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596DDA">
              <w:t>0.0</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596DDA">
              <w:t>0.0</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596DDA">
              <w:t>0.0</w:t>
            </w:r>
          </w:p>
        </w:tc>
      </w:tr>
      <w:tr w:rsidR="0088341A" w:rsidRPr="00596DDA" w:rsidTr="00596D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88341A" w:rsidRPr="00596DDA" w:rsidRDefault="0088341A" w:rsidP="00596DDA">
            <w:pPr>
              <w:pStyle w:val="AERtabletextleft"/>
              <w:keepNext/>
              <w:keepLines/>
            </w:pPr>
            <w:r w:rsidRPr="00596DDA">
              <w:t>Innovation program</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p>
        </w:tc>
      </w:tr>
      <w:tr w:rsidR="0088341A" w:rsidRPr="00596DDA" w:rsidTr="00596DDA">
        <w:tc>
          <w:tcPr>
            <w:cnfStyle w:val="001000000000" w:firstRow="0" w:lastRow="0" w:firstColumn="1" w:lastColumn="0" w:oddVBand="0" w:evenVBand="0" w:oddHBand="0" w:evenHBand="0" w:firstRowFirstColumn="0" w:firstRowLastColumn="0" w:lastRowFirstColumn="0" w:lastRowLastColumn="0"/>
            <w:tcW w:w="5070" w:type="dxa"/>
          </w:tcPr>
          <w:p w:rsidR="0088341A" w:rsidRPr="00596DDA" w:rsidRDefault="0088341A" w:rsidP="00596DDA">
            <w:pPr>
              <w:pStyle w:val="AERtabletextleft"/>
              <w:keepNext/>
              <w:keepLines/>
            </w:pPr>
            <w:r w:rsidRPr="00596DDA">
              <w:t>Technology innovation program</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596DDA">
              <w:t>0.0</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596DDA">
              <w:t>0.0</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596DDA">
              <w:t>0.0</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596DDA">
              <w:t>0.0</w:t>
            </w:r>
          </w:p>
        </w:tc>
      </w:tr>
      <w:tr w:rsidR="0088341A" w:rsidRPr="00596DDA" w:rsidTr="00596D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88341A" w:rsidRPr="00596DDA" w:rsidRDefault="0088341A" w:rsidP="00596DDA">
            <w:pPr>
              <w:pStyle w:val="AERtabletextleft"/>
              <w:keepNext/>
              <w:keepLines/>
            </w:pPr>
            <w:r w:rsidRPr="00596DDA">
              <w:t>Recurrent opex not in the base year</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p>
        </w:tc>
      </w:tr>
      <w:tr w:rsidR="0088341A" w:rsidRPr="00596DDA" w:rsidTr="00596DDA">
        <w:tc>
          <w:tcPr>
            <w:cnfStyle w:val="001000000000" w:firstRow="0" w:lastRow="0" w:firstColumn="1" w:lastColumn="0" w:oddVBand="0" w:evenVBand="0" w:oddHBand="0" w:evenHBand="0" w:firstRowFirstColumn="0" w:firstRowLastColumn="0" w:lastRowFirstColumn="0" w:lastRowLastColumn="0"/>
            <w:tcW w:w="5070" w:type="dxa"/>
          </w:tcPr>
          <w:p w:rsidR="0088341A" w:rsidRPr="00596DDA" w:rsidRDefault="0088341A" w:rsidP="00596DDA">
            <w:pPr>
              <w:pStyle w:val="AERtabletextleft"/>
              <w:keepNext/>
              <w:keepLines/>
            </w:pPr>
            <w:r w:rsidRPr="00596DDA">
              <w:t>Communications infrastructure</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596DDA">
              <w:t>0.0</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596DDA">
              <w:t>0.0</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596DDA">
              <w:t>0.0</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596DDA">
              <w:t>0.0</w:t>
            </w:r>
          </w:p>
        </w:tc>
      </w:tr>
      <w:tr w:rsidR="0088341A" w:rsidRPr="00596DDA" w:rsidTr="00596D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88341A" w:rsidRPr="00596DDA" w:rsidRDefault="0088341A" w:rsidP="00596DDA">
            <w:pPr>
              <w:pStyle w:val="AERtabletextleft"/>
              <w:keepNext/>
              <w:keepLines/>
            </w:pPr>
            <w:r w:rsidRPr="00596DDA">
              <w:t>Total step change opex</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596DDA">
              <w:t>0.3</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596DDA">
              <w:t>1.4</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596DDA">
              <w:t>1.1</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596DDA">
              <w:t>2.8</w:t>
            </w:r>
          </w:p>
        </w:tc>
      </w:tr>
    </w:tbl>
    <w:p w:rsidR="0088341A" w:rsidRDefault="0088341A" w:rsidP="00596DDA">
      <w:pPr>
        <w:pStyle w:val="AERtablesource"/>
        <w:ind w:left="0" w:firstLine="0"/>
      </w:pPr>
      <w:r>
        <w:t xml:space="preserve">Source: AER analysis. </w:t>
      </w:r>
      <w:bookmarkStart w:id="414" w:name="_Ref360549384"/>
      <w:r>
        <w:t xml:space="preserve">Figures do not include the security of critical infrastructure step change. </w:t>
      </w:r>
    </w:p>
    <w:p w:rsidR="0088341A" w:rsidRDefault="0088341A" w:rsidP="0088341A">
      <w:pPr>
        <w:pStyle w:val="Heading8"/>
        <w:numPr>
          <w:ilvl w:val="5"/>
          <w:numId w:val="20"/>
        </w:numPr>
      </w:pPr>
      <w:bookmarkStart w:id="415" w:name="_Toc365283384"/>
      <w:bookmarkEnd w:id="414"/>
      <w:r>
        <w:lastRenderedPageBreak/>
        <w:t xml:space="preserve">SP </w:t>
      </w:r>
      <w:r w:rsidRPr="0052114E">
        <w:t>AusNet’s</w:t>
      </w:r>
      <w:r>
        <w:t xml:space="preserve"> proposal</w:t>
      </w:r>
      <w:bookmarkEnd w:id="415"/>
    </w:p>
    <w:p w:rsidR="0088341A" w:rsidRDefault="0088341A" w:rsidP="00596DDA">
      <w:pPr>
        <w:pStyle w:val="AERbodytext"/>
        <w:keepNext/>
        <w:numPr>
          <w:ilvl w:val="0"/>
          <w:numId w:val="0"/>
        </w:numPr>
      </w:pPr>
      <w:r>
        <w:t>SP AusNet proposed 12 step changes with a total value of $32.5 million (</w:t>
      </w:r>
      <w:r w:rsidR="007034EF">
        <w:t>Table D.2</w:t>
      </w:r>
      <w:r>
        <w:t>).</w:t>
      </w:r>
      <w:r>
        <w:rPr>
          <w:rStyle w:val="FootnoteReference"/>
        </w:rPr>
        <w:footnoteReference w:id="637"/>
      </w:r>
      <w:r>
        <w:t xml:space="preserve"> </w:t>
      </w:r>
    </w:p>
    <w:p w:rsidR="0088341A" w:rsidRDefault="007034EF" w:rsidP="00596DDA">
      <w:pPr>
        <w:pStyle w:val="Caption"/>
        <w:keepLines/>
      </w:pPr>
      <w:r>
        <w:t>Table D.2</w:t>
      </w:r>
      <w:r>
        <w:tab/>
      </w:r>
      <w:r w:rsidR="0088341A">
        <w:t>SP AusNet’s proposed opex step changes ($ million, 2013–14)</w:t>
      </w:r>
    </w:p>
    <w:tbl>
      <w:tblPr>
        <w:tblStyle w:val="AERtable-numbers"/>
        <w:tblW w:w="0" w:type="auto"/>
        <w:tblLook w:val="04A0" w:firstRow="1" w:lastRow="0" w:firstColumn="1" w:lastColumn="0" w:noHBand="0" w:noVBand="1"/>
      </w:tblPr>
      <w:tblGrid>
        <w:gridCol w:w="5070"/>
        <w:gridCol w:w="1043"/>
        <w:gridCol w:w="1043"/>
        <w:gridCol w:w="1043"/>
        <w:gridCol w:w="1043"/>
      </w:tblGrid>
      <w:tr w:rsidR="0088341A" w:rsidRPr="00180F57" w:rsidTr="00501137">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070" w:type="dxa"/>
          </w:tcPr>
          <w:p w:rsidR="0088341A" w:rsidRPr="00596DDA" w:rsidRDefault="0088341A" w:rsidP="00596DDA">
            <w:pPr>
              <w:pStyle w:val="AERtabletextleft"/>
              <w:keepNext/>
              <w:keepLines/>
            </w:pPr>
          </w:p>
        </w:tc>
        <w:tc>
          <w:tcPr>
            <w:tcW w:w="1043" w:type="dxa"/>
          </w:tcPr>
          <w:p w:rsidR="0088341A" w:rsidRPr="00596DDA" w:rsidRDefault="0088341A" w:rsidP="00596DDA">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731C5D">
              <w:t>2014</w:t>
            </w:r>
            <w:r w:rsidRPr="00351A6E">
              <w:rPr>
                <w:rFonts w:hint="eastAsia"/>
              </w:rPr>
              <w:t>–</w:t>
            </w:r>
            <w:r w:rsidRPr="00C21B34">
              <w:t>15</w:t>
            </w:r>
          </w:p>
        </w:tc>
        <w:tc>
          <w:tcPr>
            <w:tcW w:w="1043" w:type="dxa"/>
          </w:tcPr>
          <w:p w:rsidR="0088341A" w:rsidRPr="00596DDA" w:rsidRDefault="0088341A" w:rsidP="00596DDA">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731C5D">
              <w:t>2015</w:t>
            </w:r>
            <w:r w:rsidRPr="00351A6E">
              <w:rPr>
                <w:rFonts w:hint="eastAsia"/>
              </w:rPr>
              <w:t>–</w:t>
            </w:r>
            <w:r w:rsidRPr="00C21B34">
              <w:t>16</w:t>
            </w:r>
          </w:p>
        </w:tc>
        <w:tc>
          <w:tcPr>
            <w:tcW w:w="1043" w:type="dxa"/>
          </w:tcPr>
          <w:p w:rsidR="0088341A" w:rsidRPr="00596DDA" w:rsidRDefault="0088341A" w:rsidP="00596DDA">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731C5D">
              <w:t>2016</w:t>
            </w:r>
            <w:r w:rsidRPr="00351A6E">
              <w:rPr>
                <w:rFonts w:hint="eastAsia"/>
              </w:rPr>
              <w:t>–</w:t>
            </w:r>
            <w:r w:rsidRPr="00C21B34">
              <w:t>17</w:t>
            </w:r>
          </w:p>
        </w:tc>
        <w:tc>
          <w:tcPr>
            <w:tcW w:w="1043" w:type="dxa"/>
          </w:tcPr>
          <w:p w:rsidR="0088341A" w:rsidRPr="00596DDA" w:rsidRDefault="0088341A" w:rsidP="00596DDA">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731C5D">
              <w:t>Total</w:t>
            </w:r>
          </w:p>
        </w:tc>
      </w:tr>
      <w:tr w:rsidR="0088341A" w:rsidRPr="00180F57" w:rsidTr="00501137">
        <w:tc>
          <w:tcPr>
            <w:cnfStyle w:val="001000000000" w:firstRow="0" w:lastRow="0" w:firstColumn="1" w:lastColumn="0" w:oddVBand="0" w:evenVBand="0" w:oddHBand="0" w:evenHBand="0" w:firstRowFirstColumn="0" w:firstRowLastColumn="0" w:lastRowFirstColumn="0" w:lastRowLastColumn="0"/>
            <w:tcW w:w="5070" w:type="dxa"/>
          </w:tcPr>
          <w:p w:rsidR="0088341A" w:rsidRPr="00596DDA" w:rsidRDefault="0088341A" w:rsidP="00596DDA">
            <w:pPr>
              <w:pStyle w:val="AERtabletextleft"/>
              <w:keepNext/>
              <w:keepLines/>
            </w:pPr>
            <w:r w:rsidRPr="00596DDA">
              <w:t>Ageing asset profile</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p>
        </w:tc>
      </w:tr>
      <w:tr w:rsidR="0088341A" w:rsidRPr="00180F57" w:rsidTr="0050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88341A" w:rsidRPr="00596DDA" w:rsidRDefault="0088341A" w:rsidP="00596DDA">
            <w:pPr>
              <w:pStyle w:val="AERtabletextleft"/>
              <w:keepNext/>
              <w:keepLines/>
            </w:pPr>
            <w:r w:rsidRPr="00731C5D">
              <w:t>Overhead line condition assessment</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731C5D">
              <w:t>1.3</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731C5D">
              <w:t>1.3</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731C5D">
              <w:t>1.3</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731C5D">
              <w:t>3.9</w:t>
            </w:r>
          </w:p>
        </w:tc>
      </w:tr>
      <w:tr w:rsidR="0088341A" w:rsidRPr="00180F57" w:rsidTr="00501137">
        <w:tc>
          <w:tcPr>
            <w:cnfStyle w:val="001000000000" w:firstRow="0" w:lastRow="0" w:firstColumn="1" w:lastColumn="0" w:oddVBand="0" w:evenVBand="0" w:oddHBand="0" w:evenHBand="0" w:firstRowFirstColumn="0" w:firstRowLastColumn="0" w:lastRowFirstColumn="0" w:lastRowLastColumn="0"/>
            <w:tcW w:w="5070" w:type="dxa"/>
          </w:tcPr>
          <w:p w:rsidR="0088341A" w:rsidRPr="00596DDA" w:rsidRDefault="0088341A" w:rsidP="00596DDA">
            <w:pPr>
              <w:pStyle w:val="AERtabletextleft"/>
              <w:keepNext/>
              <w:keepLines/>
            </w:pPr>
            <w:r w:rsidRPr="00731C5D">
              <w:t>Corrosion risk mitigation</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731C5D">
              <w:t>3.2</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731C5D">
              <w:t>3.2</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731C5D">
              <w:t>3.2</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731C5D">
              <w:t>9.5</w:t>
            </w:r>
          </w:p>
        </w:tc>
      </w:tr>
      <w:tr w:rsidR="0088341A" w:rsidRPr="00180F57" w:rsidTr="0050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88341A" w:rsidRPr="00596DDA" w:rsidRDefault="0088341A" w:rsidP="00596DDA">
            <w:pPr>
              <w:pStyle w:val="AERtabletextleft"/>
              <w:keepNext/>
              <w:keepLines/>
            </w:pPr>
            <w:r w:rsidRPr="00596DDA">
              <w:t>Changes in compliance obligations</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p>
        </w:tc>
      </w:tr>
      <w:tr w:rsidR="0088341A" w:rsidRPr="00180F57" w:rsidTr="00501137">
        <w:tc>
          <w:tcPr>
            <w:cnfStyle w:val="001000000000" w:firstRow="0" w:lastRow="0" w:firstColumn="1" w:lastColumn="0" w:oddVBand="0" w:evenVBand="0" w:oddHBand="0" w:evenHBand="0" w:firstRowFirstColumn="0" w:firstRowLastColumn="0" w:lastRowFirstColumn="0" w:lastRowLastColumn="0"/>
            <w:tcW w:w="5070" w:type="dxa"/>
          </w:tcPr>
          <w:p w:rsidR="0088341A" w:rsidRPr="00596DDA" w:rsidRDefault="0088341A" w:rsidP="00596DDA">
            <w:pPr>
              <w:pStyle w:val="AERtabletextleft"/>
              <w:keepNext/>
              <w:keepLines/>
            </w:pPr>
            <w:r w:rsidRPr="00731C5D">
              <w:t>AEMO outage planning requirements</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731C5D">
              <w:t>0.2</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731C5D">
              <w:t>0.2</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731C5D">
              <w:t>0.2</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731C5D">
              <w:t>0.6</w:t>
            </w:r>
          </w:p>
        </w:tc>
      </w:tr>
      <w:tr w:rsidR="0088341A" w:rsidRPr="00180F57" w:rsidTr="0050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88341A" w:rsidRPr="00596DDA" w:rsidRDefault="0088341A" w:rsidP="00596DDA">
            <w:pPr>
              <w:pStyle w:val="AERtabletextleft"/>
              <w:keepNext/>
              <w:keepLines/>
            </w:pPr>
            <w:r w:rsidRPr="00731C5D">
              <w:t>Security of critical infrastructure (terminal stations)</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731C5D">
              <w:t>1.6</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731C5D">
              <w:t>1.6</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731C5D">
              <w:t>1.6</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731C5D">
              <w:t>4.8</w:t>
            </w:r>
          </w:p>
        </w:tc>
      </w:tr>
      <w:tr w:rsidR="0088341A" w:rsidRPr="00180F57" w:rsidTr="00501137">
        <w:tc>
          <w:tcPr>
            <w:cnfStyle w:val="001000000000" w:firstRow="0" w:lastRow="0" w:firstColumn="1" w:lastColumn="0" w:oddVBand="0" w:evenVBand="0" w:oddHBand="0" w:evenHBand="0" w:firstRowFirstColumn="0" w:firstRowLastColumn="0" w:lastRowFirstColumn="0" w:lastRowLastColumn="0"/>
            <w:tcW w:w="5070" w:type="dxa"/>
          </w:tcPr>
          <w:p w:rsidR="0088341A" w:rsidRPr="00596DDA" w:rsidRDefault="0088341A" w:rsidP="00596DDA">
            <w:pPr>
              <w:pStyle w:val="AERtabletextleft"/>
              <w:keepNext/>
              <w:keepLines/>
            </w:pPr>
            <w:r w:rsidRPr="00596DDA">
              <w:t>Regulatory changes and government policy initiatives</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p>
        </w:tc>
      </w:tr>
      <w:tr w:rsidR="0088341A" w:rsidRPr="00180F57" w:rsidTr="0050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88341A" w:rsidRPr="00596DDA" w:rsidRDefault="0088341A" w:rsidP="00596DDA">
            <w:pPr>
              <w:pStyle w:val="AERtabletextleft"/>
              <w:keepNext/>
              <w:keepLines/>
            </w:pPr>
            <w:r w:rsidRPr="00731C5D">
              <w:t xml:space="preserve">Impact of the </w:t>
            </w:r>
            <w:r w:rsidRPr="00351A6E">
              <w:rPr>
                <w:rFonts w:hint="eastAsia"/>
              </w:rPr>
              <w:t>‘</w:t>
            </w:r>
            <w:r w:rsidRPr="00C21B34">
              <w:t>Clean Energy Future</w:t>
            </w:r>
            <w:r w:rsidRPr="00F7102E">
              <w:rPr>
                <w:rFonts w:hint="eastAsia"/>
              </w:rPr>
              <w:t>’</w:t>
            </w:r>
            <w:r w:rsidRPr="009C4620">
              <w:t xml:space="preserve"> legislation on SF6 top ups</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731C5D">
              <w:t>0.8</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731C5D">
              <w:t>0.8</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731C5D">
              <w:t>0.8</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731C5D">
              <w:t>2.5</w:t>
            </w:r>
          </w:p>
        </w:tc>
      </w:tr>
      <w:tr w:rsidR="0088341A" w:rsidRPr="00180F57" w:rsidTr="00501137">
        <w:tc>
          <w:tcPr>
            <w:cnfStyle w:val="001000000000" w:firstRow="0" w:lastRow="0" w:firstColumn="1" w:lastColumn="0" w:oddVBand="0" w:evenVBand="0" w:oddHBand="0" w:evenHBand="0" w:firstRowFirstColumn="0" w:firstRowLastColumn="0" w:lastRowFirstColumn="0" w:lastRowLastColumn="0"/>
            <w:tcW w:w="5070" w:type="dxa"/>
          </w:tcPr>
          <w:p w:rsidR="0088341A" w:rsidRPr="00596DDA" w:rsidRDefault="0088341A" w:rsidP="00596DDA">
            <w:pPr>
              <w:pStyle w:val="AERtabletextleft"/>
              <w:keepNext/>
              <w:keepLines/>
            </w:pPr>
            <w:r w:rsidRPr="00731C5D">
              <w:t>Transitional arrangements for the Economic Regulation of NSPs rule change</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731C5D">
              <w:t>0.0</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731C5D">
              <w:t>1.4</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731C5D">
              <w:t>1.4</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731C5D">
              <w:t>2.8</w:t>
            </w:r>
          </w:p>
        </w:tc>
      </w:tr>
      <w:tr w:rsidR="0088341A" w:rsidRPr="00180F57" w:rsidTr="0050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88341A" w:rsidRPr="00596DDA" w:rsidRDefault="0088341A" w:rsidP="00596DDA">
            <w:pPr>
              <w:pStyle w:val="AERtabletextleft"/>
              <w:keepNext/>
              <w:keepLines/>
            </w:pPr>
            <w:r w:rsidRPr="00731C5D">
              <w:t>Potential transfer of planning responsibilities</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731C5D">
              <w:t>n/a</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731C5D">
              <w:t>n/a</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731C5D">
              <w:t>n/a</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731C5D">
              <w:t>n/a</w:t>
            </w:r>
          </w:p>
        </w:tc>
      </w:tr>
      <w:tr w:rsidR="0088341A" w:rsidRPr="00180F57" w:rsidTr="00501137">
        <w:tc>
          <w:tcPr>
            <w:cnfStyle w:val="001000000000" w:firstRow="0" w:lastRow="0" w:firstColumn="1" w:lastColumn="0" w:oddVBand="0" w:evenVBand="0" w:oddHBand="0" w:evenHBand="0" w:firstRowFirstColumn="0" w:firstRowLastColumn="0" w:lastRowFirstColumn="0" w:lastRowLastColumn="0"/>
            <w:tcW w:w="5070" w:type="dxa"/>
          </w:tcPr>
          <w:p w:rsidR="0088341A" w:rsidRPr="00596DDA" w:rsidRDefault="0088341A" w:rsidP="00596DDA">
            <w:pPr>
              <w:pStyle w:val="AERtabletextleft"/>
              <w:keepNext/>
              <w:keepLines/>
            </w:pPr>
            <w:r w:rsidRPr="00596DDA">
              <w:t>Opex to support ICT capital works</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p>
        </w:tc>
      </w:tr>
      <w:tr w:rsidR="0088341A" w:rsidRPr="00180F57" w:rsidTr="0050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88341A" w:rsidRPr="00596DDA" w:rsidRDefault="0088341A" w:rsidP="00596DDA">
            <w:pPr>
              <w:pStyle w:val="AERtabletextleft"/>
              <w:keepNext/>
              <w:keepLines/>
            </w:pPr>
            <w:r w:rsidRPr="00731C5D">
              <w:t xml:space="preserve">SCADA enhancements </w:t>
            </w:r>
            <w:r w:rsidRPr="00351A6E">
              <w:rPr>
                <w:rFonts w:hint="eastAsia"/>
              </w:rPr>
              <w:t>–</w:t>
            </w:r>
            <w:r w:rsidRPr="00C21B34">
              <w:t xml:space="preserve"> controller simulator training</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731C5D">
              <w:t>0.3</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731C5D">
              <w:t>0.3</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731C5D">
              <w:t>0.3</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731C5D">
              <w:t>0.9</w:t>
            </w:r>
          </w:p>
        </w:tc>
      </w:tr>
      <w:tr w:rsidR="0088341A" w:rsidRPr="00180F57" w:rsidTr="00501137">
        <w:tc>
          <w:tcPr>
            <w:cnfStyle w:val="001000000000" w:firstRow="0" w:lastRow="0" w:firstColumn="1" w:lastColumn="0" w:oddVBand="0" w:evenVBand="0" w:oddHBand="0" w:evenHBand="0" w:firstRowFirstColumn="0" w:firstRowLastColumn="0" w:lastRowFirstColumn="0" w:lastRowLastColumn="0"/>
            <w:tcW w:w="5070" w:type="dxa"/>
          </w:tcPr>
          <w:p w:rsidR="0088341A" w:rsidRPr="00596DDA" w:rsidRDefault="0088341A" w:rsidP="00596DDA">
            <w:pPr>
              <w:pStyle w:val="AERtabletextleft"/>
              <w:keepNext/>
              <w:keepLines/>
            </w:pPr>
            <w:r w:rsidRPr="00731C5D">
              <w:t xml:space="preserve">SCADA security </w:t>
            </w:r>
            <w:r w:rsidRPr="00351A6E">
              <w:rPr>
                <w:rFonts w:hint="eastAsia"/>
              </w:rPr>
              <w:t>–</w:t>
            </w:r>
            <w:r w:rsidRPr="00C21B34">
              <w:t xml:space="preserve"> Software QA/QC environment</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731C5D">
              <w:t>0.2</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731C5D">
              <w:t>0.2</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731C5D">
              <w:t>0.2</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731C5D">
              <w:t>0.6</w:t>
            </w:r>
          </w:p>
        </w:tc>
      </w:tr>
      <w:tr w:rsidR="0088341A" w:rsidRPr="00180F57" w:rsidTr="0050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88341A" w:rsidRPr="00596DDA" w:rsidRDefault="0088341A" w:rsidP="00596DDA">
            <w:pPr>
              <w:pStyle w:val="AERtabletextleft"/>
              <w:keepNext/>
              <w:keepLines/>
            </w:pPr>
            <w:r w:rsidRPr="00731C5D">
              <w:t>IT network security</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731C5D">
              <w:t>0.2</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731C5D">
              <w:t>0.2</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731C5D">
              <w:t>0.2</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731C5D">
              <w:t>0.8</w:t>
            </w:r>
          </w:p>
        </w:tc>
      </w:tr>
      <w:tr w:rsidR="0088341A" w:rsidRPr="00180F57" w:rsidTr="00501137">
        <w:tc>
          <w:tcPr>
            <w:cnfStyle w:val="001000000000" w:firstRow="0" w:lastRow="0" w:firstColumn="1" w:lastColumn="0" w:oddVBand="0" w:evenVBand="0" w:oddHBand="0" w:evenHBand="0" w:firstRowFirstColumn="0" w:firstRowLastColumn="0" w:lastRowFirstColumn="0" w:lastRowLastColumn="0"/>
            <w:tcW w:w="5070" w:type="dxa"/>
          </w:tcPr>
          <w:p w:rsidR="0088341A" w:rsidRPr="00596DDA" w:rsidRDefault="0088341A" w:rsidP="00596DDA">
            <w:pPr>
              <w:pStyle w:val="AERtabletextleft"/>
              <w:keepNext/>
              <w:keepLines/>
            </w:pPr>
            <w:r w:rsidRPr="00731C5D">
              <w:t xml:space="preserve">Service standard reporting tools </w:t>
            </w:r>
            <w:r w:rsidRPr="00351A6E">
              <w:rPr>
                <w:rFonts w:hint="eastAsia"/>
              </w:rPr>
              <w:t>–</w:t>
            </w:r>
            <w:r w:rsidRPr="00C21B34">
              <w:t xml:space="preserve"> enable market reporting </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731C5D">
              <w:t>0.2</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731C5D">
              <w:t>0.2</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731C5D">
              <w:t>0.2</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731C5D">
              <w:t>0.5</w:t>
            </w:r>
          </w:p>
        </w:tc>
      </w:tr>
      <w:tr w:rsidR="0088341A" w:rsidRPr="00180F57" w:rsidTr="0050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88341A" w:rsidRPr="00596DDA" w:rsidRDefault="0088341A" w:rsidP="00596DDA">
            <w:pPr>
              <w:pStyle w:val="AERtabletextleft"/>
              <w:keepNext/>
              <w:keepLines/>
            </w:pPr>
            <w:r w:rsidRPr="00596DDA">
              <w:t>Innovation program</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p>
        </w:tc>
      </w:tr>
      <w:tr w:rsidR="0088341A" w:rsidRPr="00180F57" w:rsidTr="00501137">
        <w:tc>
          <w:tcPr>
            <w:cnfStyle w:val="001000000000" w:firstRow="0" w:lastRow="0" w:firstColumn="1" w:lastColumn="0" w:oddVBand="0" w:evenVBand="0" w:oddHBand="0" w:evenHBand="0" w:firstRowFirstColumn="0" w:firstRowLastColumn="0" w:lastRowFirstColumn="0" w:lastRowLastColumn="0"/>
            <w:tcW w:w="5070" w:type="dxa"/>
          </w:tcPr>
          <w:p w:rsidR="0088341A" w:rsidRPr="00596DDA" w:rsidRDefault="0088341A" w:rsidP="00596DDA">
            <w:pPr>
              <w:pStyle w:val="AERtabletextleft"/>
              <w:keepNext/>
              <w:keepLines/>
            </w:pPr>
            <w:r w:rsidRPr="00731C5D">
              <w:t>Technology innovation program</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731C5D">
              <w:t>0.4</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731C5D">
              <w:t>0.6</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731C5D">
              <w:t>0.6</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731C5D">
              <w:t>1.7</w:t>
            </w:r>
          </w:p>
        </w:tc>
      </w:tr>
      <w:tr w:rsidR="0088341A" w:rsidRPr="00180F57" w:rsidTr="0050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88341A" w:rsidRPr="00596DDA" w:rsidRDefault="0088341A" w:rsidP="00596DDA">
            <w:pPr>
              <w:pStyle w:val="AERtabletextleft"/>
              <w:keepNext/>
              <w:keepLines/>
            </w:pPr>
            <w:r w:rsidRPr="00596DDA">
              <w:t>Recurrent opex not in the base year</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p>
        </w:tc>
      </w:tr>
      <w:tr w:rsidR="0088341A" w:rsidRPr="00180F57" w:rsidTr="00501137">
        <w:tc>
          <w:tcPr>
            <w:cnfStyle w:val="001000000000" w:firstRow="0" w:lastRow="0" w:firstColumn="1" w:lastColumn="0" w:oddVBand="0" w:evenVBand="0" w:oddHBand="0" w:evenHBand="0" w:firstRowFirstColumn="0" w:firstRowLastColumn="0" w:lastRowFirstColumn="0" w:lastRowLastColumn="0"/>
            <w:tcW w:w="5070" w:type="dxa"/>
          </w:tcPr>
          <w:p w:rsidR="0088341A" w:rsidRPr="00596DDA" w:rsidRDefault="0088341A" w:rsidP="00596DDA">
            <w:pPr>
              <w:pStyle w:val="AERtabletextleft"/>
              <w:keepNext/>
              <w:keepLines/>
            </w:pPr>
            <w:r w:rsidRPr="00731C5D">
              <w:t>Communications infrastructure</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731C5D">
              <w:t>0.9</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731C5D">
              <w:t>0.9</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731C5D">
              <w:t>0.9</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731C5D">
              <w:t>2.6</w:t>
            </w:r>
          </w:p>
        </w:tc>
      </w:tr>
      <w:tr w:rsidR="0088341A" w:rsidRPr="00180F57" w:rsidTr="0050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88341A" w:rsidRPr="00596DDA" w:rsidRDefault="0088341A" w:rsidP="00596DDA">
            <w:pPr>
              <w:pStyle w:val="AERtabletextleft"/>
              <w:keepNext/>
              <w:keepLines/>
            </w:pPr>
            <w:r w:rsidRPr="00596DDA">
              <w:t>Total step change opex (unescalated)</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731C5D">
              <w:t>9.3</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731C5D">
              <w:t>11.0</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731C5D">
              <w:t>11.0</w:t>
            </w:r>
          </w:p>
        </w:tc>
        <w:tc>
          <w:tcPr>
            <w:tcW w:w="1043"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731C5D">
              <w:t>31.2</w:t>
            </w:r>
          </w:p>
        </w:tc>
      </w:tr>
      <w:tr w:rsidR="0088341A" w:rsidRPr="00180F57" w:rsidTr="00501137">
        <w:tc>
          <w:tcPr>
            <w:cnfStyle w:val="001000000000" w:firstRow="0" w:lastRow="0" w:firstColumn="1" w:lastColumn="0" w:oddVBand="0" w:evenVBand="0" w:oddHBand="0" w:evenHBand="0" w:firstRowFirstColumn="0" w:firstRowLastColumn="0" w:lastRowFirstColumn="0" w:lastRowLastColumn="0"/>
            <w:tcW w:w="5070" w:type="dxa"/>
          </w:tcPr>
          <w:p w:rsidR="0088341A" w:rsidRPr="00596DDA" w:rsidRDefault="0088341A" w:rsidP="00596DDA">
            <w:pPr>
              <w:pStyle w:val="AERtabletextleft"/>
              <w:keepNext/>
              <w:keepLines/>
            </w:pPr>
            <w:r w:rsidRPr="00596DDA">
              <w:t>Total step change opex (escalated)</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731C5D">
              <w:t>9.6</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731C5D">
              <w:t>11.4</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731C5D">
              <w:t>11.6</w:t>
            </w:r>
          </w:p>
        </w:tc>
        <w:tc>
          <w:tcPr>
            <w:tcW w:w="1043"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731C5D">
              <w:t>32.5</w:t>
            </w:r>
          </w:p>
        </w:tc>
      </w:tr>
    </w:tbl>
    <w:p w:rsidR="00907AAD" w:rsidRDefault="0088341A" w:rsidP="00907AAD">
      <w:pPr>
        <w:pStyle w:val="AERtablesource"/>
        <w:keepNext/>
      </w:pPr>
      <w:r>
        <w:t xml:space="preserve">Source: </w:t>
      </w:r>
      <w:r w:rsidR="00907AAD">
        <w:t xml:space="preserve">SP AusNet, </w:t>
      </w:r>
      <w:r w:rsidR="00907AAD" w:rsidRPr="000A50D1">
        <w:rPr>
          <w:rStyle w:val="AERtextitalic"/>
        </w:rPr>
        <w:t>Revised opex mode</w:t>
      </w:r>
      <w:r w:rsidR="004B3E41">
        <w:rPr>
          <w:rStyle w:val="AERtextitalic"/>
        </w:rPr>
        <w:t xml:space="preserve"> [confidential]</w:t>
      </w:r>
      <w:r w:rsidR="00907AAD" w:rsidRPr="000A50D1">
        <w:rPr>
          <w:rStyle w:val="AERtextitalic"/>
        </w:rPr>
        <w:t>l</w:t>
      </w:r>
      <w:r w:rsidR="00907AAD">
        <w:t>, 22 May 2013; AER analysis</w:t>
      </w:r>
    </w:p>
    <w:p w:rsidR="0088341A" w:rsidRDefault="0088341A" w:rsidP="00596DDA">
      <w:pPr>
        <w:pStyle w:val="AERtablesource"/>
        <w:keepNext/>
        <w:keepLines/>
      </w:pPr>
    </w:p>
    <w:p w:rsidR="0088341A" w:rsidRDefault="0088341A" w:rsidP="0088341A">
      <w:pPr>
        <w:pStyle w:val="Heading8"/>
        <w:numPr>
          <w:ilvl w:val="5"/>
          <w:numId w:val="20"/>
        </w:numPr>
      </w:pPr>
      <w:bookmarkStart w:id="416" w:name="_Toc365283385"/>
      <w:r>
        <w:t xml:space="preserve">Step change </w:t>
      </w:r>
      <w:r w:rsidRPr="0052114E">
        <w:t>that</w:t>
      </w:r>
      <w:r>
        <w:t xml:space="preserve"> the AER accepts</w:t>
      </w:r>
      <w:bookmarkEnd w:id="416"/>
      <w:r>
        <w:t xml:space="preserve">  </w:t>
      </w:r>
    </w:p>
    <w:p w:rsidR="0088341A" w:rsidRPr="0061439C" w:rsidRDefault="0088341A" w:rsidP="0088341A">
      <w:pPr>
        <w:pStyle w:val="AERbodytext"/>
        <w:numPr>
          <w:ilvl w:val="0"/>
          <w:numId w:val="1"/>
        </w:numPr>
      </w:pPr>
      <w:r>
        <w:t xml:space="preserve">We accept one step change as proposed by SP AusNet, the ‘SCADA enhancements – controller simulator training’ ($0.9 million) step change. </w:t>
      </w:r>
    </w:p>
    <w:p w:rsidR="0088341A" w:rsidRDefault="0088341A" w:rsidP="0088341A">
      <w:pPr>
        <w:pStyle w:val="HeadingBoldBlue"/>
      </w:pPr>
      <w:r>
        <w:lastRenderedPageBreak/>
        <w:t>SCADA enhancements – controller simulator training — $0.9 million</w:t>
      </w:r>
    </w:p>
    <w:p w:rsidR="0088341A" w:rsidRDefault="0088341A" w:rsidP="0088341A">
      <w:pPr>
        <w:pStyle w:val="AERbodytext"/>
        <w:numPr>
          <w:ilvl w:val="0"/>
          <w:numId w:val="0"/>
        </w:numPr>
      </w:pPr>
      <w:r>
        <w:t>SP AusNet proposed new IT opex totalling $0.9 million. This SCADA enhancement step change is for the development of a new training system for network controllers. Currently, SP AusNet trains staff using the live network under supervised controls. However, as part of its capex proposal, SP AusNet proposed to develop a controller simulation training program (which we accept meets the capex objectives).</w:t>
      </w:r>
      <w:r>
        <w:rPr>
          <w:rStyle w:val="FootnoteReference"/>
        </w:rPr>
        <w:footnoteReference w:id="638"/>
      </w:r>
      <w:r>
        <w:t xml:space="preserve"> This step change relates to the addition of 1.5 full time equivalent staff to develop and build test scenarios in relation to that capex program.</w:t>
      </w:r>
    </w:p>
    <w:p w:rsidR="0088341A" w:rsidRDefault="0088341A" w:rsidP="0088341A">
      <w:pPr>
        <w:pStyle w:val="AERbodytext"/>
        <w:numPr>
          <w:ilvl w:val="0"/>
          <w:numId w:val="0"/>
        </w:numPr>
      </w:pPr>
      <w:r>
        <w:t>We accept this step change because it represents good industry practice and reflects what many other TNSPs are implementing. We consider the reduction in risk from the program’s development directly benefits consumers. EMCa recommended accepting the step change, noting the program is good industry practice and used by other TNSPs internationally. It considered the program should improve system operational management and reduce system operational risk.</w:t>
      </w:r>
      <w:r>
        <w:rPr>
          <w:rStyle w:val="FootnoteReference"/>
        </w:rPr>
        <w:footnoteReference w:id="639"/>
      </w:r>
    </w:p>
    <w:p w:rsidR="0088341A" w:rsidRDefault="007034EF" w:rsidP="0088341A">
      <w:pPr>
        <w:pStyle w:val="Caption"/>
      </w:pPr>
      <w:r>
        <w:t>Table D.3</w:t>
      </w:r>
      <w:r>
        <w:tab/>
      </w:r>
      <w:r w:rsidR="0088341A">
        <w:t>SP AusNet’s proposed step change for SCADA enhancements – controller simulator training ($ million, 2013–14)</w:t>
      </w:r>
    </w:p>
    <w:tbl>
      <w:tblPr>
        <w:tblStyle w:val="AERtable-numbers"/>
        <w:tblW w:w="0" w:type="auto"/>
        <w:tblLook w:val="04A0" w:firstRow="1" w:lastRow="0" w:firstColumn="1" w:lastColumn="0" w:noHBand="0" w:noVBand="1"/>
      </w:tblPr>
      <w:tblGrid>
        <w:gridCol w:w="4786"/>
        <w:gridCol w:w="1114"/>
        <w:gridCol w:w="1114"/>
        <w:gridCol w:w="1114"/>
        <w:gridCol w:w="1114"/>
      </w:tblGrid>
      <w:tr w:rsidR="0088341A" w:rsidRPr="00180F57" w:rsidTr="005011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88341A" w:rsidRPr="00596DDA" w:rsidRDefault="0088341A" w:rsidP="00596DDA">
            <w:pPr>
              <w:pStyle w:val="AERtabletextleft"/>
            </w:pPr>
          </w:p>
        </w:tc>
        <w:tc>
          <w:tcPr>
            <w:tcW w:w="1114" w:type="dxa"/>
          </w:tcPr>
          <w:p w:rsidR="0088341A" w:rsidRPr="00596DDA" w:rsidRDefault="0088341A" w:rsidP="00596DDA">
            <w:pPr>
              <w:pStyle w:val="AERtabletextright"/>
              <w:cnfStyle w:val="100000000000" w:firstRow="1" w:lastRow="0" w:firstColumn="0" w:lastColumn="0" w:oddVBand="0" w:evenVBand="0" w:oddHBand="0" w:evenHBand="0" w:firstRowFirstColumn="0" w:firstRowLastColumn="0" w:lastRowFirstColumn="0" w:lastRowLastColumn="0"/>
            </w:pPr>
            <w:r w:rsidRPr="00731C5D">
              <w:t>2014</w:t>
            </w:r>
            <w:r w:rsidRPr="00351A6E">
              <w:rPr>
                <w:rFonts w:hint="eastAsia"/>
              </w:rPr>
              <w:t>–</w:t>
            </w:r>
            <w:r w:rsidRPr="00C21B34">
              <w:t>15</w:t>
            </w:r>
          </w:p>
        </w:tc>
        <w:tc>
          <w:tcPr>
            <w:tcW w:w="1114" w:type="dxa"/>
          </w:tcPr>
          <w:p w:rsidR="0088341A" w:rsidRPr="00596DDA" w:rsidRDefault="0088341A" w:rsidP="00596DDA">
            <w:pPr>
              <w:pStyle w:val="AERtabletextright"/>
              <w:cnfStyle w:val="100000000000" w:firstRow="1" w:lastRow="0" w:firstColumn="0" w:lastColumn="0" w:oddVBand="0" w:evenVBand="0" w:oddHBand="0" w:evenHBand="0" w:firstRowFirstColumn="0" w:firstRowLastColumn="0" w:lastRowFirstColumn="0" w:lastRowLastColumn="0"/>
            </w:pPr>
            <w:r w:rsidRPr="00731C5D">
              <w:t>2015</w:t>
            </w:r>
            <w:r w:rsidRPr="00351A6E">
              <w:rPr>
                <w:rFonts w:hint="eastAsia"/>
              </w:rPr>
              <w:t>–</w:t>
            </w:r>
            <w:r w:rsidRPr="00C21B34">
              <w:t>16</w:t>
            </w:r>
          </w:p>
        </w:tc>
        <w:tc>
          <w:tcPr>
            <w:tcW w:w="1114" w:type="dxa"/>
          </w:tcPr>
          <w:p w:rsidR="0088341A" w:rsidRPr="00596DDA" w:rsidRDefault="0088341A" w:rsidP="00596DDA">
            <w:pPr>
              <w:pStyle w:val="AERtabletextright"/>
              <w:cnfStyle w:val="100000000000" w:firstRow="1" w:lastRow="0" w:firstColumn="0" w:lastColumn="0" w:oddVBand="0" w:evenVBand="0" w:oddHBand="0" w:evenHBand="0" w:firstRowFirstColumn="0" w:firstRowLastColumn="0" w:lastRowFirstColumn="0" w:lastRowLastColumn="0"/>
            </w:pPr>
            <w:r w:rsidRPr="00731C5D">
              <w:t>2016</w:t>
            </w:r>
            <w:r w:rsidRPr="00351A6E">
              <w:rPr>
                <w:rFonts w:hint="eastAsia"/>
              </w:rPr>
              <w:t>–</w:t>
            </w:r>
            <w:r w:rsidRPr="00C21B34">
              <w:t>17</w:t>
            </w:r>
          </w:p>
        </w:tc>
        <w:tc>
          <w:tcPr>
            <w:tcW w:w="1114" w:type="dxa"/>
          </w:tcPr>
          <w:p w:rsidR="0088341A" w:rsidRPr="00596DDA" w:rsidRDefault="0088341A" w:rsidP="00596DDA">
            <w:pPr>
              <w:pStyle w:val="AERtabletextright"/>
              <w:cnfStyle w:val="100000000000" w:firstRow="1" w:lastRow="0" w:firstColumn="0" w:lastColumn="0" w:oddVBand="0" w:evenVBand="0" w:oddHBand="0" w:evenHBand="0" w:firstRowFirstColumn="0" w:firstRowLastColumn="0" w:lastRowFirstColumn="0" w:lastRowLastColumn="0"/>
            </w:pPr>
            <w:r w:rsidRPr="00731C5D">
              <w:t>Total</w:t>
            </w:r>
          </w:p>
        </w:tc>
      </w:tr>
      <w:tr w:rsidR="0088341A" w:rsidRPr="00180F57" w:rsidTr="00501137">
        <w:tc>
          <w:tcPr>
            <w:cnfStyle w:val="001000000000" w:firstRow="0" w:lastRow="0" w:firstColumn="1" w:lastColumn="0" w:oddVBand="0" w:evenVBand="0" w:oddHBand="0" w:evenHBand="0" w:firstRowFirstColumn="0" w:firstRowLastColumn="0" w:lastRowFirstColumn="0" w:lastRowLastColumn="0"/>
            <w:tcW w:w="4786" w:type="dxa"/>
          </w:tcPr>
          <w:p w:rsidR="0088341A" w:rsidRPr="00596DDA" w:rsidRDefault="0088341A" w:rsidP="00596DDA">
            <w:pPr>
              <w:pStyle w:val="AERtabletextleft"/>
            </w:pPr>
            <w:r w:rsidRPr="00731C5D">
              <w:t xml:space="preserve">SCADA enhancements </w:t>
            </w:r>
            <w:r w:rsidRPr="00351A6E">
              <w:rPr>
                <w:rFonts w:hint="eastAsia"/>
              </w:rPr>
              <w:t>–</w:t>
            </w:r>
            <w:r w:rsidRPr="00C21B34">
              <w:t xml:space="preserve">  controller simulator training</w:t>
            </w:r>
          </w:p>
        </w:tc>
        <w:tc>
          <w:tcPr>
            <w:tcW w:w="1114" w:type="dxa"/>
          </w:tcPr>
          <w:p w:rsidR="0088341A" w:rsidRPr="00596DDA" w:rsidRDefault="0088341A" w:rsidP="00596DDA">
            <w:pPr>
              <w:pStyle w:val="AERtabletextright"/>
              <w:cnfStyle w:val="000000000000" w:firstRow="0" w:lastRow="0" w:firstColumn="0" w:lastColumn="0" w:oddVBand="0" w:evenVBand="0" w:oddHBand="0" w:evenHBand="0" w:firstRowFirstColumn="0" w:firstRowLastColumn="0" w:lastRowFirstColumn="0" w:lastRowLastColumn="0"/>
            </w:pPr>
            <w:r w:rsidRPr="00596DDA">
              <w:t>0.3</w:t>
            </w:r>
          </w:p>
        </w:tc>
        <w:tc>
          <w:tcPr>
            <w:tcW w:w="1114" w:type="dxa"/>
          </w:tcPr>
          <w:p w:rsidR="0088341A" w:rsidRPr="00596DDA" w:rsidRDefault="0088341A" w:rsidP="00596DDA">
            <w:pPr>
              <w:pStyle w:val="AERtabletextright"/>
              <w:cnfStyle w:val="000000000000" w:firstRow="0" w:lastRow="0" w:firstColumn="0" w:lastColumn="0" w:oddVBand="0" w:evenVBand="0" w:oddHBand="0" w:evenHBand="0" w:firstRowFirstColumn="0" w:firstRowLastColumn="0" w:lastRowFirstColumn="0" w:lastRowLastColumn="0"/>
            </w:pPr>
            <w:r w:rsidRPr="00731C5D">
              <w:t>0.3</w:t>
            </w:r>
          </w:p>
        </w:tc>
        <w:tc>
          <w:tcPr>
            <w:tcW w:w="1114" w:type="dxa"/>
          </w:tcPr>
          <w:p w:rsidR="0088341A" w:rsidRPr="00596DDA" w:rsidRDefault="0088341A" w:rsidP="00596DDA">
            <w:pPr>
              <w:pStyle w:val="AERtabletextright"/>
              <w:cnfStyle w:val="000000000000" w:firstRow="0" w:lastRow="0" w:firstColumn="0" w:lastColumn="0" w:oddVBand="0" w:evenVBand="0" w:oddHBand="0" w:evenHBand="0" w:firstRowFirstColumn="0" w:firstRowLastColumn="0" w:lastRowFirstColumn="0" w:lastRowLastColumn="0"/>
            </w:pPr>
            <w:r w:rsidRPr="00731C5D">
              <w:t>0.3</w:t>
            </w:r>
          </w:p>
        </w:tc>
        <w:tc>
          <w:tcPr>
            <w:tcW w:w="1114" w:type="dxa"/>
          </w:tcPr>
          <w:p w:rsidR="0088341A" w:rsidRPr="00596DDA" w:rsidRDefault="0088341A" w:rsidP="00596DDA">
            <w:pPr>
              <w:pStyle w:val="AERtabletextright"/>
              <w:cnfStyle w:val="000000000000" w:firstRow="0" w:lastRow="0" w:firstColumn="0" w:lastColumn="0" w:oddVBand="0" w:evenVBand="0" w:oddHBand="0" w:evenHBand="0" w:firstRowFirstColumn="0" w:firstRowLastColumn="0" w:lastRowFirstColumn="0" w:lastRowLastColumn="0"/>
            </w:pPr>
            <w:r w:rsidRPr="00731C5D">
              <w:t>0.9</w:t>
            </w:r>
          </w:p>
        </w:tc>
      </w:tr>
      <w:tr w:rsidR="0088341A" w:rsidRPr="00180F57" w:rsidTr="0050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88341A" w:rsidRPr="00596DDA" w:rsidRDefault="0088341A" w:rsidP="00596DDA">
            <w:pPr>
              <w:pStyle w:val="AERtabletextleft"/>
            </w:pPr>
            <w:r w:rsidRPr="00731C5D">
              <w:t>AER</w:t>
            </w:r>
            <w:r w:rsidRPr="00351A6E">
              <w:rPr>
                <w:rFonts w:hint="eastAsia"/>
              </w:rPr>
              <w:t>’</w:t>
            </w:r>
            <w:r w:rsidRPr="00C21B34">
              <w:t xml:space="preserve">s draft decision </w:t>
            </w:r>
          </w:p>
        </w:tc>
        <w:tc>
          <w:tcPr>
            <w:tcW w:w="1114" w:type="dxa"/>
          </w:tcPr>
          <w:p w:rsidR="0088341A" w:rsidRPr="00596DDA" w:rsidRDefault="0088341A" w:rsidP="00596DDA">
            <w:pPr>
              <w:pStyle w:val="AERtabletextright"/>
              <w:cnfStyle w:val="000000010000" w:firstRow="0" w:lastRow="0" w:firstColumn="0" w:lastColumn="0" w:oddVBand="0" w:evenVBand="0" w:oddHBand="0" w:evenHBand="1" w:firstRowFirstColumn="0" w:firstRowLastColumn="0" w:lastRowFirstColumn="0" w:lastRowLastColumn="0"/>
            </w:pPr>
            <w:r w:rsidRPr="00731C5D">
              <w:t>0.3</w:t>
            </w:r>
          </w:p>
        </w:tc>
        <w:tc>
          <w:tcPr>
            <w:tcW w:w="1114" w:type="dxa"/>
          </w:tcPr>
          <w:p w:rsidR="0088341A" w:rsidRPr="00596DDA" w:rsidRDefault="0088341A" w:rsidP="00596DDA">
            <w:pPr>
              <w:pStyle w:val="AERtabletextright"/>
              <w:cnfStyle w:val="000000010000" w:firstRow="0" w:lastRow="0" w:firstColumn="0" w:lastColumn="0" w:oddVBand="0" w:evenVBand="0" w:oddHBand="0" w:evenHBand="1" w:firstRowFirstColumn="0" w:firstRowLastColumn="0" w:lastRowFirstColumn="0" w:lastRowLastColumn="0"/>
            </w:pPr>
            <w:r w:rsidRPr="00731C5D">
              <w:t>0.3</w:t>
            </w:r>
          </w:p>
        </w:tc>
        <w:tc>
          <w:tcPr>
            <w:tcW w:w="1114" w:type="dxa"/>
          </w:tcPr>
          <w:p w:rsidR="0088341A" w:rsidRPr="00596DDA" w:rsidRDefault="0088341A" w:rsidP="00596DDA">
            <w:pPr>
              <w:pStyle w:val="AERtabletextright"/>
              <w:cnfStyle w:val="000000010000" w:firstRow="0" w:lastRow="0" w:firstColumn="0" w:lastColumn="0" w:oddVBand="0" w:evenVBand="0" w:oddHBand="0" w:evenHBand="1" w:firstRowFirstColumn="0" w:firstRowLastColumn="0" w:lastRowFirstColumn="0" w:lastRowLastColumn="0"/>
            </w:pPr>
            <w:r w:rsidRPr="00731C5D">
              <w:t>0.3</w:t>
            </w:r>
          </w:p>
        </w:tc>
        <w:tc>
          <w:tcPr>
            <w:tcW w:w="1114" w:type="dxa"/>
          </w:tcPr>
          <w:p w:rsidR="0088341A" w:rsidRPr="00596DDA" w:rsidRDefault="0088341A" w:rsidP="00596DDA">
            <w:pPr>
              <w:pStyle w:val="AERtabletextright"/>
              <w:cnfStyle w:val="000000010000" w:firstRow="0" w:lastRow="0" w:firstColumn="0" w:lastColumn="0" w:oddVBand="0" w:evenVBand="0" w:oddHBand="0" w:evenHBand="1" w:firstRowFirstColumn="0" w:firstRowLastColumn="0" w:lastRowFirstColumn="0" w:lastRowLastColumn="0"/>
            </w:pPr>
            <w:r w:rsidRPr="00731C5D">
              <w:t>0.9</w:t>
            </w:r>
          </w:p>
        </w:tc>
      </w:tr>
    </w:tbl>
    <w:p w:rsidR="0088341A" w:rsidRDefault="0088341A" w:rsidP="0088341A">
      <w:pPr>
        <w:pStyle w:val="AERtablesource"/>
        <w:keepNext/>
      </w:pPr>
      <w:r>
        <w:t xml:space="preserve">Source: SP AusNet, </w:t>
      </w:r>
      <w:r w:rsidRPr="001F649B">
        <w:rPr>
          <w:rStyle w:val="AERtextitalic"/>
        </w:rPr>
        <w:t>Revenue proposal</w:t>
      </w:r>
      <w:r>
        <w:t>,</w:t>
      </w:r>
      <w:r w:rsidR="00BC332B">
        <w:t xml:space="preserve"> Appendix 5E [Public], Table 1.1 pp.5-6; SP AusNet, revised opex model</w:t>
      </w:r>
      <w:r w:rsidR="004B3E41">
        <w:t xml:space="preserve"> [confidential]</w:t>
      </w:r>
      <w:r w:rsidR="00BC332B">
        <w:t>, 22 May 2013; AER analysis</w:t>
      </w:r>
    </w:p>
    <w:p w:rsidR="0088341A" w:rsidRPr="002D0BB6" w:rsidRDefault="0088341A" w:rsidP="0088341A">
      <w:pPr>
        <w:pStyle w:val="Heading8"/>
        <w:numPr>
          <w:ilvl w:val="5"/>
          <w:numId w:val="20"/>
        </w:numPr>
        <w:rPr>
          <w:rStyle w:val="AERbody"/>
          <w:color w:val="E36C0A"/>
          <w:sz w:val="28"/>
        </w:rPr>
      </w:pPr>
      <w:bookmarkStart w:id="417" w:name="_Toc365283386"/>
      <w:r w:rsidRPr="002D0BB6">
        <w:t>Step changes the AER does not accept</w:t>
      </w:r>
      <w:bookmarkEnd w:id="417"/>
      <w:r w:rsidRPr="002D0BB6">
        <w:rPr>
          <w:rStyle w:val="AERbody"/>
          <w:color w:val="E36C0A"/>
          <w:sz w:val="28"/>
        </w:rPr>
        <w:t xml:space="preserve"> </w:t>
      </w:r>
    </w:p>
    <w:p w:rsidR="0088341A" w:rsidRPr="002470C4" w:rsidRDefault="0088341A" w:rsidP="0088341A">
      <w:pPr>
        <w:pStyle w:val="AERbodytext"/>
        <w:numPr>
          <w:ilvl w:val="0"/>
          <w:numId w:val="1"/>
        </w:numPr>
      </w:pPr>
      <w:r>
        <w:t xml:space="preserve">We do not accept 11 of SP AusNet’s 12 proposed step changes. However, for two of these step changes we accept that additional costs will be incurred, but we do not accept the cost proposed by SP AusNet. These two step changes are the ‘transitional arrangements’ and ‘security of critical infrastructure’ step changes. </w:t>
      </w:r>
    </w:p>
    <w:p w:rsidR="0088341A" w:rsidRDefault="0088341A" w:rsidP="0088341A">
      <w:pPr>
        <w:pStyle w:val="HeadingBoldBlue"/>
      </w:pPr>
      <w:r>
        <w:t>Ageing asset profile — $13.4 million</w:t>
      </w:r>
    </w:p>
    <w:p w:rsidR="0088341A" w:rsidRDefault="0088341A" w:rsidP="0088341A">
      <w:pPr>
        <w:pStyle w:val="AERbodytext"/>
        <w:numPr>
          <w:ilvl w:val="0"/>
          <w:numId w:val="1"/>
        </w:numPr>
      </w:pPr>
      <w:r>
        <w:t>SP AusNet proposed two step changes related to its ageing asset profile, totalling $13.4 million (</w:t>
      </w:r>
      <w:r w:rsidR="007034EF">
        <w:t>Table D.4</w:t>
      </w:r>
      <w:r>
        <w:t>). We do not accept these relate to new business requirements and so we do not consider them to be step changes. Both proposed step changes were included in asset works expenditure during the 2008–14 regulatory control period.</w:t>
      </w:r>
      <w:r>
        <w:rPr>
          <w:rStyle w:val="FootnoteReference"/>
        </w:rPr>
        <w:footnoteReference w:id="640"/>
      </w:r>
      <w:r>
        <w:t xml:space="preserve"> Given the significant overlap with asset works opex, we assessed these step changes in conjunction with SP AusNet’s asset works forecast (</w:t>
      </w:r>
      <w:r w:rsidR="00153DE0">
        <w:t xml:space="preserve">appendix E </w:t>
      </w:r>
      <w:r>
        <w:t xml:space="preserve">). </w:t>
      </w:r>
    </w:p>
    <w:p w:rsidR="0088341A" w:rsidRDefault="007034EF" w:rsidP="00150370">
      <w:pPr>
        <w:pStyle w:val="Caption"/>
        <w:keepLines/>
      </w:pPr>
      <w:r>
        <w:lastRenderedPageBreak/>
        <w:t>Table D.4</w:t>
      </w:r>
      <w:r>
        <w:tab/>
      </w:r>
      <w:r w:rsidR="0088341A">
        <w:t>SP AusNet’s proposed ageing asset profile step changes ($m, 2013–14)</w:t>
      </w:r>
    </w:p>
    <w:tbl>
      <w:tblPr>
        <w:tblStyle w:val="AERtable-numbers"/>
        <w:tblW w:w="0" w:type="auto"/>
        <w:tblLook w:val="04A0" w:firstRow="1" w:lastRow="0" w:firstColumn="1" w:lastColumn="0" w:noHBand="0" w:noVBand="1"/>
      </w:tblPr>
      <w:tblGrid>
        <w:gridCol w:w="4786"/>
        <w:gridCol w:w="1114"/>
        <w:gridCol w:w="1114"/>
        <w:gridCol w:w="1114"/>
        <w:gridCol w:w="1114"/>
      </w:tblGrid>
      <w:tr w:rsidR="0088341A" w:rsidRPr="00180F57" w:rsidTr="005011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88341A" w:rsidRPr="00596DDA" w:rsidRDefault="0088341A" w:rsidP="00150370">
            <w:pPr>
              <w:pStyle w:val="AERtabletextleft"/>
              <w:keepNext/>
              <w:keepLines/>
            </w:pPr>
          </w:p>
        </w:tc>
        <w:tc>
          <w:tcPr>
            <w:tcW w:w="1114" w:type="dxa"/>
          </w:tcPr>
          <w:p w:rsidR="0088341A" w:rsidRPr="00596DDA" w:rsidRDefault="0088341A" w:rsidP="00150370">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731C5D">
              <w:t>2014</w:t>
            </w:r>
            <w:r w:rsidRPr="00351A6E">
              <w:rPr>
                <w:rFonts w:hint="eastAsia"/>
              </w:rPr>
              <w:t>–</w:t>
            </w:r>
            <w:r w:rsidRPr="00C21B34">
              <w:t>15</w:t>
            </w:r>
          </w:p>
        </w:tc>
        <w:tc>
          <w:tcPr>
            <w:tcW w:w="1114" w:type="dxa"/>
          </w:tcPr>
          <w:p w:rsidR="0088341A" w:rsidRPr="00596DDA" w:rsidRDefault="0088341A" w:rsidP="00150370">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731C5D">
              <w:t>2015</w:t>
            </w:r>
            <w:r w:rsidRPr="00351A6E">
              <w:rPr>
                <w:rFonts w:hint="eastAsia"/>
              </w:rPr>
              <w:t>–</w:t>
            </w:r>
            <w:r w:rsidRPr="00C21B34">
              <w:t>16</w:t>
            </w:r>
          </w:p>
        </w:tc>
        <w:tc>
          <w:tcPr>
            <w:tcW w:w="1114" w:type="dxa"/>
          </w:tcPr>
          <w:p w:rsidR="0088341A" w:rsidRPr="00596DDA" w:rsidRDefault="0088341A" w:rsidP="00150370">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731C5D">
              <w:t>2016</w:t>
            </w:r>
            <w:r w:rsidRPr="00351A6E">
              <w:rPr>
                <w:rFonts w:hint="eastAsia"/>
              </w:rPr>
              <w:t>–</w:t>
            </w:r>
            <w:r w:rsidRPr="00C21B34">
              <w:t>17</w:t>
            </w:r>
          </w:p>
        </w:tc>
        <w:tc>
          <w:tcPr>
            <w:tcW w:w="1114" w:type="dxa"/>
          </w:tcPr>
          <w:p w:rsidR="0088341A" w:rsidRPr="00596DDA" w:rsidRDefault="0088341A" w:rsidP="00150370">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731C5D">
              <w:t>Total</w:t>
            </w:r>
          </w:p>
        </w:tc>
      </w:tr>
      <w:tr w:rsidR="0088341A" w:rsidRPr="00180F57" w:rsidTr="00501137">
        <w:tc>
          <w:tcPr>
            <w:cnfStyle w:val="001000000000" w:firstRow="0" w:lastRow="0" w:firstColumn="1" w:lastColumn="0" w:oddVBand="0" w:evenVBand="0" w:oddHBand="0" w:evenHBand="0" w:firstRowFirstColumn="0" w:firstRowLastColumn="0" w:lastRowFirstColumn="0" w:lastRowLastColumn="0"/>
            <w:tcW w:w="4786" w:type="dxa"/>
          </w:tcPr>
          <w:p w:rsidR="0088341A" w:rsidRPr="00596DDA" w:rsidRDefault="0088341A" w:rsidP="00150370">
            <w:pPr>
              <w:pStyle w:val="AERtabletextleft"/>
              <w:keepNext/>
              <w:keepLines/>
            </w:pPr>
            <w:r w:rsidRPr="00731C5D">
              <w:t xml:space="preserve">Overhead line condition assessment </w:t>
            </w:r>
          </w:p>
        </w:tc>
        <w:tc>
          <w:tcPr>
            <w:tcW w:w="1114" w:type="dxa"/>
          </w:tcPr>
          <w:p w:rsidR="0088341A" w:rsidRPr="00596DDA" w:rsidRDefault="0088341A" w:rsidP="00150370">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596DDA">
              <w:t>1.3</w:t>
            </w:r>
          </w:p>
        </w:tc>
        <w:tc>
          <w:tcPr>
            <w:tcW w:w="1114" w:type="dxa"/>
          </w:tcPr>
          <w:p w:rsidR="0088341A" w:rsidRPr="00596DDA" w:rsidRDefault="0088341A" w:rsidP="00150370">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731C5D">
              <w:t>1.3</w:t>
            </w:r>
          </w:p>
        </w:tc>
        <w:tc>
          <w:tcPr>
            <w:tcW w:w="1114" w:type="dxa"/>
          </w:tcPr>
          <w:p w:rsidR="0088341A" w:rsidRPr="00596DDA" w:rsidRDefault="0088341A" w:rsidP="00150370">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731C5D">
              <w:t>1.3</w:t>
            </w:r>
          </w:p>
        </w:tc>
        <w:tc>
          <w:tcPr>
            <w:tcW w:w="1114" w:type="dxa"/>
          </w:tcPr>
          <w:p w:rsidR="0088341A" w:rsidRPr="00596DDA" w:rsidRDefault="0088341A" w:rsidP="00150370">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731C5D">
              <w:t>3.9</w:t>
            </w:r>
          </w:p>
        </w:tc>
      </w:tr>
      <w:tr w:rsidR="0088341A" w:rsidRPr="00180F57" w:rsidTr="0050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88341A" w:rsidRPr="00596DDA" w:rsidRDefault="0088341A" w:rsidP="00150370">
            <w:pPr>
              <w:pStyle w:val="AERtabletextleft"/>
              <w:keepNext/>
              <w:keepLines/>
            </w:pPr>
            <w:r w:rsidRPr="00731C5D">
              <w:t>Corrosion risk mitigation</w:t>
            </w:r>
          </w:p>
        </w:tc>
        <w:tc>
          <w:tcPr>
            <w:tcW w:w="1114" w:type="dxa"/>
          </w:tcPr>
          <w:p w:rsidR="0088341A" w:rsidRPr="00596DDA" w:rsidRDefault="0088341A" w:rsidP="00150370">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731C5D">
              <w:t>3.2</w:t>
            </w:r>
          </w:p>
        </w:tc>
        <w:tc>
          <w:tcPr>
            <w:tcW w:w="1114" w:type="dxa"/>
          </w:tcPr>
          <w:p w:rsidR="0088341A" w:rsidRPr="00596DDA" w:rsidRDefault="0088341A" w:rsidP="00150370">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731C5D">
              <w:t>3.2</w:t>
            </w:r>
          </w:p>
        </w:tc>
        <w:tc>
          <w:tcPr>
            <w:tcW w:w="1114" w:type="dxa"/>
          </w:tcPr>
          <w:p w:rsidR="0088341A" w:rsidRPr="00596DDA" w:rsidRDefault="0088341A" w:rsidP="00150370">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731C5D">
              <w:t>3.2</w:t>
            </w:r>
          </w:p>
        </w:tc>
        <w:tc>
          <w:tcPr>
            <w:tcW w:w="1114" w:type="dxa"/>
          </w:tcPr>
          <w:p w:rsidR="0088341A" w:rsidRPr="00596DDA" w:rsidRDefault="0088341A" w:rsidP="00150370">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731C5D">
              <w:t>9.5</w:t>
            </w:r>
          </w:p>
        </w:tc>
      </w:tr>
      <w:tr w:rsidR="0088341A" w:rsidRPr="00180F57" w:rsidTr="00501137">
        <w:tc>
          <w:tcPr>
            <w:cnfStyle w:val="001000000000" w:firstRow="0" w:lastRow="0" w:firstColumn="1" w:lastColumn="0" w:oddVBand="0" w:evenVBand="0" w:oddHBand="0" w:evenHBand="0" w:firstRowFirstColumn="0" w:firstRowLastColumn="0" w:lastRowFirstColumn="0" w:lastRowLastColumn="0"/>
            <w:tcW w:w="4786" w:type="dxa"/>
          </w:tcPr>
          <w:p w:rsidR="0088341A" w:rsidRPr="00596DDA" w:rsidRDefault="0088341A" w:rsidP="00150370">
            <w:pPr>
              <w:pStyle w:val="AERtabletextleft"/>
              <w:keepNext/>
              <w:keepLines/>
            </w:pPr>
            <w:r w:rsidRPr="00731C5D">
              <w:t>AER</w:t>
            </w:r>
            <w:r w:rsidRPr="00351A6E">
              <w:rPr>
                <w:rFonts w:hint="eastAsia"/>
              </w:rPr>
              <w:t>’</w:t>
            </w:r>
            <w:r w:rsidRPr="00C21B34">
              <w:t>s draft decision</w:t>
            </w:r>
          </w:p>
        </w:tc>
        <w:tc>
          <w:tcPr>
            <w:tcW w:w="1114" w:type="dxa"/>
          </w:tcPr>
          <w:p w:rsidR="0088341A" w:rsidRPr="00596DDA" w:rsidRDefault="0088341A" w:rsidP="00150370">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731C5D">
              <w:t>0.0</w:t>
            </w:r>
          </w:p>
        </w:tc>
        <w:tc>
          <w:tcPr>
            <w:tcW w:w="1114" w:type="dxa"/>
          </w:tcPr>
          <w:p w:rsidR="0088341A" w:rsidRPr="00596DDA" w:rsidRDefault="0088341A" w:rsidP="00150370">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731C5D">
              <w:t>0.0</w:t>
            </w:r>
          </w:p>
        </w:tc>
        <w:tc>
          <w:tcPr>
            <w:tcW w:w="1114" w:type="dxa"/>
          </w:tcPr>
          <w:p w:rsidR="0088341A" w:rsidRPr="00596DDA" w:rsidRDefault="0088341A" w:rsidP="00150370">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731C5D">
              <w:t>0.0</w:t>
            </w:r>
          </w:p>
        </w:tc>
        <w:tc>
          <w:tcPr>
            <w:tcW w:w="1114" w:type="dxa"/>
          </w:tcPr>
          <w:p w:rsidR="0088341A" w:rsidRPr="00596DDA" w:rsidRDefault="0088341A" w:rsidP="00150370">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731C5D">
              <w:t>0.0</w:t>
            </w:r>
          </w:p>
        </w:tc>
      </w:tr>
    </w:tbl>
    <w:p w:rsidR="0088341A" w:rsidRDefault="0088341A" w:rsidP="00150370">
      <w:pPr>
        <w:pStyle w:val="AERtablesource"/>
      </w:pPr>
      <w:r>
        <w:t xml:space="preserve">Source: </w:t>
      </w:r>
      <w:r w:rsidR="00BC332B" w:rsidRPr="00690B37">
        <w:t xml:space="preserve">SP AusNet, </w:t>
      </w:r>
      <w:r w:rsidR="00BC332B" w:rsidRPr="00FC7C08">
        <w:rPr>
          <w:rStyle w:val="AERtextitalic"/>
        </w:rPr>
        <w:t>Response to request AER</w:t>
      </w:r>
      <w:r w:rsidR="0047592F">
        <w:rPr>
          <w:rStyle w:val="AERtextitalic"/>
        </w:rPr>
        <w:t xml:space="preserve"> RP </w:t>
      </w:r>
      <w:r w:rsidR="00BC332B" w:rsidRPr="00FC7C08">
        <w:rPr>
          <w:rStyle w:val="AERtextitalic"/>
        </w:rPr>
        <w:t>09 - revised opex model</w:t>
      </w:r>
      <w:r w:rsidR="008B3A74">
        <w:rPr>
          <w:rStyle w:val="AERtextitalic"/>
        </w:rPr>
        <w:t xml:space="preserve"> [confidential]</w:t>
      </w:r>
      <w:r w:rsidR="00BC332B" w:rsidRPr="00FC7C08">
        <w:t>, 20 May 2013</w:t>
      </w:r>
      <w:r w:rsidR="00BC332B">
        <w:t xml:space="preserve">; </w:t>
      </w:r>
      <w:r w:rsidR="004D4703">
        <w:t xml:space="preserve">Appendix 5E [Public], Table 1.1 pp.5-6; </w:t>
      </w:r>
      <w:r w:rsidR="00BC332B">
        <w:t>AER analysis.</w:t>
      </w:r>
    </w:p>
    <w:p w:rsidR="0088341A" w:rsidRDefault="0088341A" w:rsidP="0088341A">
      <w:pPr>
        <w:pStyle w:val="HeadingBoldBlue"/>
      </w:pPr>
      <w:r>
        <w:t>AEMO outage planning requirements – $0.6 million</w:t>
      </w:r>
    </w:p>
    <w:p w:rsidR="0088341A" w:rsidRDefault="0088341A" w:rsidP="0088341A">
      <w:pPr>
        <w:pStyle w:val="AERbodytext"/>
        <w:numPr>
          <w:ilvl w:val="0"/>
          <w:numId w:val="1"/>
        </w:numPr>
      </w:pPr>
      <w:r>
        <w:t>SP AusNet proposed a step change of $0.6 million for reporting outages to the Australian Energy Market Operator (AEMO) using the Network Outage Schedule (NOS). We do not accept this step change because this reporting requirement is not a new requirement and will not impose additional costs on SP AusNet (</w:t>
      </w:r>
      <w:r w:rsidR="007034EF">
        <w:t>Table D.5</w:t>
      </w:r>
      <w:r>
        <w:t xml:space="preserve">).  </w:t>
      </w:r>
    </w:p>
    <w:p w:rsidR="0088341A" w:rsidRDefault="007034EF" w:rsidP="0088341A">
      <w:pPr>
        <w:pStyle w:val="Caption"/>
      </w:pPr>
      <w:r>
        <w:t>Table D.5</w:t>
      </w:r>
      <w:r>
        <w:tab/>
      </w:r>
      <w:r w:rsidR="0088341A">
        <w:t>SP AusNet’s proposed step change for AEMO outage planning requirements ($m, 2013–14)</w:t>
      </w:r>
    </w:p>
    <w:tbl>
      <w:tblPr>
        <w:tblStyle w:val="AERtable-numbers"/>
        <w:tblW w:w="0" w:type="auto"/>
        <w:tblLook w:val="04A0" w:firstRow="1" w:lastRow="0" w:firstColumn="1" w:lastColumn="0" w:noHBand="0" w:noVBand="1"/>
      </w:tblPr>
      <w:tblGrid>
        <w:gridCol w:w="4786"/>
        <w:gridCol w:w="1114"/>
        <w:gridCol w:w="1114"/>
        <w:gridCol w:w="1114"/>
        <w:gridCol w:w="1114"/>
      </w:tblGrid>
      <w:tr w:rsidR="0088341A" w:rsidRPr="00180F57" w:rsidTr="005011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88341A" w:rsidRPr="00596DDA" w:rsidRDefault="0088341A" w:rsidP="00596DDA">
            <w:pPr>
              <w:pStyle w:val="AERtabletextleft"/>
            </w:pPr>
          </w:p>
        </w:tc>
        <w:tc>
          <w:tcPr>
            <w:tcW w:w="1114" w:type="dxa"/>
          </w:tcPr>
          <w:p w:rsidR="0088341A" w:rsidRPr="00596DDA" w:rsidRDefault="0088341A" w:rsidP="00596DDA">
            <w:pPr>
              <w:pStyle w:val="AERtabletextright"/>
              <w:cnfStyle w:val="100000000000" w:firstRow="1" w:lastRow="0" w:firstColumn="0" w:lastColumn="0" w:oddVBand="0" w:evenVBand="0" w:oddHBand="0" w:evenHBand="0" w:firstRowFirstColumn="0" w:firstRowLastColumn="0" w:lastRowFirstColumn="0" w:lastRowLastColumn="0"/>
            </w:pPr>
            <w:r w:rsidRPr="00731C5D">
              <w:t>2014</w:t>
            </w:r>
            <w:r w:rsidRPr="00351A6E">
              <w:rPr>
                <w:rFonts w:hint="eastAsia"/>
              </w:rPr>
              <w:t>–</w:t>
            </w:r>
            <w:r w:rsidRPr="00C21B34">
              <w:t>15</w:t>
            </w:r>
          </w:p>
        </w:tc>
        <w:tc>
          <w:tcPr>
            <w:tcW w:w="1114" w:type="dxa"/>
          </w:tcPr>
          <w:p w:rsidR="0088341A" w:rsidRPr="00596DDA" w:rsidRDefault="0088341A" w:rsidP="00596DDA">
            <w:pPr>
              <w:pStyle w:val="AERtabletextright"/>
              <w:cnfStyle w:val="100000000000" w:firstRow="1" w:lastRow="0" w:firstColumn="0" w:lastColumn="0" w:oddVBand="0" w:evenVBand="0" w:oddHBand="0" w:evenHBand="0" w:firstRowFirstColumn="0" w:firstRowLastColumn="0" w:lastRowFirstColumn="0" w:lastRowLastColumn="0"/>
            </w:pPr>
            <w:r w:rsidRPr="00731C5D">
              <w:t>2015</w:t>
            </w:r>
            <w:r w:rsidRPr="00351A6E">
              <w:rPr>
                <w:rFonts w:hint="eastAsia"/>
              </w:rPr>
              <w:t>–</w:t>
            </w:r>
            <w:r w:rsidRPr="00C21B34">
              <w:t>16</w:t>
            </w:r>
          </w:p>
        </w:tc>
        <w:tc>
          <w:tcPr>
            <w:tcW w:w="1114" w:type="dxa"/>
          </w:tcPr>
          <w:p w:rsidR="0088341A" w:rsidRPr="00596DDA" w:rsidRDefault="0088341A" w:rsidP="00596DDA">
            <w:pPr>
              <w:pStyle w:val="AERtabletextright"/>
              <w:cnfStyle w:val="100000000000" w:firstRow="1" w:lastRow="0" w:firstColumn="0" w:lastColumn="0" w:oddVBand="0" w:evenVBand="0" w:oddHBand="0" w:evenHBand="0" w:firstRowFirstColumn="0" w:firstRowLastColumn="0" w:lastRowFirstColumn="0" w:lastRowLastColumn="0"/>
            </w:pPr>
            <w:r w:rsidRPr="00731C5D">
              <w:t>2016</w:t>
            </w:r>
            <w:r w:rsidRPr="00351A6E">
              <w:rPr>
                <w:rFonts w:hint="eastAsia"/>
              </w:rPr>
              <w:t>–</w:t>
            </w:r>
            <w:r w:rsidRPr="00C21B34">
              <w:t>17</w:t>
            </w:r>
          </w:p>
        </w:tc>
        <w:tc>
          <w:tcPr>
            <w:tcW w:w="1114" w:type="dxa"/>
          </w:tcPr>
          <w:p w:rsidR="0088341A" w:rsidRPr="00596DDA" w:rsidRDefault="0088341A" w:rsidP="00596DDA">
            <w:pPr>
              <w:pStyle w:val="AERtabletextright"/>
              <w:cnfStyle w:val="100000000000" w:firstRow="1" w:lastRow="0" w:firstColumn="0" w:lastColumn="0" w:oddVBand="0" w:evenVBand="0" w:oddHBand="0" w:evenHBand="0" w:firstRowFirstColumn="0" w:firstRowLastColumn="0" w:lastRowFirstColumn="0" w:lastRowLastColumn="0"/>
            </w:pPr>
            <w:r w:rsidRPr="00731C5D">
              <w:t>Total</w:t>
            </w:r>
          </w:p>
        </w:tc>
      </w:tr>
      <w:tr w:rsidR="0088341A" w:rsidRPr="00180F57" w:rsidTr="00501137">
        <w:tc>
          <w:tcPr>
            <w:cnfStyle w:val="001000000000" w:firstRow="0" w:lastRow="0" w:firstColumn="1" w:lastColumn="0" w:oddVBand="0" w:evenVBand="0" w:oddHBand="0" w:evenHBand="0" w:firstRowFirstColumn="0" w:firstRowLastColumn="0" w:lastRowFirstColumn="0" w:lastRowLastColumn="0"/>
            <w:tcW w:w="4786" w:type="dxa"/>
          </w:tcPr>
          <w:p w:rsidR="0088341A" w:rsidRPr="00596DDA" w:rsidRDefault="0088341A" w:rsidP="00596DDA">
            <w:pPr>
              <w:pStyle w:val="AERtabletextleft"/>
            </w:pPr>
            <w:r w:rsidRPr="00731C5D">
              <w:t>AEMO outage planning requirements</w:t>
            </w:r>
          </w:p>
        </w:tc>
        <w:tc>
          <w:tcPr>
            <w:tcW w:w="1114" w:type="dxa"/>
          </w:tcPr>
          <w:p w:rsidR="0088341A" w:rsidRPr="00596DDA" w:rsidRDefault="0088341A" w:rsidP="00596DDA">
            <w:pPr>
              <w:pStyle w:val="AERtabletextright"/>
              <w:cnfStyle w:val="000000000000" w:firstRow="0" w:lastRow="0" w:firstColumn="0" w:lastColumn="0" w:oddVBand="0" w:evenVBand="0" w:oddHBand="0" w:evenHBand="0" w:firstRowFirstColumn="0" w:firstRowLastColumn="0" w:lastRowFirstColumn="0" w:lastRowLastColumn="0"/>
            </w:pPr>
            <w:r w:rsidRPr="00596DDA">
              <w:t>0.2</w:t>
            </w:r>
          </w:p>
        </w:tc>
        <w:tc>
          <w:tcPr>
            <w:tcW w:w="1114" w:type="dxa"/>
          </w:tcPr>
          <w:p w:rsidR="0088341A" w:rsidRPr="00596DDA" w:rsidRDefault="0088341A" w:rsidP="00596DDA">
            <w:pPr>
              <w:pStyle w:val="AERtabletextright"/>
              <w:cnfStyle w:val="000000000000" w:firstRow="0" w:lastRow="0" w:firstColumn="0" w:lastColumn="0" w:oddVBand="0" w:evenVBand="0" w:oddHBand="0" w:evenHBand="0" w:firstRowFirstColumn="0" w:firstRowLastColumn="0" w:lastRowFirstColumn="0" w:lastRowLastColumn="0"/>
            </w:pPr>
            <w:r w:rsidRPr="00731C5D">
              <w:t>0.2</w:t>
            </w:r>
          </w:p>
        </w:tc>
        <w:tc>
          <w:tcPr>
            <w:tcW w:w="1114" w:type="dxa"/>
          </w:tcPr>
          <w:p w:rsidR="0088341A" w:rsidRPr="00596DDA" w:rsidRDefault="0088341A" w:rsidP="00596DDA">
            <w:pPr>
              <w:pStyle w:val="AERtabletextright"/>
              <w:cnfStyle w:val="000000000000" w:firstRow="0" w:lastRow="0" w:firstColumn="0" w:lastColumn="0" w:oddVBand="0" w:evenVBand="0" w:oddHBand="0" w:evenHBand="0" w:firstRowFirstColumn="0" w:firstRowLastColumn="0" w:lastRowFirstColumn="0" w:lastRowLastColumn="0"/>
            </w:pPr>
            <w:r w:rsidRPr="00731C5D">
              <w:t>0.2</w:t>
            </w:r>
          </w:p>
        </w:tc>
        <w:tc>
          <w:tcPr>
            <w:tcW w:w="1114" w:type="dxa"/>
          </w:tcPr>
          <w:p w:rsidR="0088341A" w:rsidRPr="00596DDA" w:rsidRDefault="0088341A" w:rsidP="00596DDA">
            <w:pPr>
              <w:pStyle w:val="AERtabletextright"/>
              <w:cnfStyle w:val="000000000000" w:firstRow="0" w:lastRow="0" w:firstColumn="0" w:lastColumn="0" w:oddVBand="0" w:evenVBand="0" w:oddHBand="0" w:evenHBand="0" w:firstRowFirstColumn="0" w:firstRowLastColumn="0" w:lastRowFirstColumn="0" w:lastRowLastColumn="0"/>
            </w:pPr>
            <w:r w:rsidRPr="00731C5D">
              <w:t>0.6</w:t>
            </w:r>
          </w:p>
        </w:tc>
      </w:tr>
      <w:tr w:rsidR="0088341A" w:rsidRPr="00180F57" w:rsidTr="0050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88341A" w:rsidRPr="00596DDA" w:rsidRDefault="0088341A" w:rsidP="00596DDA">
            <w:pPr>
              <w:pStyle w:val="AERtabletextleft"/>
            </w:pPr>
            <w:r w:rsidRPr="00731C5D">
              <w:t>AER</w:t>
            </w:r>
            <w:r w:rsidRPr="00351A6E">
              <w:rPr>
                <w:rFonts w:hint="eastAsia"/>
              </w:rPr>
              <w:t>’</w:t>
            </w:r>
            <w:r w:rsidRPr="00C21B34">
              <w:t xml:space="preserve">s draft decision </w:t>
            </w:r>
          </w:p>
        </w:tc>
        <w:tc>
          <w:tcPr>
            <w:tcW w:w="1114" w:type="dxa"/>
          </w:tcPr>
          <w:p w:rsidR="0088341A" w:rsidRPr="00596DDA" w:rsidRDefault="0088341A" w:rsidP="00596DDA">
            <w:pPr>
              <w:pStyle w:val="AERtabletextright"/>
              <w:cnfStyle w:val="000000010000" w:firstRow="0" w:lastRow="0" w:firstColumn="0" w:lastColumn="0" w:oddVBand="0" w:evenVBand="0" w:oddHBand="0" w:evenHBand="1" w:firstRowFirstColumn="0" w:firstRowLastColumn="0" w:lastRowFirstColumn="0" w:lastRowLastColumn="0"/>
            </w:pPr>
            <w:r w:rsidRPr="00731C5D">
              <w:t>0.0</w:t>
            </w:r>
          </w:p>
        </w:tc>
        <w:tc>
          <w:tcPr>
            <w:tcW w:w="1114" w:type="dxa"/>
          </w:tcPr>
          <w:p w:rsidR="0088341A" w:rsidRPr="00596DDA" w:rsidRDefault="0088341A" w:rsidP="00596DDA">
            <w:pPr>
              <w:pStyle w:val="AERtabletextright"/>
              <w:cnfStyle w:val="000000010000" w:firstRow="0" w:lastRow="0" w:firstColumn="0" w:lastColumn="0" w:oddVBand="0" w:evenVBand="0" w:oddHBand="0" w:evenHBand="1" w:firstRowFirstColumn="0" w:firstRowLastColumn="0" w:lastRowFirstColumn="0" w:lastRowLastColumn="0"/>
            </w:pPr>
            <w:r w:rsidRPr="00731C5D">
              <w:t>0.0</w:t>
            </w:r>
          </w:p>
        </w:tc>
        <w:tc>
          <w:tcPr>
            <w:tcW w:w="1114" w:type="dxa"/>
          </w:tcPr>
          <w:p w:rsidR="0088341A" w:rsidRPr="00596DDA" w:rsidRDefault="0088341A" w:rsidP="00596DDA">
            <w:pPr>
              <w:pStyle w:val="AERtabletextright"/>
              <w:cnfStyle w:val="000000010000" w:firstRow="0" w:lastRow="0" w:firstColumn="0" w:lastColumn="0" w:oddVBand="0" w:evenVBand="0" w:oddHBand="0" w:evenHBand="1" w:firstRowFirstColumn="0" w:firstRowLastColumn="0" w:lastRowFirstColumn="0" w:lastRowLastColumn="0"/>
            </w:pPr>
            <w:r w:rsidRPr="00731C5D">
              <w:t>0.0</w:t>
            </w:r>
          </w:p>
        </w:tc>
        <w:tc>
          <w:tcPr>
            <w:tcW w:w="1114" w:type="dxa"/>
          </w:tcPr>
          <w:p w:rsidR="0088341A" w:rsidRPr="00596DDA" w:rsidRDefault="0088341A" w:rsidP="00596DDA">
            <w:pPr>
              <w:pStyle w:val="AERtabletextright"/>
              <w:cnfStyle w:val="000000010000" w:firstRow="0" w:lastRow="0" w:firstColumn="0" w:lastColumn="0" w:oddVBand="0" w:evenVBand="0" w:oddHBand="0" w:evenHBand="1" w:firstRowFirstColumn="0" w:firstRowLastColumn="0" w:lastRowFirstColumn="0" w:lastRowLastColumn="0"/>
            </w:pPr>
            <w:r w:rsidRPr="00731C5D">
              <w:t>0.0</w:t>
            </w:r>
          </w:p>
        </w:tc>
      </w:tr>
    </w:tbl>
    <w:p w:rsidR="0088341A" w:rsidRDefault="0088341A" w:rsidP="0088341A">
      <w:pPr>
        <w:pStyle w:val="AERtablesource"/>
      </w:pPr>
      <w:r>
        <w:t xml:space="preserve">Source: </w:t>
      </w:r>
      <w:r w:rsidR="00BC332B" w:rsidRPr="00690B37">
        <w:t xml:space="preserve">SP AusNet, </w:t>
      </w:r>
      <w:r w:rsidR="00BC332B" w:rsidRPr="00FC7C08">
        <w:rPr>
          <w:rStyle w:val="AERtextitalic"/>
        </w:rPr>
        <w:t>Response to request AER</w:t>
      </w:r>
      <w:r w:rsidR="0047592F">
        <w:rPr>
          <w:rStyle w:val="AERtextitalic"/>
        </w:rPr>
        <w:t xml:space="preserve"> RP </w:t>
      </w:r>
      <w:r w:rsidR="00BC332B" w:rsidRPr="00FC7C08">
        <w:rPr>
          <w:rStyle w:val="AERtextitalic"/>
        </w:rPr>
        <w:t>09 - revised opex mode</w:t>
      </w:r>
      <w:r w:rsidR="008B3A74">
        <w:rPr>
          <w:rStyle w:val="AERtextitalic"/>
        </w:rPr>
        <w:t>l [confidential]</w:t>
      </w:r>
      <w:r w:rsidR="00BC332B" w:rsidRPr="00FC7C08">
        <w:t>, 20 May 2013</w:t>
      </w:r>
      <w:r w:rsidR="00BC332B">
        <w:t>; AER analysis.</w:t>
      </w:r>
      <w:r w:rsidR="004D4703" w:rsidRPr="004D4703">
        <w:t xml:space="preserve"> </w:t>
      </w:r>
      <w:r w:rsidR="004D4703">
        <w:t>Appendix</w:t>
      </w:r>
      <w:r w:rsidR="0047592F">
        <w:t xml:space="preserve"> 5E [Public], Table 1.1 pp.5-6</w:t>
      </w:r>
      <w:r>
        <w:t>.</w:t>
      </w:r>
    </w:p>
    <w:p w:rsidR="0088341A" w:rsidRDefault="0088341A" w:rsidP="0088341A">
      <w:pPr>
        <w:pStyle w:val="AERbodytext"/>
        <w:numPr>
          <w:ilvl w:val="0"/>
          <w:numId w:val="0"/>
        </w:numPr>
      </w:pPr>
      <w:r>
        <w:t>SP AusNet submitted that under the NER, it must provide AEMO with a list of network outages planned for the next 13 months that will, or are likely to, affect transfer capabilities. It currently provides outage information to AEMO via NOS three to four weeks before a project commences, while notifying AEMO of longer term outages via ad hoc spread-sheets. However, AEMO now requires TNSPs to use NOS as their primary form of reporting.</w:t>
      </w:r>
      <w:r>
        <w:rPr>
          <w:rStyle w:val="FootnoteReference"/>
        </w:rPr>
        <w:footnoteReference w:id="641"/>
      </w:r>
      <w:r>
        <w:t xml:space="preserve"> As such, SP AusNet proposed an additional full time employee (FTE), at a total cost of $0.6 million over the 2014–17 regulatory control period, to undertake planning and coordination to meet AEMO’s requirements to use NOS to report outages 13 months in advance.</w:t>
      </w:r>
      <w:r>
        <w:rPr>
          <w:rStyle w:val="FootnoteReference"/>
        </w:rPr>
        <w:footnoteReference w:id="642"/>
      </w:r>
      <w:r>
        <w:t xml:space="preserve"> </w:t>
      </w:r>
    </w:p>
    <w:p w:rsidR="0088341A" w:rsidRDefault="0088341A" w:rsidP="0088341A">
      <w:pPr>
        <w:pStyle w:val="AERbodytext"/>
        <w:numPr>
          <w:ilvl w:val="0"/>
          <w:numId w:val="1"/>
        </w:numPr>
      </w:pPr>
      <w:r>
        <w:t>EMCa reviewed the expenditure and recommended we accept the proposed step change on the basis that it is an additional, externally driven cost. EMCa considered the cost of the step change to be reasonable. It recognised the driver as a change required by a B2B (business to business) process.</w:t>
      </w:r>
      <w:r w:rsidR="00A437BE">
        <w:rPr>
          <w:rStyle w:val="FootnoteReference"/>
        </w:rPr>
        <w:footnoteReference w:id="643"/>
      </w:r>
    </w:p>
    <w:p w:rsidR="0088341A" w:rsidRDefault="0088341A" w:rsidP="0088341A">
      <w:pPr>
        <w:pStyle w:val="AERbodytext"/>
        <w:numPr>
          <w:ilvl w:val="0"/>
          <w:numId w:val="1"/>
        </w:numPr>
      </w:pPr>
      <w:r>
        <w:t>However, while we acknowledge the process change, we do not consider the new reporting obligation is materially different from the current obligation on SP AusNet to report outages. The obligation to report outages to AEMO is established in the NER, and has been imposed on SP AusNet for some time.</w:t>
      </w:r>
      <w:r>
        <w:rPr>
          <w:rStyle w:val="FootnoteReference"/>
        </w:rPr>
        <w:footnoteReference w:id="644"/>
      </w:r>
      <w:r>
        <w:t xml:space="preserve"> As such, the obligation to report outages 13 months in advance is not new. Further, SP AusNet appears to already plan for outages 13 months out.</w:t>
      </w:r>
      <w:r>
        <w:rPr>
          <w:rStyle w:val="FootnoteReference"/>
        </w:rPr>
        <w:footnoteReference w:id="645"/>
      </w:r>
      <w:r>
        <w:t xml:space="preserve"> The only new obligation, therefore, is that AEMO requires outages to be reported via NOS. In other words, SP AusNet will be entering the </w:t>
      </w:r>
      <w:r>
        <w:lastRenderedPageBreak/>
        <w:t xml:space="preserve">same data that it currently provides in spread-sheets, but via NOS instead. Further, changing to B2B processes tends to drive efficiency savings. For these reasons, we do not consider there would be an increase in costs, and we do not accept this step change. </w:t>
      </w:r>
    </w:p>
    <w:p w:rsidR="0088341A" w:rsidRDefault="0088341A" w:rsidP="0088341A">
      <w:pPr>
        <w:pStyle w:val="HeadingBoldBlue"/>
      </w:pPr>
      <w:r>
        <w:t>Security of critical infrastructure (terminal stations) — $4.8 million</w:t>
      </w:r>
    </w:p>
    <w:p w:rsidR="0088341A" w:rsidRDefault="0088341A" w:rsidP="0088341A">
      <w:pPr>
        <w:pStyle w:val="AERbodytext"/>
        <w:numPr>
          <w:ilvl w:val="0"/>
          <w:numId w:val="0"/>
        </w:numPr>
      </w:pPr>
      <w:r>
        <w:t>SP AusNet proposed a step change of $4.8 million over the 2014–17 regulatory control period for additional security measures.</w:t>
      </w:r>
      <w:r>
        <w:rPr>
          <w:rStyle w:val="FootnoteReference"/>
        </w:rPr>
        <w:footnoteReference w:id="646"/>
      </w:r>
      <w:r>
        <w:t xml:space="preserve">  These measures included:</w:t>
      </w:r>
      <w:r>
        <w:rPr>
          <w:rStyle w:val="FootnoteReference"/>
        </w:rPr>
        <w:footnoteReference w:id="647"/>
      </w:r>
    </w:p>
    <w:p w:rsidR="0088341A" w:rsidRDefault="0088341A" w:rsidP="0088341A">
      <w:pPr>
        <w:pStyle w:val="AERbulletlistfirststyle"/>
      </w:pPr>
      <w:r>
        <w:t xml:space="preserve"> security patrols of terminal stations and high priority communications sites </w:t>
      </w:r>
    </w:p>
    <w:p w:rsidR="0088341A" w:rsidRDefault="0088341A" w:rsidP="0088341A">
      <w:pPr>
        <w:pStyle w:val="AERbulletlistfirststyle"/>
      </w:pPr>
      <w:r>
        <w:t>weekly perimeter inspections of all terminal stations to ensure fences have not been breached</w:t>
      </w:r>
    </w:p>
    <w:p w:rsidR="0088341A" w:rsidRDefault="0088341A" w:rsidP="0088341A">
      <w:pPr>
        <w:pStyle w:val="AERbulletlistfirststyle"/>
      </w:pPr>
      <w:r>
        <w:t>monitoring of security systems</w:t>
      </w:r>
    </w:p>
    <w:p w:rsidR="0088341A" w:rsidRDefault="0088341A" w:rsidP="0088341A">
      <w:pPr>
        <w:pStyle w:val="AERbulletlistfirststyle"/>
      </w:pPr>
      <w:r>
        <w:t>annual security assessments</w:t>
      </w:r>
    </w:p>
    <w:p w:rsidR="0088341A" w:rsidRDefault="0088341A" w:rsidP="0088341A">
      <w:pPr>
        <w:pStyle w:val="AERbulletlistfirststyle"/>
      </w:pPr>
      <w:r>
        <w:t xml:space="preserve">annual counter terrorism exercise. </w:t>
      </w:r>
    </w:p>
    <w:p w:rsidR="0088341A" w:rsidRDefault="0088341A" w:rsidP="0088341A">
      <w:pPr>
        <w:pStyle w:val="AERbodytext"/>
        <w:numPr>
          <w:ilvl w:val="0"/>
          <w:numId w:val="0"/>
        </w:numPr>
      </w:pPr>
      <w:r>
        <w:t xml:space="preserve">We do not accept SP AusNet’s proposed security of critical infrastructure step change. This is because most of this step change is not driven by new business or legislative requirements. While SP AusNet provided a list of 17 pieces of legislation and standards with which it must comply, it is not clear exactly how these have driven new requirements with which it must comply. Further, much of this step change is comprised of practices that we expect a prudent TNSP would already undertake. There should also be demonstrated opex savings as a result of undertaking the proposed activities. As a result of our assessment we have reduced the proposed security of critical infrastructure step change by </w:t>
      </w:r>
      <w:r w:rsidR="008A785B">
        <w:t>$ CIC.</w:t>
      </w:r>
    </w:p>
    <w:p w:rsidR="0088341A" w:rsidRDefault="0088341A" w:rsidP="0088341A">
      <w:pPr>
        <w:pStyle w:val="AERbodytext"/>
        <w:numPr>
          <w:ilvl w:val="0"/>
          <w:numId w:val="0"/>
        </w:numPr>
      </w:pPr>
      <w:r>
        <w:t xml:space="preserve">SP AusNet stated that the </w:t>
      </w:r>
      <w:r w:rsidRPr="002F07B7">
        <w:rPr>
          <w:rStyle w:val="AERtextitalic"/>
        </w:rPr>
        <w:t>Terrorism (Community Protection) Act 2003</w:t>
      </w:r>
      <w:r>
        <w:t xml:space="preserve"> is a driver of this step change. However, this act is not new, and SP AusNet had to comply with it during the 2008–14 regulatory control period. Security patrols, perimeter inspections and monitoring security systems are therefore not new business requirements. A prudent TNSP would already be conducting security patrols of its critical infrastructure and perimeter inspections of fences around its assets. Further, we would expect that SP AusNet would realise cost savings as a result of increased security patrols and perimeter inspections because, if effective, these measures should lead to a reduction in theft and vandalism. However, SP AusNet did not provide any evidence of expected opex savings due to these activities.</w:t>
      </w:r>
      <w:r>
        <w:rPr>
          <w:rStyle w:val="FootnoteReference"/>
        </w:rPr>
        <w:footnoteReference w:id="648"/>
      </w:r>
      <w:r>
        <w:t xml:space="preserve"> On this basis, we do not accept the security patrol and perimeter inspection components of this step change. </w:t>
      </w:r>
    </w:p>
    <w:p w:rsidR="0088341A" w:rsidRDefault="0088341A" w:rsidP="0088341A">
      <w:pPr>
        <w:pStyle w:val="AERbodytext"/>
        <w:numPr>
          <w:ilvl w:val="0"/>
          <w:numId w:val="0"/>
        </w:numPr>
      </w:pPr>
      <w:r>
        <w:t>We also do not accept that monitoring of security systems will require additional opex. While the outsourcing of this activity may be driven by an external legislative obligation,</w:t>
      </w:r>
      <w:r>
        <w:rPr>
          <w:rStyle w:val="FootnoteReference"/>
        </w:rPr>
        <w:footnoteReference w:id="649"/>
      </w:r>
      <w:r>
        <w:t xml:space="preserve"> it is already conducted by SP AusNet staff. Opex for security monitoring is therefore incorporated in its base year.</w:t>
      </w:r>
      <w:r>
        <w:rPr>
          <w:rStyle w:val="FootnoteReference"/>
        </w:rPr>
        <w:footnoteReference w:id="650"/>
      </w:r>
      <w:r>
        <w:t xml:space="preserve"> Given this role is currently carried out by SP AusNet staff, we do not see a requirement for additional opex.</w:t>
      </w:r>
      <w:r>
        <w:rPr>
          <w:rStyle w:val="FootnoteReference"/>
        </w:rPr>
        <w:footnoteReference w:id="651"/>
      </w:r>
      <w:r>
        <w:t xml:space="preserve"> If anything, we would expect cost efficiencies to be realised by outsourcing this activity, as SP AusNet staff will now be available for other tasks. For these reasons we do not accept the security monitoring component of this step change. </w:t>
      </w:r>
    </w:p>
    <w:p w:rsidR="0088341A" w:rsidRDefault="0088341A" w:rsidP="0088341A">
      <w:pPr>
        <w:pStyle w:val="AERbodytext"/>
        <w:numPr>
          <w:ilvl w:val="0"/>
          <w:numId w:val="0"/>
        </w:numPr>
      </w:pPr>
      <w:r>
        <w:lastRenderedPageBreak/>
        <w:t>We also do not accept the annual security assessment component. While the program is good practice, it does not appear to be driven by a new legislative requirement. Further, we would expect opex efficiencies to be realised as a result of the security assessment, as it would provide a more targeted approach to security spending. As a result of this more targeted spending, we would also expect a reduction in costs resulting from theft and vandalism. However, SP AusNet did not provide any evidence that it has taken these cost savings into account.</w:t>
      </w:r>
      <w:r>
        <w:rPr>
          <w:rStyle w:val="FootnoteReference"/>
        </w:rPr>
        <w:footnoteReference w:id="652"/>
      </w:r>
      <w:r>
        <w:t xml:space="preserve"> For these reasons, we do not accept the security assessment component of this step change. </w:t>
      </w:r>
    </w:p>
    <w:p w:rsidR="0088341A" w:rsidRDefault="0088341A" w:rsidP="0088341A">
      <w:pPr>
        <w:pStyle w:val="AERbodytext"/>
        <w:numPr>
          <w:ilvl w:val="0"/>
          <w:numId w:val="0"/>
        </w:numPr>
      </w:pPr>
      <w:r>
        <w:t xml:space="preserve">We do accept the counter terrorism exercise component as it is driven by an external legislative requirement — the implementation of the Victorian Government’s Emergency Management Reform white paper and the </w:t>
      </w:r>
      <w:r w:rsidRPr="00D04A42">
        <w:rPr>
          <w:rStyle w:val="AERtextitalic"/>
        </w:rPr>
        <w:t>Terrorism (Community Protection) Act 2003</w:t>
      </w:r>
      <w:r>
        <w:t>.</w:t>
      </w:r>
      <w:r>
        <w:rPr>
          <w:rStyle w:val="FootnoteReference"/>
        </w:rPr>
        <w:footnoteReference w:id="653"/>
      </w:r>
      <w:r>
        <w:t xml:space="preserve">  </w:t>
      </w:r>
    </w:p>
    <w:p w:rsidR="0088341A" w:rsidRDefault="0088341A" w:rsidP="0088341A">
      <w:pPr>
        <w:pStyle w:val="AERbodytext"/>
        <w:numPr>
          <w:ilvl w:val="0"/>
          <w:numId w:val="0"/>
        </w:numPr>
      </w:pPr>
      <w:r>
        <w:t>EMCa assessed the proposed step change and considered the measures will enhance security and reflect similar policies of other TNSPs. EMCa considered that it is not reasonable to implement a step change without some offset for security related opex that is already included in the base year. Without evidence from SP AusNet that such offsets had been considered, EMCa recommended halving SP AusNet’s proposed opex for this step change to $2.5 million.</w:t>
      </w:r>
      <w:r>
        <w:rPr>
          <w:rStyle w:val="FootnoteReference"/>
        </w:rPr>
        <w:footnoteReference w:id="654"/>
      </w:r>
      <w:r>
        <w:t xml:space="preserve">  </w:t>
      </w:r>
      <w:r w:rsidR="00E36A77">
        <w:t>However, for the reasons listed above</w:t>
      </w:r>
      <w:r w:rsidR="001B6FB3">
        <w:t>, we only accept the</w:t>
      </w:r>
      <w:r w:rsidR="00E36A77">
        <w:t xml:space="preserve"> portion of the proposed step change related to the counter terrorism exercise. </w:t>
      </w:r>
    </w:p>
    <w:p w:rsidR="0088341A" w:rsidRDefault="007034EF" w:rsidP="0088341A">
      <w:pPr>
        <w:pStyle w:val="Caption"/>
      </w:pPr>
      <w:r>
        <w:t>Table D.6</w:t>
      </w:r>
      <w:r>
        <w:tab/>
      </w:r>
      <w:r w:rsidR="0088341A">
        <w:t>SP AusNet’s proposed step change for security of critical infrastructure — terminal stations ($ million, 2013–14)</w:t>
      </w:r>
    </w:p>
    <w:tbl>
      <w:tblPr>
        <w:tblStyle w:val="AERtable-numbers"/>
        <w:tblW w:w="0" w:type="auto"/>
        <w:tblLook w:val="04A0" w:firstRow="1" w:lastRow="0" w:firstColumn="1" w:lastColumn="0" w:noHBand="0" w:noVBand="1"/>
      </w:tblPr>
      <w:tblGrid>
        <w:gridCol w:w="4786"/>
        <w:gridCol w:w="1114"/>
        <w:gridCol w:w="1114"/>
        <w:gridCol w:w="1114"/>
        <w:gridCol w:w="1114"/>
      </w:tblGrid>
      <w:tr w:rsidR="0088341A" w:rsidRPr="00180F57" w:rsidTr="005011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88341A" w:rsidRPr="00596DDA" w:rsidRDefault="0088341A" w:rsidP="00596DDA">
            <w:pPr>
              <w:pStyle w:val="AERtabletextleft"/>
            </w:pPr>
          </w:p>
        </w:tc>
        <w:tc>
          <w:tcPr>
            <w:tcW w:w="1114" w:type="dxa"/>
          </w:tcPr>
          <w:p w:rsidR="0088341A" w:rsidRPr="00596DDA" w:rsidRDefault="0088341A" w:rsidP="00596DDA">
            <w:pPr>
              <w:pStyle w:val="AERtabletextright"/>
              <w:cnfStyle w:val="100000000000" w:firstRow="1" w:lastRow="0" w:firstColumn="0" w:lastColumn="0" w:oddVBand="0" w:evenVBand="0" w:oddHBand="0" w:evenHBand="0" w:firstRowFirstColumn="0" w:firstRowLastColumn="0" w:lastRowFirstColumn="0" w:lastRowLastColumn="0"/>
            </w:pPr>
            <w:r w:rsidRPr="00731C5D">
              <w:t>2014</w:t>
            </w:r>
            <w:r w:rsidRPr="00351A6E">
              <w:rPr>
                <w:rFonts w:hint="eastAsia"/>
              </w:rPr>
              <w:t>–</w:t>
            </w:r>
            <w:r w:rsidRPr="00C21B34">
              <w:t>15</w:t>
            </w:r>
          </w:p>
        </w:tc>
        <w:tc>
          <w:tcPr>
            <w:tcW w:w="1114" w:type="dxa"/>
          </w:tcPr>
          <w:p w:rsidR="0088341A" w:rsidRPr="00596DDA" w:rsidRDefault="0088341A" w:rsidP="00596DDA">
            <w:pPr>
              <w:pStyle w:val="AERtabletextright"/>
              <w:cnfStyle w:val="100000000000" w:firstRow="1" w:lastRow="0" w:firstColumn="0" w:lastColumn="0" w:oddVBand="0" w:evenVBand="0" w:oddHBand="0" w:evenHBand="0" w:firstRowFirstColumn="0" w:firstRowLastColumn="0" w:lastRowFirstColumn="0" w:lastRowLastColumn="0"/>
            </w:pPr>
            <w:r w:rsidRPr="00731C5D">
              <w:t>2015</w:t>
            </w:r>
            <w:r w:rsidRPr="00351A6E">
              <w:rPr>
                <w:rFonts w:hint="eastAsia"/>
              </w:rPr>
              <w:t>–</w:t>
            </w:r>
            <w:r w:rsidRPr="00C21B34">
              <w:t>16</w:t>
            </w:r>
          </w:p>
        </w:tc>
        <w:tc>
          <w:tcPr>
            <w:tcW w:w="1114" w:type="dxa"/>
          </w:tcPr>
          <w:p w:rsidR="0088341A" w:rsidRPr="00596DDA" w:rsidRDefault="0088341A" w:rsidP="00596DDA">
            <w:pPr>
              <w:pStyle w:val="AERtabletextright"/>
              <w:cnfStyle w:val="100000000000" w:firstRow="1" w:lastRow="0" w:firstColumn="0" w:lastColumn="0" w:oddVBand="0" w:evenVBand="0" w:oddHBand="0" w:evenHBand="0" w:firstRowFirstColumn="0" w:firstRowLastColumn="0" w:lastRowFirstColumn="0" w:lastRowLastColumn="0"/>
            </w:pPr>
            <w:r w:rsidRPr="00731C5D">
              <w:t>2016</w:t>
            </w:r>
            <w:r w:rsidRPr="00351A6E">
              <w:rPr>
                <w:rFonts w:hint="eastAsia"/>
              </w:rPr>
              <w:t>–</w:t>
            </w:r>
            <w:r w:rsidRPr="00C21B34">
              <w:t>17</w:t>
            </w:r>
          </w:p>
        </w:tc>
        <w:tc>
          <w:tcPr>
            <w:tcW w:w="1114" w:type="dxa"/>
          </w:tcPr>
          <w:p w:rsidR="0088341A" w:rsidRPr="00596DDA" w:rsidRDefault="0088341A" w:rsidP="00596DDA">
            <w:pPr>
              <w:pStyle w:val="AERtabletextright"/>
              <w:cnfStyle w:val="100000000000" w:firstRow="1" w:lastRow="0" w:firstColumn="0" w:lastColumn="0" w:oddVBand="0" w:evenVBand="0" w:oddHBand="0" w:evenHBand="0" w:firstRowFirstColumn="0" w:firstRowLastColumn="0" w:lastRowFirstColumn="0" w:lastRowLastColumn="0"/>
            </w:pPr>
            <w:r w:rsidRPr="00731C5D">
              <w:t>Total</w:t>
            </w:r>
          </w:p>
        </w:tc>
      </w:tr>
      <w:tr w:rsidR="0088341A" w:rsidRPr="00180F57" w:rsidTr="00501137">
        <w:tc>
          <w:tcPr>
            <w:cnfStyle w:val="001000000000" w:firstRow="0" w:lastRow="0" w:firstColumn="1" w:lastColumn="0" w:oddVBand="0" w:evenVBand="0" w:oddHBand="0" w:evenHBand="0" w:firstRowFirstColumn="0" w:firstRowLastColumn="0" w:lastRowFirstColumn="0" w:lastRowLastColumn="0"/>
            <w:tcW w:w="4786" w:type="dxa"/>
          </w:tcPr>
          <w:p w:rsidR="0088341A" w:rsidRPr="00596DDA" w:rsidRDefault="0088341A" w:rsidP="00596DDA">
            <w:pPr>
              <w:pStyle w:val="AERtabletextleft"/>
            </w:pPr>
            <w:r w:rsidRPr="00731C5D">
              <w:t xml:space="preserve">Security of critical infrastructure </w:t>
            </w:r>
            <w:r w:rsidRPr="00351A6E">
              <w:rPr>
                <w:rFonts w:hint="eastAsia"/>
              </w:rPr>
              <w:t>—</w:t>
            </w:r>
            <w:r w:rsidRPr="00C21B34">
              <w:t xml:space="preserve"> terminal stations</w:t>
            </w:r>
          </w:p>
        </w:tc>
        <w:tc>
          <w:tcPr>
            <w:tcW w:w="1114" w:type="dxa"/>
          </w:tcPr>
          <w:p w:rsidR="0088341A" w:rsidRPr="00596DDA" w:rsidRDefault="0088341A" w:rsidP="00596DDA">
            <w:pPr>
              <w:pStyle w:val="AERtabletextright"/>
              <w:cnfStyle w:val="000000000000" w:firstRow="0" w:lastRow="0" w:firstColumn="0" w:lastColumn="0" w:oddVBand="0" w:evenVBand="0" w:oddHBand="0" w:evenHBand="0" w:firstRowFirstColumn="0" w:firstRowLastColumn="0" w:lastRowFirstColumn="0" w:lastRowLastColumn="0"/>
            </w:pPr>
            <w:r w:rsidRPr="00596DDA">
              <w:t>1.6</w:t>
            </w:r>
          </w:p>
        </w:tc>
        <w:tc>
          <w:tcPr>
            <w:tcW w:w="1114" w:type="dxa"/>
          </w:tcPr>
          <w:p w:rsidR="0088341A" w:rsidRPr="00596DDA" w:rsidRDefault="0088341A" w:rsidP="00596DDA">
            <w:pPr>
              <w:pStyle w:val="AERtabletextright"/>
              <w:cnfStyle w:val="000000000000" w:firstRow="0" w:lastRow="0" w:firstColumn="0" w:lastColumn="0" w:oddVBand="0" w:evenVBand="0" w:oddHBand="0" w:evenHBand="0" w:firstRowFirstColumn="0" w:firstRowLastColumn="0" w:lastRowFirstColumn="0" w:lastRowLastColumn="0"/>
            </w:pPr>
            <w:r w:rsidRPr="00731C5D">
              <w:t>1.6</w:t>
            </w:r>
          </w:p>
        </w:tc>
        <w:tc>
          <w:tcPr>
            <w:tcW w:w="1114" w:type="dxa"/>
          </w:tcPr>
          <w:p w:rsidR="0088341A" w:rsidRPr="00596DDA" w:rsidRDefault="0088341A" w:rsidP="00596DDA">
            <w:pPr>
              <w:pStyle w:val="AERtabletextright"/>
              <w:cnfStyle w:val="000000000000" w:firstRow="0" w:lastRow="0" w:firstColumn="0" w:lastColumn="0" w:oddVBand="0" w:evenVBand="0" w:oddHBand="0" w:evenHBand="0" w:firstRowFirstColumn="0" w:firstRowLastColumn="0" w:lastRowFirstColumn="0" w:lastRowLastColumn="0"/>
            </w:pPr>
            <w:r w:rsidRPr="00731C5D">
              <w:t>1.6</w:t>
            </w:r>
          </w:p>
        </w:tc>
        <w:tc>
          <w:tcPr>
            <w:tcW w:w="1114" w:type="dxa"/>
          </w:tcPr>
          <w:p w:rsidR="0088341A" w:rsidRPr="00596DDA" w:rsidRDefault="0088341A" w:rsidP="00596DDA">
            <w:pPr>
              <w:pStyle w:val="AERtabletextright"/>
              <w:cnfStyle w:val="000000000000" w:firstRow="0" w:lastRow="0" w:firstColumn="0" w:lastColumn="0" w:oddVBand="0" w:evenVBand="0" w:oddHBand="0" w:evenHBand="0" w:firstRowFirstColumn="0" w:firstRowLastColumn="0" w:lastRowFirstColumn="0" w:lastRowLastColumn="0"/>
            </w:pPr>
            <w:r w:rsidRPr="00731C5D">
              <w:t>4.8</w:t>
            </w:r>
          </w:p>
        </w:tc>
      </w:tr>
      <w:tr w:rsidR="0088341A" w:rsidRPr="00180F57" w:rsidTr="0050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88341A" w:rsidRPr="00596DDA" w:rsidRDefault="0088341A" w:rsidP="00596DDA">
            <w:pPr>
              <w:pStyle w:val="AERtabletextleft"/>
            </w:pPr>
            <w:r w:rsidRPr="00731C5D">
              <w:t xml:space="preserve">AER draft decision </w:t>
            </w:r>
          </w:p>
        </w:tc>
        <w:tc>
          <w:tcPr>
            <w:tcW w:w="1114" w:type="dxa"/>
          </w:tcPr>
          <w:p w:rsidR="0088341A" w:rsidRPr="00596DDA" w:rsidRDefault="004D1525" w:rsidP="00596DDA">
            <w:pPr>
              <w:pStyle w:val="AERtabletextright"/>
              <w:cnfStyle w:val="000000010000" w:firstRow="0" w:lastRow="0" w:firstColumn="0" w:lastColumn="0" w:oddVBand="0" w:evenVBand="0" w:oddHBand="0" w:evenHBand="1" w:firstRowFirstColumn="0" w:firstRowLastColumn="0" w:lastRowFirstColumn="0" w:lastRowLastColumn="0"/>
            </w:pPr>
            <w:r>
              <w:t>CIC</w:t>
            </w:r>
          </w:p>
        </w:tc>
        <w:tc>
          <w:tcPr>
            <w:tcW w:w="1114" w:type="dxa"/>
          </w:tcPr>
          <w:p w:rsidR="0088341A" w:rsidRPr="00596DDA" w:rsidRDefault="004D1525" w:rsidP="00596DDA">
            <w:pPr>
              <w:pStyle w:val="AERtabletextright"/>
              <w:cnfStyle w:val="000000010000" w:firstRow="0" w:lastRow="0" w:firstColumn="0" w:lastColumn="0" w:oddVBand="0" w:evenVBand="0" w:oddHBand="0" w:evenHBand="1" w:firstRowFirstColumn="0" w:firstRowLastColumn="0" w:lastRowFirstColumn="0" w:lastRowLastColumn="0"/>
            </w:pPr>
            <w:r>
              <w:t>CIC</w:t>
            </w:r>
          </w:p>
        </w:tc>
        <w:tc>
          <w:tcPr>
            <w:tcW w:w="1114" w:type="dxa"/>
          </w:tcPr>
          <w:p w:rsidR="0088341A" w:rsidRPr="00596DDA" w:rsidRDefault="004D1525" w:rsidP="00596DDA">
            <w:pPr>
              <w:pStyle w:val="AERtabletextright"/>
              <w:cnfStyle w:val="000000010000" w:firstRow="0" w:lastRow="0" w:firstColumn="0" w:lastColumn="0" w:oddVBand="0" w:evenVBand="0" w:oddHBand="0" w:evenHBand="1" w:firstRowFirstColumn="0" w:firstRowLastColumn="0" w:lastRowFirstColumn="0" w:lastRowLastColumn="0"/>
            </w:pPr>
            <w:r>
              <w:t>CIC</w:t>
            </w:r>
          </w:p>
        </w:tc>
        <w:tc>
          <w:tcPr>
            <w:tcW w:w="1114" w:type="dxa"/>
          </w:tcPr>
          <w:p w:rsidR="0088341A" w:rsidRPr="00596DDA" w:rsidRDefault="004D1525" w:rsidP="00596DDA">
            <w:pPr>
              <w:pStyle w:val="AERtabletextright"/>
              <w:cnfStyle w:val="000000010000" w:firstRow="0" w:lastRow="0" w:firstColumn="0" w:lastColumn="0" w:oddVBand="0" w:evenVBand="0" w:oddHBand="0" w:evenHBand="1" w:firstRowFirstColumn="0" w:firstRowLastColumn="0" w:lastRowFirstColumn="0" w:lastRowLastColumn="0"/>
            </w:pPr>
            <w:r>
              <w:t>CIC</w:t>
            </w:r>
          </w:p>
        </w:tc>
      </w:tr>
    </w:tbl>
    <w:p w:rsidR="0088341A" w:rsidRDefault="0088341A" w:rsidP="0088341A">
      <w:pPr>
        <w:pStyle w:val="AERtablesource"/>
      </w:pPr>
      <w:r>
        <w:t xml:space="preserve">Source: </w:t>
      </w:r>
      <w:r w:rsidR="00BC332B" w:rsidRPr="00690B37">
        <w:t xml:space="preserve">SP AusNet, </w:t>
      </w:r>
      <w:r w:rsidR="00BC332B" w:rsidRPr="00FC7C08">
        <w:rPr>
          <w:rStyle w:val="AERtextitalic"/>
        </w:rPr>
        <w:t>Response to request AER</w:t>
      </w:r>
      <w:r w:rsidR="0047592F">
        <w:rPr>
          <w:rStyle w:val="AERtextitalic"/>
        </w:rPr>
        <w:t xml:space="preserve"> RP </w:t>
      </w:r>
      <w:r w:rsidR="00BC332B" w:rsidRPr="00FC7C08">
        <w:rPr>
          <w:rStyle w:val="AERtextitalic"/>
        </w:rPr>
        <w:t>09 - revised opex model</w:t>
      </w:r>
      <w:r w:rsidR="008B3A74">
        <w:rPr>
          <w:rStyle w:val="AERtextitalic"/>
        </w:rPr>
        <w:t xml:space="preserve"> [confidential]</w:t>
      </w:r>
      <w:r w:rsidR="00BC332B" w:rsidRPr="00FC7C08">
        <w:t>, 20 May 2013</w:t>
      </w:r>
      <w:r w:rsidR="00BC332B">
        <w:t>; AER analysis.</w:t>
      </w:r>
      <w:r w:rsidR="004D4703" w:rsidRPr="004D4703">
        <w:t xml:space="preserve"> </w:t>
      </w:r>
      <w:r w:rsidR="004D4703">
        <w:t xml:space="preserve">Appendix 5E [Public], Table 1.1 pp.5-6; </w:t>
      </w:r>
      <w:r>
        <w:t>.</w:t>
      </w:r>
    </w:p>
    <w:p w:rsidR="0088341A" w:rsidRDefault="0088341A" w:rsidP="0088341A">
      <w:pPr>
        <w:pStyle w:val="HeadingBoldBlue"/>
      </w:pPr>
      <w:r>
        <w:t>Impact of ‘Clean Energy Future’ legislation on SP AusNet’s SF</w:t>
      </w:r>
      <w:r w:rsidRPr="00AE49A1">
        <w:rPr>
          <w:rStyle w:val="AERsubscript"/>
        </w:rPr>
        <w:t>6</w:t>
      </w:r>
      <w:r>
        <w:t xml:space="preserve"> top ups – $2.5 million</w:t>
      </w:r>
    </w:p>
    <w:p w:rsidR="0088341A" w:rsidRDefault="0088341A" w:rsidP="0088341A">
      <w:pPr>
        <w:pStyle w:val="AERbodytext"/>
        <w:numPr>
          <w:ilvl w:val="0"/>
          <w:numId w:val="1"/>
        </w:numPr>
        <w:rPr>
          <w:rStyle w:val="AERbody"/>
        </w:rPr>
      </w:pPr>
      <w:r>
        <w:t>SP AusNet proposed a step change of $2.5 million for additional costs in relation to SF</w:t>
      </w:r>
      <w:r w:rsidRPr="008D52E5">
        <w:rPr>
          <w:rStyle w:val="AERsubscript"/>
        </w:rPr>
        <w:t>6</w:t>
      </w:r>
      <w:r>
        <w:rPr>
          <w:rStyle w:val="AERsubscript"/>
        </w:rPr>
        <w:t xml:space="preserve"> </w:t>
      </w:r>
      <w:r>
        <w:rPr>
          <w:rStyle w:val="AERbody"/>
        </w:rPr>
        <w:t xml:space="preserve">gas it must purchase to replace leaked gas in gas insulated switchgear (GIS) and circuit breakers. We do not accept the proposed step change for </w:t>
      </w:r>
      <w:r>
        <w:t>SF</w:t>
      </w:r>
      <w:r w:rsidRPr="008D52E5">
        <w:rPr>
          <w:rStyle w:val="AERsubscript"/>
        </w:rPr>
        <w:t>6</w:t>
      </w:r>
      <w:r>
        <w:rPr>
          <w:rStyle w:val="AERsubscript"/>
        </w:rPr>
        <w:t xml:space="preserve"> </w:t>
      </w:r>
      <w:r>
        <w:rPr>
          <w:rStyle w:val="AERbody"/>
        </w:rPr>
        <w:t>top ups because we do not consider SP AusNet will need additional opex for gas leaks given the significant capex program that will address the problem (</w:t>
      </w:r>
      <w:r w:rsidR="007034EF">
        <w:rPr>
          <w:rStyle w:val="AERbody"/>
        </w:rPr>
        <w:t>Table D.7</w:t>
      </w:r>
      <w:r>
        <w:rPr>
          <w:rStyle w:val="AERbody"/>
        </w:rPr>
        <w:t xml:space="preserve">). </w:t>
      </w:r>
    </w:p>
    <w:p w:rsidR="0088341A" w:rsidRDefault="007034EF" w:rsidP="0088341A">
      <w:pPr>
        <w:pStyle w:val="Caption"/>
      </w:pPr>
      <w:r>
        <w:t>Table D.7</w:t>
      </w:r>
      <w:r>
        <w:tab/>
      </w:r>
      <w:r w:rsidR="0088341A">
        <w:t>SP AusNet’s proposed step change for SF</w:t>
      </w:r>
      <w:r w:rsidR="0088341A" w:rsidRPr="002470C4">
        <w:rPr>
          <w:rStyle w:val="AERsubscript"/>
        </w:rPr>
        <w:t>6</w:t>
      </w:r>
      <w:r w:rsidR="0088341A">
        <w:t xml:space="preserve"> top ups ($ million, 2013–14)</w:t>
      </w:r>
    </w:p>
    <w:tbl>
      <w:tblPr>
        <w:tblStyle w:val="AERtable-numbers"/>
        <w:tblW w:w="0" w:type="auto"/>
        <w:tblLook w:val="04A0" w:firstRow="1" w:lastRow="0" w:firstColumn="1" w:lastColumn="0" w:noHBand="0" w:noVBand="1"/>
      </w:tblPr>
      <w:tblGrid>
        <w:gridCol w:w="4786"/>
        <w:gridCol w:w="1114"/>
        <w:gridCol w:w="1114"/>
        <w:gridCol w:w="1114"/>
        <w:gridCol w:w="1114"/>
      </w:tblGrid>
      <w:tr w:rsidR="0088341A" w:rsidRPr="00180F57" w:rsidTr="005011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88341A" w:rsidRPr="00596DDA" w:rsidRDefault="0088341A" w:rsidP="00596DDA">
            <w:pPr>
              <w:pStyle w:val="AERtabletextleft"/>
            </w:pPr>
          </w:p>
        </w:tc>
        <w:tc>
          <w:tcPr>
            <w:tcW w:w="1114" w:type="dxa"/>
          </w:tcPr>
          <w:p w:rsidR="0088341A" w:rsidRPr="00596DDA" w:rsidRDefault="0088341A" w:rsidP="00596DDA">
            <w:pPr>
              <w:pStyle w:val="AERtabletextright"/>
              <w:cnfStyle w:val="100000000000" w:firstRow="1" w:lastRow="0" w:firstColumn="0" w:lastColumn="0" w:oddVBand="0" w:evenVBand="0" w:oddHBand="0" w:evenHBand="0" w:firstRowFirstColumn="0" w:firstRowLastColumn="0" w:lastRowFirstColumn="0" w:lastRowLastColumn="0"/>
            </w:pPr>
            <w:r w:rsidRPr="00731C5D">
              <w:t>2014</w:t>
            </w:r>
            <w:r w:rsidRPr="00351A6E">
              <w:rPr>
                <w:rFonts w:hint="eastAsia"/>
              </w:rPr>
              <w:t>–</w:t>
            </w:r>
            <w:r w:rsidRPr="00C21B34">
              <w:t>15</w:t>
            </w:r>
          </w:p>
        </w:tc>
        <w:tc>
          <w:tcPr>
            <w:tcW w:w="1114" w:type="dxa"/>
          </w:tcPr>
          <w:p w:rsidR="0088341A" w:rsidRPr="00596DDA" w:rsidRDefault="0088341A" w:rsidP="00596DDA">
            <w:pPr>
              <w:pStyle w:val="AERtabletextright"/>
              <w:cnfStyle w:val="100000000000" w:firstRow="1" w:lastRow="0" w:firstColumn="0" w:lastColumn="0" w:oddVBand="0" w:evenVBand="0" w:oddHBand="0" w:evenHBand="0" w:firstRowFirstColumn="0" w:firstRowLastColumn="0" w:lastRowFirstColumn="0" w:lastRowLastColumn="0"/>
            </w:pPr>
            <w:r w:rsidRPr="00731C5D">
              <w:t>2015</w:t>
            </w:r>
            <w:r w:rsidRPr="00351A6E">
              <w:rPr>
                <w:rFonts w:hint="eastAsia"/>
              </w:rPr>
              <w:t>–</w:t>
            </w:r>
            <w:r w:rsidRPr="00C21B34">
              <w:t>16</w:t>
            </w:r>
          </w:p>
        </w:tc>
        <w:tc>
          <w:tcPr>
            <w:tcW w:w="1114" w:type="dxa"/>
          </w:tcPr>
          <w:p w:rsidR="0088341A" w:rsidRPr="00596DDA" w:rsidRDefault="0088341A" w:rsidP="00596DDA">
            <w:pPr>
              <w:pStyle w:val="AERtabletextright"/>
              <w:cnfStyle w:val="100000000000" w:firstRow="1" w:lastRow="0" w:firstColumn="0" w:lastColumn="0" w:oddVBand="0" w:evenVBand="0" w:oddHBand="0" w:evenHBand="0" w:firstRowFirstColumn="0" w:firstRowLastColumn="0" w:lastRowFirstColumn="0" w:lastRowLastColumn="0"/>
            </w:pPr>
            <w:r w:rsidRPr="00731C5D">
              <w:t>2016</w:t>
            </w:r>
            <w:r w:rsidRPr="00351A6E">
              <w:rPr>
                <w:rFonts w:hint="eastAsia"/>
              </w:rPr>
              <w:t>–</w:t>
            </w:r>
            <w:r w:rsidRPr="00C21B34">
              <w:t>17</w:t>
            </w:r>
          </w:p>
        </w:tc>
        <w:tc>
          <w:tcPr>
            <w:tcW w:w="1114" w:type="dxa"/>
          </w:tcPr>
          <w:p w:rsidR="0088341A" w:rsidRPr="00596DDA" w:rsidRDefault="0088341A" w:rsidP="00596DDA">
            <w:pPr>
              <w:pStyle w:val="AERtabletextright"/>
              <w:cnfStyle w:val="100000000000" w:firstRow="1" w:lastRow="0" w:firstColumn="0" w:lastColumn="0" w:oddVBand="0" w:evenVBand="0" w:oddHBand="0" w:evenHBand="0" w:firstRowFirstColumn="0" w:firstRowLastColumn="0" w:lastRowFirstColumn="0" w:lastRowLastColumn="0"/>
            </w:pPr>
            <w:r w:rsidRPr="00731C5D">
              <w:t>Total</w:t>
            </w:r>
          </w:p>
        </w:tc>
      </w:tr>
      <w:tr w:rsidR="0088341A" w:rsidRPr="00180F57" w:rsidTr="00501137">
        <w:tc>
          <w:tcPr>
            <w:cnfStyle w:val="001000000000" w:firstRow="0" w:lastRow="0" w:firstColumn="1" w:lastColumn="0" w:oddVBand="0" w:evenVBand="0" w:oddHBand="0" w:evenHBand="0" w:firstRowFirstColumn="0" w:firstRowLastColumn="0" w:lastRowFirstColumn="0" w:lastRowLastColumn="0"/>
            <w:tcW w:w="4786" w:type="dxa"/>
          </w:tcPr>
          <w:p w:rsidR="0088341A" w:rsidRPr="00596DDA" w:rsidRDefault="0088341A" w:rsidP="00596DDA">
            <w:pPr>
              <w:pStyle w:val="AERtabletextleft"/>
            </w:pPr>
            <w:r w:rsidRPr="00731C5D">
              <w:t xml:space="preserve">Impact of the </w:t>
            </w:r>
            <w:r w:rsidRPr="00351A6E">
              <w:rPr>
                <w:rFonts w:hint="eastAsia"/>
              </w:rPr>
              <w:t>‘</w:t>
            </w:r>
            <w:r w:rsidRPr="00C21B34">
              <w:t>Clean Energy Future</w:t>
            </w:r>
            <w:r w:rsidRPr="00F7102E">
              <w:rPr>
                <w:rFonts w:hint="eastAsia"/>
              </w:rPr>
              <w:t>’</w:t>
            </w:r>
            <w:r w:rsidRPr="009C4620">
              <w:t xml:space="preserve"> plan on SF6 top ups</w:t>
            </w:r>
          </w:p>
        </w:tc>
        <w:tc>
          <w:tcPr>
            <w:tcW w:w="1114" w:type="dxa"/>
          </w:tcPr>
          <w:p w:rsidR="0088341A" w:rsidRPr="00596DDA" w:rsidRDefault="0088341A" w:rsidP="00596DDA">
            <w:pPr>
              <w:pStyle w:val="AERtabletextright"/>
              <w:cnfStyle w:val="000000000000" w:firstRow="0" w:lastRow="0" w:firstColumn="0" w:lastColumn="0" w:oddVBand="0" w:evenVBand="0" w:oddHBand="0" w:evenHBand="0" w:firstRowFirstColumn="0" w:firstRowLastColumn="0" w:lastRowFirstColumn="0" w:lastRowLastColumn="0"/>
            </w:pPr>
            <w:r w:rsidRPr="00596DDA">
              <w:t>0.8</w:t>
            </w:r>
          </w:p>
        </w:tc>
        <w:tc>
          <w:tcPr>
            <w:tcW w:w="1114" w:type="dxa"/>
          </w:tcPr>
          <w:p w:rsidR="0088341A" w:rsidRPr="00596DDA" w:rsidRDefault="0088341A" w:rsidP="00596DDA">
            <w:pPr>
              <w:pStyle w:val="AERtabletextright"/>
              <w:cnfStyle w:val="000000000000" w:firstRow="0" w:lastRow="0" w:firstColumn="0" w:lastColumn="0" w:oddVBand="0" w:evenVBand="0" w:oddHBand="0" w:evenHBand="0" w:firstRowFirstColumn="0" w:firstRowLastColumn="0" w:lastRowFirstColumn="0" w:lastRowLastColumn="0"/>
            </w:pPr>
            <w:r w:rsidRPr="00731C5D">
              <w:t>0.8</w:t>
            </w:r>
          </w:p>
        </w:tc>
        <w:tc>
          <w:tcPr>
            <w:tcW w:w="1114" w:type="dxa"/>
          </w:tcPr>
          <w:p w:rsidR="0088341A" w:rsidRPr="00596DDA" w:rsidRDefault="0088341A" w:rsidP="00596DDA">
            <w:pPr>
              <w:pStyle w:val="AERtabletextright"/>
              <w:cnfStyle w:val="000000000000" w:firstRow="0" w:lastRow="0" w:firstColumn="0" w:lastColumn="0" w:oddVBand="0" w:evenVBand="0" w:oddHBand="0" w:evenHBand="0" w:firstRowFirstColumn="0" w:firstRowLastColumn="0" w:lastRowFirstColumn="0" w:lastRowLastColumn="0"/>
            </w:pPr>
            <w:r w:rsidRPr="00731C5D">
              <w:t>0.8</w:t>
            </w:r>
          </w:p>
        </w:tc>
        <w:tc>
          <w:tcPr>
            <w:tcW w:w="1114" w:type="dxa"/>
          </w:tcPr>
          <w:p w:rsidR="0088341A" w:rsidRPr="00596DDA" w:rsidRDefault="0088341A" w:rsidP="00596DDA">
            <w:pPr>
              <w:pStyle w:val="AERtabletextright"/>
              <w:cnfStyle w:val="000000000000" w:firstRow="0" w:lastRow="0" w:firstColumn="0" w:lastColumn="0" w:oddVBand="0" w:evenVBand="0" w:oddHBand="0" w:evenHBand="0" w:firstRowFirstColumn="0" w:firstRowLastColumn="0" w:lastRowFirstColumn="0" w:lastRowLastColumn="0"/>
            </w:pPr>
            <w:r w:rsidRPr="00731C5D">
              <w:t>2.5</w:t>
            </w:r>
          </w:p>
        </w:tc>
      </w:tr>
      <w:tr w:rsidR="0088341A" w:rsidRPr="00180F57" w:rsidTr="0050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88341A" w:rsidRPr="00596DDA" w:rsidRDefault="0088341A" w:rsidP="00596DDA">
            <w:pPr>
              <w:pStyle w:val="AERtabletextleft"/>
            </w:pPr>
            <w:r w:rsidRPr="00731C5D">
              <w:t>AER</w:t>
            </w:r>
            <w:r w:rsidRPr="00351A6E">
              <w:rPr>
                <w:rFonts w:hint="eastAsia"/>
              </w:rPr>
              <w:t>’</w:t>
            </w:r>
            <w:r w:rsidRPr="00C21B34">
              <w:t xml:space="preserve">s draft decision </w:t>
            </w:r>
          </w:p>
        </w:tc>
        <w:tc>
          <w:tcPr>
            <w:tcW w:w="1114" w:type="dxa"/>
          </w:tcPr>
          <w:p w:rsidR="0088341A" w:rsidRPr="00596DDA" w:rsidRDefault="0088341A" w:rsidP="00596DDA">
            <w:pPr>
              <w:pStyle w:val="AERtabletextright"/>
              <w:cnfStyle w:val="000000010000" w:firstRow="0" w:lastRow="0" w:firstColumn="0" w:lastColumn="0" w:oddVBand="0" w:evenVBand="0" w:oddHBand="0" w:evenHBand="1" w:firstRowFirstColumn="0" w:firstRowLastColumn="0" w:lastRowFirstColumn="0" w:lastRowLastColumn="0"/>
            </w:pPr>
            <w:r w:rsidRPr="00731C5D">
              <w:t>0.0</w:t>
            </w:r>
          </w:p>
        </w:tc>
        <w:tc>
          <w:tcPr>
            <w:tcW w:w="1114" w:type="dxa"/>
          </w:tcPr>
          <w:p w:rsidR="0088341A" w:rsidRPr="00596DDA" w:rsidRDefault="0088341A" w:rsidP="00596DDA">
            <w:pPr>
              <w:pStyle w:val="AERtabletextright"/>
              <w:cnfStyle w:val="000000010000" w:firstRow="0" w:lastRow="0" w:firstColumn="0" w:lastColumn="0" w:oddVBand="0" w:evenVBand="0" w:oddHBand="0" w:evenHBand="1" w:firstRowFirstColumn="0" w:firstRowLastColumn="0" w:lastRowFirstColumn="0" w:lastRowLastColumn="0"/>
            </w:pPr>
            <w:r w:rsidRPr="00731C5D">
              <w:t>0.0</w:t>
            </w:r>
          </w:p>
        </w:tc>
        <w:tc>
          <w:tcPr>
            <w:tcW w:w="1114" w:type="dxa"/>
          </w:tcPr>
          <w:p w:rsidR="0088341A" w:rsidRPr="00596DDA" w:rsidRDefault="0088341A" w:rsidP="00596DDA">
            <w:pPr>
              <w:pStyle w:val="AERtabletextright"/>
              <w:cnfStyle w:val="000000010000" w:firstRow="0" w:lastRow="0" w:firstColumn="0" w:lastColumn="0" w:oddVBand="0" w:evenVBand="0" w:oddHBand="0" w:evenHBand="1" w:firstRowFirstColumn="0" w:firstRowLastColumn="0" w:lastRowFirstColumn="0" w:lastRowLastColumn="0"/>
            </w:pPr>
            <w:r w:rsidRPr="00731C5D">
              <w:t>0.0</w:t>
            </w:r>
          </w:p>
        </w:tc>
        <w:tc>
          <w:tcPr>
            <w:tcW w:w="1114" w:type="dxa"/>
          </w:tcPr>
          <w:p w:rsidR="0088341A" w:rsidRPr="00596DDA" w:rsidRDefault="0088341A" w:rsidP="00596DDA">
            <w:pPr>
              <w:pStyle w:val="AERtabletextright"/>
              <w:cnfStyle w:val="000000010000" w:firstRow="0" w:lastRow="0" w:firstColumn="0" w:lastColumn="0" w:oddVBand="0" w:evenVBand="0" w:oddHBand="0" w:evenHBand="1" w:firstRowFirstColumn="0" w:firstRowLastColumn="0" w:lastRowFirstColumn="0" w:lastRowLastColumn="0"/>
            </w:pPr>
            <w:r w:rsidRPr="00731C5D">
              <w:t>0.0</w:t>
            </w:r>
          </w:p>
        </w:tc>
      </w:tr>
    </w:tbl>
    <w:p w:rsidR="0088341A" w:rsidRDefault="0088341A" w:rsidP="0088341A">
      <w:pPr>
        <w:pStyle w:val="AERtablesource"/>
        <w:rPr>
          <w:rStyle w:val="AERbody"/>
        </w:rPr>
      </w:pPr>
      <w:r>
        <w:t xml:space="preserve">Source: </w:t>
      </w:r>
      <w:r w:rsidR="00BC332B" w:rsidRPr="00690B37">
        <w:t xml:space="preserve">SP AusNet, </w:t>
      </w:r>
      <w:r w:rsidR="00BC332B" w:rsidRPr="00FC7C08">
        <w:rPr>
          <w:rStyle w:val="AERtextitalic"/>
        </w:rPr>
        <w:t>Response to request AER</w:t>
      </w:r>
      <w:r w:rsidR="0047592F">
        <w:rPr>
          <w:rStyle w:val="AERtextitalic"/>
        </w:rPr>
        <w:t xml:space="preserve"> RP </w:t>
      </w:r>
      <w:r w:rsidR="00BC332B" w:rsidRPr="00FC7C08">
        <w:rPr>
          <w:rStyle w:val="AERtextitalic"/>
        </w:rPr>
        <w:t>09 - revised opex model</w:t>
      </w:r>
      <w:r w:rsidR="008B3A74">
        <w:rPr>
          <w:rStyle w:val="AERtextitalic"/>
        </w:rPr>
        <w:t xml:space="preserve"> [confidential]</w:t>
      </w:r>
      <w:r w:rsidR="00BC332B" w:rsidRPr="00FC7C08">
        <w:t>, 20 May 2013</w:t>
      </w:r>
      <w:r w:rsidR="00BC332B">
        <w:t>; AER analysis.</w:t>
      </w:r>
      <w:r w:rsidR="004D4703" w:rsidRPr="004D4703">
        <w:t xml:space="preserve"> </w:t>
      </w:r>
      <w:r w:rsidR="004D4703">
        <w:t xml:space="preserve">Appendix 5E [Public], Table 1.1 pp.5-6; </w:t>
      </w:r>
    </w:p>
    <w:p w:rsidR="0088341A" w:rsidRDefault="0088341A" w:rsidP="0088341A">
      <w:pPr>
        <w:pStyle w:val="AERbodytext"/>
        <w:numPr>
          <w:ilvl w:val="0"/>
          <w:numId w:val="0"/>
        </w:numPr>
        <w:rPr>
          <w:rStyle w:val="AERbody"/>
        </w:rPr>
      </w:pPr>
      <w:r>
        <w:rPr>
          <w:rStyle w:val="AERbody"/>
        </w:rPr>
        <w:t xml:space="preserve">The proposed additional cost arises from the carbon tax, under which </w:t>
      </w:r>
      <w:r>
        <w:t>SF</w:t>
      </w:r>
      <w:r w:rsidRPr="008D52E5">
        <w:rPr>
          <w:rStyle w:val="AERsubscript"/>
        </w:rPr>
        <w:t>6</w:t>
      </w:r>
      <w:r>
        <w:rPr>
          <w:rStyle w:val="AERsubscript"/>
        </w:rPr>
        <w:t xml:space="preserve"> </w:t>
      </w:r>
      <w:r>
        <w:rPr>
          <w:rStyle w:val="AERbody"/>
        </w:rPr>
        <w:t xml:space="preserve">is now subject to a $23/tonne tax. SP AusNet stated it had enough </w:t>
      </w:r>
      <w:r>
        <w:t>SF</w:t>
      </w:r>
      <w:r w:rsidRPr="008D52E5">
        <w:rPr>
          <w:rStyle w:val="AERsubscript"/>
        </w:rPr>
        <w:t>6</w:t>
      </w:r>
      <w:r>
        <w:rPr>
          <w:rStyle w:val="AERsubscript"/>
        </w:rPr>
        <w:t xml:space="preserve"> </w:t>
      </w:r>
      <w:r>
        <w:rPr>
          <w:rStyle w:val="AERbody"/>
        </w:rPr>
        <w:t xml:space="preserve">to last until 1 April 2014, so the base year does </w:t>
      </w:r>
      <w:r>
        <w:rPr>
          <w:rStyle w:val="AERbody"/>
        </w:rPr>
        <w:lastRenderedPageBreak/>
        <w:t xml:space="preserve">not include the additional costs resulting from the carbon tax. Beyond, 1 April 2014 SP AusNet anticipates it will need to purchase more </w:t>
      </w:r>
      <w:r>
        <w:t>SF</w:t>
      </w:r>
      <w:r w:rsidRPr="008D52E5">
        <w:rPr>
          <w:rStyle w:val="AERsubscript"/>
        </w:rPr>
        <w:t>6</w:t>
      </w:r>
      <w:r>
        <w:rPr>
          <w:rStyle w:val="AERbody"/>
        </w:rPr>
        <w:t xml:space="preserve"> gas to replace gas leaks.</w:t>
      </w:r>
      <w:r>
        <w:rPr>
          <w:rStyle w:val="FootnoteReference"/>
        </w:rPr>
        <w:footnoteReference w:id="655"/>
      </w:r>
      <w:r>
        <w:rPr>
          <w:rStyle w:val="AERbody"/>
        </w:rPr>
        <w:t xml:space="preserve"> </w:t>
      </w:r>
    </w:p>
    <w:p w:rsidR="0088341A" w:rsidRDefault="0088341A" w:rsidP="0088341A">
      <w:pPr>
        <w:pStyle w:val="AERbodytext"/>
        <w:numPr>
          <w:ilvl w:val="0"/>
          <w:numId w:val="1"/>
        </w:numPr>
        <w:rPr>
          <w:rStyle w:val="AERbody"/>
        </w:rPr>
      </w:pPr>
      <w:r>
        <w:rPr>
          <w:rStyle w:val="AERbody"/>
        </w:rPr>
        <w:t xml:space="preserve">It based its calculation on the amount of leaked gas in 2009–10. We are concerned that this method of using the gas leaked in 2009-10 as a predictor of future leaks led SP AusNet to propose a forecast that over estimates its opex requirements: </w:t>
      </w:r>
    </w:p>
    <w:p w:rsidR="0088341A" w:rsidRDefault="0088341A" w:rsidP="0088341A">
      <w:pPr>
        <w:pStyle w:val="AERbulletlistfirststyle"/>
        <w:rPr>
          <w:rStyle w:val="AERbody"/>
        </w:rPr>
      </w:pPr>
      <w:r>
        <w:rPr>
          <w:rStyle w:val="AERbody"/>
        </w:rPr>
        <w:t xml:space="preserve">the 2009–10 leakage rates do not reflect the expected state of the network for 2014–17. The 2009–10 data will be five years old by the time the 2014–17 regulatory control period starts. </w:t>
      </w:r>
    </w:p>
    <w:p w:rsidR="0088341A" w:rsidRDefault="0088341A" w:rsidP="0088341A">
      <w:pPr>
        <w:pStyle w:val="AERbulletlistfirststyle"/>
        <w:rPr>
          <w:rStyle w:val="AERbody"/>
        </w:rPr>
      </w:pPr>
      <w:r>
        <w:rPr>
          <w:rStyle w:val="AERbody"/>
        </w:rPr>
        <w:t xml:space="preserve">SP AusNet invested significant capex in CBD rebuilds, replacement capex and major station upgrades between 2011–12 and 2013–14. It proposed to continue such capital works during the 2014–17 regulatory control period. We expect these works will significantly reduce gas leaks because much of the leaking equipment has been, or will be, refurbished or replaced. As such, any increase in the cost of </w:t>
      </w:r>
      <w:r>
        <w:t>SF</w:t>
      </w:r>
      <w:r w:rsidRPr="008D52E5">
        <w:rPr>
          <w:rStyle w:val="AERsubscript"/>
        </w:rPr>
        <w:t>6</w:t>
      </w:r>
      <w:r>
        <w:rPr>
          <w:rStyle w:val="AERbody"/>
        </w:rPr>
        <w:t xml:space="preserve"> is likely to be offset by the reduction in </w:t>
      </w:r>
      <w:r>
        <w:t>SF</w:t>
      </w:r>
      <w:r w:rsidRPr="008D52E5">
        <w:rPr>
          <w:rStyle w:val="AERsubscript"/>
        </w:rPr>
        <w:t>6</w:t>
      </w:r>
      <w:r>
        <w:rPr>
          <w:rStyle w:val="AERbody"/>
        </w:rPr>
        <w:t xml:space="preserve"> leaks that result from the large capex program. </w:t>
      </w:r>
    </w:p>
    <w:p w:rsidR="0088341A" w:rsidRDefault="0088341A" w:rsidP="0088341A">
      <w:pPr>
        <w:pStyle w:val="AERbulletlistfirststyle"/>
        <w:rPr>
          <w:rStyle w:val="AERbody"/>
        </w:rPr>
      </w:pPr>
      <w:r>
        <w:rPr>
          <w:rStyle w:val="AERbody"/>
        </w:rPr>
        <w:t xml:space="preserve">SP AusNet’s Asset Management Strategy lists the minimisation of </w:t>
      </w:r>
      <w:r>
        <w:t>SF</w:t>
      </w:r>
      <w:r w:rsidRPr="008D52E5">
        <w:rPr>
          <w:rStyle w:val="AERsubscript"/>
        </w:rPr>
        <w:t>6</w:t>
      </w:r>
      <w:r>
        <w:rPr>
          <w:rStyle w:val="AERsubscript"/>
        </w:rPr>
        <w:t xml:space="preserve"> </w:t>
      </w:r>
      <w:r>
        <w:rPr>
          <w:rStyle w:val="AERbody"/>
        </w:rPr>
        <w:t>as an objective. As such, we expect the growth in gas leaks to be minimal.</w:t>
      </w:r>
      <w:r>
        <w:rPr>
          <w:rStyle w:val="FootnoteReference"/>
        </w:rPr>
        <w:footnoteReference w:id="656"/>
      </w:r>
    </w:p>
    <w:p w:rsidR="0088341A" w:rsidRDefault="0088341A" w:rsidP="0088341A">
      <w:pPr>
        <w:pStyle w:val="AERbulletlistfirststyle"/>
        <w:rPr>
          <w:rStyle w:val="AERbody"/>
        </w:rPr>
      </w:pPr>
      <w:r>
        <w:rPr>
          <w:rStyle w:val="AERbody"/>
        </w:rPr>
        <w:t>SP AusNet assumed a carbon price of $29/tonne.</w:t>
      </w:r>
      <w:r>
        <w:rPr>
          <w:rStyle w:val="FootnoteReference"/>
        </w:rPr>
        <w:footnoteReference w:id="657"/>
      </w:r>
      <w:r>
        <w:rPr>
          <w:rStyle w:val="AERbody"/>
        </w:rPr>
        <w:t xml:space="preserve"> However, recent Treasury modelling forecast the carbon price to fall to $12/tonne.</w:t>
      </w:r>
      <w:r>
        <w:rPr>
          <w:rStyle w:val="FootnoteReference"/>
        </w:rPr>
        <w:footnoteReference w:id="658"/>
      </w:r>
      <w:r>
        <w:rPr>
          <w:rStyle w:val="AERbody"/>
        </w:rPr>
        <w:t xml:space="preserve"> As such, SP AusNet’s forecast would appear too high. </w:t>
      </w:r>
    </w:p>
    <w:p w:rsidR="0088341A" w:rsidRDefault="0088341A" w:rsidP="0088341A">
      <w:pPr>
        <w:pStyle w:val="AERbulletlistfirststyle"/>
        <w:numPr>
          <w:ilvl w:val="0"/>
          <w:numId w:val="0"/>
        </w:numPr>
        <w:rPr>
          <w:rStyle w:val="AERbody"/>
        </w:rPr>
      </w:pPr>
      <w:r>
        <w:rPr>
          <w:rStyle w:val="AERbody"/>
        </w:rPr>
        <w:t xml:space="preserve">For these reasons, we do not accept </w:t>
      </w:r>
      <w:r w:rsidRPr="00514E51">
        <w:t xml:space="preserve">SP AusNet will need additional opex for </w:t>
      </w:r>
      <w:r w:rsidR="007D2918">
        <w:t>SF</w:t>
      </w:r>
      <w:r w:rsidR="007D2918" w:rsidRPr="008D52E5">
        <w:rPr>
          <w:rStyle w:val="AERsubscript"/>
        </w:rPr>
        <w:t>6</w:t>
      </w:r>
      <w:r w:rsidRPr="00514E51">
        <w:t xml:space="preserve"> top ups.</w:t>
      </w:r>
    </w:p>
    <w:p w:rsidR="0088341A" w:rsidRDefault="0088341A" w:rsidP="0088341A">
      <w:pPr>
        <w:pStyle w:val="AERbulletlistfirststyle"/>
        <w:numPr>
          <w:ilvl w:val="0"/>
          <w:numId w:val="0"/>
        </w:numPr>
        <w:rPr>
          <w:rStyle w:val="AERbody"/>
        </w:rPr>
      </w:pPr>
      <w:r>
        <w:rPr>
          <w:rStyle w:val="AERbody"/>
        </w:rPr>
        <w:t xml:space="preserve">EMCa advised that a step change for </w:t>
      </w:r>
      <w:r>
        <w:t>SF</w:t>
      </w:r>
      <w:r w:rsidRPr="008D52E5">
        <w:rPr>
          <w:rStyle w:val="AERsubscript"/>
        </w:rPr>
        <w:t>6</w:t>
      </w:r>
      <w:r>
        <w:rPr>
          <w:rStyle w:val="AERsubscript"/>
        </w:rPr>
        <w:t xml:space="preserve"> </w:t>
      </w:r>
      <w:r>
        <w:rPr>
          <w:rStyle w:val="AERbody"/>
        </w:rPr>
        <w:t>top ups is unnecessary.</w:t>
      </w:r>
      <w:r w:rsidRPr="006A33A6">
        <w:rPr>
          <w:rStyle w:val="AERbody"/>
        </w:rPr>
        <w:t xml:space="preserve"> </w:t>
      </w:r>
      <w:r>
        <w:rPr>
          <w:rStyle w:val="AERbody"/>
        </w:rPr>
        <w:t xml:space="preserve">It stated SP AusNet has planned a considerable replacement and refurbishment works for substations, which would decrease the volume of gas leaks. It also considered SP AusNet will probably focus more on reducing the leaks given the higher cost of </w:t>
      </w:r>
      <w:r>
        <w:t>SF</w:t>
      </w:r>
      <w:r w:rsidRPr="008D52E5">
        <w:rPr>
          <w:rStyle w:val="AERsubscript"/>
        </w:rPr>
        <w:t>6</w:t>
      </w:r>
      <w:r>
        <w:rPr>
          <w:rStyle w:val="AERsubscript"/>
        </w:rPr>
        <w:t xml:space="preserve"> .</w:t>
      </w:r>
      <w:r w:rsidR="007D2918">
        <w:rPr>
          <w:rStyle w:val="AERbody"/>
        </w:rPr>
        <w:t xml:space="preserve"> On this basis, EMCa recommended rejecting the</w:t>
      </w:r>
      <w:r w:rsidR="007D2918">
        <w:t>SF</w:t>
      </w:r>
      <w:r w:rsidR="007D2918" w:rsidRPr="008D52E5">
        <w:rPr>
          <w:rStyle w:val="AERsubscript"/>
        </w:rPr>
        <w:t>6</w:t>
      </w:r>
      <w:r w:rsidR="007D2918">
        <w:rPr>
          <w:rStyle w:val="AERsubscript"/>
        </w:rPr>
        <w:t xml:space="preserve"> </w:t>
      </w:r>
      <w:r w:rsidR="007D2918" w:rsidRPr="00514E51">
        <w:t>top ups</w:t>
      </w:r>
      <w:r w:rsidR="007D2918">
        <w:t xml:space="preserve"> step change.</w:t>
      </w:r>
      <w:r w:rsidR="00A437BE">
        <w:rPr>
          <w:rStyle w:val="FootnoteReference"/>
        </w:rPr>
        <w:footnoteReference w:id="659"/>
      </w:r>
      <w:r w:rsidR="007D2918">
        <w:t xml:space="preserve"> </w:t>
      </w:r>
    </w:p>
    <w:p w:rsidR="0088341A" w:rsidRDefault="0088341A" w:rsidP="0088341A">
      <w:pPr>
        <w:pStyle w:val="HeadingBoldBlue"/>
      </w:pPr>
      <w:r>
        <w:t>Transitional arrangements for the economic regulation of NSPs rule change — $2.8 million</w:t>
      </w:r>
    </w:p>
    <w:p w:rsidR="0088341A" w:rsidRDefault="0088341A" w:rsidP="0088341A">
      <w:pPr>
        <w:pStyle w:val="AERbodytext"/>
        <w:numPr>
          <w:ilvl w:val="0"/>
          <w:numId w:val="0"/>
        </w:numPr>
      </w:pPr>
      <w:r>
        <w:t>SP AusNet proposed a $2.8 million step change for the transitional arrangements resulting from the Australian Energy Market Commission’s (AEMC) rule change for the economic regulation of network service providers.</w:t>
      </w:r>
      <w:r>
        <w:rPr>
          <w:rStyle w:val="FootnoteReference"/>
        </w:rPr>
        <w:footnoteReference w:id="660"/>
      </w:r>
      <w:r>
        <w:t xml:space="preserve"> We do not accept this step change as proposed, because we consider SP AusNet’s proposed opex is more than reasonably required to meet the opex objectives (</w:t>
      </w:r>
      <w:r w:rsidR="007034EF">
        <w:t>Table D.8</w:t>
      </w:r>
      <w:r>
        <w:t>). We do, however, accept that a one-off (non-recurrent) step change of $1.9 million is required.</w:t>
      </w:r>
    </w:p>
    <w:p w:rsidR="0088341A" w:rsidRDefault="007034EF" w:rsidP="00596DDA">
      <w:pPr>
        <w:pStyle w:val="Caption"/>
        <w:keepLines/>
      </w:pPr>
      <w:r>
        <w:lastRenderedPageBreak/>
        <w:t>Table D.8</w:t>
      </w:r>
      <w:r>
        <w:tab/>
      </w:r>
      <w:r w:rsidR="0088341A">
        <w:t>SP AusNet’s proposed step change for transitional arrangements for the economic regulation of NSPs rule change ($ million, 2013–14)</w:t>
      </w:r>
    </w:p>
    <w:tbl>
      <w:tblPr>
        <w:tblStyle w:val="AERtable-numbers"/>
        <w:tblW w:w="0" w:type="auto"/>
        <w:tblLook w:val="04A0" w:firstRow="1" w:lastRow="0" w:firstColumn="1" w:lastColumn="0" w:noHBand="0" w:noVBand="1"/>
      </w:tblPr>
      <w:tblGrid>
        <w:gridCol w:w="4786"/>
        <w:gridCol w:w="1114"/>
        <w:gridCol w:w="1114"/>
        <w:gridCol w:w="1114"/>
        <w:gridCol w:w="1114"/>
      </w:tblGrid>
      <w:tr w:rsidR="0088341A" w:rsidRPr="00180F57" w:rsidTr="005011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88341A" w:rsidRPr="00596DDA" w:rsidRDefault="0088341A" w:rsidP="00596DDA">
            <w:pPr>
              <w:pStyle w:val="AERtabletextleft"/>
              <w:keepNext/>
              <w:keepLines/>
            </w:pPr>
          </w:p>
        </w:tc>
        <w:tc>
          <w:tcPr>
            <w:tcW w:w="1114" w:type="dxa"/>
          </w:tcPr>
          <w:p w:rsidR="0088341A" w:rsidRPr="00596DDA" w:rsidRDefault="0088341A" w:rsidP="00596DDA">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731C5D">
              <w:t>2014</w:t>
            </w:r>
            <w:r w:rsidRPr="00351A6E">
              <w:rPr>
                <w:rFonts w:hint="eastAsia"/>
              </w:rPr>
              <w:t>–</w:t>
            </w:r>
            <w:r w:rsidRPr="00C21B34">
              <w:t>15</w:t>
            </w:r>
          </w:p>
        </w:tc>
        <w:tc>
          <w:tcPr>
            <w:tcW w:w="1114" w:type="dxa"/>
          </w:tcPr>
          <w:p w:rsidR="0088341A" w:rsidRPr="00596DDA" w:rsidRDefault="0088341A" w:rsidP="00596DDA">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731C5D">
              <w:t>2015</w:t>
            </w:r>
            <w:r w:rsidRPr="00351A6E">
              <w:rPr>
                <w:rFonts w:hint="eastAsia"/>
              </w:rPr>
              <w:t>–</w:t>
            </w:r>
            <w:r w:rsidRPr="00C21B34">
              <w:t>16</w:t>
            </w:r>
          </w:p>
        </w:tc>
        <w:tc>
          <w:tcPr>
            <w:tcW w:w="1114" w:type="dxa"/>
          </w:tcPr>
          <w:p w:rsidR="0088341A" w:rsidRPr="00596DDA" w:rsidRDefault="0088341A" w:rsidP="00596DDA">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731C5D">
              <w:t>2016</w:t>
            </w:r>
            <w:r w:rsidRPr="00351A6E">
              <w:rPr>
                <w:rFonts w:hint="eastAsia"/>
              </w:rPr>
              <w:t>–</w:t>
            </w:r>
            <w:r w:rsidRPr="00C21B34">
              <w:t>17</w:t>
            </w:r>
          </w:p>
        </w:tc>
        <w:tc>
          <w:tcPr>
            <w:tcW w:w="1114" w:type="dxa"/>
          </w:tcPr>
          <w:p w:rsidR="0088341A" w:rsidRPr="00596DDA" w:rsidRDefault="0088341A" w:rsidP="00596DDA">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731C5D">
              <w:t>Total</w:t>
            </w:r>
          </w:p>
        </w:tc>
      </w:tr>
      <w:tr w:rsidR="0088341A" w:rsidRPr="00180F57" w:rsidTr="00501137">
        <w:tc>
          <w:tcPr>
            <w:cnfStyle w:val="001000000000" w:firstRow="0" w:lastRow="0" w:firstColumn="1" w:lastColumn="0" w:oddVBand="0" w:evenVBand="0" w:oddHBand="0" w:evenHBand="0" w:firstRowFirstColumn="0" w:firstRowLastColumn="0" w:lastRowFirstColumn="0" w:lastRowLastColumn="0"/>
            <w:tcW w:w="4786" w:type="dxa"/>
          </w:tcPr>
          <w:p w:rsidR="0088341A" w:rsidRPr="00596DDA" w:rsidRDefault="0088341A" w:rsidP="00596DDA">
            <w:pPr>
              <w:pStyle w:val="AERtabletextleft"/>
              <w:keepNext/>
              <w:keepLines/>
            </w:pPr>
            <w:r w:rsidRPr="00731C5D">
              <w:t xml:space="preserve">Transitional arrangements for the </w:t>
            </w:r>
            <w:r w:rsidRPr="00351A6E">
              <w:t>Economic Regulation of NSPs rule change</w:t>
            </w:r>
          </w:p>
        </w:tc>
        <w:tc>
          <w:tcPr>
            <w:tcW w:w="1114"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596DDA">
              <w:t>0.0</w:t>
            </w:r>
          </w:p>
        </w:tc>
        <w:tc>
          <w:tcPr>
            <w:tcW w:w="1114"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731C5D">
              <w:t>1.4</w:t>
            </w:r>
          </w:p>
        </w:tc>
        <w:tc>
          <w:tcPr>
            <w:tcW w:w="1114"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731C5D">
              <w:t>1.4</w:t>
            </w:r>
          </w:p>
        </w:tc>
        <w:tc>
          <w:tcPr>
            <w:tcW w:w="1114"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731C5D">
              <w:t>2.8</w:t>
            </w:r>
          </w:p>
        </w:tc>
      </w:tr>
      <w:tr w:rsidR="0088341A" w:rsidRPr="00180F57" w:rsidTr="0050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88341A" w:rsidRPr="00596DDA" w:rsidRDefault="0088341A" w:rsidP="00596DDA">
            <w:pPr>
              <w:pStyle w:val="AERtabletextleft"/>
              <w:keepNext/>
              <w:keepLines/>
            </w:pPr>
            <w:r w:rsidRPr="00731C5D">
              <w:t>AER</w:t>
            </w:r>
            <w:r w:rsidRPr="00351A6E">
              <w:rPr>
                <w:rFonts w:hint="eastAsia"/>
              </w:rPr>
              <w:t>’</w:t>
            </w:r>
            <w:r w:rsidRPr="00C21B34">
              <w:t xml:space="preserve">s draft decision </w:t>
            </w:r>
          </w:p>
        </w:tc>
        <w:tc>
          <w:tcPr>
            <w:tcW w:w="1114"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731C5D">
              <w:t>0.0</w:t>
            </w:r>
          </w:p>
        </w:tc>
        <w:tc>
          <w:tcPr>
            <w:tcW w:w="1114"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731C5D">
              <w:t>1.1</w:t>
            </w:r>
          </w:p>
        </w:tc>
        <w:tc>
          <w:tcPr>
            <w:tcW w:w="1114"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731C5D">
              <w:t>0.8</w:t>
            </w:r>
          </w:p>
        </w:tc>
        <w:tc>
          <w:tcPr>
            <w:tcW w:w="1114"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731C5D">
              <w:t>1.9</w:t>
            </w:r>
          </w:p>
        </w:tc>
      </w:tr>
    </w:tbl>
    <w:p w:rsidR="0088341A" w:rsidRDefault="0088341A" w:rsidP="0088341A">
      <w:pPr>
        <w:pStyle w:val="AERtablesource"/>
        <w:rPr>
          <w:rStyle w:val="AERbody"/>
        </w:rPr>
      </w:pPr>
      <w:r>
        <w:t xml:space="preserve">Source: </w:t>
      </w:r>
      <w:r w:rsidR="00BC332B" w:rsidRPr="00690B37">
        <w:t xml:space="preserve">SP AusNet, </w:t>
      </w:r>
      <w:r w:rsidR="00BC332B" w:rsidRPr="00FC7C08">
        <w:rPr>
          <w:rStyle w:val="AERtextitalic"/>
        </w:rPr>
        <w:t>Response to request AER</w:t>
      </w:r>
      <w:r w:rsidR="0047592F">
        <w:rPr>
          <w:rStyle w:val="AERtextitalic"/>
        </w:rPr>
        <w:t xml:space="preserve"> RP </w:t>
      </w:r>
      <w:r w:rsidR="00BC332B" w:rsidRPr="00FC7C08">
        <w:rPr>
          <w:rStyle w:val="AERtextitalic"/>
        </w:rPr>
        <w:t>09 - revised opex model</w:t>
      </w:r>
      <w:r w:rsidR="008B3A74">
        <w:rPr>
          <w:rStyle w:val="AERtextitalic"/>
        </w:rPr>
        <w:t xml:space="preserve"> [confidential]</w:t>
      </w:r>
      <w:r w:rsidR="00BC332B" w:rsidRPr="00FC7C08">
        <w:t>, 20 May 2013</w:t>
      </w:r>
      <w:r w:rsidR="00BC332B">
        <w:t xml:space="preserve">; </w:t>
      </w:r>
      <w:r w:rsidR="004D4703">
        <w:t xml:space="preserve">Appendix 5E [Public], Table 1.1 pp.5-6; </w:t>
      </w:r>
      <w:r w:rsidR="00BC332B">
        <w:t>AER analysis.</w:t>
      </w:r>
      <w:r>
        <w:t>.</w:t>
      </w:r>
    </w:p>
    <w:p w:rsidR="0088341A" w:rsidRDefault="0088341A" w:rsidP="0088341A">
      <w:pPr>
        <w:pStyle w:val="AERbodytext"/>
        <w:numPr>
          <w:ilvl w:val="0"/>
          <w:numId w:val="0"/>
        </w:numPr>
      </w:pPr>
      <w:r>
        <w:t>SP AusNet stated it will incur, under the transitional arrangements, additional costs of $2.8 million opex because its submission process for its next transmission revenue proposal (October 2015) will overlap with its electricity distribution (April 2015) reset process (</w:t>
      </w:r>
      <w:r w:rsidR="007034EF">
        <w:t>Figure D.1</w:t>
      </w:r>
      <w:r>
        <w:t>). SP AusNet currently uses its existing regulatory and engineering staff to complete both resets. It submitted it will now require two additional regulatory staff and five additional engineering staff to manage the overlap, but that this is a one-off non-recurrent step change.</w:t>
      </w:r>
      <w:r>
        <w:rPr>
          <w:rStyle w:val="FootnoteReference"/>
        </w:rPr>
        <w:footnoteReference w:id="661"/>
      </w:r>
      <w:r>
        <w:t xml:space="preserve"> </w:t>
      </w:r>
    </w:p>
    <w:p w:rsidR="0088341A" w:rsidRDefault="007034EF" w:rsidP="0088341A">
      <w:pPr>
        <w:pStyle w:val="Caption"/>
      </w:pPr>
      <w:r>
        <w:t>Figure D.1</w:t>
      </w:r>
      <w:r>
        <w:tab/>
      </w:r>
      <w:r w:rsidR="0088341A">
        <w:t>Timing of SP AusNet’s forthcoming revenue resets (distribution and transmission)</w:t>
      </w:r>
    </w:p>
    <w:p w:rsidR="0088341A" w:rsidRDefault="0088341A" w:rsidP="0088341A">
      <w:pPr>
        <w:pStyle w:val="AERbodytext"/>
        <w:keepNext/>
        <w:numPr>
          <w:ilvl w:val="0"/>
          <w:numId w:val="0"/>
        </w:numPr>
      </w:pPr>
      <w:r>
        <w:rPr>
          <w:noProof/>
          <w:lang w:eastAsia="en-AU"/>
        </w:rPr>
        <w:drawing>
          <wp:inline distT="0" distB="0" distL="0" distR="0" wp14:anchorId="03ED71AC" wp14:editId="472E9246">
            <wp:extent cx="5709920" cy="1775460"/>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09920" cy="1775460"/>
                    </a:xfrm>
                    <a:prstGeom prst="rect">
                      <a:avLst/>
                    </a:prstGeom>
                    <a:noFill/>
                    <a:ln>
                      <a:noFill/>
                    </a:ln>
                  </pic:spPr>
                </pic:pic>
              </a:graphicData>
            </a:graphic>
          </wp:inline>
        </w:drawing>
      </w:r>
    </w:p>
    <w:p w:rsidR="0088341A" w:rsidRDefault="0088341A" w:rsidP="0088341A">
      <w:pPr>
        <w:pStyle w:val="AERtablesource"/>
        <w:keepNext/>
      </w:pPr>
      <w:r>
        <w:t xml:space="preserve">Source: SP AusNet, </w:t>
      </w:r>
      <w:r w:rsidRPr="009940BA">
        <w:rPr>
          <w:rStyle w:val="AERtextitalic"/>
        </w:rPr>
        <w:t>Revenue proposal</w:t>
      </w:r>
      <w:r>
        <w:t>, Appendix 5E, p. 18.</w:t>
      </w:r>
    </w:p>
    <w:p w:rsidR="0088341A" w:rsidRDefault="0088341A" w:rsidP="0088341A">
      <w:pPr>
        <w:pStyle w:val="AERbodytext"/>
        <w:numPr>
          <w:ilvl w:val="0"/>
          <w:numId w:val="0"/>
        </w:numPr>
      </w:pPr>
      <w:r>
        <w:t>We do not accept the step change amount as proposed because SP AusNet’s proposed additional costs are more than reasonably required to meet the opex criteria.</w:t>
      </w:r>
      <w:r w:rsidRPr="006A33A6">
        <w:t xml:space="preserve"> </w:t>
      </w:r>
    </w:p>
    <w:p w:rsidR="0088341A" w:rsidRDefault="0088341A" w:rsidP="0088341A">
      <w:pPr>
        <w:pStyle w:val="AERbodytext"/>
        <w:numPr>
          <w:ilvl w:val="0"/>
          <w:numId w:val="0"/>
        </w:numPr>
      </w:pPr>
      <w:r>
        <w:t xml:space="preserve">Our analysis showed the proposed step change of $2.8 million is more than reasonably required to perform a transmission revenue reset. SP AusNet incurred regulatory costs in the last two years of the 2008–14 regulatory control period (2012-13 and 2013-14) plus base year costs of $0.3 million (recurrent, ongoing regulatory costs). Consistent with its planning </w:t>
      </w:r>
      <w:r w:rsidR="00A437BE">
        <w:t xml:space="preserve">schedule </w:t>
      </w:r>
      <w:r>
        <w:t xml:space="preserve">in </w:t>
      </w:r>
      <w:r w:rsidR="00A437BE">
        <w:t xml:space="preserve">figure D.1, </w:t>
      </w:r>
      <w:r>
        <w:t>we escalated the costs in excess of the base year amount for the final two years of the next regulatory control period (2015-16 and 2016-17). In this way, we calculated an opex step change requirement of $1.9 million (</w:t>
      </w:r>
      <w:r w:rsidR="007034EF">
        <w:t>Table D.9</w:t>
      </w:r>
      <w:r>
        <w:t>).</w:t>
      </w:r>
      <w:r>
        <w:rPr>
          <w:rStyle w:val="FootnoteReference"/>
        </w:rPr>
        <w:footnoteReference w:id="662"/>
      </w:r>
      <w:r>
        <w:t xml:space="preserve"> </w:t>
      </w:r>
    </w:p>
    <w:p w:rsidR="0088341A" w:rsidRDefault="007034EF" w:rsidP="00596DDA">
      <w:pPr>
        <w:pStyle w:val="Caption"/>
        <w:keepLines/>
      </w:pPr>
      <w:r>
        <w:lastRenderedPageBreak/>
        <w:t>Table D.9</w:t>
      </w:r>
      <w:r>
        <w:tab/>
      </w:r>
      <w:r w:rsidR="0088341A">
        <w:t>Derivation of AER’s draft decision on revenue reset costs ($ million, 2013–14)</w:t>
      </w:r>
    </w:p>
    <w:tbl>
      <w:tblPr>
        <w:tblStyle w:val="AERtable-numbers"/>
        <w:tblW w:w="0" w:type="auto"/>
        <w:tblLook w:val="04A0" w:firstRow="1" w:lastRow="0" w:firstColumn="1" w:lastColumn="0" w:noHBand="0" w:noVBand="1"/>
      </w:tblPr>
      <w:tblGrid>
        <w:gridCol w:w="3510"/>
        <w:gridCol w:w="915"/>
        <w:gridCol w:w="915"/>
        <w:gridCol w:w="915"/>
        <w:gridCol w:w="915"/>
        <w:gridCol w:w="915"/>
        <w:gridCol w:w="915"/>
      </w:tblGrid>
      <w:tr w:rsidR="0088341A" w:rsidRPr="00180F57" w:rsidTr="005011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88341A" w:rsidRPr="00596DDA" w:rsidRDefault="0088341A" w:rsidP="00596DDA">
            <w:pPr>
              <w:pStyle w:val="AERtabletextleft"/>
              <w:keepNext/>
              <w:keepLines/>
            </w:pPr>
          </w:p>
        </w:tc>
        <w:tc>
          <w:tcPr>
            <w:tcW w:w="915" w:type="dxa"/>
          </w:tcPr>
          <w:p w:rsidR="0088341A" w:rsidRPr="00596DDA" w:rsidRDefault="0088341A" w:rsidP="00596DDA">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180F57">
              <w:t>2011</w:t>
            </w:r>
            <w:r w:rsidRPr="00180F57">
              <w:rPr>
                <w:rFonts w:hint="eastAsia"/>
              </w:rPr>
              <w:t>–</w:t>
            </w:r>
            <w:r w:rsidRPr="00180F57">
              <w:t>12</w:t>
            </w:r>
          </w:p>
        </w:tc>
        <w:tc>
          <w:tcPr>
            <w:tcW w:w="915" w:type="dxa"/>
          </w:tcPr>
          <w:p w:rsidR="0088341A" w:rsidRPr="00596DDA" w:rsidRDefault="0088341A" w:rsidP="00596DDA">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180F57">
              <w:t>2012</w:t>
            </w:r>
            <w:r w:rsidRPr="00180F57">
              <w:rPr>
                <w:rFonts w:hint="eastAsia"/>
              </w:rPr>
              <w:t>–</w:t>
            </w:r>
            <w:r w:rsidRPr="00180F57">
              <w:t>13</w:t>
            </w:r>
          </w:p>
        </w:tc>
        <w:tc>
          <w:tcPr>
            <w:tcW w:w="915" w:type="dxa"/>
          </w:tcPr>
          <w:p w:rsidR="0088341A" w:rsidRPr="00596DDA" w:rsidRDefault="0088341A" w:rsidP="00596DDA">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180F57">
              <w:t>2013</w:t>
            </w:r>
            <w:r w:rsidRPr="00180F57">
              <w:rPr>
                <w:rFonts w:hint="eastAsia"/>
              </w:rPr>
              <w:t>–</w:t>
            </w:r>
            <w:r w:rsidRPr="00180F57">
              <w:t>14</w:t>
            </w:r>
          </w:p>
        </w:tc>
        <w:tc>
          <w:tcPr>
            <w:tcW w:w="915" w:type="dxa"/>
          </w:tcPr>
          <w:p w:rsidR="0088341A" w:rsidRPr="00596DDA" w:rsidRDefault="0088341A" w:rsidP="00596DDA">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180F57">
              <w:t>2014</w:t>
            </w:r>
            <w:r w:rsidRPr="00180F57">
              <w:rPr>
                <w:rFonts w:hint="eastAsia"/>
              </w:rPr>
              <w:t>–</w:t>
            </w:r>
            <w:r w:rsidRPr="00180F57">
              <w:t>15</w:t>
            </w:r>
          </w:p>
        </w:tc>
        <w:tc>
          <w:tcPr>
            <w:tcW w:w="915" w:type="dxa"/>
          </w:tcPr>
          <w:p w:rsidR="0088341A" w:rsidRPr="00596DDA" w:rsidRDefault="0088341A" w:rsidP="00596DDA">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180F57">
              <w:t>2015</w:t>
            </w:r>
            <w:r w:rsidRPr="00180F57">
              <w:rPr>
                <w:rFonts w:hint="eastAsia"/>
              </w:rPr>
              <w:t>–</w:t>
            </w:r>
            <w:r w:rsidRPr="00180F57">
              <w:t>16</w:t>
            </w:r>
          </w:p>
        </w:tc>
        <w:tc>
          <w:tcPr>
            <w:tcW w:w="915" w:type="dxa"/>
          </w:tcPr>
          <w:p w:rsidR="0088341A" w:rsidRPr="00596DDA" w:rsidRDefault="0088341A" w:rsidP="00596DDA">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180F57">
              <w:t>2016</w:t>
            </w:r>
            <w:r w:rsidRPr="00180F57">
              <w:rPr>
                <w:rFonts w:hint="eastAsia"/>
              </w:rPr>
              <w:t>–</w:t>
            </w:r>
            <w:r w:rsidRPr="00180F57">
              <w:t>17</w:t>
            </w:r>
          </w:p>
        </w:tc>
      </w:tr>
      <w:tr w:rsidR="0088341A" w:rsidRPr="00180F57" w:rsidTr="00501137">
        <w:tc>
          <w:tcPr>
            <w:cnfStyle w:val="001000000000" w:firstRow="0" w:lastRow="0" w:firstColumn="1" w:lastColumn="0" w:oddVBand="0" w:evenVBand="0" w:oddHBand="0" w:evenHBand="0" w:firstRowFirstColumn="0" w:firstRowLastColumn="0" w:lastRowFirstColumn="0" w:lastRowLastColumn="0"/>
            <w:tcW w:w="3510" w:type="dxa"/>
          </w:tcPr>
          <w:p w:rsidR="0088341A" w:rsidRPr="00596DDA" w:rsidRDefault="0088341A" w:rsidP="00596DDA">
            <w:pPr>
              <w:pStyle w:val="AERtabletextleft"/>
              <w:keepNext/>
              <w:keepLines/>
            </w:pPr>
            <w:r w:rsidRPr="00180F57">
              <w:t>SP AusNet</w:t>
            </w:r>
            <w:r w:rsidRPr="00180F57">
              <w:rPr>
                <w:rFonts w:hint="eastAsia"/>
              </w:rPr>
              <w:t>’</w:t>
            </w:r>
            <w:r w:rsidRPr="00180F57">
              <w:t>s proposed regulatory step change</w:t>
            </w:r>
          </w:p>
        </w:tc>
        <w:tc>
          <w:tcPr>
            <w:tcW w:w="915"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915"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915"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915"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915"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180F57">
              <w:t>1.4</w:t>
            </w:r>
          </w:p>
        </w:tc>
        <w:tc>
          <w:tcPr>
            <w:tcW w:w="915"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180F57">
              <w:t>1.4</w:t>
            </w:r>
          </w:p>
        </w:tc>
      </w:tr>
      <w:tr w:rsidR="0088341A" w:rsidRPr="00180F57" w:rsidTr="0050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88341A" w:rsidRPr="00596DDA" w:rsidRDefault="0088341A" w:rsidP="00596DDA">
            <w:pPr>
              <w:pStyle w:val="AERtabletextleft"/>
              <w:keepNext/>
              <w:keepLines/>
            </w:pPr>
            <w:r w:rsidRPr="00180F57">
              <w:t xml:space="preserve">Corporate </w:t>
            </w:r>
            <w:r w:rsidRPr="00180F57">
              <w:rPr>
                <w:rFonts w:hint="eastAsia"/>
              </w:rPr>
              <w:t>–</w:t>
            </w:r>
            <w:r w:rsidRPr="00180F57">
              <w:t xml:space="preserve"> revenue resets</w:t>
            </w:r>
          </w:p>
        </w:tc>
        <w:tc>
          <w:tcPr>
            <w:tcW w:w="915"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180F57">
              <w:t>0.3</w:t>
            </w:r>
          </w:p>
        </w:tc>
        <w:tc>
          <w:tcPr>
            <w:tcW w:w="915"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180F57">
              <w:t>1.4</w:t>
            </w:r>
          </w:p>
        </w:tc>
        <w:tc>
          <w:tcPr>
            <w:tcW w:w="915"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180F57">
              <w:t>1.1</w:t>
            </w:r>
          </w:p>
        </w:tc>
        <w:tc>
          <w:tcPr>
            <w:tcW w:w="915"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915"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915"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p>
        </w:tc>
      </w:tr>
      <w:tr w:rsidR="0088341A" w:rsidRPr="00180F57" w:rsidTr="00501137">
        <w:tc>
          <w:tcPr>
            <w:cnfStyle w:val="001000000000" w:firstRow="0" w:lastRow="0" w:firstColumn="1" w:lastColumn="0" w:oddVBand="0" w:evenVBand="0" w:oddHBand="0" w:evenHBand="0" w:firstRowFirstColumn="0" w:firstRowLastColumn="0" w:lastRowFirstColumn="0" w:lastRowLastColumn="0"/>
            <w:tcW w:w="3510" w:type="dxa"/>
          </w:tcPr>
          <w:p w:rsidR="0088341A" w:rsidRPr="00596DDA" w:rsidRDefault="0088341A" w:rsidP="00596DDA">
            <w:pPr>
              <w:pStyle w:val="AERtabletextleft"/>
              <w:keepNext/>
              <w:keepLines/>
            </w:pPr>
            <w:r w:rsidRPr="00180F57">
              <w:t>Amount above 2011</w:t>
            </w:r>
            <w:r w:rsidRPr="00180F57">
              <w:rPr>
                <w:rFonts w:hint="eastAsia"/>
              </w:rPr>
              <w:t>–</w:t>
            </w:r>
            <w:r w:rsidRPr="00180F57">
              <w:t>12 (base year) costs</w:t>
            </w:r>
          </w:p>
        </w:tc>
        <w:tc>
          <w:tcPr>
            <w:tcW w:w="915"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915"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180F57">
              <w:t>1.1</w:t>
            </w:r>
          </w:p>
        </w:tc>
        <w:tc>
          <w:tcPr>
            <w:tcW w:w="915"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180F57">
              <w:t>0.8</w:t>
            </w:r>
          </w:p>
        </w:tc>
        <w:tc>
          <w:tcPr>
            <w:tcW w:w="915"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915"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915" w:type="dxa"/>
          </w:tcPr>
          <w:p w:rsidR="0088341A" w:rsidRPr="00596DDA" w:rsidRDefault="0088341A" w:rsidP="00596DDA">
            <w:pPr>
              <w:pStyle w:val="AERtabletextright"/>
              <w:keepNext/>
              <w:keepLines/>
              <w:cnfStyle w:val="000000000000" w:firstRow="0" w:lastRow="0" w:firstColumn="0" w:lastColumn="0" w:oddVBand="0" w:evenVBand="0" w:oddHBand="0" w:evenHBand="0" w:firstRowFirstColumn="0" w:firstRowLastColumn="0" w:lastRowFirstColumn="0" w:lastRowLastColumn="0"/>
            </w:pPr>
          </w:p>
        </w:tc>
      </w:tr>
      <w:tr w:rsidR="0088341A" w:rsidRPr="00180F57" w:rsidTr="0050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88341A" w:rsidRPr="00596DDA" w:rsidRDefault="0088341A" w:rsidP="00596DDA">
            <w:pPr>
              <w:pStyle w:val="AERtabletextleft"/>
              <w:keepNext/>
              <w:keepLines/>
            </w:pPr>
            <w:r w:rsidRPr="00180F57">
              <w:t>Escalated for labour costs</w:t>
            </w:r>
          </w:p>
        </w:tc>
        <w:tc>
          <w:tcPr>
            <w:tcW w:w="915"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915"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915"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915"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915"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180F57">
              <w:t>1.1</w:t>
            </w:r>
          </w:p>
        </w:tc>
        <w:tc>
          <w:tcPr>
            <w:tcW w:w="915" w:type="dxa"/>
          </w:tcPr>
          <w:p w:rsidR="0088341A" w:rsidRPr="00596DDA" w:rsidRDefault="0088341A" w:rsidP="00596DDA">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180F57">
              <w:t>0.8</w:t>
            </w:r>
          </w:p>
        </w:tc>
      </w:tr>
    </w:tbl>
    <w:p w:rsidR="0088341A" w:rsidRDefault="0088341A" w:rsidP="00596DDA">
      <w:pPr>
        <w:pStyle w:val="AERtablesource"/>
      </w:pPr>
      <w:r>
        <w:t xml:space="preserve">Source: SP AusNet, </w:t>
      </w:r>
      <w:r w:rsidRPr="001F649B">
        <w:rPr>
          <w:rStyle w:val="AERtextitalic"/>
        </w:rPr>
        <w:t>Information request, EMCa032</w:t>
      </w:r>
      <w:r>
        <w:t xml:space="preserve">, 17 June 2013, p. 2; AER analysis.  </w:t>
      </w:r>
    </w:p>
    <w:p w:rsidR="0088341A" w:rsidRDefault="0088341A" w:rsidP="0088341A">
      <w:pPr>
        <w:pStyle w:val="HeadingBoldBlue"/>
      </w:pPr>
      <w:r>
        <w:t>Outcome of the AEMC’s transmission frameworks review</w:t>
      </w:r>
    </w:p>
    <w:p w:rsidR="0088341A" w:rsidRDefault="0088341A" w:rsidP="0088341A">
      <w:pPr>
        <w:pStyle w:val="AERbodytext"/>
        <w:numPr>
          <w:ilvl w:val="0"/>
          <w:numId w:val="0"/>
        </w:numPr>
      </w:pPr>
      <w:r>
        <w:t>SP AusNet noted the AEMC is reviewing the arrangements for network planning in Victoria. In its draft report, the AEMC proposed significant changes to the planning arrangements in Victoria that would move network planning decisions from AEMO to SP AusNet. Given SP AusNet did not propose opex for this step change and that the driver for this step change is undecided, we did not assess it. However, if the change is implemented and SP AusNet provides a cost for this step change in its revised revenue proposal, we will assess it in the final decision.</w:t>
      </w:r>
    </w:p>
    <w:p w:rsidR="0088341A" w:rsidRDefault="0088341A" w:rsidP="0088341A">
      <w:pPr>
        <w:pStyle w:val="HeadingBoldBlue"/>
      </w:pPr>
      <w:r>
        <w:t>IT related opex step changes — $2.8 million</w:t>
      </w:r>
    </w:p>
    <w:p w:rsidR="0088341A" w:rsidRDefault="0088341A" w:rsidP="0088341A">
      <w:pPr>
        <w:pStyle w:val="AERbodytext"/>
        <w:numPr>
          <w:ilvl w:val="0"/>
          <w:numId w:val="0"/>
        </w:numPr>
      </w:pPr>
      <w:r>
        <w:t>In addition to the step change for ‘SCADA security – controller simulator training’, which we accept, SP AusNet proposed three step changes for new IT opex totalling $1.9 million (</w:t>
      </w:r>
      <w:r w:rsidR="007034EF">
        <w:t>Table D.10</w:t>
      </w:r>
      <w:r>
        <w:t xml:space="preserve">). We do not accept these three step changes. </w:t>
      </w:r>
    </w:p>
    <w:p w:rsidR="0088341A" w:rsidRDefault="007034EF" w:rsidP="0088341A">
      <w:pPr>
        <w:pStyle w:val="Caption"/>
      </w:pPr>
      <w:r>
        <w:t>Table D.10</w:t>
      </w:r>
      <w:r>
        <w:tab/>
      </w:r>
      <w:r w:rsidR="0088341A">
        <w:t>SP AusNet’s proposed step changes for IT opex ($ million, 2013–14)</w:t>
      </w:r>
    </w:p>
    <w:tbl>
      <w:tblPr>
        <w:tblStyle w:val="AERtable-numbers"/>
        <w:tblW w:w="0" w:type="auto"/>
        <w:tblLook w:val="04A0" w:firstRow="1" w:lastRow="0" w:firstColumn="1" w:lastColumn="0" w:noHBand="0" w:noVBand="1"/>
      </w:tblPr>
      <w:tblGrid>
        <w:gridCol w:w="4786"/>
        <w:gridCol w:w="1114"/>
        <w:gridCol w:w="1114"/>
        <w:gridCol w:w="1114"/>
        <w:gridCol w:w="1114"/>
      </w:tblGrid>
      <w:tr w:rsidR="0088341A" w:rsidRPr="00180F57" w:rsidTr="005011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88341A" w:rsidRPr="00596DDA" w:rsidRDefault="0088341A" w:rsidP="00596DDA">
            <w:pPr>
              <w:pStyle w:val="AERtabletextleft"/>
            </w:pPr>
          </w:p>
        </w:tc>
        <w:tc>
          <w:tcPr>
            <w:tcW w:w="1114" w:type="dxa"/>
          </w:tcPr>
          <w:p w:rsidR="0088341A" w:rsidRPr="00596DDA" w:rsidRDefault="0088341A" w:rsidP="00596DDA">
            <w:pPr>
              <w:pStyle w:val="AERtabletextright"/>
              <w:cnfStyle w:val="100000000000" w:firstRow="1" w:lastRow="0" w:firstColumn="0" w:lastColumn="0" w:oddVBand="0" w:evenVBand="0" w:oddHBand="0" w:evenHBand="0" w:firstRowFirstColumn="0" w:firstRowLastColumn="0" w:lastRowFirstColumn="0" w:lastRowLastColumn="0"/>
            </w:pPr>
            <w:r w:rsidRPr="00180F57">
              <w:t>2014</w:t>
            </w:r>
            <w:r w:rsidRPr="00180F57">
              <w:rPr>
                <w:rFonts w:hint="eastAsia"/>
              </w:rPr>
              <w:t>–</w:t>
            </w:r>
            <w:r w:rsidRPr="00180F57">
              <w:t>15</w:t>
            </w:r>
          </w:p>
        </w:tc>
        <w:tc>
          <w:tcPr>
            <w:tcW w:w="1114" w:type="dxa"/>
          </w:tcPr>
          <w:p w:rsidR="0088341A" w:rsidRPr="00596DDA" w:rsidRDefault="0088341A" w:rsidP="00596DDA">
            <w:pPr>
              <w:pStyle w:val="AERtabletextright"/>
              <w:cnfStyle w:val="100000000000" w:firstRow="1" w:lastRow="0" w:firstColumn="0" w:lastColumn="0" w:oddVBand="0" w:evenVBand="0" w:oddHBand="0" w:evenHBand="0" w:firstRowFirstColumn="0" w:firstRowLastColumn="0" w:lastRowFirstColumn="0" w:lastRowLastColumn="0"/>
            </w:pPr>
            <w:r w:rsidRPr="00180F57">
              <w:t>2015</w:t>
            </w:r>
            <w:r w:rsidRPr="00180F57">
              <w:rPr>
                <w:rFonts w:hint="eastAsia"/>
              </w:rPr>
              <w:t>–</w:t>
            </w:r>
            <w:r w:rsidRPr="00180F57">
              <w:t>16</w:t>
            </w:r>
          </w:p>
        </w:tc>
        <w:tc>
          <w:tcPr>
            <w:tcW w:w="1114" w:type="dxa"/>
          </w:tcPr>
          <w:p w:rsidR="0088341A" w:rsidRPr="00596DDA" w:rsidRDefault="0088341A" w:rsidP="00596DDA">
            <w:pPr>
              <w:pStyle w:val="AERtabletextright"/>
              <w:cnfStyle w:val="100000000000" w:firstRow="1" w:lastRow="0" w:firstColumn="0" w:lastColumn="0" w:oddVBand="0" w:evenVBand="0" w:oddHBand="0" w:evenHBand="0" w:firstRowFirstColumn="0" w:firstRowLastColumn="0" w:lastRowFirstColumn="0" w:lastRowLastColumn="0"/>
            </w:pPr>
            <w:r w:rsidRPr="00180F57">
              <w:t>2016</w:t>
            </w:r>
            <w:r w:rsidRPr="00180F57">
              <w:rPr>
                <w:rFonts w:hint="eastAsia"/>
              </w:rPr>
              <w:t>–</w:t>
            </w:r>
            <w:r w:rsidRPr="00180F57">
              <w:t>17</w:t>
            </w:r>
          </w:p>
        </w:tc>
        <w:tc>
          <w:tcPr>
            <w:tcW w:w="1114" w:type="dxa"/>
          </w:tcPr>
          <w:p w:rsidR="0088341A" w:rsidRPr="00596DDA" w:rsidRDefault="0088341A" w:rsidP="00596DDA">
            <w:pPr>
              <w:pStyle w:val="AERtabletextright"/>
              <w:cnfStyle w:val="100000000000" w:firstRow="1" w:lastRow="0" w:firstColumn="0" w:lastColumn="0" w:oddVBand="0" w:evenVBand="0" w:oddHBand="0" w:evenHBand="0" w:firstRowFirstColumn="0" w:firstRowLastColumn="0" w:lastRowFirstColumn="0" w:lastRowLastColumn="0"/>
            </w:pPr>
            <w:r w:rsidRPr="00180F57">
              <w:t>Total</w:t>
            </w:r>
          </w:p>
        </w:tc>
      </w:tr>
      <w:tr w:rsidR="0088341A" w:rsidRPr="00180F57" w:rsidTr="00501137">
        <w:tc>
          <w:tcPr>
            <w:cnfStyle w:val="001000000000" w:firstRow="0" w:lastRow="0" w:firstColumn="1" w:lastColumn="0" w:oddVBand="0" w:evenVBand="0" w:oddHBand="0" w:evenHBand="0" w:firstRowFirstColumn="0" w:firstRowLastColumn="0" w:lastRowFirstColumn="0" w:lastRowLastColumn="0"/>
            <w:tcW w:w="4786" w:type="dxa"/>
          </w:tcPr>
          <w:p w:rsidR="0088341A" w:rsidRPr="00596DDA" w:rsidRDefault="0088341A" w:rsidP="00596DDA">
            <w:pPr>
              <w:pStyle w:val="AERtabletextleft"/>
            </w:pPr>
            <w:r w:rsidRPr="00180F57">
              <w:t xml:space="preserve">SCADA security </w:t>
            </w:r>
            <w:r w:rsidRPr="00180F57">
              <w:rPr>
                <w:rFonts w:hint="eastAsia"/>
              </w:rPr>
              <w:t>–</w:t>
            </w:r>
            <w:r w:rsidRPr="00180F57">
              <w:t xml:space="preserve"> software QA environment</w:t>
            </w:r>
          </w:p>
        </w:tc>
        <w:tc>
          <w:tcPr>
            <w:tcW w:w="1114" w:type="dxa"/>
          </w:tcPr>
          <w:p w:rsidR="0088341A" w:rsidRPr="00596DDA" w:rsidRDefault="0088341A" w:rsidP="00596DDA">
            <w:pPr>
              <w:pStyle w:val="AERtabletextright"/>
              <w:cnfStyle w:val="000000000000" w:firstRow="0" w:lastRow="0" w:firstColumn="0" w:lastColumn="0" w:oddVBand="0" w:evenVBand="0" w:oddHBand="0" w:evenHBand="0" w:firstRowFirstColumn="0" w:firstRowLastColumn="0" w:lastRowFirstColumn="0" w:lastRowLastColumn="0"/>
            </w:pPr>
            <w:r w:rsidRPr="00180F57">
              <w:t>0.2</w:t>
            </w:r>
          </w:p>
        </w:tc>
        <w:tc>
          <w:tcPr>
            <w:tcW w:w="1114" w:type="dxa"/>
          </w:tcPr>
          <w:p w:rsidR="0088341A" w:rsidRPr="00596DDA" w:rsidRDefault="0088341A" w:rsidP="00596DDA">
            <w:pPr>
              <w:pStyle w:val="AERtabletextright"/>
              <w:cnfStyle w:val="000000000000" w:firstRow="0" w:lastRow="0" w:firstColumn="0" w:lastColumn="0" w:oddVBand="0" w:evenVBand="0" w:oddHBand="0" w:evenHBand="0" w:firstRowFirstColumn="0" w:firstRowLastColumn="0" w:lastRowFirstColumn="0" w:lastRowLastColumn="0"/>
            </w:pPr>
            <w:r w:rsidRPr="00180F57">
              <w:t>0.2</w:t>
            </w:r>
          </w:p>
        </w:tc>
        <w:tc>
          <w:tcPr>
            <w:tcW w:w="1114" w:type="dxa"/>
          </w:tcPr>
          <w:p w:rsidR="0088341A" w:rsidRPr="00596DDA" w:rsidRDefault="0088341A" w:rsidP="00596DDA">
            <w:pPr>
              <w:pStyle w:val="AERtabletextright"/>
              <w:cnfStyle w:val="000000000000" w:firstRow="0" w:lastRow="0" w:firstColumn="0" w:lastColumn="0" w:oddVBand="0" w:evenVBand="0" w:oddHBand="0" w:evenHBand="0" w:firstRowFirstColumn="0" w:firstRowLastColumn="0" w:lastRowFirstColumn="0" w:lastRowLastColumn="0"/>
            </w:pPr>
            <w:r w:rsidRPr="00180F57">
              <w:t>0.2</w:t>
            </w:r>
          </w:p>
        </w:tc>
        <w:tc>
          <w:tcPr>
            <w:tcW w:w="1114" w:type="dxa"/>
          </w:tcPr>
          <w:p w:rsidR="0088341A" w:rsidRPr="00596DDA" w:rsidRDefault="0088341A" w:rsidP="00596DDA">
            <w:pPr>
              <w:pStyle w:val="AERtabletextright"/>
              <w:cnfStyle w:val="000000000000" w:firstRow="0" w:lastRow="0" w:firstColumn="0" w:lastColumn="0" w:oddVBand="0" w:evenVBand="0" w:oddHBand="0" w:evenHBand="0" w:firstRowFirstColumn="0" w:firstRowLastColumn="0" w:lastRowFirstColumn="0" w:lastRowLastColumn="0"/>
            </w:pPr>
            <w:r w:rsidRPr="00180F57">
              <w:t>0.6</w:t>
            </w:r>
          </w:p>
        </w:tc>
      </w:tr>
      <w:tr w:rsidR="0088341A" w:rsidRPr="00180F57" w:rsidTr="0050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88341A" w:rsidRPr="00596DDA" w:rsidRDefault="0088341A" w:rsidP="00596DDA">
            <w:pPr>
              <w:pStyle w:val="AERtabletextleft"/>
            </w:pPr>
            <w:r w:rsidRPr="00180F57">
              <w:t>IT network security</w:t>
            </w:r>
          </w:p>
        </w:tc>
        <w:tc>
          <w:tcPr>
            <w:tcW w:w="1114" w:type="dxa"/>
          </w:tcPr>
          <w:p w:rsidR="0088341A" w:rsidRPr="00596DDA" w:rsidRDefault="0088341A" w:rsidP="00596DDA">
            <w:pPr>
              <w:pStyle w:val="AERtabletextright"/>
              <w:cnfStyle w:val="000000010000" w:firstRow="0" w:lastRow="0" w:firstColumn="0" w:lastColumn="0" w:oddVBand="0" w:evenVBand="0" w:oddHBand="0" w:evenHBand="1" w:firstRowFirstColumn="0" w:firstRowLastColumn="0" w:lastRowFirstColumn="0" w:lastRowLastColumn="0"/>
            </w:pPr>
            <w:r w:rsidRPr="00180F57">
              <w:t>0.3</w:t>
            </w:r>
          </w:p>
        </w:tc>
        <w:tc>
          <w:tcPr>
            <w:tcW w:w="1114" w:type="dxa"/>
          </w:tcPr>
          <w:p w:rsidR="0088341A" w:rsidRPr="00596DDA" w:rsidRDefault="0088341A" w:rsidP="00596DDA">
            <w:pPr>
              <w:pStyle w:val="AERtabletextright"/>
              <w:cnfStyle w:val="000000010000" w:firstRow="0" w:lastRow="0" w:firstColumn="0" w:lastColumn="0" w:oddVBand="0" w:evenVBand="0" w:oddHBand="0" w:evenHBand="1" w:firstRowFirstColumn="0" w:firstRowLastColumn="0" w:lastRowFirstColumn="0" w:lastRowLastColumn="0"/>
            </w:pPr>
            <w:r w:rsidRPr="00180F57">
              <w:t>0.3</w:t>
            </w:r>
          </w:p>
        </w:tc>
        <w:tc>
          <w:tcPr>
            <w:tcW w:w="1114" w:type="dxa"/>
          </w:tcPr>
          <w:p w:rsidR="0088341A" w:rsidRPr="00596DDA" w:rsidRDefault="0088341A" w:rsidP="00596DDA">
            <w:pPr>
              <w:pStyle w:val="AERtabletextright"/>
              <w:cnfStyle w:val="000000010000" w:firstRow="0" w:lastRow="0" w:firstColumn="0" w:lastColumn="0" w:oddVBand="0" w:evenVBand="0" w:oddHBand="0" w:evenHBand="1" w:firstRowFirstColumn="0" w:firstRowLastColumn="0" w:lastRowFirstColumn="0" w:lastRowLastColumn="0"/>
            </w:pPr>
            <w:r w:rsidRPr="00180F57">
              <w:t>0.3</w:t>
            </w:r>
          </w:p>
        </w:tc>
        <w:tc>
          <w:tcPr>
            <w:tcW w:w="1114" w:type="dxa"/>
          </w:tcPr>
          <w:p w:rsidR="0088341A" w:rsidRPr="00596DDA" w:rsidRDefault="0088341A" w:rsidP="00596DDA">
            <w:pPr>
              <w:pStyle w:val="AERtabletextright"/>
              <w:cnfStyle w:val="000000010000" w:firstRow="0" w:lastRow="0" w:firstColumn="0" w:lastColumn="0" w:oddVBand="0" w:evenVBand="0" w:oddHBand="0" w:evenHBand="1" w:firstRowFirstColumn="0" w:firstRowLastColumn="0" w:lastRowFirstColumn="0" w:lastRowLastColumn="0"/>
            </w:pPr>
            <w:r w:rsidRPr="00180F57">
              <w:t>0.8</w:t>
            </w:r>
          </w:p>
        </w:tc>
      </w:tr>
      <w:tr w:rsidR="0088341A" w:rsidRPr="00180F57" w:rsidTr="00501137">
        <w:tc>
          <w:tcPr>
            <w:cnfStyle w:val="001000000000" w:firstRow="0" w:lastRow="0" w:firstColumn="1" w:lastColumn="0" w:oddVBand="0" w:evenVBand="0" w:oddHBand="0" w:evenHBand="0" w:firstRowFirstColumn="0" w:firstRowLastColumn="0" w:lastRowFirstColumn="0" w:lastRowLastColumn="0"/>
            <w:tcW w:w="4786" w:type="dxa"/>
          </w:tcPr>
          <w:p w:rsidR="0088341A" w:rsidRPr="00596DDA" w:rsidRDefault="0088341A" w:rsidP="00596DDA">
            <w:pPr>
              <w:pStyle w:val="AERtabletextleft"/>
            </w:pPr>
            <w:r w:rsidRPr="00180F57">
              <w:t xml:space="preserve">Service standard reporting tools </w:t>
            </w:r>
            <w:r w:rsidRPr="00180F57">
              <w:rPr>
                <w:rFonts w:hint="eastAsia"/>
              </w:rPr>
              <w:t>–</w:t>
            </w:r>
            <w:r w:rsidRPr="00180F57">
              <w:t xml:space="preserve"> enable market reporting</w:t>
            </w:r>
          </w:p>
        </w:tc>
        <w:tc>
          <w:tcPr>
            <w:tcW w:w="1114" w:type="dxa"/>
          </w:tcPr>
          <w:p w:rsidR="0088341A" w:rsidRPr="00596DDA" w:rsidRDefault="0088341A" w:rsidP="00596DDA">
            <w:pPr>
              <w:pStyle w:val="AERtabletextright"/>
              <w:cnfStyle w:val="000000000000" w:firstRow="0" w:lastRow="0" w:firstColumn="0" w:lastColumn="0" w:oddVBand="0" w:evenVBand="0" w:oddHBand="0" w:evenHBand="0" w:firstRowFirstColumn="0" w:firstRowLastColumn="0" w:lastRowFirstColumn="0" w:lastRowLastColumn="0"/>
            </w:pPr>
            <w:r w:rsidRPr="00180F57">
              <w:t>0.2</w:t>
            </w:r>
          </w:p>
        </w:tc>
        <w:tc>
          <w:tcPr>
            <w:tcW w:w="1114" w:type="dxa"/>
          </w:tcPr>
          <w:p w:rsidR="0088341A" w:rsidRPr="00596DDA" w:rsidRDefault="0088341A" w:rsidP="00596DDA">
            <w:pPr>
              <w:pStyle w:val="AERtabletextright"/>
              <w:cnfStyle w:val="000000000000" w:firstRow="0" w:lastRow="0" w:firstColumn="0" w:lastColumn="0" w:oddVBand="0" w:evenVBand="0" w:oddHBand="0" w:evenHBand="0" w:firstRowFirstColumn="0" w:firstRowLastColumn="0" w:lastRowFirstColumn="0" w:lastRowLastColumn="0"/>
            </w:pPr>
            <w:r w:rsidRPr="00180F57">
              <w:t>0.2</w:t>
            </w:r>
          </w:p>
        </w:tc>
        <w:tc>
          <w:tcPr>
            <w:tcW w:w="1114" w:type="dxa"/>
          </w:tcPr>
          <w:p w:rsidR="0088341A" w:rsidRPr="00596DDA" w:rsidRDefault="0088341A" w:rsidP="00596DDA">
            <w:pPr>
              <w:pStyle w:val="AERtabletextright"/>
              <w:cnfStyle w:val="000000000000" w:firstRow="0" w:lastRow="0" w:firstColumn="0" w:lastColumn="0" w:oddVBand="0" w:evenVBand="0" w:oddHBand="0" w:evenHBand="0" w:firstRowFirstColumn="0" w:firstRowLastColumn="0" w:lastRowFirstColumn="0" w:lastRowLastColumn="0"/>
            </w:pPr>
            <w:r w:rsidRPr="00180F57">
              <w:t>0.2</w:t>
            </w:r>
          </w:p>
        </w:tc>
        <w:tc>
          <w:tcPr>
            <w:tcW w:w="1114" w:type="dxa"/>
          </w:tcPr>
          <w:p w:rsidR="0088341A" w:rsidRPr="00596DDA" w:rsidRDefault="0088341A" w:rsidP="00596DDA">
            <w:pPr>
              <w:pStyle w:val="AERtabletextright"/>
              <w:cnfStyle w:val="000000000000" w:firstRow="0" w:lastRow="0" w:firstColumn="0" w:lastColumn="0" w:oddVBand="0" w:evenVBand="0" w:oddHBand="0" w:evenHBand="0" w:firstRowFirstColumn="0" w:firstRowLastColumn="0" w:lastRowFirstColumn="0" w:lastRowLastColumn="0"/>
            </w:pPr>
            <w:r w:rsidRPr="00180F57">
              <w:t>0.5</w:t>
            </w:r>
          </w:p>
        </w:tc>
      </w:tr>
      <w:tr w:rsidR="0088341A" w:rsidRPr="00180F57" w:rsidTr="0050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88341A" w:rsidRPr="00596DDA" w:rsidRDefault="0088341A" w:rsidP="00596DDA">
            <w:pPr>
              <w:pStyle w:val="AERtabletextleft"/>
            </w:pPr>
            <w:r w:rsidRPr="00180F57">
              <w:t>AER</w:t>
            </w:r>
            <w:r w:rsidRPr="00180F57">
              <w:rPr>
                <w:rFonts w:hint="eastAsia"/>
              </w:rPr>
              <w:t>’</w:t>
            </w:r>
            <w:r w:rsidRPr="00180F57">
              <w:t>s draft decision</w:t>
            </w:r>
          </w:p>
        </w:tc>
        <w:tc>
          <w:tcPr>
            <w:tcW w:w="1114" w:type="dxa"/>
          </w:tcPr>
          <w:p w:rsidR="0088341A" w:rsidRPr="00596DDA" w:rsidRDefault="0088341A" w:rsidP="00596DDA">
            <w:pPr>
              <w:pStyle w:val="AERtabletextright"/>
              <w:cnfStyle w:val="000000010000" w:firstRow="0" w:lastRow="0" w:firstColumn="0" w:lastColumn="0" w:oddVBand="0" w:evenVBand="0" w:oddHBand="0" w:evenHBand="1" w:firstRowFirstColumn="0" w:firstRowLastColumn="0" w:lastRowFirstColumn="0" w:lastRowLastColumn="0"/>
            </w:pPr>
            <w:r w:rsidRPr="00180F57">
              <w:t>0.0</w:t>
            </w:r>
          </w:p>
        </w:tc>
        <w:tc>
          <w:tcPr>
            <w:tcW w:w="1114" w:type="dxa"/>
          </w:tcPr>
          <w:p w:rsidR="0088341A" w:rsidRPr="00596DDA" w:rsidRDefault="0088341A" w:rsidP="00596DDA">
            <w:pPr>
              <w:pStyle w:val="AERtabletextright"/>
              <w:cnfStyle w:val="000000010000" w:firstRow="0" w:lastRow="0" w:firstColumn="0" w:lastColumn="0" w:oddVBand="0" w:evenVBand="0" w:oddHBand="0" w:evenHBand="1" w:firstRowFirstColumn="0" w:firstRowLastColumn="0" w:lastRowFirstColumn="0" w:lastRowLastColumn="0"/>
            </w:pPr>
            <w:r w:rsidRPr="00180F57">
              <w:t>0.0</w:t>
            </w:r>
          </w:p>
        </w:tc>
        <w:tc>
          <w:tcPr>
            <w:tcW w:w="1114" w:type="dxa"/>
          </w:tcPr>
          <w:p w:rsidR="0088341A" w:rsidRPr="00596DDA" w:rsidRDefault="0088341A" w:rsidP="00596DDA">
            <w:pPr>
              <w:pStyle w:val="AERtabletextright"/>
              <w:cnfStyle w:val="000000010000" w:firstRow="0" w:lastRow="0" w:firstColumn="0" w:lastColumn="0" w:oddVBand="0" w:evenVBand="0" w:oddHBand="0" w:evenHBand="1" w:firstRowFirstColumn="0" w:firstRowLastColumn="0" w:lastRowFirstColumn="0" w:lastRowLastColumn="0"/>
            </w:pPr>
            <w:r w:rsidRPr="00180F57">
              <w:t>0.0</w:t>
            </w:r>
          </w:p>
        </w:tc>
        <w:tc>
          <w:tcPr>
            <w:tcW w:w="1114" w:type="dxa"/>
          </w:tcPr>
          <w:p w:rsidR="0088341A" w:rsidRPr="00596DDA" w:rsidRDefault="0088341A" w:rsidP="00596DDA">
            <w:pPr>
              <w:pStyle w:val="AERtabletextright"/>
              <w:cnfStyle w:val="000000010000" w:firstRow="0" w:lastRow="0" w:firstColumn="0" w:lastColumn="0" w:oddVBand="0" w:evenVBand="0" w:oddHBand="0" w:evenHBand="1" w:firstRowFirstColumn="0" w:firstRowLastColumn="0" w:lastRowFirstColumn="0" w:lastRowLastColumn="0"/>
            </w:pPr>
            <w:r w:rsidRPr="00180F57">
              <w:t>0.0</w:t>
            </w:r>
          </w:p>
        </w:tc>
      </w:tr>
    </w:tbl>
    <w:p w:rsidR="0088341A" w:rsidRDefault="0088341A" w:rsidP="0088341A">
      <w:pPr>
        <w:pStyle w:val="AERtablesource"/>
      </w:pPr>
      <w:r>
        <w:t xml:space="preserve">Source: </w:t>
      </w:r>
      <w:r w:rsidR="00BC332B" w:rsidRPr="00690B37">
        <w:t xml:space="preserve">SP AusNet, </w:t>
      </w:r>
      <w:r w:rsidR="00BC332B" w:rsidRPr="00FC7C08">
        <w:rPr>
          <w:rStyle w:val="AERtextitalic"/>
        </w:rPr>
        <w:t>Response to request AER</w:t>
      </w:r>
      <w:r w:rsidR="0047592F">
        <w:rPr>
          <w:rStyle w:val="AERtextitalic"/>
        </w:rPr>
        <w:t xml:space="preserve"> RP </w:t>
      </w:r>
      <w:r w:rsidR="00BC332B" w:rsidRPr="00FC7C08">
        <w:rPr>
          <w:rStyle w:val="AERtextitalic"/>
        </w:rPr>
        <w:t>09 - revised opex model</w:t>
      </w:r>
      <w:r w:rsidR="008B3A74">
        <w:rPr>
          <w:rStyle w:val="AERtextitalic"/>
        </w:rPr>
        <w:t xml:space="preserve"> [confidential]</w:t>
      </w:r>
      <w:r w:rsidR="00BC332B" w:rsidRPr="00FC7C08">
        <w:t>, 20 May 2013</w:t>
      </w:r>
      <w:r w:rsidR="004D4703" w:rsidRPr="004D4703">
        <w:t xml:space="preserve"> </w:t>
      </w:r>
      <w:r w:rsidR="004D4703">
        <w:t>Appendix</w:t>
      </w:r>
      <w:r w:rsidR="0047592F">
        <w:t xml:space="preserve"> 5E [Public], Table 1.1 pp.5-6</w:t>
      </w:r>
      <w:r>
        <w:t xml:space="preserve">. </w:t>
      </w:r>
    </w:p>
    <w:p w:rsidR="0088341A" w:rsidRDefault="0088341A" w:rsidP="0088341A">
      <w:pPr>
        <w:pStyle w:val="HeadingBoldItalic"/>
      </w:pPr>
      <w:r>
        <w:t xml:space="preserve">SCADA security (software QA environment) and IT network security </w:t>
      </w:r>
    </w:p>
    <w:p w:rsidR="0088341A" w:rsidRDefault="0088341A" w:rsidP="0088341A">
      <w:pPr>
        <w:pStyle w:val="AERbodytext"/>
        <w:numPr>
          <w:ilvl w:val="0"/>
          <w:numId w:val="1"/>
        </w:numPr>
      </w:pPr>
      <w:r>
        <w:t>Security reviews by SP AusNet in 2009 and 2011 identified its SCADA Energy Management System was vulnerable to external attack due to insufficient software patching. SP AusNet therefore proposed a step change for a patching regime and review process to reduce the security threat.</w:t>
      </w:r>
      <w:r>
        <w:rPr>
          <w:rStyle w:val="FootnoteReference"/>
        </w:rPr>
        <w:footnoteReference w:id="663"/>
      </w:r>
      <w:r>
        <w:t xml:space="preserve"> It also proposed a step change of $0.6 million to address corporate and IT network security by implementing identity access management to comply with regulatory obligations.</w:t>
      </w:r>
      <w:r>
        <w:rPr>
          <w:rStyle w:val="FootnoteReference"/>
        </w:rPr>
        <w:footnoteReference w:id="664"/>
      </w:r>
      <w:r>
        <w:t xml:space="preserve"> </w:t>
      </w:r>
    </w:p>
    <w:p w:rsidR="0088341A" w:rsidRDefault="0088341A" w:rsidP="0088341A">
      <w:pPr>
        <w:pStyle w:val="AERbodytext"/>
        <w:numPr>
          <w:ilvl w:val="0"/>
          <w:numId w:val="1"/>
        </w:numPr>
      </w:pPr>
      <w:r>
        <w:t xml:space="preserve">This work does not result from new externally imposed obligations. A prudent business would already have embedded processes to review, and continuously improve, its IT network security. Further, the reviews were undertaken in 2009 and 2011, and we question why work was not done when the problems were identified, particularly given SP AusNet underspent its total opex allowance. Moreover, </w:t>
      </w:r>
      <w:r>
        <w:lastRenderedPageBreak/>
        <w:t xml:space="preserve">if additional costs to customers are the only solution, then we require evidence of a more robust analysis of how security concerns were addressed (or not) as part of the overall IT strategy. </w:t>
      </w:r>
    </w:p>
    <w:p w:rsidR="0088341A" w:rsidRDefault="0088341A" w:rsidP="0088341A">
      <w:pPr>
        <w:pStyle w:val="AERbodytext"/>
        <w:numPr>
          <w:ilvl w:val="0"/>
          <w:numId w:val="1"/>
        </w:numPr>
      </w:pPr>
      <w:r>
        <w:t>EMCa supported measures to maintain SCADA and network security, but stated the proposed step change is not driven by a new obligation and there was no evidence of cost savings as a result of the work. EMCa also queried why remedial work was not undertaken when the problems were identified in 2009 and 2011. Further, it considered the considerable proposed IT capex will enhance security capability. For these reasons, EMCa considered the work to be a change in the way SP AusNet conducts these functions, rather than an increased requirement.</w:t>
      </w:r>
      <w:r>
        <w:rPr>
          <w:rStyle w:val="FootnoteReference"/>
        </w:rPr>
        <w:footnoteReference w:id="665"/>
      </w:r>
      <w:r>
        <w:t xml:space="preserve"> </w:t>
      </w:r>
    </w:p>
    <w:p w:rsidR="0088341A" w:rsidRDefault="0088341A" w:rsidP="0088341A">
      <w:pPr>
        <w:pStyle w:val="HeadingBoldItalic"/>
        <w:keepNext/>
        <w:keepLines/>
      </w:pPr>
      <w:r>
        <w:t>Service standard reporting tools – enable market reporting</w:t>
      </w:r>
    </w:p>
    <w:p w:rsidR="0088341A" w:rsidRDefault="0088341A" w:rsidP="0088341A">
      <w:pPr>
        <w:pStyle w:val="AERbodytext"/>
        <w:keepNext/>
        <w:keepLines/>
        <w:numPr>
          <w:ilvl w:val="0"/>
          <w:numId w:val="1"/>
        </w:numPr>
      </w:pPr>
      <w:r>
        <w:t xml:space="preserve">SP AusNet proposed an IT step change to integrate its asset management system with AEMO’s NOS and Market Management System (MMS). We do not accept this step change because we do not consider additional opex is required. </w:t>
      </w:r>
    </w:p>
    <w:p w:rsidR="0088341A" w:rsidRDefault="0088341A" w:rsidP="0088341A">
      <w:pPr>
        <w:pStyle w:val="AERbodytext"/>
        <w:numPr>
          <w:ilvl w:val="0"/>
          <w:numId w:val="1"/>
        </w:numPr>
      </w:pPr>
      <w:r>
        <w:t xml:space="preserve">This step change overlaps with the ‘AEMO outage planning requirements’ step change, duplicating the proposed opex requirement for an additional FTE to meet AEMO’s NOS reporting requirements. We do not accept the NOS reporting requirement will lead to additional opex costs for SP AusNet(see ‘AEMO outage planning requirements’ above). </w:t>
      </w:r>
    </w:p>
    <w:p w:rsidR="0088341A" w:rsidRDefault="0088341A" w:rsidP="0088341A">
      <w:pPr>
        <w:pStyle w:val="AERbodytext"/>
        <w:numPr>
          <w:ilvl w:val="0"/>
          <w:numId w:val="1"/>
        </w:numPr>
      </w:pPr>
      <w:r>
        <w:t xml:space="preserve">Further, the integration with AEMO’s MMS should be self-funding because SP AusNet will realise efficiencies in collating the market data. SP AusNet currently hires consultants to provide the data and cannot verify the data at the source. The link with MSS will eliminate the cost of consultants and reduce auditing costs. In addition, this step change is not driven by a new external requirement so undertaking such a project should provide demonstrable benefits. SP AusNet did not demonstrate such benefits.  </w:t>
      </w:r>
    </w:p>
    <w:p w:rsidR="0088341A" w:rsidRDefault="0088341A" w:rsidP="0088341A">
      <w:pPr>
        <w:pStyle w:val="AERbodytext"/>
        <w:numPr>
          <w:ilvl w:val="0"/>
          <w:numId w:val="0"/>
        </w:numPr>
      </w:pPr>
      <w:r>
        <w:t>EMCa considered this step change is driven by the same requirements as the AEMO planning requirements step change. As such, it considered there is no reason for us to accept this step change.</w:t>
      </w:r>
      <w:r>
        <w:rPr>
          <w:rStyle w:val="FootnoteReference"/>
        </w:rPr>
        <w:footnoteReference w:id="666"/>
      </w:r>
      <w:r>
        <w:t xml:space="preserve"> </w:t>
      </w:r>
    </w:p>
    <w:p w:rsidR="0088341A" w:rsidRDefault="0088341A" w:rsidP="0088341A">
      <w:pPr>
        <w:pStyle w:val="HeadingBoldBlue"/>
      </w:pPr>
      <w:r>
        <w:t>Innovation program – $1.7 million</w:t>
      </w:r>
    </w:p>
    <w:p w:rsidR="0088341A" w:rsidRDefault="0088341A" w:rsidP="0088341A">
      <w:pPr>
        <w:pStyle w:val="AERbodytext"/>
        <w:numPr>
          <w:ilvl w:val="0"/>
          <w:numId w:val="0"/>
        </w:numPr>
      </w:pPr>
      <w:r>
        <w:t>SP AusNet proposed a step change of $1.7 million for an innovation program. We do not accept this step change is required to meet the opex criteria because it is not driven by a new external obligation and will be self-funding (</w:t>
      </w:r>
      <w:r w:rsidR="007034EF">
        <w:t>Table D.11</w:t>
      </w:r>
      <w:r>
        <w:t xml:space="preserve">). </w:t>
      </w:r>
    </w:p>
    <w:p w:rsidR="0088341A" w:rsidRDefault="007034EF" w:rsidP="0088341A">
      <w:pPr>
        <w:pStyle w:val="Caption"/>
      </w:pPr>
      <w:r>
        <w:t>Table D.11</w:t>
      </w:r>
      <w:r>
        <w:tab/>
      </w:r>
      <w:r w:rsidR="0088341A">
        <w:t xml:space="preserve">SP AusNet’s proposed step change for </w:t>
      </w:r>
      <w:r w:rsidR="00D63FE4">
        <w:t>innovation program ($ million,</w:t>
      </w:r>
      <w:r w:rsidR="00913543">
        <w:t xml:space="preserve"> </w:t>
      </w:r>
      <w:r w:rsidR="0088341A">
        <w:t>2013–14)</w:t>
      </w:r>
    </w:p>
    <w:tbl>
      <w:tblPr>
        <w:tblStyle w:val="AERtable-numbers"/>
        <w:tblW w:w="0" w:type="auto"/>
        <w:tblLook w:val="04A0" w:firstRow="1" w:lastRow="0" w:firstColumn="1" w:lastColumn="0" w:noHBand="0" w:noVBand="1"/>
      </w:tblPr>
      <w:tblGrid>
        <w:gridCol w:w="4786"/>
        <w:gridCol w:w="1114"/>
        <w:gridCol w:w="1114"/>
        <w:gridCol w:w="1114"/>
        <w:gridCol w:w="1114"/>
      </w:tblGrid>
      <w:tr w:rsidR="0088341A" w:rsidRPr="00180F57" w:rsidTr="005011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88341A" w:rsidRPr="00596DDA" w:rsidRDefault="0088341A" w:rsidP="00596DDA">
            <w:pPr>
              <w:pStyle w:val="AERtabletextleft"/>
            </w:pPr>
          </w:p>
        </w:tc>
        <w:tc>
          <w:tcPr>
            <w:tcW w:w="1114" w:type="dxa"/>
          </w:tcPr>
          <w:p w:rsidR="0088341A" w:rsidRPr="00596DDA" w:rsidRDefault="0088341A" w:rsidP="00596DDA">
            <w:pPr>
              <w:pStyle w:val="AERtabletextright"/>
              <w:cnfStyle w:val="100000000000" w:firstRow="1" w:lastRow="0" w:firstColumn="0" w:lastColumn="0" w:oddVBand="0" w:evenVBand="0" w:oddHBand="0" w:evenHBand="0" w:firstRowFirstColumn="0" w:firstRowLastColumn="0" w:lastRowFirstColumn="0" w:lastRowLastColumn="0"/>
            </w:pPr>
            <w:r w:rsidRPr="00731C5D">
              <w:t>2014</w:t>
            </w:r>
            <w:r w:rsidRPr="00351A6E">
              <w:rPr>
                <w:rFonts w:hint="eastAsia"/>
              </w:rPr>
              <w:t>–</w:t>
            </w:r>
            <w:r w:rsidRPr="00C21B34">
              <w:t>15</w:t>
            </w:r>
          </w:p>
        </w:tc>
        <w:tc>
          <w:tcPr>
            <w:tcW w:w="1114" w:type="dxa"/>
          </w:tcPr>
          <w:p w:rsidR="0088341A" w:rsidRPr="00596DDA" w:rsidRDefault="0088341A" w:rsidP="00596DDA">
            <w:pPr>
              <w:pStyle w:val="AERtabletextright"/>
              <w:cnfStyle w:val="100000000000" w:firstRow="1" w:lastRow="0" w:firstColumn="0" w:lastColumn="0" w:oddVBand="0" w:evenVBand="0" w:oddHBand="0" w:evenHBand="0" w:firstRowFirstColumn="0" w:firstRowLastColumn="0" w:lastRowFirstColumn="0" w:lastRowLastColumn="0"/>
            </w:pPr>
            <w:r w:rsidRPr="00731C5D">
              <w:t>2015</w:t>
            </w:r>
            <w:r w:rsidRPr="00351A6E">
              <w:rPr>
                <w:rFonts w:hint="eastAsia"/>
              </w:rPr>
              <w:t>–</w:t>
            </w:r>
            <w:r w:rsidRPr="00C21B34">
              <w:t>16</w:t>
            </w:r>
          </w:p>
        </w:tc>
        <w:tc>
          <w:tcPr>
            <w:tcW w:w="1114" w:type="dxa"/>
          </w:tcPr>
          <w:p w:rsidR="0088341A" w:rsidRPr="00596DDA" w:rsidRDefault="0088341A" w:rsidP="00596DDA">
            <w:pPr>
              <w:pStyle w:val="AERtabletextright"/>
              <w:cnfStyle w:val="100000000000" w:firstRow="1" w:lastRow="0" w:firstColumn="0" w:lastColumn="0" w:oddVBand="0" w:evenVBand="0" w:oddHBand="0" w:evenHBand="0" w:firstRowFirstColumn="0" w:firstRowLastColumn="0" w:lastRowFirstColumn="0" w:lastRowLastColumn="0"/>
            </w:pPr>
            <w:r w:rsidRPr="00731C5D">
              <w:t>2016</w:t>
            </w:r>
            <w:r w:rsidRPr="00351A6E">
              <w:rPr>
                <w:rFonts w:hint="eastAsia"/>
              </w:rPr>
              <w:t>–</w:t>
            </w:r>
            <w:r w:rsidRPr="00C21B34">
              <w:t>17</w:t>
            </w:r>
          </w:p>
        </w:tc>
        <w:tc>
          <w:tcPr>
            <w:tcW w:w="1114" w:type="dxa"/>
          </w:tcPr>
          <w:p w:rsidR="0088341A" w:rsidRPr="00596DDA" w:rsidRDefault="0088341A" w:rsidP="00596DDA">
            <w:pPr>
              <w:pStyle w:val="AERtabletextright"/>
              <w:cnfStyle w:val="100000000000" w:firstRow="1" w:lastRow="0" w:firstColumn="0" w:lastColumn="0" w:oddVBand="0" w:evenVBand="0" w:oddHBand="0" w:evenHBand="0" w:firstRowFirstColumn="0" w:firstRowLastColumn="0" w:lastRowFirstColumn="0" w:lastRowLastColumn="0"/>
            </w:pPr>
            <w:r w:rsidRPr="00731C5D">
              <w:t>Total</w:t>
            </w:r>
          </w:p>
        </w:tc>
      </w:tr>
      <w:tr w:rsidR="0088341A" w:rsidRPr="00180F57" w:rsidTr="00501137">
        <w:tc>
          <w:tcPr>
            <w:cnfStyle w:val="001000000000" w:firstRow="0" w:lastRow="0" w:firstColumn="1" w:lastColumn="0" w:oddVBand="0" w:evenVBand="0" w:oddHBand="0" w:evenHBand="0" w:firstRowFirstColumn="0" w:firstRowLastColumn="0" w:lastRowFirstColumn="0" w:lastRowLastColumn="0"/>
            <w:tcW w:w="4786" w:type="dxa"/>
          </w:tcPr>
          <w:p w:rsidR="0088341A" w:rsidRPr="00596DDA" w:rsidRDefault="0088341A" w:rsidP="00596DDA">
            <w:pPr>
              <w:pStyle w:val="AERtabletextleft"/>
            </w:pPr>
            <w:r w:rsidRPr="00731C5D">
              <w:t>Technology innovation program</w:t>
            </w:r>
          </w:p>
        </w:tc>
        <w:tc>
          <w:tcPr>
            <w:tcW w:w="1114" w:type="dxa"/>
          </w:tcPr>
          <w:p w:rsidR="0088341A" w:rsidRPr="00596DDA" w:rsidRDefault="0088341A" w:rsidP="00596DDA">
            <w:pPr>
              <w:pStyle w:val="AERtabletextright"/>
              <w:cnfStyle w:val="000000000000" w:firstRow="0" w:lastRow="0" w:firstColumn="0" w:lastColumn="0" w:oddVBand="0" w:evenVBand="0" w:oddHBand="0" w:evenHBand="0" w:firstRowFirstColumn="0" w:firstRowLastColumn="0" w:lastRowFirstColumn="0" w:lastRowLastColumn="0"/>
            </w:pPr>
            <w:r w:rsidRPr="00596DDA">
              <w:t>0.4</w:t>
            </w:r>
          </w:p>
        </w:tc>
        <w:tc>
          <w:tcPr>
            <w:tcW w:w="1114" w:type="dxa"/>
          </w:tcPr>
          <w:p w:rsidR="0088341A" w:rsidRPr="00596DDA" w:rsidRDefault="0088341A" w:rsidP="00596DDA">
            <w:pPr>
              <w:pStyle w:val="AERtabletextright"/>
              <w:cnfStyle w:val="000000000000" w:firstRow="0" w:lastRow="0" w:firstColumn="0" w:lastColumn="0" w:oddVBand="0" w:evenVBand="0" w:oddHBand="0" w:evenHBand="0" w:firstRowFirstColumn="0" w:firstRowLastColumn="0" w:lastRowFirstColumn="0" w:lastRowLastColumn="0"/>
            </w:pPr>
            <w:r w:rsidRPr="00731C5D">
              <w:t>0.6</w:t>
            </w:r>
          </w:p>
        </w:tc>
        <w:tc>
          <w:tcPr>
            <w:tcW w:w="1114" w:type="dxa"/>
          </w:tcPr>
          <w:p w:rsidR="0088341A" w:rsidRPr="00596DDA" w:rsidRDefault="0088341A" w:rsidP="00596DDA">
            <w:pPr>
              <w:pStyle w:val="AERtabletextright"/>
              <w:cnfStyle w:val="000000000000" w:firstRow="0" w:lastRow="0" w:firstColumn="0" w:lastColumn="0" w:oddVBand="0" w:evenVBand="0" w:oddHBand="0" w:evenHBand="0" w:firstRowFirstColumn="0" w:firstRowLastColumn="0" w:lastRowFirstColumn="0" w:lastRowLastColumn="0"/>
            </w:pPr>
            <w:r w:rsidRPr="00731C5D">
              <w:t>0.6</w:t>
            </w:r>
          </w:p>
        </w:tc>
        <w:tc>
          <w:tcPr>
            <w:tcW w:w="1114" w:type="dxa"/>
          </w:tcPr>
          <w:p w:rsidR="0088341A" w:rsidRPr="00596DDA" w:rsidRDefault="0088341A" w:rsidP="00596DDA">
            <w:pPr>
              <w:pStyle w:val="AERtabletextright"/>
              <w:cnfStyle w:val="000000000000" w:firstRow="0" w:lastRow="0" w:firstColumn="0" w:lastColumn="0" w:oddVBand="0" w:evenVBand="0" w:oddHBand="0" w:evenHBand="0" w:firstRowFirstColumn="0" w:firstRowLastColumn="0" w:lastRowFirstColumn="0" w:lastRowLastColumn="0"/>
            </w:pPr>
            <w:r w:rsidRPr="00731C5D">
              <w:t>1.7</w:t>
            </w:r>
          </w:p>
        </w:tc>
      </w:tr>
      <w:tr w:rsidR="0088341A" w:rsidRPr="00180F57" w:rsidTr="0050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88341A" w:rsidRPr="00596DDA" w:rsidRDefault="0088341A" w:rsidP="00596DDA">
            <w:pPr>
              <w:pStyle w:val="AERtabletextleft"/>
            </w:pPr>
            <w:r w:rsidRPr="00731C5D">
              <w:t xml:space="preserve">AER draft decision </w:t>
            </w:r>
          </w:p>
        </w:tc>
        <w:tc>
          <w:tcPr>
            <w:tcW w:w="1114" w:type="dxa"/>
          </w:tcPr>
          <w:p w:rsidR="0088341A" w:rsidRPr="00596DDA" w:rsidRDefault="0088341A" w:rsidP="00596DDA">
            <w:pPr>
              <w:pStyle w:val="AERtabletextright"/>
              <w:cnfStyle w:val="000000010000" w:firstRow="0" w:lastRow="0" w:firstColumn="0" w:lastColumn="0" w:oddVBand="0" w:evenVBand="0" w:oddHBand="0" w:evenHBand="1" w:firstRowFirstColumn="0" w:firstRowLastColumn="0" w:lastRowFirstColumn="0" w:lastRowLastColumn="0"/>
            </w:pPr>
            <w:r w:rsidRPr="00731C5D">
              <w:t>0.0</w:t>
            </w:r>
          </w:p>
        </w:tc>
        <w:tc>
          <w:tcPr>
            <w:tcW w:w="1114" w:type="dxa"/>
          </w:tcPr>
          <w:p w:rsidR="0088341A" w:rsidRPr="00596DDA" w:rsidRDefault="0088341A" w:rsidP="00596DDA">
            <w:pPr>
              <w:pStyle w:val="AERtabletextright"/>
              <w:cnfStyle w:val="000000010000" w:firstRow="0" w:lastRow="0" w:firstColumn="0" w:lastColumn="0" w:oddVBand="0" w:evenVBand="0" w:oddHBand="0" w:evenHBand="1" w:firstRowFirstColumn="0" w:firstRowLastColumn="0" w:lastRowFirstColumn="0" w:lastRowLastColumn="0"/>
            </w:pPr>
            <w:r w:rsidRPr="00731C5D">
              <w:t>0.0</w:t>
            </w:r>
          </w:p>
        </w:tc>
        <w:tc>
          <w:tcPr>
            <w:tcW w:w="1114" w:type="dxa"/>
          </w:tcPr>
          <w:p w:rsidR="0088341A" w:rsidRPr="00596DDA" w:rsidRDefault="0088341A" w:rsidP="00596DDA">
            <w:pPr>
              <w:pStyle w:val="AERtabletextright"/>
              <w:cnfStyle w:val="000000010000" w:firstRow="0" w:lastRow="0" w:firstColumn="0" w:lastColumn="0" w:oddVBand="0" w:evenVBand="0" w:oddHBand="0" w:evenHBand="1" w:firstRowFirstColumn="0" w:firstRowLastColumn="0" w:lastRowFirstColumn="0" w:lastRowLastColumn="0"/>
            </w:pPr>
            <w:r w:rsidRPr="00731C5D">
              <w:t>0.0</w:t>
            </w:r>
          </w:p>
        </w:tc>
        <w:tc>
          <w:tcPr>
            <w:tcW w:w="1114" w:type="dxa"/>
          </w:tcPr>
          <w:p w:rsidR="0088341A" w:rsidRPr="00596DDA" w:rsidRDefault="0088341A" w:rsidP="00596DDA">
            <w:pPr>
              <w:pStyle w:val="AERtabletextright"/>
              <w:cnfStyle w:val="000000010000" w:firstRow="0" w:lastRow="0" w:firstColumn="0" w:lastColumn="0" w:oddVBand="0" w:evenVBand="0" w:oddHBand="0" w:evenHBand="1" w:firstRowFirstColumn="0" w:firstRowLastColumn="0" w:lastRowFirstColumn="0" w:lastRowLastColumn="0"/>
            </w:pPr>
            <w:r w:rsidRPr="00731C5D">
              <w:t>0.0</w:t>
            </w:r>
          </w:p>
        </w:tc>
      </w:tr>
    </w:tbl>
    <w:p w:rsidR="0088341A" w:rsidRDefault="0088341A" w:rsidP="00D63FE4">
      <w:pPr>
        <w:pStyle w:val="AERtablesource"/>
      </w:pPr>
      <w:r>
        <w:t xml:space="preserve">Source: </w:t>
      </w:r>
      <w:r w:rsidR="00BC332B" w:rsidRPr="00690B37">
        <w:t xml:space="preserve">SP AusNet, </w:t>
      </w:r>
      <w:r w:rsidR="00BC332B" w:rsidRPr="00FC7C08">
        <w:rPr>
          <w:rStyle w:val="AERtextitalic"/>
        </w:rPr>
        <w:t>Response to request AER</w:t>
      </w:r>
      <w:r w:rsidR="0047592F">
        <w:rPr>
          <w:rStyle w:val="AERtextitalic"/>
        </w:rPr>
        <w:t xml:space="preserve"> RP </w:t>
      </w:r>
      <w:r w:rsidR="00BC332B" w:rsidRPr="00FC7C08">
        <w:rPr>
          <w:rStyle w:val="AERtextitalic"/>
        </w:rPr>
        <w:t>09 - revised opex model</w:t>
      </w:r>
      <w:r w:rsidR="008B3A74">
        <w:rPr>
          <w:rStyle w:val="AERtextitalic"/>
        </w:rPr>
        <w:t xml:space="preserve"> [confidential]</w:t>
      </w:r>
      <w:r w:rsidR="00BC332B" w:rsidRPr="00FC7C08">
        <w:t>, 20 May 2013</w:t>
      </w:r>
      <w:r w:rsidR="004D4703" w:rsidRPr="004D4703">
        <w:t xml:space="preserve"> </w:t>
      </w:r>
      <w:r w:rsidR="004D4703">
        <w:t>Appendi</w:t>
      </w:r>
      <w:r w:rsidR="0047592F">
        <w:t>x 5E [Public], Table 1.1 pp.5-6.</w:t>
      </w:r>
      <w:r w:rsidR="004D4703">
        <w:t xml:space="preserve"> </w:t>
      </w:r>
    </w:p>
    <w:p w:rsidR="0088341A" w:rsidRDefault="0088341A" w:rsidP="0088341A">
      <w:pPr>
        <w:pStyle w:val="AERbodytext"/>
        <w:numPr>
          <w:ilvl w:val="0"/>
          <w:numId w:val="0"/>
        </w:numPr>
      </w:pPr>
      <w:r>
        <w:t xml:space="preserve">SP AusNet considered this program is required because TNSPs are not afforded an opportunity to conduct innovation programs under the regulatory framework. </w:t>
      </w:r>
    </w:p>
    <w:p w:rsidR="0088341A" w:rsidRDefault="0088341A" w:rsidP="0088341A">
      <w:pPr>
        <w:pStyle w:val="AERbodytext"/>
        <w:numPr>
          <w:ilvl w:val="0"/>
          <w:numId w:val="0"/>
        </w:numPr>
      </w:pPr>
      <w:r>
        <w:lastRenderedPageBreak/>
        <w:t>We disagree with this premise.</w:t>
      </w:r>
      <w:r w:rsidRPr="00E15B12">
        <w:t xml:space="preserve"> </w:t>
      </w:r>
      <w:r>
        <w:t>An innovation program should be self-funding</w:t>
      </w:r>
      <w:r>
        <w:softHyphen/>
        <w:t xml:space="preserve"> — that is, any expected returns should be equal to or greater than the initial outlay. If not, it would not be prudent to undertake the program. Further, if SP AusNet decides to undertake a strategic investment such as this (without receiving a step change to its allowance), then it will realise the benefits of any efficiencies via a lower than forecast opex spend and an accompanying benefit under the EBSS. Consumers will also realise a benefit in the future via a lower opex forecast if a revealed cost approach is used. We therefore consider there is sufficient incentive for SP AusNet to undertake this work, as it will directly benefit from any efficiencies resulting from the program. A step change in opex is therefore not required. </w:t>
      </w:r>
    </w:p>
    <w:p w:rsidR="0088341A" w:rsidRDefault="0088341A" w:rsidP="0088341A">
      <w:pPr>
        <w:pStyle w:val="AERbodytext"/>
        <w:numPr>
          <w:ilvl w:val="0"/>
          <w:numId w:val="0"/>
        </w:numPr>
      </w:pPr>
      <w:r>
        <w:t xml:space="preserve">EMCa noted SP AusNet has an existing innovation program. It advised that SP AusNet has already set what it considers to be </w:t>
      </w:r>
      <w:r w:rsidR="006B20D0">
        <w:t xml:space="preserve">an </w:t>
      </w:r>
      <w:r>
        <w:t>efficient and prudent level of innovation expenditure (which is inherent in the base year). EMCa did not see any reason to increase that expenditure at the commencement of the 2014–17 regulatory control period. It thus recommended rejecting this step change, but expected SP AusNet will still undertake this program of work given the expected benefits to SP AusNet and consumers.</w:t>
      </w:r>
      <w:r>
        <w:rPr>
          <w:rStyle w:val="FootnoteReference"/>
        </w:rPr>
        <w:footnoteReference w:id="667"/>
      </w:r>
      <w:r>
        <w:t xml:space="preserve"> </w:t>
      </w:r>
    </w:p>
    <w:p w:rsidR="0088341A" w:rsidRDefault="0088341A" w:rsidP="0088341A">
      <w:pPr>
        <w:pStyle w:val="HeadingBoldBlue"/>
      </w:pPr>
      <w:r>
        <w:t>Recurrent opex not in the base year (communications infrastructure) — $2.6 million</w:t>
      </w:r>
    </w:p>
    <w:p w:rsidR="0088341A" w:rsidRDefault="0088341A" w:rsidP="0088341A">
      <w:pPr>
        <w:pStyle w:val="AERbodytext"/>
        <w:numPr>
          <w:ilvl w:val="0"/>
          <w:numId w:val="1"/>
        </w:numPr>
      </w:pPr>
      <w:r>
        <w:t>SP AusNet proposed a step change of $2.6 million for recurrent communications infrastructure opex. In the 2008–14 regulatory control period, it classified this same work as (non–recurrent) asset works opex. However, it now considers these works to be recurrent opex and as such, it proposed a step change to add this opex to the efficient base year.</w:t>
      </w:r>
      <w:r>
        <w:rPr>
          <w:rStyle w:val="FootnoteReference"/>
        </w:rPr>
        <w:footnoteReference w:id="668"/>
      </w:r>
      <w:r>
        <w:t xml:space="preserve"> </w:t>
      </w:r>
    </w:p>
    <w:p w:rsidR="0088341A" w:rsidRDefault="0088341A" w:rsidP="0088341A">
      <w:pPr>
        <w:pStyle w:val="AERbodytext"/>
        <w:numPr>
          <w:ilvl w:val="0"/>
          <w:numId w:val="1"/>
        </w:numPr>
      </w:pPr>
      <w:r>
        <w:t>We do not accept this step change is required because communications infrastructure opex was incurred of the 2008–14 regulatory control period, albeit as asset works opex, and was therefore incurred in the base year. It is not a new business requirement. Given we are substituting an opex forecast derived from our revealed cost approach, adding a step change would double count communications infrastructure opex. Our focus is on step changes required to the total controllable opex, not the reclassification of expenditure from one opex category to another.</w:t>
      </w:r>
    </w:p>
    <w:p w:rsidR="0088341A" w:rsidRDefault="0088341A" w:rsidP="0088341A">
      <w:pPr>
        <w:pStyle w:val="AERbodytext"/>
        <w:numPr>
          <w:ilvl w:val="0"/>
          <w:numId w:val="1"/>
        </w:numPr>
      </w:pPr>
      <w:r>
        <w:t xml:space="preserve">As with the ageing asset profile step changes, this step change relates to opex that was classified as asset works opex in the 2008–14 regulatory control period. Given the significant overlap with asset works opex, we assessed this step change in conjunction with SP AusNet’s asset works forecast (Appendix E). </w:t>
      </w:r>
    </w:p>
    <w:p w:rsidR="0088341A" w:rsidRDefault="007034EF" w:rsidP="0088341A">
      <w:pPr>
        <w:pStyle w:val="Caption"/>
      </w:pPr>
      <w:r>
        <w:t>Table D.12</w:t>
      </w:r>
      <w:r>
        <w:tab/>
      </w:r>
      <w:r w:rsidR="0088341A">
        <w:t>SP AusNet’s proposed step change for communication infrastructure ($ million, 2013–14)</w:t>
      </w:r>
    </w:p>
    <w:tbl>
      <w:tblPr>
        <w:tblStyle w:val="AERtable-numbers"/>
        <w:tblW w:w="0" w:type="auto"/>
        <w:tblLook w:val="04A0" w:firstRow="1" w:lastRow="0" w:firstColumn="1" w:lastColumn="0" w:noHBand="0" w:noVBand="1"/>
      </w:tblPr>
      <w:tblGrid>
        <w:gridCol w:w="4786"/>
        <w:gridCol w:w="1114"/>
        <w:gridCol w:w="1114"/>
        <w:gridCol w:w="1114"/>
        <w:gridCol w:w="1114"/>
      </w:tblGrid>
      <w:tr w:rsidR="0088341A" w:rsidRPr="00180F57" w:rsidTr="005011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88341A" w:rsidRPr="00D63FE4" w:rsidRDefault="0088341A" w:rsidP="00D63FE4">
            <w:pPr>
              <w:pStyle w:val="AERtabletextleft"/>
            </w:pPr>
          </w:p>
        </w:tc>
        <w:tc>
          <w:tcPr>
            <w:tcW w:w="1114" w:type="dxa"/>
          </w:tcPr>
          <w:p w:rsidR="0088341A" w:rsidRPr="00D63FE4" w:rsidRDefault="0088341A" w:rsidP="00D63FE4">
            <w:pPr>
              <w:pStyle w:val="AERtabletextright"/>
              <w:cnfStyle w:val="100000000000" w:firstRow="1" w:lastRow="0" w:firstColumn="0" w:lastColumn="0" w:oddVBand="0" w:evenVBand="0" w:oddHBand="0" w:evenHBand="0" w:firstRowFirstColumn="0" w:firstRowLastColumn="0" w:lastRowFirstColumn="0" w:lastRowLastColumn="0"/>
            </w:pPr>
            <w:r w:rsidRPr="00731C5D">
              <w:t>2014</w:t>
            </w:r>
            <w:r w:rsidRPr="00351A6E">
              <w:rPr>
                <w:rFonts w:hint="eastAsia"/>
              </w:rPr>
              <w:t>–</w:t>
            </w:r>
            <w:r w:rsidRPr="00C21B34">
              <w:t>15</w:t>
            </w:r>
          </w:p>
        </w:tc>
        <w:tc>
          <w:tcPr>
            <w:tcW w:w="1114" w:type="dxa"/>
          </w:tcPr>
          <w:p w:rsidR="0088341A" w:rsidRPr="00D63FE4" w:rsidRDefault="0088341A" w:rsidP="00D63FE4">
            <w:pPr>
              <w:pStyle w:val="AERtabletextright"/>
              <w:cnfStyle w:val="100000000000" w:firstRow="1" w:lastRow="0" w:firstColumn="0" w:lastColumn="0" w:oddVBand="0" w:evenVBand="0" w:oddHBand="0" w:evenHBand="0" w:firstRowFirstColumn="0" w:firstRowLastColumn="0" w:lastRowFirstColumn="0" w:lastRowLastColumn="0"/>
            </w:pPr>
            <w:r w:rsidRPr="00731C5D">
              <w:t>2015</w:t>
            </w:r>
            <w:r w:rsidRPr="00351A6E">
              <w:rPr>
                <w:rFonts w:hint="eastAsia"/>
              </w:rPr>
              <w:t>–</w:t>
            </w:r>
            <w:r w:rsidRPr="00C21B34">
              <w:t>16</w:t>
            </w:r>
          </w:p>
        </w:tc>
        <w:tc>
          <w:tcPr>
            <w:tcW w:w="1114" w:type="dxa"/>
          </w:tcPr>
          <w:p w:rsidR="0088341A" w:rsidRPr="00D63FE4" w:rsidRDefault="0088341A" w:rsidP="00D63FE4">
            <w:pPr>
              <w:pStyle w:val="AERtabletextright"/>
              <w:cnfStyle w:val="100000000000" w:firstRow="1" w:lastRow="0" w:firstColumn="0" w:lastColumn="0" w:oddVBand="0" w:evenVBand="0" w:oddHBand="0" w:evenHBand="0" w:firstRowFirstColumn="0" w:firstRowLastColumn="0" w:lastRowFirstColumn="0" w:lastRowLastColumn="0"/>
            </w:pPr>
            <w:r w:rsidRPr="00731C5D">
              <w:t>2016</w:t>
            </w:r>
            <w:r w:rsidRPr="00351A6E">
              <w:rPr>
                <w:rFonts w:hint="eastAsia"/>
              </w:rPr>
              <w:t>–</w:t>
            </w:r>
            <w:r w:rsidRPr="00C21B34">
              <w:t>17</w:t>
            </w:r>
          </w:p>
        </w:tc>
        <w:tc>
          <w:tcPr>
            <w:tcW w:w="1114" w:type="dxa"/>
          </w:tcPr>
          <w:p w:rsidR="0088341A" w:rsidRPr="00D63FE4" w:rsidRDefault="0088341A" w:rsidP="00D63FE4">
            <w:pPr>
              <w:pStyle w:val="AERtabletextright"/>
              <w:cnfStyle w:val="100000000000" w:firstRow="1" w:lastRow="0" w:firstColumn="0" w:lastColumn="0" w:oddVBand="0" w:evenVBand="0" w:oddHBand="0" w:evenHBand="0" w:firstRowFirstColumn="0" w:firstRowLastColumn="0" w:lastRowFirstColumn="0" w:lastRowLastColumn="0"/>
            </w:pPr>
            <w:r w:rsidRPr="00731C5D">
              <w:t>Total</w:t>
            </w:r>
          </w:p>
        </w:tc>
      </w:tr>
      <w:tr w:rsidR="0088341A" w:rsidRPr="00180F57" w:rsidTr="00501137">
        <w:tc>
          <w:tcPr>
            <w:cnfStyle w:val="001000000000" w:firstRow="0" w:lastRow="0" w:firstColumn="1" w:lastColumn="0" w:oddVBand="0" w:evenVBand="0" w:oddHBand="0" w:evenHBand="0" w:firstRowFirstColumn="0" w:firstRowLastColumn="0" w:lastRowFirstColumn="0" w:lastRowLastColumn="0"/>
            <w:tcW w:w="4786" w:type="dxa"/>
          </w:tcPr>
          <w:p w:rsidR="0088341A" w:rsidRPr="00D63FE4" w:rsidRDefault="0088341A" w:rsidP="00D63FE4">
            <w:pPr>
              <w:pStyle w:val="AERtabletextleft"/>
            </w:pPr>
            <w:r w:rsidRPr="00731C5D">
              <w:t>Communications infrastructure</w:t>
            </w:r>
          </w:p>
        </w:tc>
        <w:tc>
          <w:tcPr>
            <w:tcW w:w="1114" w:type="dxa"/>
          </w:tcPr>
          <w:p w:rsidR="0088341A" w:rsidRPr="00D63FE4" w:rsidRDefault="0088341A" w:rsidP="00D63FE4">
            <w:pPr>
              <w:pStyle w:val="AERtabletextright"/>
              <w:cnfStyle w:val="000000000000" w:firstRow="0" w:lastRow="0" w:firstColumn="0" w:lastColumn="0" w:oddVBand="0" w:evenVBand="0" w:oddHBand="0" w:evenHBand="0" w:firstRowFirstColumn="0" w:firstRowLastColumn="0" w:lastRowFirstColumn="0" w:lastRowLastColumn="0"/>
            </w:pPr>
            <w:r w:rsidRPr="00D63FE4">
              <w:t>0.9</w:t>
            </w:r>
          </w:p>
        </w:tc>
        <w:tc>
          <w:tcPr>
            <w:tcW w:w="1114" w:type="dxa"/>
          </w:tcPr>
          <w:p w:rsidR="0088341A" w:rsidRPr="00D63FE4" w:rsidRDefault="0088341A" w:rsidP="00D63FE4">
            <w:pPr>
              <w:pStyle w:val="AERtabletextright"/>
              <w:cnfStyle w:val="000000000000" w:firstRow="0" w:lastRow="0" w:firstColumn="0" w:lastColumn="0" w:oddVBand="0" w:evenVBand="0" w:oddHBand="0" w:evenHBand="0" w:firstRowFirstColumn="0" w:firstRowLastColumn="0" w:lastRowFirstColumn="0" w:lastRowLastColumn="0"/>
            </w:pPr>
            <w:r w:rsidRPr="00731C5D">
              <w:t>0.9</w:t>
            </w:r>
          </w:p>
        </w:tc>
        <w:tc>
          <w:tcPr>
            <w:tcW w:w="1114" w:type="dxa"/>
          </w:tcPr>
          <w:p w:rsidR="0088341A" w:rsidRPr="00D63FE4" w:rsidRDefault="0088341A" w:rsidP="00D63FE4">
            <w:pPr>
              <w:pStyle w:val="AERtabletextright"/>
              <w:cnfStyle w:val="000000000000" w:firstRow="0" w:lastRow="0" w:firstColumn="0" w:lastColumn="0" w:oddVBand="0" w:evenVBand="0" w:oddHBand="0" w:evenHBand="0" w:firstRowFirstColumn="0" w:firstRowLastColumn="0" w:lastRowFirstColumn="0" w:lastRowLastColumn="0"/>
            </w:pPr>
            <w:r w:rsidRPr="00731C5D">
              <w:t>0.9</w:t>
            </w:r>
          </w:p>
        </w:tc>
        <w:tc>
          <w:tcPr>
            <w:tcW w:w="1114" w:type="dxa"/>
          </w:tcPr>
          <w:p w:rsidR="0088341A" w:rsidRPr="00D63FE4" w:rsidRDefault="0088341A" w:rsidP="00D63FE4">
            <w:pPr>
              <w:pStyle w:val="AERtabletextright"/>
              <w:cnfStyle w:val="000000000000" w:firstRow="0" w:lastRow="0" w:firstColumn="0" w:lastColumn="0" w:oddVBand="0" w:evenVBand="0" w:oddHBand="0" w:evenHBand="0" w:firstRowFirstColumn="0" w:firstRowLastColumn="0" w:lastRowFirstColumn="0" w:lastRowLastColumn="0"/>
            </w:pPr>
            <w:r w:rsidRPr="00731C5D">
              <w:t>2.6</w:t>
            </w:r>
          </w:p>
        </w:tc>
      </w:tr>
      <w:tr w:rsidR="0088341A" w:rsidRPr="00180F57" w:rsidTr="0050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88341A" w:rsidRPr="00D63FE4" w:rsidRDefault="0088341A" w:rsidP="00D63FE4">
            <w:pPr>
              <w:pStyle w:val="AERtabletextleft"/>
            </w:pPr>
            <w:r w:rsidRPr="00731C5D">
              <w:t xml:space="preserve">AER draft decision </w:t>
            </w:r>
          </w:p>
        </w:tc>
        <w:tc>
          <w:tcPr>
            <w:tcW w:w="1114" w:type="dxa"/>
          </w:tcPr>
          <w:p w:rsidR="0088341A" w:rsidRPr="00D63FE4" w:rsidRDefault="0088341A" w:rsidP="00D63FE4">
            <w:pPr>
              <w:pStyle w:val="AERtabletextright"/>
              <w:cnfStyle w:val="000000010000" w:firstRow="0" w:lastRow="0" w:firstColumn="0" w:lastColumn="0" w:oddVBand="0" w:evenVBand="0" w:oddHBand="0" w:evenHBand="1" w:firstRowFirstColumn="0" w:firstRowLastColumn="0" w:lastRowFirstColumn="0" w:lastRowLastColumn="0"/>
            </w:pPr>
            <w:r w:rsidRPr="00731C5D">
              <w:t>0.0</w:t>
            </w:r>
          </w:p>
        </w:tc>
        <w:tc>
          <w:tcPr>
            <w:tcW w:w="1114" w:type="dxa"/>
          </w:tcPr>
          <w:p w:rsidR="0088341A" w:rsidRPr="00D63FE4" w:rsidRDefault="0088341A" w:rsidP="00D63FE4">
            <w:pPr>
              <w:pStyle w:val="AERtabletextright"/>
              <w:cnfStyle w:val="000000010000" w:firstRow="0" w:lastRow="0" w:firstColumn="0" w:lastColumn="0" w:oddVBand="0" w:evenVBand="0" w:oddHBand="0" w:evenHBand="1" w:firstRowFirstColumn="0" w:firstRowLastColumn="0" w:lastRowFirstColumn="0" w:lastRowLastColumn="0"/>
            </w:pPr>
            <w:r w:rsidRPr="00731C5D">
              <w:t>0.0</w:t>
            </w:r>
          </w:p>
        </w:tc>
        <w:tc>
          <w:tcPr>
            <w:tcW w:w="1114" w:type="dxa"/>
          </w:tcPr>
          <w:p w:rsidR="0088341A" w:rsidRPr="00D63FE4" w:rsidRDefault="0088341A" w:rsidP="00D63FE4">
            <w:pPr>
              <w:pStyle w:val="AERtabletextright"/>
              <w:cnfStyle w:val="000000010000" w:firstRow="0" w:lastRow="0" w:firstColumn="0" w:lastColumn="0" w:oddVBand="0" w:evenVBand="0" w:oddHBand="0" w:evenHBand="1" w:firstRowFirstColumn="0" w:firstRowLastColumn="0" w:lastRowFirstColumn="0" w:lastRowLastColumn="0"/>
            </w:pPr>
            <w:r w:rsidRPr="00731C5D">
              <w:t>0.0</w:t>
            </w:r>
          </w:p>
        </w:tc>
        <w:tc>
          <w:tcPr>
            <w:tcW w:w="1114" w:type="dxa"/>
          </w:tcPr>
          <w:p w:rsidR="0088341A" w:rsidRPr="00D63FE4" w:rsidRDefault="0088341A" w:rsidP="00D63FE4">
            <w:pPr>
              <w:pStyle w:val="AERtabletextright"/>
              <w:cnfStyle w:val="000000010000" w:firstRow="0" w:lastRow="0" w:firstColumn="0" w:lastColumn="0" w:oddVBand="0" w:evenVBand="0" w:oddHBand="0" w:evenHBand="1" w:firstRowFirstColumn="0" w:firstRowLastColumn="0" w:lastRowFirstColumn="0" w:lastRowLastColumn="0"/>
            </w:pPr>
            <w:r w:rsidRPr="00731C5D">
              <w:t>0.0</w:t>
            </w:r>
          </w:p>
        </w:tc>
      </w:tr>
    </w:tbl>
    <w:p w:rsidR="0088341A" w:rsidRDefault="0088341A" w:rsidP="0088341A">
      <w:pPr>
        <w:pStyle w:val="AERtablesource"/>
      </w:pPr>
      <w:r>
        <w:t xml:space="preserve">Source: </w:t>
      </w:r>
      <w:r w:rsidR="00BC332B" w:rsidRPr="00690B37">
        <w:t xml:space="preserve">SP AusNet, </w:t>
      </w:r>
      <w:r w:rsidR="00BC332B" w:rsidRPr="00FC7C08">
        <w:rPr>
          <w:rStyle w:val="AERtextitalic"/>
        </w:rPr>
        <w:t>Response to request AER</w:t>
      </w:r>
      <w:r w:rsidR="0047592F">
        <w:rPr>
          <w:rStyle w:val="AERtextitalic"/>
        </w:rPr>
        <w:t xml:space="preserve"> RP </w:t>
      </w:r>
      <w:r w:rsidR="00BC332B" w:rsidRPr="00FC7C08">
        <w:rPr>
          <w:rStyle w:val="AERtextitalic"/>
        </w:rPr>
        <w:t>09 - revised opex model</w:t>
      </w:r>
      <w:r w:rsidR="008B3A74">
        <w:rPr>
          <w:rStyle w:val="AERtextitalic"/>
        </w:rPr>
        <w:t xml:space="preserve"> [confidential]</w:t>
      </w:r>
      <w:r w:rsidR="00BC332B" w:rsidRPr="00FC7C08">
        <w:t>, 20 May 2013</w:t>
      </w:r>
      <w:r w:rsidR="004D4703" w:rsidRPr="004D4703">
        <w:t xml:space="preserve"> </w:t>
      </w:r>
      <w:r w:rsidR="004D4703">
        <w:t>Appendix</w:t>
      </w:r>
      <w:r w:rsidR="0047592F">
        <w:t xml:space="preserve"> 5E [Public], Table 1.1 pp.5-6</w:t>
      </w:r>
      <w:r>
        <w:t>.</w:t>
      </w:r>
    </w:p>
    <w:p w:rsidR="0088341A" w:rsidRDefault="0088341A" w:rsidP="0088341A">
      <w:pPr>
        <w:pStyle w:val="AERbodytext"/>
        <w:numPr>
          <w:ilvl w:val="0"/>
          <w:numId w:val="0"/>
        </w:numPr>
      </w:pPr>
    </w:p>
    <w:p w:rsidR="0088341A" w:rsidRDefault="0088341A" w:rsidP="0088341A">
      <w:pPr>
        <w:pStyle w:val="AERbodytext"/>
        <w:numPr>
          <w:ilvl w:val="0"/>
          <w:numId w:val="0"/>
        </w:numPr>
        <w:sectPr w:rsidR="0088341A" w:rsidSect="002140F4">
          <w:footerReference w:type="default" r:id="rId85"/>
          <w:pgSz w:w="11906" w:h="16838"/>
          <w:pgMar w:top="1440" w:right="1440" w:bottom="1440" w:left="1440" w:header="708" w:footer="708" w:gutter="0"/>
          <w:cols w:space="708"/>
          <w:docGrid w:linePitch="360"/>
        </w:sectPr>
      </w:pPr>
    </w:p>
    <w:p w:rsidR="0088341A" w:rsidRDefault="0088341A" w:rsidP="0088341A">
      <w:pPr>
        <w:pStyle w:val="Heading7"/>
        <w:numPr>
          <w:ilvl w:val="4"/>
          <w:numId w:val="20"/>
        </w:numPr>
      </w:pPr>
      <w:bookmarkStart w:id="418" w:name="_Toc365283387"/>
      <w:r>
        <w:lastRenderedPageBreak/>
        <w:t>Asset works opex and related step changes</w:t>
      </w:r>
      <w:bookmarkEnd w:id="418"/>
    </w:p>
    <w:p w:rsidR="0088341A" w:rsidRDefault="0088341A" w:rsidP="0088341A">
      <w:pPr>
        <w:pStyle w:val="AERbodytext"/>
        <w:numPr>
          <w:ilvl w:val="0"/>
          <w:numId w:val="1"/>
        </w:numPr>
      </w:pPr>
      <w:r>
        <w:t xml:space="preserve">Attachment 3 sets out the AER’s draft decision on SP AusNet’s operating expenditure (opex) proposal for the 2014–17 regulatory control period. This appendix sets out our analysis and conclusions on the proposed asset works opex category. </w:t>
      </w:r>
    </w:p>
    <w:p w:rsidR="0088341A" w:rsidRDefault="0088341A" w:rsidP="0088341A">
      <w:pPr>
        <w:pStyle w:val="AERbodytext"/>
        <w:numPr>
          <w:ilvl w:val="0"/>
          <w:numId w:val="1"/>
        </w:numPr>
      </w:pPr>
      <w:r>
        <w:t xml:space="preserve">SP AusNet's asset works category of opex is based on a bottom up build of forecast expenditures across a number of projects. We consider SP AusNet’s asset works forecast does not </w:t>
      </w:r>
      <w:r w:rsidR="008F2F3A">
        <w:t xml:space="preserve">reasonably reflect </w:t>
      </w:r>
      <w:r>
        <w:t xml:space="preserve">the opex criteria. We forecast an alternative asset works forecast (implicit in our overall forecast of controllable opex) using the revealed cost approach. </w:t>
      </w:r>
    </w:p>
    <w:p w:rsidR="0088341A" w:rsidRDefault="0088341A" w:rsidP="0088341A">
      <w:pPr>
        <w:pStyle w:val="AERbodytext"/>
        <w:numPr>
          <w:ilvl w:val="0"/>
          <w:numId w:val="0"/>
        </w:numPr>
      </w:pPr>
      <w:r>
        <w:t>We assessed SP AusNet’s asset works forecast of $28.4 million</w:t>
      </w:r>
      <w:r>
        <w:rPr>
          <w:rStyle w:val="FootnoteReference"/>
        </w:rPr>
        <w:footnoteReference w:id="669"/>
      </w:r>
      <w:r>
        <w:t xml:space="preserve"> in conjunction with the following three proposed step changes because SP AusNet classified these step changes as asset works projects during the 2008–14 regulatory control period:</w:t>
      </w:r>
      <w:r>
        <w:rPr>
          <w:rStyle w:val="FootnoteReference"/>
        </w:rPr>
        <w:footnoteReference w:id="670"/>
      </w:r>
    </w:p>
    <w:p w:rsidR="0088341A" w:rsidRDefault="0088341A" w:rsidP="0088341A">
      <w:pPr>
        <w:pStyle w:val="AERbulletlistfirststyle"/>
      </w:pPr>
      <w:r>
        <w:t xml:space="preserve">Overhead line condition assessment — $3.9 million. SP AusNet included this work in its ‘Condition monitoring’ asset works project in the 2008–14 regulatory control period. </w:t>
      </w:r>
    </w:p>
    <w:p w:rsidR="0088341A" w:rsidRDefault="0088341A" w:rsidP="0088341A">
      <w:pPr>
        <w:pStyle w:val="AERbulletlistfirststyle"/>
      </w:pPr>
      <w:r>
        <w:t xml:space="preserve">Corrosion risk mitigation — $9.5 million. SP AusNet called this work ‘Tower corrosion – tower painting’ in the 2008–14 regulatory control period. </w:t>
      </w:r>
    </w:p>
    <w:p w:rsidR="0088341A" w:rsidRDefault="0088341A" w:rsidP="0088341A">
      <w:pPr>
        <w:pStyle w:val="AERbulletlistfirststyle"/>
      </w:pPr>
      <w:r>
        <w:t xml:space="preserve">Communications infrastructure — $2.5 million. SP AusNet included this work in ‘Miscellaneous asset works’ in the 2008–14 regulatory control period. </w:t>
      </w:r>
    </w:p>
    <w:p w:rsidR="0088341A" w:rsidRDefault="0088341A" w:rsidP="0088341A">
      <w:pPr>
        <w:pStyle w:val="AERbulletlistfirststyle"/>
        <w:numPr>
          <w:ilvl w:val="0"/>
          <w:numId w:val="0"/>
        </w:numPr>
      </w:pPr>
      <w:r>
        <w:t>The total of SP AusNet’s asset works forecast ($28.4 million) and these three step changes is $44.4 million. We consider this higher amount more accurately reflects SP AusNet’s total asset works opex forecast.</w:t>
      </w:r>
      <w:r>
        <w:rPr>
          <w:rStyle w:val="FootnoteReference"/>
        </w:rPr>
        <w:footnoteReference w:id="671"/>
      </w:r>
      <w:r>
        <w:t xml:space="preserve"> </w:t>
      </w:r>
    </w:p>
    <w:p w:rsidR="0088341A" w:rsidRDefault="0088341A" w:rsidP="0088341A">
      <w:pPr>
        <w:pStyle w:val="AERbodytext"/>
        <w:numPr>
          <w:ilvl w:val="0"/>
          <w:numId w:val="1"/>
        </w:numPr>
      </w:pPr>
      <w:r>
        <w:t xml:space="preserve">Our technical consultant, EMCa, reviewed the asset works forecast using a bottom up method. We considered EMCa’s advice in forming our opinion on SP AusNet’s asset works proposal. </w:t>
      </w:r>
    </w:p>
    <w:p w:rsidR="0088341A" w:rsidRDefault="0088341A" w:rsidP="0088341A">
      <w:pPr>
        <w:pStyle w:val="Heading8"/>
        <w:numPr>
          <w:ilvl w:val="5"/>
          <w:numId w:val="20"/>
        </w:numPr>
      </w:pPr>
      <w:bookmarkStart w:id="419" w:name="_Toc365283388"/>
      <w:r>
        <w:t>Draft decision</w:t>
      </w:r>
      <w:bookmarkEnd w:id="419"/>
      <w:r>
        <w:t xml:space="preserve"> </w:t>
      </w:r>
    </w:p>
    <w:p w:rsidR="0088341A" w:rsidRDefault="0088341A" w:rsidP="0088341A">
      <w:pPr>
        <w:pStyle w:val="AERbodytext"/>
        <w:numPr>
          <w:ilvl w:val="0"/>
          <w:numId w:val="0"/>
        </w:numPr>
      </w:pPr>
      <w:r>
        <w:t xml:space="preserve">We do not accept SP AusNet’s proposed asset works forecast. Nor do we accept SP AusNet’s proposed opex step changes for overhead line condition assessment, corrosion risk mitigation and communications infrastructure. </w:t>
      </w:r>
    </w:p>
    <w:p w:rsidR="0088341A" w:rsidRDefault="0088341A" w:rsidP="0088341A">
      <w:pPr>
        <w:pStyle w:val="AERbodytext"/>
        <w:numPr>
          <w:ilvl w:val="0"/>
          <w:numId w:val="0"/>
        </w:numPr>
      </w:pPr>
      <w:r>
        <w:t>Under the National Electricity Rules (NER), we determine a total opex forecast allowance. We do not determine, nor does the regulatory framework restrict, the manner in which SP AusNet spends its allowance over the 2014–17 regulatory control period. The incentive regulatory framework is premised on incentivising a regulated service provider to make efficient and prudent management decisions across its opex program. Therefore, our draft decision on SP AusNet’s asset works opex does not represent the approval of a particular amount of opex for an opex category. Rather, our assessment of asset works opex has informed our overall draft decision on SP AusNet’s forecast opex.</w:t>
      </w:r>
    </w:p>
    <w:p w:rsidR="0088341A" w:rsidRDefault="001A3875" w:rsidP="0088341A">
      <w:pPr>
        <w:pStyle w:val="AERbodytext"/>
        <w:numPr>
          <w:ilvl w:val="0"/>
          <w:numId w:val="0"/>
        </w:numPr>
      </w:pPr>
      <w:r>
        <w:lastRenderedPageBreak/>
        <w:t>Although we do not approve opex by category</w:t>
      </w:r>
      <w:r w:rsidR="006564F6">
        <w:t>, for comparison purpose</w:t>
      </w:r>
      <w:r>
        <w:t xml:space="preserve"> o</w:t>
      </w:r>
      <w:r w:rsidR="0088341A">
        <w:t xml:space="preserve">ur substitute forecast </w:t>
      </w:r>
      <w:r>
        <w:t>is</w:t>
      </w:r>
      <w:r w:rsidR="0088341A">
        <w:t xml:space="preserve"> $16.1 million, derived from the revealed cost approach discussed in attachment 3</w:t>
      </w:r>
      <w:r w:rsidR="00A034DD">
        <w:t xml:space="preserve"> and is set out in</w:t>
      </w:r>
      <w:r w:rsidR="0088341A">
        <w:t xml:space="preserve"> </w:t>
      </w:r>
      <w:r w:rsidR="007034EF">
        <w:t xml:space="preserve">table E.1. </w:t>
      </w:r>
    </w:p>
    <w:p w:rsidR="0088341A" w:rsidRDefault="007034EF" w:rsidP="0088341A">
      <w:pPr>
        <w:pStyle w:val="Caption"/>
      </w:pPr>
      <w:r>
        <w:t>Table E.1</w:t>
      </w:r>
      <w:r>
        <w:tab/>
      </w:r>
      <w:r w:rsidR="0088341A">
        <w:t xml:space="preserve">AER’s draft decision on SP AusNet’s asset works opex forecast </w:t>
      </w:r>
      <w:r>
        <w:br/>
      </w:r>
      <w:r w:rsidR="0088341A">
        <w:t>($ million, 2013–14)</w:t>
      </w:r>
    </w:p>
    <w:tbl>
      <w:tblPr>
        <w:tblStyle w:val="AERtable-numbers"/>
        <w:tblW w:w="0" w:type="auto"/>
        <w:tblLook w:val="04A0" w:firstRow="1" w:lastRow="0" w:firstColumn="1" w:lastColumn="0" w:noHBand="0" w:noVBand="1"/>
      </w:tblPr>
      <w:tblGrid>
        <w:gridCol w:w="3369"/>
        <w:gridCol w:w="1468"/>
        <w:gridCol w:w="1468"/>
        <w:gridCol w:w="1468"/>
        <w:gridCol w:w="1469"/>
      </w:tblGrid>
      <w:tr w:rsidR="0088341A" w:rsidRPr="00180F57" w:rsidTr="005011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88341A" w:rsidRPr="00A565C7" w:rsidRDefault="0088341A" w:rsidP="00A565C7">
            <w:pPr>
              <w:pStyle w:val="AERtabletextleft"/>
            </w:pPr>
          </w:p>
        </w:tc>
        <w:tc>
          <w:tcPr>
            <w:tcW w:w="1468" w:type="dxa"/>
          </w:tcPr>
          <w:p w:rsidR="0088341A" w:rsidRPr="00A565C7" w:rsidRDefault="0088341A" w:rsidP="00A565C7">
            <w:pPr>
              <w:pStyle w:val="AERtabletextright"/>
              <w:cnfStyle w:val="100000000000" w:firstRow="1" w:lastRow="0" w:firstColumn="0" w:lastColumn="0" w:oddVBand="0" w:evenVBand="0" w:oddHBand="0" w:evenHBand="0" w:firstRowFirstColumn="0" w:firstRowLastColumn="0" w:lastRowFirstColumn="0" w:lastRowLastColumn="0"/>
            </w:pPr>
            <w:r w:rsidRPr="00180F57">
              <w:t>2014</w:t>
            </w:r>
            <w:r w:rsidRPr="00180F57">
              <w:rPr>
                <w:rFonts w:hint="eastAsia"/>
              </w:rPr>
              <w:t>–</w:t>
            </w:r>
            <w:r w:rsidRPr="00180F57">
              <w:t>15</w:t>
            </w:r>
          </w:p>
        </w:tc>
        <w:tc>
          <w:tcPr>
            <w:tcW w:w="1468" w:type="dxa"/>
          </w:tcPr>
          <w:p w:rsidR="0088341A" w:rsidRPr="00A565C7" w:rsidRDefault="0088341A" w:rsidP="00A565C7">
            <w:pPr>
              <w:pStyle w:val="AERtabletextright"/>
              <w:cnfStyle w:val="100000000000" w:firstRow="1" w:lastRow="0" w:firstColumn="0" w:lastColumn="0" w:oddVBand="0" w:evenVBand="0" w:oddHBand="0" w:evenHBand="0" w:firstRowFirstColumn="0" w:firstRowLastColumn="0" w:lastRowFirstColumn="0" w:lastRowLastColumn="0"/>
            </w:pPr>
            <w:r w:rsidRPr="00180F57">
              <w:t>2015</w:t>
            </w:r>
            <w:r w:rsidRPr="00180F57">
              <w:rPr>
                <w:rFonts w:hint="eastAsia"/>
              </w:rPr>
              <w:t>–</w:t>
            </w:r>
            <w:r w:rsidRPr="00180F57">
              <w:t>16</w:t>
            </w:r>
          </w:p>
        </w:tc>
        <w:tc>
          <w:tcPr>
            <w:tcW w:w="1468" w:type="dxa"/>
          </w:tcPr>
          <w:p w:rsidR="0088341A" w:rsidRPr="00A565C7" w:rsidRDefault="0088341A" w:rsidP="00A565C7">
            <w:pPr>
              <w:pStyle w:val="AERtabletextright"/>
              <w:cnfStyle w:val="100000000000" w:firstRow="1" w:lastRow="0" w:firstColumn="0" w:lastColumn="0" w:oddVBand="0" w:evenVBand="0" w:oddHBand="0" w:evenHBand="0" w:firstRowFirstColumn="0" w:firstRowLastColumn="0" w:lastRowFirstColumn="0" w:lastRowLastColumn="0"/>
            </w:pPr>
            <w:r w:rsidRPr="00180F57">
              <w:t>2016</w:t>
            </w:r>
            <w:r w:rsidRPr="00180F57">
              <w:rPr>
                <w:rFonts w:hint="eastAsia"/>
              </w:rPr>
              <w:t>–</w:t>
            </w:r>
            <w:r w:rsidRPr="00180F57">
              <w:t>17</w:t>
            </w:r>
          </w:p>
        </w:tc>
        <w:tc>
          <w:tcPr>
            <w:tcW w:w="1469" w:type="dxa"/>
          </w:tcPr>
          <w:p w:rsidR="0088341A" w:rsidRPr="00A565C7" w:rsidRDefault="0088341A" w:rsidP="00A565C7">
            <w:pPr>
              <w:pStyle w:val="AERtabletextright"/>
              <w:cnfStyle w:val="100000000000" w:firstRow="1" w:lastRow="0" w:firstColumn="0" w:lastColumn="0" w:oddVBand="0" w:evenVBand="0" w:oddHBand="0" w:evenHBand="0" w:firstRowFirstColumn="0" w:firstRowLastColumn="0" w:lastRowFirstColumn="0" w:lastRowLastColumn="0"/>
            </w:pPr>
            <w:r w:rsidRPr="00180F57">
              <w:t>Total</w:t>
            </w:r>
          </w:p>
        </w:tc>
      </w:tr>
      <w:tr w:rsidR="0088341A" w:rsidRPr="00180F57" w:rsidTr="00501137">
        <w:tc>
          <w:tcPr>
            <w:cnfStyle w:val="001000000000" w:firstRow="0" w:lastRow="0" w:firstColumn="1" w:lastColumn="0" w:oddVBand="0" w:evenVBand="0" w:oddHBand="0" w:evenHBand="0" w:firstRowFirstColumn="0" w:firstRowLastColumn="0" w:lastRowFirstColumn="0" w:lastRowLastColumn="0"/>
            <w:tcW w:w="3369" w:type="dxa"/>
          </w:tcPr>
          <w:p w:rsidR="0088341A" w:rsidRPr="00A565C7" w:rsidRDefault="0088341A" w:rsidP="00A565C7">
            <w:pPr>
              <w:pStyle w:val="AERtabletextleft"/>
            </w:pPr>
            <w:r w:rsidRPr="00180F57">
              <w:t>Asset works</w:t>
            </w:r>
          </w:p>
        </w:tc>
        <w:tc>
          <w:tcPr>
            <w:tcW w:w="1468" w:type="dxa"/>
          </w:tcPr>
          <w:p w:rsidR="0088341A" w:rsidRPr="00A565C7" w:rsidRDefault="0088341A" w:rsidP="00A565C7">
            <w:pPr>
              <w:pStyle w:val="AERtabletextright"/>
              <w:cnfStyle w:val="000000000000" w:firstRow="0" w:lastRow="0" w:firstColumn="0" w:lastColumn="0" w:oddVBand="0" w:evenVBand="0" w:oddHBand="0" w:evenHBand="0" w:firstRowFirstColumn="0" w:firstRowLastColumn="0" w:lastRowFirstColumn="0" w:lastRowLastColumn="0"/>
            </w:pPr>
            <w:r w:rsidRPr="00180F57">
              <w:t>4.1</w:t>
            </w:r>
          </w:p>
        </w:tc>
        <w:tc>
          <w:tcPr>
            <w:tcW w:w="1468" w:type="dxa"/>
          </w:tcPr>
          <w:p w:rsidR="0088341A" w:rsidRPr="00A565C7" w:rsidRDefault="0088341A" w:rsidP="00A565C7">
            <w:pPr>
              <w:pStyle w:val="AERtabletextright"/>
              <w:cnfStyle w:val="000000000000" w:firstRow="0" w:lastRow="0" w:firstColumn="0" w:lastColumn="0" w:oddVBand="0" w:evenVBand="0" w:oddHBand="0" w:evenHBand="0" w:firstRowFirstColumn="0" w:firstRowLastColumn="0" w:lastRowFirstColumn="0" w:lastRowLastColumn="0"/>
            </w:pPr>
            <w:r w:rsidRPr="00180F57">
              <w:t>4.1</w:t>
            </w:r>
          </w:p>
        </w:tc>
        <w:tc>
          <w:tcPr>
            <w:tcW w:w="1468" w:type="dxa"/>
          </w:tcPr>
          <w:p w:rsidR="0088341A" w:rsidRPr="00A565C7" w:rsidRDefault="0088341A" w:rsidP="00A565C7">
            <w:pPr>
              <w:pStyle w:val="AERtabletextright"/>
              <w:cnfStyle w:val="000000000000" w:firstRow="0" w:lastRow="0" w:firstColumn="0" w:lastColumn="0" w:oddVBand="0" w:evenVBand="0" w:oddHBand="0" w:evenHBand="0" w:firstRowFirstColumn="0" w:firstRowLastColumn="0" w:lastRowFirstColumn="0" w:lastRowLastColumn="0"/>
            </w:pPr>
            <w:r w:rsidRPr="00180F57">
              <w:t>4.1</w:t>
            </w:r>
          </w:p>
        </w:tc>
        <w:tc>
          <w:tcPr>
            <w:tcW w:w="1469" w:type="dxa"/>
          </w:tcPr>
          <w:p w:rsidR="0088341A" w:rsidRPr="00A565C7" w:rsidRDefault="0088341A" w:rsidP="00A565C7">
            <w:pPr>
              <w:pStyle w:val="AERtabletextright"/>
              <w:cnfStyle w:val="000000000000" w:firstRow="0" w:lastRow="0" w:firstColumn="0" w:lastColumn="0" w:oddVBand="0" w:evenVBand="0" w:oddHBand="0" w:evenHBand="0" w:firstRowFirstColumn="0" w:firstRowLastColumn="0" w:lastRowFirstColumn="0" w:lastRowLastColumn="0"/>
            </w:pPr>
            <w:r w:rsidRPr="00180F57">
              <w:t>12.3</w:t>
            </w:r>
          </w:p>
        </w:tc>
      </w:tr>
      <w:tr w:rsidR="0088341A" w:rsidRPr="00180F57" w:rsidTr="0050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88341A" w:rsidRPr="00A565C7" w:rsidRDefault="0088341A" w:rsidP="00A565C7">
            <w:pPr>
              <w:pStyle w:val="AERtabletextleft"/>
            </w:pPr>
            <w:r w:rsidRPr="00180F57">
              <w:t>Asset works support</w:t>
            </w:r>
          </w:p>
        </w:tc>
        <w:tc>
          <w:tcPr>
            <w:tcW w:w="1468" w:type="dxa"/>
          </w:tcPr>
          <w:p w:rsidR="0088341A" w:rsidRPr="00A565C7" w:rsidRDefault="0088341A" w:rsidP="00A565C7">
            <w:pPr>
              <w:pStyle w:val="AERtabletextright"/>
              <w:cnfStyle w:val="000000010000" w:firstRow="0" w:lastRow="0" w:firstColumn="0" w:lastColumn="0" w:oddVBand="0" w:evenVBand="0" w:oddHBand="0" w:evenHBand="1" w:firstRowFirstColumn="0" w:firstRowLastColumn="0" w:lastRowFirstColumn="0" w:lastRowLastColumn="0"/>
            </w:pPr>
            <w:r w:rsidRPr="00180F57">
              <w:t>1.3</w:t>
            </w:r>
          </w:p>
        </w:tc>
        <w:tc>
          <w:tcPr>
            <w:tcW w:w="1468" w:type="dxa"/>
          </w:tcPr>
          <w:p w:rsidR="0088341A" w:rsidRPr="00A565C7" w:rsidRDefault="0088341A" w:rsidP="00A565C7">
            <w:pPr>
              <w:pStyle w:val="AERtabletextright"/>
              <w:cnfStyle w:val="000000010000" w:firstRow="0" w:lastRow="0" w:firstColumn="0" w:lastColumn="0" w:oddVBand="0" w:evenVBand="0" w:oddHBand="0" w:evenHBand="1" w:firstRowFirstColumn="0" w:firstRowLastColumn="0" w:lastRowFirstColumn="0" w:lastRowLastColumn="0"/>
            </w:pPr>
            <w:r w:rsidRPr="00180F57">
              <w:t>1.3</w:t>
            </w:r>
          </w:p>
        </w:tc>
        <w:tc>
          <w:tcPr>
            <w:tcW w:w="1468" w:type="dxa"/>
          </w:tcPr>
          <w:p w:rsidR="0088341A" w:rsidRPr="00A565C7" w:rsidRDefault="0088341A" w:rsidP="00A565C7">
            <w:pPr>
              <w:pStyle w:val="AERtabletextright"/>
              <w:cnfStyle w:val="000000010000" w:firstRow="0" w:lastRow="0" w:firstColumn="0" w:lastColumn="0" w:oddVBand="0" w:evenVBand="0" w:oddHBand="0" w:evenHBand="1" w:firstRowFirstColumn="0" w:firstRowLastColumn="0" w:lastRowFirstColumn="0" w:lastRowLastColumn="0"/>
            </w:pPr>
            <w:r w:rsidRPr="00180F57">
              <w:t>1.3</w:t>
            </w:r>
          </w:p>
        </w:tc>
        <w:tc>
          <w:tcPr>
            <w:tcW w:w="1469" w:type="dxa"/>
          </w:tcPr>
          <w:p w:rsidR="0088341A" w:rsidRPr="00A565C7" w:rsidRDefault="0088341A" w:rsidP="00A565C7">
            <w:pPr>
              <w:pStyle w:val="AERtabletextright"/>
              <w:cnfStyle w:val="000000010000" w:firstRow="0" w:lastRow="0" w:firstColumn="0" w:lastColumn="0" w:oddVBand="0" w:evenVBand="0" w:oddHBand="0" w:evenHBand="1" w:firstRowFirstColumn="0" w:firstRowLastColumn="0" w:lastRowFirstColumn="0" w:lastRowLastColumn="0"/>
            </w:pPr>
            <w:r w:rsidRPr="00180F57">
              <w:t>3.8</w:t>
            </w:r>
          </w:p>
        </w:tc>
      </w:tr>
      <w:tr w:rsidR="0088341A" w:rsidRPr="00180F57" w:rsidTr="00501137">
        <w:tc>
          <w:tcPr>
            <w:cnfStyle w:val="001000000000" w:firstRow="0" w:lastRow="0" w:firstColumn="1" w:lastColumn="0" w:oddVBand="0" w:evenVBand="0" w:oddHBand="0" w:evenHBand="0" w:firstRowFirstColumn="0" w:firstRowLastColumn="0" w:lastRowFirstColumn="0" w:lastRowLastColumn="0"/>
            <w:tcW w:w="3369" w:type="dxa"/>
          </w:tcPr>
          <w:p w:rsidR="0088341A" w:rsidRPr="00A565C7" w:rsidRDefault="0088341A" w:rsidP="00A565C7">
            <w:pPr>
              <w:pStyle w:val="AERtabletextleft"/>
            </w:pPr>
            <w:r w:rsidRPr="00180F57">
              <w:t>Total</w:t>
            </w:r>
          </w:p>
        </w:tc>
        <w:tc>
          <w:tcPr>
            <w:tcW w:w="1468" w:type="dxa"/>
          </w:tcPr>
          <w:p w:rsidR="0088341A" w:rsidRPr="00A565C7" w:rsidRDefault="0088341A" w:rsidP="00A565C7">
            <w:pPr>
              <w:pStyle w:val="AERtabletextright"/>
              <w:cnfStyle w:val="000000000000" w:firstRow="0" w:lastRow="0" w:firstColumn="0" w:lastColumn="0" w:oddVBand="0" w:evenVBand="0" w:oddHBand="0" w:evenHBand="0" w:firstRowFirstColumn="0" w:firstRowLastColumn="0" w:lastRowFirstColumn="0" w:lastRowLastColumn="0"/>
            </w:pPr>
            <w:r w:rsidRPr="00180F57">
              <w:t>5.3</w:t>
            </w:r>
          </w:p>
        </w:tc>
        <w:tc>
          <w:tcPr>
            <w:tcW w:w="1468" w:type="dxa"/>
          </w:tcPr>
          <w:p w:rsidR="0088341A" w:rsidRPr="00A565C7" w:rsidRDefault="0088341A" w:rsidP="00A565C7">
            <w:pPr>
              <w:pStyle w:val="AERtabletextright"/>
              <w:cnfStyle w:val="000000000000" w:firstRow="0" w:lastRow="0" w:firstColumn="0" w:lastColumn="0" w:oddVBand="0" w:evenVBand="0" w:oddHBand="0" w:evenHBand="0" w:firstRowFirstColumn="0" w:firstRowLastColumn="0" w:lastRowFirstColumn="0" w:lastRowLastColumn="0"/>
            </w:pPr>
            <w:r w:rsidRPr="00180F57">
              <w:t>5.4</w:t>
            </w:r>
          </w:p>
        </w:tc>
        <w:tc>
          <w:tcPr>
            <w:tcW w:w="1468" w:type="dxa"/>
          </w:tcPr>
          <w:p w:rsidR="0088341A" w:rsidRPr="00A565C7" w:rsidRDefault="0088341A" w:rsidP="00A565C7">
            <w:pPr>
              <w:pStyle w:val="AERtabletextright"/>
              <w:cnfStyle w:val="000000000000" w:firstRow="0" w:lastRow="0" w:firstColumn="0" w:lastColumn="0" w:oddVBand="0" w:evenVBand="0" w:oddHBand="0" w:evenHBand="0" w:firstRowFirstColumn="0" w:firstRowLastColumn="0" w:lastRowFirstColumn="0" w:lastRowLastColumn="0"/>
            </w:pPr>
            <w:r w:rsidRPr="00180F57">
              <w:t>5.4</w:t>
            </w:r>
          </w:p>
        </w:tc>
        <w:tc>
          <w:tcPr>
            <w:tcW w:w="1469" w:type="dxa"/>
          </w:tcPr>
          <w:p w:rsidR="0088341A" w:rsidRPr="00A565C7" w:rsidRDefault="0088341A" w:rsidP="00A565C7">
            <w:pPr>
              <w:pStyle w:val="AERtabletextright"/>
              <w:cnfStyle w:val="000000000000" w:firstRow="0" w:lastRow="0" w:firstColumn="0" w:lastColumn="0" w:oddVBand="0" w:evenVBand="0" w:oddHBand="0" w:evenHBand="0" w:firstRowFirstColumn="0" w:firstRowLastColumn="0" w:lastRowFirstColumn="0" w:lastRowLastColumn="0"/>
            </w:pPr>
            <w:r w:rsidRPr="00180F57">
              <w:t>16.1</w:t>
            </w:r>
          </w:p>
        </w:tc>
      </w:tr>
    </w:tbl>
    <w:p w:rsidR="0088341A" w:rsidRDefault="0088341A" w:rsidP="0088341A">
      <w:pPr>
        <w:pStyle w:val="AERtablesource"/>
      </w:pPr>
      <w:r>
        <w:t>Source: AER analysis.</w:t>
      </w:r>
    </w:p>
    <w:p w:rsidR="0088341A" w:rsidRDefault="0088341A" w:rsidP="0088341A">
      <w:pPr>
        <w:pStyle w:val="Heading8"/>
        <w:numPr>
          <w:ilvl w:val="5"/>
          <w:numId w:val="20"/>
        </w:numPr>
      </w:pPr>
      <w:bookmarkStart w:id="420" w:name="_Toc365283389"/>
      <w:r>
        <w:t>SP AusNet’s asset works opex proposal</w:t>
      </w:r>
      <w:bookmarkEnd w:id="420"/>
    </w:p>
    <w:p w:rsidR="0088341A" w:rsidRDefault="0088341A" w:rsidP="0088341A">
      <w:pPr>
        <w:pStyle w:val="AERbodytext"/>
        <w:numPr>
          <w:ilvl w:val="0"/>
          <w:numId w:val="0"/>
        </w:numPr>
      </w:pPr>
      <w:r>
        <w:t>SP AusNet proposed $28.4 million for non–recurrent asset works opex, derived using a bottom up forecasting method.</w:t>
      </w:r>
      <w:r>
        <w:rPr>
          <w:rStyle w:val="FootnoteReference"/>
        </w:rPr>
        <w:footnoteReference w:id="672"/>
      </w:r>
      <w:r>
        <w:t xml:space="preserve"> It also proposed three step changes to its recurrent </w:t>
      </w:r>
      <w:r w:rsidR="00DB358B">
        <w:t>opex</w:t>
      </w:r>
      <w:r>
        <w:t xml:space="preserve"> for expenditure that was accounted for in asset works opex during the 2008–14 regulatory control period. These three step changes </w:t>
      </w:r>
      <w:r w:rsidR="00DB358B">
        <w:t>were</w:t>
      </w:r>
      <w:r>
        <w:t>:</w:t>
      </w:r>
      <w:r>
        <w:rPr>
          <w:rStyle w:val="FootnoteReference"/>
        </w:rPr>
        <w:footnoteReference w:id="673"/>
      </w:r>
    </w:p>
    <w:p w:rsidR="0088341A" w:rsidRDefault="0088341A" w:rsidP="0088341A">
      <w:pPr>
        <w:pStyle w:val="AERbulletlistfirststyle"/>
      </w:pPr>
      <w:r>
        <w:t>overhead lines condition assessment program ($3.9 million)</w:t>
      </w:r>
    </w:p>
    <w:p w:rsidR="0088341A" w:rsidRDefault="0088341A" w:rsidP="0088341A">
      <w:pPr>
        <w:pStyle w:val="AERbulletlistfirststyle"/>
      </w:pPr>
      <w:r>
        <w:t>corrosion risk mitigation ($9.5 million)</w:t>
      </w:r>
    </w:p>
    <w:p w:rsidR="0088341A" w:rsidRDefault="0088341A" w:rsidP="0088341A">
      <w:pPr>
        <w:pStyle w:val="AERbulletlistfirststyle"/>
      </w:pPr>
      <w:r>
        <w:t xml:space="preserve">communications infrastructure ($2.5 million). </w:t>
      </w:r>
    </w:p>
    <w:p w:rsidR="0088341A" w:rsidRDefault="0088341A" w:rsidP="0088341A">
      <w:pPr>
        <w:pStyle w:val="AERbulletlistfirststyle"/>
        <w:numPr>
          <w:ilvl w:val="0"/>
          <w:numId w:val="0"/>
        </w:numPr>
      </w:pPr>
      <w:r>
        <w:t>SP AusNet re-categorised these three step changes in its proposal for 2014–17 because it considered the work is now recurrent in nature. However, given these proposed step changes were included in asset works in the current period, and are not driven by new external obligations or requirements, we considered them together with SP AusNet’s proposed asset works opex forecast. We consider this approach more accurately reflects SP AusNet’s total asset works opex forecast. The total of SP AusNet’s asset works forecast ($28.4 million) and the three step changes is $44.4 million (</w:t>
      </w:r>
      <w:r w:rsidR="007034EF">
        <w:t>Table E.2</w:t>
      </w:r>
      <w:r>
        <w:t>).</w:t>
      </w:r>
    </w:p>
    <w:p w:rsidR="0088341A" w:rsidRDefault="007034EF" w:rsidP="00A565C7">
      <w:pPr>
        <w:pStyle w:val="Caption"/>
        <w:keepLines/>
      </w:pPr>
      <w:r>
        <w:lastRenderedPageBreak/>
        <w:t>Table E.2</w:t>
      </w:r>
      <w:r>
        <w:tab/>
      </w:r>
      <w:r w:rsidR="0088341A">
        <w:t xml:space="preserve">SP AusNet’s asset works opex and recategorised step changes </w:t>
      </w:r>
      <w:r>
        <w:br/>
      </w:r>
      <w:r w:rsidR="0088341A">
        <w:t>($ million, 2013–14)</w:t>
      </w:r>
    </w:p>
    <w:tbl>
      <w:tblPr>
        <w:tblStyle w:val="AERtable-numbers"/>
        <w:tblW w:w="0" w:type="auto"/>
        <w:tblLook w:val="04A0" w:firstRow="1" w:lastRow="0" w:firstColumn="1" w:lastColumn="0" w:noHBand="0" w:noVBand="1"/>
      </w:tblPr>
      <w:tblGrid>
        <w:gridCol w:w="3369"/>
        <w:gridCol w:w="1468"/>
        <w:gridCol w:w="1468"/>
        <w:gridCol w:w="1468"/>
        <w:gridCol w:w="1469"/>
      </w:tblGrid>
      <w:tr w:rsidR="0088341A" w:rsidRPr="00180F57" w:rsidTr="005011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88341A" w:rsidRPr="00A565C7" w:rsidRDefault="0088341A" w:rsidP="00A565C7">
            <w:pPr>
              <w:pStyle w:val="AERtabletextleft"/>
              <w:keepNext/>
              <w:keepLines/>
            </w:pPr>
            <w:bookmarkStart w:id="421" w:name="OLE_LINK1"/>
          </w:p>
        </w:tc>
        <w:tc>
          <w:tcPr>
            <w:tcW w:w="1468" w:type="dxa"/>
          </w:tcPr>
          <w:p w:rsidR="0088341A" w:rsidRPr="00A565C7" w:rsidRDefault="0088341A" w:rsidP="00A565C7">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180F57">
              <w:t>2014</w:t>
            </w:r>
            <w:r w:rsidRPr="00180F57">
              <w:rPr>
                <w:rFonts w:hint="eastAsia"/>
              </w:rPr>
              <w:t>–</w:t>
            </w:r>
            <w:r w:rsidRPr="00180F57">
              <w:t>15</w:t>
            </w:r>
          </w:p>
        </w:tc>
        <w:tc>
          <w:tcPr>
            <w:tcW w:w="1468" w:type="dxa"/>
          </w:tcPr>
          <w:p w:rsidR="0088341A" w:rsidRPr="00A565C7" w:rsidRDefault="0088341A" w:rsidP="00A565C7">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180F57">
              <w:t>2015</w:t>
            </w:r>
            <w:r w:rsidRPr="00180F57">
              <w:rPr>
                <w:rFonts w:hint="eastAsia"/>
              </w:rPr>
              <w:t>–</w:t>
            </w:r>
            <w:r w:rsidRPr="00180F57">
              <w:t>16</w:t>
            </w:r>
          </w:p>
        </w:tc>
        <w:tc>
          <w:tcPr>
            <w:tcW w:w="1468" w:type="dxa"/>
          </w:tcPr>
          <w:p w:rsidR="0088341A" w:rsidRPr="00A565C7" w:rsidRDefault="0088341A" w:rsidP="00A565C7">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180F57">
              <w:t>2016</w:t>
            </w:r>
            <w:r w:rsidRPr="00180F57">
              <w:rPr>
                <w:rFonts w:hint="eastAsia"/>
              </w:rPr>
              <w:t>–</w:t>
            </w:r>
            <w:r w:rsidRPr="00180F57">
              <w:t>17</w:t>
            </w:r>
          </w:p>
        </w:tc>
        <w:tc>
          <w:tcPr>
            <w:tcW w:w="1469" w:type="dxa"/>
          </w:tcPr>
          <w:p w:rsidR="0088341A" w:rsidRPr="00A565C7" w:rsidRDefault="0088341A" w:rsidP="00A565C7">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180F57">
              <w:t>Total</w:t>
            </w:r>
          </w:p>
        </w:tc>
      </w:tr>
      <w:tr w:rsidR="0088341A" w:rsidRPr="00180F57" w:rsidTr="00501137">
        <w:tc>
          <w:tcPr>
            <w:cnfStyle w:val="001000000000" w:firstRow="0" w:lastRow="0" w:firstColumn="1" w:lastColumn="0" w:oddVBand="0" w:evenVBand="0" w:oddHBand="0" w:evenHBand="0" w:firstRowFirstColumn="0" w:firstRowLastColumn="0" w:lastRowFirstColumn="0" w:lastRowLastColumn="0"/>
            <w:tcW w:w="3369" w:type="dxa"/>
          </w:tcPr>
          <w:p w:rsidR="0088341A" w:rsidRPr="00A565C7" w:rsidRDefault="0088341A" w:rsidP="00A565C7">
            <w:pPr>
              <w:pStyle w:val="AERtabletextleft"/>
              <w:keepNext/>
              <w:keepLines/>
            </w:pPr>
            <w:r w:rsidRPr="00180F57">
              <w:t>Asset works</w:t>
            </w:r>
          </w:p>
        </w:tc>
        <w:tc>
          <w:tcPr>
            <w:tcW w:w="1468" w:type="dxa"/>
          </w:tcPr>
          <w:p w:rsidR="0088341A" w:rsidRPr="00A565C7" w:rsidRDefault="0088341A" w:rsidP="00A565C7">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180F57">
              <w:t>8.0</w:t>
            </w:r>
          </w:p>
        </w:tc>
        <w:tc>
          <w:tcPr>
            <w:tcW w:w="1468" w:type="dxa"/>
          </w:tcPr>
          <w:p w:rsidR="0088341A" w:rsidRPr="00A565C7" w:rsidRDefault="0088341A" w:rsidP="00A565C7">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180F57">
              <w:t>8.0</w:t>
            </w:r>
          </w:p>
        </w:tc>
        <w:tc>
          <w:tcPr>
            <w:tcW w:w="1468" w:type="dxa"/>
          </w:tcPr>
          <w:p w:rsidR="0088341A" w:rsidRPr="00A565C7" w:rsidRDefault="0088341A" w:rsidP="00A565C7">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180F57">
              <w:t>8.5</w:t>
            </w:r>
          </w:p>
        </w:tc>
        <w:tc>
          <w:tcPr>
            <w:tcW w:w="1469" w:type="dxa"/>
          </w:tcPr>
          <w:p w:rsidR="0088341A" w:rsidRPr="00A565C7" w:rsidRDefault="0088341A" w:rsidP="00A565C7">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180F57">
              <w:t>24.6</w:t>
            </w:r>
          </w:p>
        </w:tc>
      </w:tr>
      <w:tr w:rsidR="0088341A" w:rsidRPr="00180F57" w:rsidTr="0050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88341A" w:rsidRPr="00A565C7" w:rsidRDefault="0088341A" w:rsidP="00A565C7">
            <w:pPr>
              <w:pStyle w:val="AERtabletextleft"/>
              <w:keepNext/>
              <w:keepLines/>
            </w:pPr>
            <w:r w:rsidRPr="00180F57">
              <w:t>Asset works support</w:t>
            </w:r>
          </w:p>
        </w:tc>
        <w:tc>
          <w:tcPr>
            <w:tcW w:w="1468" w:type="dxa"/>
          </w:tcPr>
          <w:p w:rsidR="0088341A" w:rsidRPr="00A565C7" w:rsidRDefault="0088341A" w:rsidP="00A565C7">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180F57">
              <w:t>1.3</w:t>
            </w:r>
          </w:p>
        </w:tc>
        <w:tc>
          <w:tcPr>
            <w:tcW w:w="1468" w:type="dxa"/>
          </w:tcPr>
          <w:p w:rsidR="0088341A" w:rsidRPr="00A565C7" w:rsidRDefault="0088341A" w:rsidP="00A565C7">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180F57">
              <w:t>1.3</w:t>
            </w:r>
          </w:p>
        </w:tc>
        <w:tc>
          <w:tcPr>
            <w:tcW w:w="1468" w:type="dxa"/>
          </w:tcPr>
          <w:p w:rsidR="0088341A" w:rsidRPr="00A565C7" w:rsidRDefault="0088341A" w:rsidP="00A565C7">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180F57">
              <w:t>1.3</w:t>
            </w:r>
          </w:p>
        </w:tc>
        <w:tc>
          <w:tcPr>
            <w:tcW w:w="1469" w:type="dxa"/>
          </w:tcPr>
          <w:p w:rsidR="0088341A" w:rsidRPr="00A565C7" w:rsidRDefault="0088341A" w:rsidP="00A565C7">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180F57">
              <w:t>3.8</w:t>
            </w:r>
          </w:p>
        </w:tc>
      </w:tr>
      <w:tr w:rsidR="0088341A" w:rsidRPr="00180F57" w:rsidTr="00501137">
        <w:tc>
          <w:tcPr>
            <w:cnfStyle w:val="001000000000" w:firstRow="0" w:lastRow="0" w:firstColumn="1" w:lastColumn="0" w:oddVBand="0" w:evenVBand="0" w:oddHBand="0" w:evenHBand="0" w:firstRowFirstColumn="0" w:firstRowLastColumn="0" w:lastRowFirstColumn="0" w:lastRowLastColumn="0"/>
            <w:tcW w:w="3369" w:type="dxa"/>
          </w:tcPr>
          <w:p w:rsidR="0088341A" w:rsidRPr="00A565C7" w:rsidRDefault="0088341A" w:rsidP="00A565C7">
            <w:pPr>
              <w:pStyle w:val="AERtabletextleft"/>
              <w:keepNext/>
              <w:keepLines/>
            </w:pPr>
            <w:r w:rsidRPr="00180F57">
              <w:t>Overhead lines condition assessment</w:t>
            </w:r>
          </w:p>
        </w:tc>
        <w:tc>
          <w:tcPr>
            <w:tcW w:w="1468" w:type="dxa"/>
          </w:tcPr>
          <w:p w:rsidR="0088341A" w:rsidRPr="00A565C7" w:rsidRDefault="0088341A" w:rsidP="00A565C7">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180F57">
              <w:t>1.3</w:t>
            </w:r>
          </w:p>
        </w:tc>
        <w:tc>
          <w:tcPr>
            <w:tcW w:w="1468" w:type="dxa"/>
          </w:tcPr>
          <w:p w:rsidR="0088341A" w:rsidRPr="00A565C7" w:rsidRDefault="0088341A" w:rsidP="00A565C7">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180F57">
              <w:t>1.3</w:t>
            </w:r>
          </w:p>
        </w:tc>
        <w:tc>
          <w:tcPr>
            <w:tcW w:w="1468" w:type="dxa"/>
          </w:tcPr>
          <w:p w:rsidR="0088341A" w:rsidRPr="00A565C7" w:rsidRDefault="0088341A" w:rsidP="00A565C7">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180F57">
              <w:t>1.3</w:t>
            </w:r>
          </w:p>
        </w:tc>
        <w:tc>
          <w:tcPr>
            <w:tcW w:w="1469" w:type="dxa"/>
          </w:tcPr>
          <w:p w:rsidR="0088341A" w:rsidRPr="00A565C7" w:rsidRDefault="0088341A" w:rsidP="00A565C7">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180F57">
              <w:t>3.9</w:t>
            </w:r>
          </w:p>
        </w:tc>
      </w:tr>
      <w:tr w:rsidR="0088341A" w:rsidRPr="00180F57" w:rsidTr="0050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88341A" w:rsidRPr="00A565C7" w:rsidRDefault="0088341A" w:rsidP="00A565C7">
            <w:pPr>
              <w:pStyle w:val="AERtabletextleft"/>
              <w:keepNext/>
              <w:keepLines/>
            </w:pPr>
            <w:r w:rsidRPr="00180F57">
              <w:t>Corrosion risk mitigation</w:t>
            </w:r>
          </w:p>
        </w:tc>
        <w:tc>
          <w:tcPr>
            <w:tcW w:w="1468" w:type="dxa"/>
          </w:tcPr>
          <w:p w:rsidR="0088341A" w:rsidRPr="00A565C7" w:rsidRDefault="0088341A" w:rsidP="00A565C7">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180F57">
              <w:t>3.2</w:t>
            </w:r>
          </w:p>
        </w:tc>
        <w:tc>
          <w:tcPr>
            <w:tcW w:w="1468" w:type="dxa"/>
          </w:tcPr>
          <w:p w:rsidR="0088341A" w:rsidRPr="00A565C7" w:rsidRDefault="0088341A" w:rsidP="00A565C7">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180F57">
              <w:t>3.2</w:t>
            </w:r>
          </w:p>
        </w:tc>
        <w:tc>
          <w:tcPr>
            <w:tcW w:w="1468" w:type="dxa"/>
          </w:tcPr>
          <w:p w:rsidR="0088341A" w:rsidRPr="00A565C7" w:rsidRDefault="0088341A" w:rsidP="00A565C7">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180F57">
              <w:t>3.2</w:t>
            </w:r>
          </w:p>
        </w:tc>
        <w:tc>
          <w:tcPr>
            <w:tcW w:w="1469" w:type="dxa"/>
          </w:tcPr>
          <w:p w:rsidR="0088341A" w:rsidRPr="00A565C7" w:rsidRDefault="0088341A" w:rsidP="00A565C7">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180F57">
              <w:t>9.5</w:t>
            </w:r>
          </w:p>
        </w:tc>
      </w:tr>
      <w:tr w:rsidR="0088341A" w:rsidRPr="00180F57" w:rsidTr="00501137">
        <w:tc>
          <w:tcPr>
            <w:cnfStyle w:val="001000000000" w:firstRow="0" w:lastRow="0" w:firstColumn="1" w:lastColumn="0" w:oddVBand="0" w:evenVBand="0" w:oddHBand="0" w:evenHBand="0" w:firstRowFirstColumn="0" w:firstRowLastColumn="0" w:lastRowFirstColumn="0" w:lastRowLastColumn="0"/>
            <w:tcW w:w="3369" w:type="dxa"/>
          </w:tcPr>
          <w:p w:rsidR="0088341A" w:rsidRPr="00A565C7" w:rsidRDefault="0088341A" w:rsidP="00A565C7">
            <w:pPr>
              <w:pStyle w:val="AERtabletextleft"/>
              <w:keepNext/>
              <w:keepLines/>
            </w:pPr>
            <w:r w:rsidRPr="00180F57">
              <w:t>Communications infrastructure</w:t>
            </w:r>
          </w:p>
        </w:tc>
        <w:tc>
          <w:tcPr>
            <w:tcW w:w="1468" w:type="dxa"/>
          </w:tcPr>
          <w:p w:rsidR="0088341A" w:rsidRPr="00A565C7" w:rsidRDefault="0088341A" w:rsidP="00A565C7">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180F57">
              <w:t>0.8</w:t>
            </w:r>
          </w:p>
        </w:tc>
        <w:tc>
          <w:tcPr>
            <w:tcW w:w="1468" w:type="dxa"/>
          </w:tcPr>
          <w:p w:rsidR="0088341A" w:rsidRPr="00A565C7" w:rsidRDefault="0088341A" w:rsidP="00A565C7">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180F57">
              <w:t>0.8</w:t>
            </w:r>
          </w:p>
        </w:tc>
        <w:tc>
          <w:tcPr>
            <w:tcW w:w="1468" w:type="dxa"/>
          </w:tcPr>
          <w:p w:rsidR="0088341A" w:rsidRPr="00A565C7" w:rsidRDefault="0088341A" w:rsidP="00A565C7">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180F57">
              <w:t>0.8</w:t>
            </w:r>
          </w:p>
        </w:tc>
        <w:tc>
          <w:tcPr>
            <w:tcW w:w="1469" w:type="dxa"/>
          </w:tcPr>
          <w:p w:rsidR="0088341A" w:rsidRPr="00A565C7" w:rsidRDefault="0088341A" w:rsidP="00A565C7">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180F57">
              <w:t>2.6</w:t>
            </w:r>
          </w:p>
        </w:tc>
      </w:tr>
      <w:tr w:rsidR="0088341A" w:rsidRPr="00180F57" w:rsidTr="0050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88341A" w:rsidRPr="00A565C7" w:rsidRDefault="0088341A" w:rsidP="00A565C7">
            <w:pPr>
              <w:pStyle w:val="AERtabletextleft"/>
              <w:keepNext/>
              <w:keepLines/>
            </w:pPr>
            <w:r w:rsidRPr="00A565C7">
              <w:t>Total asset works forecast</w:t>
            </w:r>
          </w:p>
        </w:tc>
        <w:tc>
          <w:tcPr>
            <w:tcW w:w="1468" w:type="dxa"/>
          </w:tcPr>
          <w:p w:rsidR="0088341A" w:rsidRPr="00A565C7" w:rsidRDefault="0088341A" w:rsidP="00A565C7">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A565C7">
              <w:t>14.5</w:t>
            </w:r>
          </w:p>
        </w:tc>
        <w:tc>
          <w:tcPr>
            <w:tcW w:w="1468" w:type="dxa"/>
          </w:tcPr>
          <w:p w:rsidR="0088341A" w:rsidRPr="00A565C7" w:rsidRDefault="0088341A" w:rsidP="00A565C7">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A565C7">
              <w:t>14.7</w:t>
            </w:r>
          </w:p>
        </w:tc>
        <w:tc>
          <w:tcPr>
            <w:tcW w:w="1468" w:type="dxa"/>
          </w:tcPr>
          <w:p w:rsidR="0088341A" w:rsidRPr="00A565C7" w:rsidRDefault="0088341A" w:rsidP="00A565C7">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A565C7">
              <w:t>15.2</w:t>
            </w:r>
          </w:p>
        </w:tc>
        <w:tc>
          <w:tcPr>
            <w:tcW w:w="1469" w:type="dxa"/>
          </w:tcPr>
          <w:p w:rsidR="0088341A" w:rsidRPr="00A565C7" w:rsidRDefault="0088341A" w:rsidP="00A565C7">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A565C7">
              <w:t>44.4</w:t>
            </w:r>
          </w:p>
        </w:tc>
      </w:tr>
    </w:tbl>
    <w:bookmarkEnd w:id="421"/>
    <w:p w:rsidR="0088341A" w:rsidRDefault="0088341A" w:rsidP="00A565C7">
      <w:pPr>
        <w:pStyle w:val="AERtablesource"/>
      </w:pPr>
      <w:r>
        <w:t xml:space="preserve">Source: SP AusNet, </w:t>
      </w:r>
      <w:r w:rsidRPr="00DC21B8">
        <w:rPr>
          <w:rStyle w:val="AERtextitalic"/>
        </w:rPr>
        <w:t>Revenue proposal</w:t>
      </w:r>
      <w:r>
        <w:t>,</w:t>
      </w:r>
      <w:r w:rsidR="004E5AEB">
        <w:t>Table 5.22 and Appendix 5E [Public]; AER analysis.</w:t>
      </w:r>
      <w:r>
        <w:t xml:space="preserve"> </w:t>
      </w:r>
      <w:r w:rsidR="00BC332B" w:rsidRPr="00BC332B">
        <w:t xml:space="preserve"> </w:t>
      </w:r>
      <w:r w:rsidR="00BC332B" w:rsidRPr="00690B37">
        <w:t xml:space="preserve">SP AusNet, </w:t>
      </w:r>
      <w:r w:rsidR="00BC332B" w:rsidRPr="00FC7C08">
        <w:rPr>
          <w:rStyle w:val="AERtextitalic"/>
        </w:rPr>
        <w:t>Response to request AER</w:t>
      </w:r>
      <w:r w:rsidR="0047592F">
        <w:rPr>
          <w:rStyle w:val="AERtextitalic"/>
        </w:rPr>
        <w:t xml:space="preserve"> RP </w:t>
      </w:r>
      <w:r w:rsidR="00BC332B" w:rsidRPr="00FC7C08">
        <w:rPr>
          <w:rStyle w:val="AERtextitalic"/>
        </w:rPr>
        <w:t>09 - revised opex model</w:t>
      </w:r>
      <w:r w:rsidR="00DD4594">
        <w:rPr>
          <w:rStyle w:val="AERtextitalic"/>
        </w:rPr>
        <w:t xml:space="preserve"> [confidential]</w:t>
      </w:r>
      <w:r w:rsidR="00BC332B" w:rsidRPr="00FC7C08">
        <w:t>, 20 May 2013</w:t>
      </w:r>
    </w:p>
    <w:p w:rsidR="0088341A" w:rsidRDefault="0088341A" w:rsidP="0088341A">
      <w:pPr>
        <w:pStyle w:val="AERbodytext"/>
        <w:numPr>
          <w:ilvl w:val="0"/>
          <w:numId w:val="1"/>
        </w:numPr>
      </w:pPr>
      <w:r>
        <w:t>SP AusNet underspent its as</w:t>
      </w:r>
      <w:r w:rsidR="00A5482D">
        <w:t>set works opex forecast by $44.3 million (44.3</w:t>
      </w:r>
      <w:r>
        <w:t xml:space="preserve"> per cent) during the </w:t>
      </w:r>
      <w:r>
        <w:br/>
        <w:t xml:space="preserve">2008–14 regulatory control period. It provided several reasons for the underspend: </w:t>
      </w:r>
    </w:p>
    <w:p w:rsidR="0088341A" w:rsidRDefault="0088341A" w:rsidP="0088341A">
      <w:pPr>
        <w:pStyle w:val="AERbulletlistfirststyle"/>
      </w:pPr>
      <w:r>
        <w:t>Forecasting inaccuracies – project specific reasons which meant asset works projects were either unnecessary or only required to a limited degree. This includes the fact that assets were in better condition than previously thought.</w:t>
      </w:r>
      <w:r>
        <w:rPr>
          <w:rStyle w:val="FootnoteReference"/>
        </w:rPr>
        <w:footnoteReference w:id="674"/>
      </w:r>
      <w:r>
        <w:t xml:space="preserve">  </w:t>
      </w:r>
    </w:p>
    <w:p w:rsidR="0088341A" w:rsidRDefault="0088341A" w:rsidP="0088341A">
      <w:pPr>
        <w:pStyle w:val="AERbulletlistfirststyle"/>
      </w:pPr>
      <w:r>
        <w:t>Deferrals – financing constraints during the global financial crisis led SP AusNet to defer asset works opex to enable the continued delivery of its overall capex program (transmission, distribution and gas capex program).</w:t>
      </w:r>
      <w:r>
        <w:rPr>
          <w:rStyle w:val="FootnoteReference"/>
        </w:rPr>
        <w:footnoteReference w:id="675"/>
      </w:r>
      <w:r>
        <w:t xml:space="preserve"> Works were also deferred by the presence of asbestos on the corrosion protection system of 66kV towers which slowed the progress of the ‘ground level tower corrosion protection’ program.</w:t>
      </w:r>
      <w:r>
        <w:rPr>
          <w:rStyle w:val="FootnoteReference"/>
        </w:rPr>
        <w:footnoteReference w:id="676"/>
      </w:r>
      <w:r>
        <w:t xml:space="preserve">    </w:t>
      </w:r>
    </w:p>
    <w:p w:rsidR="0088341A" w:rsidRDefault="0088341A" w:rsidP="0088341A">
      <w:pPr>
        <w:pStyle w:val="AERbulletlistfirststyle"/>
      </w:pPr>
      <w:r>
        <w:t>Capitalisation of asset works – optimisation of the capex portfolio which meant that a number of asset works projects were delivered as capex rather than opex. For example, switchyard resurfacing and asbestos removal were carried out as part of major station rebuilds, rather than as stand alone asset works projects.</w:t>
      </w:r>
      <w:r>
        <w:rPr>
          <w:rStyle w:val="FootnoteReference"/>
        </w:rPr>
        <w:footnoteReference w:id="677"/>
      </w:r>
      <w:r>
        <w:t xml:space="preserve">    </w:t>
      </w:r>
    </w:p>
    <w:p w:rsidR="0088341A" w:rsidRPr="00BA6F58" w:rsidRDefault="0088341A" w:rsidP="0088341A">
      <w:pPr>
        <w:pStyle w:val="AERbulletlistfirststyle"/>
      </w:pPr>
      <w:r>
        <w:t>Cost savings – realised through delivering projects in–house rather than outsourcing.</w:t>
      </w:r>
      <w:r>
        <w:rPr>
          <w:rStyle w:val="FootnoteReference"/>
        </w:rPr>
        <w:footnoteReference w:id="678"/>
      </w:r>
      <w:r>
        <w:t xml:space="preserve">  </w:t>
      </w:r>
    </w:p>
    <w:p w:rsidR="0088341A" w:rsidRDefault="0088341A" w:rsidP="0088341A">
      <w:pPr>
        <w:pStyle w:val="Heading8"/>
        <w:numPr>
          <w:ilvl w:val="5"/>
          <w:numId w:val="20"/>
        </w:numPr>
      </w:pPr>
      <w:bookmarkStart w:id="422" w:name="_Toc365283390"/>
      <w:r>
        <w:t>Assessment approach</w:t>
      </w:r>
      <w:bookmarkEnd w:id="422"/>
      <w:r>
        <w:t xml:space="preserve"> </w:t>
      </w:r>
    </w:p>
    <w:p w:rsidR="0088341A" w:rsidRPr="0088691B" w:rsidRDefault="0088341A" w:rsidP="0088341A">
      <w:pPr>
        <w:pStyle w:val="AERbodytext"/>
        <w:numPr>
          <w:ilvl w:val="0"/>
          <w:numId w:val="1"/>
        </w:numPr>
      </w:pPr>
      <w:r>
        <w:t xml:space="preserve">In assessing SP AusNet’s asset works opex forecast, we considered the legislative requirements under the National Electricity Law (NEL) and National Electricity Rules (NER). When we determined SP AusNet’s forecast did not meet these requirements, we then considered how to develop an alternative forecast.   </w:t>
      </w:r>
    </w:p>
    <w:p w:rsidR="0088341A" w:rsidRDefault="0088341A" w:rsidP="0088341A">
      <w:pPr>
        <w:pStyle w:val="Heading9"/>
        <w:numPr>
          <w:ilvl w:val="6"/>
          <w:numId w:val="20"/>
        </w:numPr>
      </w:pPr>
      <w:r>
        <w:t>Legislative requirements</w:t>
      </w:r>
    </w:p>
    <w:p w:rsidR="0088341A" w:rsidRDefault="0088341A" w:rsidP="0088341A">
      <w:pPr>
        <w:pStyle w:val="AERbodytext"/>
        <w:numPr>
          <w:ilvl w:val="0"/>
          <w:numId w:val="1"/>
        </w:numPr>
      </w:pPr>
      <w:r>
        <w:t>Under the NER, we are required to set a total opex allowance, not an allowance for individual opex categories.</w:t>
      </w:r>
      <w:r>
        <w:rPr>
          <w:rStyle w:val="FootnoteReference"/>
        </w:rPr>
        <w:footnoteReference w:id="679"/>
      </w:r>
      <w:r>
        <w:t xml:space="preserve"> However, in coming to a conclusion on the total opex allowance, we may need to </w:t>
      </w:r>
      <w:r>
        <w:lastRenderedPageBreak/>
        <w:t xml:space="preserve">assess individual opex categories. So, in assessing SP AusNet’s proposed total opex forecast, we assessed its asset works opex forecast. </w:t>
      </w:r>
    </w:p>
    <w:p w:rsidR="0088341A" w:rsidRDefault="0088341A" w:rsidP="0088341A">
      <w:pPr>
        <w:pStyle w:val="AERbodytext"/>
        <w:numPr>
          <w:ilvl w:val="0"/>
          <w:numId w:val="1"/>
        </w:numPr>
      </w:pPr>
      <w:r>
        <w:t>To accept a TNSP’s forecast opex, we must be satisfied that it reasonably reflects the opex criteria.</w:t>
      </w:r>
      <w:r>
        <w:rPr>
          <w:rStyle w:val="FootnoteReference"/>
        </w:rPr>
        <w:footnoteReference w:id="680"/>
      </w:r>
      <w:r>
        <w:t xml:space="preserve"> This means we must be satisfied that the forecast opex reasonably reflects:</w:t>
      </w:r>
      <w:r>
        <w:rPr>
          <w:rStyle w:val="FootnoteReference"/>
        </w:rPr>
        <w:footnoteReference w:id="681"/>
      </w:r>
    </w:p>
    <w:p w:rsidR="0088341A" w:rsidRDefault="0088341A" w:rsidP="0088341A">
      <w:pPr>
        <w:pStyle w:val="AERbulletlistfirststyle"/>
      </w:pPr>
      <w:r>
        <w:t xml:space="preserve">the efficient costs of achieving the opex objectives </w:t>
      </w:r>
    </w:p>
    <w:p w:rsidR="0088341A" w:rsidRDefault="0088341A" w:rsidP="0088341A">
      <w:pPr>
        <w:pStyle w:val="AERbulletlistfirststyle"/>
      </w:pPr>
      <w:r>
        <w:t>the expenditure a prudent operator, in the circumstances of the relevant TNSP, would require to meet the opex objectives</w:t>
      </w:r>
    </w:p>
    <w:p w:rsidR="0088341A" w:rsidRDefault="0088341A" w:rsidP="0088341A">
      <w:pPr>
        <w:pStyle w:val="AERbulletlistfirststyle"/>
      </w:pPr>
      <w:r>
        <w:t xml:space="preserve">a realistic expectation of the demand forecast and cost inputs required to achieve the opex objectives. </w:t>
      </w:r>
    </w:p>
    <w:p w:rsidR="0088341A" w:rsidRDefault="0088341A" w:rsidP="00B446A0">
      <w:pPr>
        <w:pStyle w:val="AERbodytext"/>
        <w:numPr>
          <w:ilvl w:val="0"/>
          <w:numId w:val="1"/>
        </w:numPr>
      </w:pPr>
      <w:r>
        <w:t>In deciding whether we are satisfied the opex forecast meets the opex criteria, we must have regard to the opex factors.</w:t>
      </w:r>
      <w:r>
        <w:rPr>
          <w:rStyle w:val="FootnoteReference"/>
        </w:rPr>
        <w:footnoteReference w:id="682"/>
      </w:r>
      <w:r>
        <w:t xml:space="preserve"> We had regard to each of the opex factors to the extent they were relevant. One of the factors </w:t>
      </w:r>
      <w:r w:rsidR="008F2F3A">
        <w:t>that is particularly relevant to a revealed costs assessment is</w:t>
      </w:r>
      <w:r>
        <w:t xml:space="preserve"> the actual opex during the preceding regulatory control periods.</w:t>
      </w:r>
      <w:r>
        <w:rPr>
          <w:rStyle w:val="FootnoteReference"/>
        </w:rPr>
        <w:footnoteReference w:id="683"/>
      </w:r>
      <w:r>
        <w:t xml:space="preserve"> Other </w:t>
      </w:r>
      <w:r w:rsidR="008F2F3A">
        <w:t xml:space="preserve">opex </w:t>
      </w:r>
      <w:r>
        <w:t>fact</w:t>
      </w:r>
      <w:r w:rsidR="008F2F3A">
        <w:t>or</w:t>
      </w:r>
      <w:r>
        <w:t xml:space="preserve">s that were particularly important in our decision making were the information in SPAusNet’s proposal, the submissions we received, our own analysis set out in this draft decision and the analysis undertaken by expert consultants for us, as set out in this draft decision. </w:t>
      </w:r>
    </w:p>
    <w:p w:rsidR="00B446A0" w:rsidRDefault="00DB358B" w:rsidP="00B446A0">
      <w:pPr>
        <w:pStyle w:val="AERbodytext"/>
        <w:numPr>
          <w:ilvl w:val="0"/>
          <w:numId w:val="1"/>
        </w:numPr>
      </w:pPr>
      <w:r>
        <w:t>We must perform our regulatory functions and powers in a manner that will or is likely to contribute to the achievement of the NEO.</w:t>
      </w:r>
      <w:r>
        <w:rPr>
          <w:rStyle w:val="FootnoteReference"/>
        </w:rPr>
        <w:footnoteReference w:id="684"/>
      </w:r>
      <w:r>
        <w:t xml:space="preserve"> We must also take into accou</w:t>
      </w:r>
      <w:r w:rsidR="00BF71E7">
        <w:t>nt the revenue and pricing princ</w:t>
      </w:r>
      <w:r w:rsidR="0047592F">
        <w:t xml:space="preserve">iples when exercising our </w:t>
      </w:r>
      <w:r>
        <w:t xml:space="preserve">discretion </w:t>
      </w:r>
      <w:r w:rsidR="00EF3A8B">
        <w:t>in making a transmission determination relating to direct control services.</w:t>
      </w:r>
      <w:r w:rsidR="00EF3A8B">
        <w:rPr>
          <w:rStyle w:val="FootnoteReference"/>
        </w:rPr>
        <w:footnoteReference w:id="685"/>
      </w:r>
      <w:r w:rsidR="00EF3A8B">
        <w:t xml:space="preserve"> As such, we </w:t>
      </w:r>
      <w:r w:rsidR="0088341A">
        <w:t>considered the NEO and RPP when assessing SP AusNet’s opex forecast</w:t>
      </w:r>
      <w:r w:rsidR="008F2F3A">
        <w:t xml:space="preserve"> against the opex criteria</w:t>
      </w:r>
      <w:r w:rsidR="00EF3A8B">
        <w:t>.</w:t>
      </w:r>
      <w:r w:rsidR="0088341A">
        <w:t xml:space="preserve"> </w:t>
      </w:r>
      <w:r w:rsidR="0088341A">
        <w:rPr>
          <w:rStyle w:val="FootnoteReference"/>
        </w:rPr>
        <w:footnoteReference w:id="686"/>
      </w:r>
      <w:r w:rsidR="0088341A">
        <w:t xml:space="preserve"> </w:t>
      </w:r>
    </w:p>
    <w:p w:rsidR="00B446A0" w:rsidRDefault="00B446A0" w:rsidP="0088341A">
      <w:pPr>
        <w:pStyle w:val="AERbodytext"/>
        <w:numPr>
          <w:ilvl w:val="0"/>
          <w:numId w:val="1"/>
        </w:numPr>
      </w:pPr>
      <w:r>
        <w:t>The regulatory framework is interlinked and our decision recognises these interlinkages.  We therefore considered whether SP AusNet’s asset works forecast was consistent with the NER requirement that the EBSS must share fairly any efficiency gains between a TNSP and consumers.</w:t>
      </w:r>
      <w:r>
        <w:rPr>
          <w:rStyle w:val="FootnoteReference"/>
        </w:rPr>
        <w:footnoteReference w:id="687"/>
      </w:r>
    </w:p>
    <w:p w:rsidR="0088341A" w:rsidRDefault="008F2F3A" w:rsidP="0088341A">
      <w:pPr>
        <w:pStyle w:val="AERbodytext"/>
        <w:numPr>
          <w:ilvl w:val="0"/>
          <w:numId w:val="1"/>
        </w:numPr>
      </w:pPr>
      <w:r>
        <w:t xml:space="preserve">If </w:t>
      </w:r>
      <w:r w:rsidR="0088341A">
        <w:t xml:space="preserve">we are not satisfied the proposed total opex forecast </w:t>
      </w:r>
      <w:r>
        <w:t xml:space="preserve">reasonably reflects </w:t>
      </w:r>
      <w:r w:rsidR="0088341A">
        <w:t>the opex criteria, then we must provide an alternative forecast.</w:t>
      </w:r>
      <w:r w:rsidR="0088341A">
        <w:rPr>
          <w:rStyle w:val="FootnoteReference"/>
        </w:rPr>
        <w:footnoteReference w:id="688"/>
      </w:r>
      <w:r w:rsidR="0088341A">
        <w:t xml:space="preserve"> </w:t>
      </w:r>
    </w:p>
    <w:p w:rsidR="0088341A" w:rsidRDefault="0088341A" w:rsidP="0088341A">
      <w:pPr>
        <w:pStyle w:val="Heading9"/>
        <w:numPr>
          <w:ilvl w:val="6"/>
          <w:numId w:val="20"/>
        </w:numPr>
      </w:pPr>
      <w:r>
        <w:t>AER’s substitute opex forecast</w:t>
      </w:r>
    </w:p>
    <w:p w:rsidR="0088341A" w:rsidRPr="002B719C" w:rsidRDefault="0088341A" w:rsidP="0088341A">
      <w:pPr>
        <w:pStyle w:val="AERbodytext"/>
        <w:numPr>
          <w:ilvl w:val="0"/>
          <w:numId w:val="1"/>
        </w:numPr>
      </w:pPr>
      <w:r>
        <w:t xml:space="preserve">We applied the revealed cost approach to derive an alternative opex forecast. We consider this approach is the best approach for forecasting opex, for the reasons set out in attachment 3. </w:t>
      </w:r>
    </w:p>
    <w:p w:rsidR="0088341A" w:rsidRDefault="0088341A" w:rsidP="0088341A">
      <w:pPr>
        <w:pStyle w:val="Heading8"/>
        <w:numPr>
          <w:ilvl w:val="5"/>
          <w:numId w:val="20"/>
        </w:numPr>
      </w:pPr>
      <w:bookmarkStart w:id="423" w:name="_Toc365283391"/>
      <w:r>
        <w:t>Reasons for draft decision</w:t>
      </w:r>
      <w:bookmarkEnd w:id="423"/>
    </w:p>
    <w:p w:rsidR="0088341A" w:rsidRDefault="0088341A" w:rsidP="0088341A">
      <w:pPr>
        <w:pStyle w:val="AERbodytext"/>
        <w:numPr>
          <w:ilvl w:val="0"/>
          <w:numId w:val="1"/>
        </w:numPr>
      </w:pPr>
      <w:r>
        <w:t xml:space="preserve">We do not accept SP AusNet’s asset works opex forecast for the reasons outlined in section E.4.2. We used the revealed cost approach to calculate a substitute forecast because that approach produces an opex forecast that </w:t>
      </w:r>
      <w:r w:rsidR="008F2F3A">
        <w:t>resonably reflects</w:t>
      </w:r>
      <w:r>
        <w:t xml:space="preserve"> the opex criteria</w:t>
      </w:r>
      <w:r w:rsidR="008F2F3A">
        <w:t xml:space="preserve">. It is also consistent with the </w:t>
      </w:r>
      <w:r w:rsidR="008F2F3A">
        <w:lastRenderedPageBreak/>
        <w:t xml:space="preserve">appropriate application of </w:t>
      </w:r>
      <w:r>
        <w:t>the EBSS, the NEO and the RPP</w:t>
      </w:r>
      <w:r w:rsidR="008F2F3A">
        <w:t>and</w:t>
      </w:r>
      <w:r>
        <w:t xml:space="preserve"> with our approach to forecasting other controllable opex categories.</w:t>
      </w:r>
    </w:p>
    <w:p w:rsidR="007A4AC2" w:rsidRDefault="007A4AC2" w:rsidP="007A4AC2">
      <w:pPr>
        <w:pStyle w:val="Heading9"/>
        <w:numPr>
          <w:ilvl w:val="6"/>
          <w:numId w:val="20"/>
        </w:numPr>
      </w:pPr>
      <w:r>
        <w:t>Reasons for not accepting SP AusNet’s asset works opex forecast</w:t>
      </w:r>
    </w:p>
    <w:p w:rsidR="007A4AC2" w:rsidRDefault="007A4AC2" w:rsidP="007B11B9">
      <w:pPr>
        <w:pStyle w:val="AERbodytext"/>
        <w:numPr>
          <w:ilvl w:val="0"/>
          <w:numId w:val="0"/>
        </w:numPr>
      </w:pPr>
      <w:r>
        <w:t>We do not accept SP AusNet’s separate bottom up build asset works opex forecast because it does not reasonably reflect the opex criteria</w:t>
      </w:r>
      <w:r w:rsidR="003E3D15">
        <w:t xml:space="preserve">.  We tested it using </w:t>
      </w:r>
      <w:r w:rsidR="00B446A0">
        <w:t xml:space="preserve">a </w:t>
      </w:r>
      <w:r>
        <w:t xml:space="preserve">bottom up assessment </w:t>
      </w:r>
      <w:r w:rsidR="003E3D15">
        <w:t xml:space="preserve">prepared by </w:t>
      </w:r>
      <w:r w:rsidR="00B446A0">
        <w:t xml:space="preserve">EMCa and </w:t>
      </w:r>
      <w:r>
        <w:t xml:space="preserve">our own top down revealed cost approach. </w:t>
      </w:r>
    </w:p>
    <w:p w:rsidR="007A4AC2" w:rsidRDefault="00B446A0" w:rsidP="007B11B9">
      <w:pPr>
        <w:pStyle w:val="AERbodytext"/>
        <w:numPr>
          <w:ilvl w:val="0"/>
          <w:numId w:val="0"/>
        </w:numPr>
      </w:pPr>
      <w:r>
        <w:t xml:space="preserve">Under SP AusNet’s proposal, </w:t>
      </w:r>
      <w:r w:rsidR="007A4AC2">
        <w:t>Victorian transmission users would not benefit from the realised efficiencies in the 2008–14 regulatory control period, contrary to the EBSS and the NER.  SP AusNet would realise a windfall gain (retaining 140 per cent of the benefit of the underspend) for which Victorian electricity transmission users would pay, contrary to the NEO</w:t>
      </w:r>
      <w:r w:rsidR="003E3D15">
        <w:t xml:space="preserve">.  SP AusNet’s proposal </w:t>
      </w:r>
      <w:r w:rsidR="007A4AC2">
        <w:t xml:space="preserve">is </w:t>
      </w:r>
      <w:r w:rsidR="00297D8F">
        <w:t xml:space="preserve">also </w:t>
      </w:r>
      <w:r w:rsidR="007A4AC2">
        <w:t xml:space="preserve">contrary to the Revenue and Pricing Principles in that it </w:t>
      </w:r>
      <w:r w:rsidR="00297D8F">
        <w:t xml:space="preserve">would </w:t>
      </w:r>
      <w:r w:rsidR="007A4AC2">
        <w:t xml:space="preserve">undermine the incentive framework and does not provide an effective incentive to promote economic efficiency. </w:t>
      </w:r>
    </w:p>
    <w:p w:rsidR="007A4AC2" w:rsidRPr="00D93EE9" w:rsidRDefault="007034EF" w:rsidP="00D93EE9">
      <w:pPr>
        <w:pStyle w:val="AERbodytext"/>
      </w:pPr>
      <w:r>
        <w:t xml:space="preserve">Figure E.1 </w:t>
      </w:r>
      <w:r w:rsidR="007A4AC2" w:rsidRPr="00D93EE9">
        <w:t xml:space="preserve">compares SP AusNet’s actual asset works opex with the AER approved asset works forecast between 2002 and 2013, and the total asset works forecast for the 2014–17 regulatory control period. </w:t>
      </w:r>
    </w:p>
    <w:p w:rsidR="007A4AC2" w:rsidRDefault="007034EF" w:rsidP="00D93EE9">
      <w:pPr>
        <w:pStyle w:val="Caption"/>
      </w:pPr>
      <w:r>
        <w:t>Figure E.1</w:t>
      </w:r>
      <w:r>
        <w:tab/>
      </w:r>
      <w:r w:rsidR="007A4AC2">
        <w:t>SP AusNet’s asset works expenditure: actual/estimated and forecast: 2002–17 ($ million, 2013–14)</w:t>
      </w:r>
    </w:p>
    <w:p w:rsidR="00E23130" w:rsidRDefault="00E23130" w:rsidP="00E23130">
      <w:pPr>
        <w:pStyle w:val="AERtablesource"/>
        <w:tabs>
          <w:tab w:val="clear" w:pos="794"/>
          <w:tab w:val="left" w:pos="709"/>
        </w:tabs>
        <w:ind w:left="0" w:firstLine="0"/>
      </w:pPr>
      <w:r w:rsidRPr="00E23130">
        <w:rPr>
          <w:noProof/>
          <w:lang w:eastAsia="en-AU"/>
        </w:rPr>
        <w:drawing>
          <wp:inline distT="0" distB="0" distL="0" distR="0" wp14:anchorId="60AE6982" wp14:editId="1E129784">
            <wp:extent cx="5735782" cy="33963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1510" cy="3393813"/>
                    </a:xfrm>
                    <a:prstGeom prst="rect">
                      <a:avLst/>
                    </a:prstGeom>
                    <a:noFill/>
                    <a:ln>
                      <a:noFill/>
                    </a:ln>
                  </pic:spPr>
                </pic:pic>
              </a:graphicData>
            </a:graphic>
          </wp:inline>
        </w:drawing>
      </w:r>
    </w:p>
    <w:p w:rsidR="00E23130" w:rsidRDefault="00E23130" w:rsidP="00E23130">
      <w:pPr>
        <w:pStyle w:val="AERtablesource"/>
        <w:tabs>
          <w:tab w:val="clear" w:pos="794"/>
          <w:tab w:val="left" w:pos="709"/>
        </w:tabs>
        <w:ind w:left="709" w:hanging="709"/>
      </w:pPr>
      <w:r>
        <w:t>Source:</w:t>
      </w:r>
      <w:r>
        <w:tab/>
      </w:r>
      <w:r w:rsidRPr="00690B37">
        <w:t xml:space="preserve">SP AusNet, </w:t>
      </w:r>
      <w:r w:rsidRPr="00FC7C08">
        <w:rPr>
          <w:rStyle w:val="AERtextitalic"/>
        </w:rPr>
        <w:t>Response to request AER</w:t>
      </w:r>
      <w:r w:rsidR="0047592F">
        <w:rPr>
          <w:rStyle w:val="AERtextitalic"/>
        </w:rPr>
        <w:t xml:space="preserve"> RP </w:t>
      </w:r>
      <w:r w:rsidRPr="00FC7C08">
        <w:rPr>
          <w:rStyle w:val="AERtextitalic"/>
        </w:rPr>
        <w:t>09 - revised opex model</w:t>
      </w:r>
      <w:r w:rsidR="004B3E41">
        <w:rPr>
          <w:rStyle w:val="AERtextitalic"/>
        </w:rPr>
        <w:t xml:space="preserve"> [confidential]</w:t>
      </w:r>
      <w:r w:rsidRPr="00FC7C08">
        <w:t>, 20 May 2013</w:t>
      </w:r>
      <w:r>
        <w:t xml:space="preserve">; SP AusNet, </w:t>
      </w:r>
      <w:r w:rsidRPr="00E23130">
        <w:rPr>
          <w:i/>
        </w:rPr>
        <w:t>Regulatory accounts</w:t>
      </w:r>
      <w:r>
        <w:rPr>
          <w:i/>
        </w:rPr>
        <w:t xml:space="preserve"> 2012–13, </w:t>
      </w:r>
      <w:r w:rsidRPr="00E23130">
        <w:t>1 August 2013; AER analysis.</w:t>
      </w:r>
      <w:r>
        <w:rPr>
          <w:i/>
        </w:rPr>
        <w:t xml:space="preserve"> </w:t>
      </w:r>
    </w:p>
    <w:p w:rsidR="007A4AC2" w:rsidRPr="00B0294D" w:rsidRDefault="00E23130" w:rsidP="00E23130">
      <w:pPr>
        <w:pStyle w:val="AERtablesource"/>
        <w:ind w:left="709" w:hanging="709"/>
      </w:pPr>
      <w:r>
        <w:t>Note:</w:t>
      </w:r>
      <w:r>
        <w:tab/>
      </w:r>
      <w:r w:rsidR="007A4AC2">
        <w:t>Grey indicates budget estimate data.</w:t>
      </w:r>
      <w:r w:rsidR="00A5482D">
        <w:t xml:space="preserve"> Includes both asset works and asset works support costs.</w:t>
      </w:r>
    </w:p>
    <w:p w:rsidR="007A4AC2" w:rsidRDefault="007034EF" w:rsidP="007A4AC2">
      <w:pPr>
        <w:pStyle w:val="AERbodytext"/>
        <w:numPr>
          <w:ilvl w:val="0"/>
          <w:numId w:val="0"/>
        </w:numPr>
      </w:pPr>
      <w:r>
        <w:t xml:space="preserve">Figure E.1 </w:t>
      </w:r>
      <w:r w:rsidR="007A4AC2">
        <w:t>shows SP AusNet proposed a significant increase in its asset works opex compared with the past four years. Using a bottom up method to derive its total asset works forecast, SP AusNet overestimated its asset works opex requirements in the 2002–08 and 2008–14 regulatory control periods.</w:t>
      </w:r>
      <w:r w:rsidR="007A4AC2">
        <w:rPr>
          <w:rStyle w:val="FootnoteReference"/>
        </w:rPr>
        <w:footnoteReference w:id="689"/>
      </w:r>
      <w:r w:rsidR="007A4AC2">
        <w:t xml:space="preserve"> It underspent its asset works forecast by $17.5 million (20 per cent) in the 2003–2008 </w:t>
      </w:r>
      <w:r w:rsidR="007A4AC2">
        <w:lastRenderedPageBreak/>
        <w:t>regulatory control period a</w:t>
      </w:r>
      <w:r w:rsidR="00A5482D">
        <w:t>nd underspent its forecast $44.3 million (44.3</w:t>
      </w:r>
      <w:r w:rsidR="007A4AC2">
        <w:t xml:space="preserve"> per cent) in the 2008–14 regulatory control period. It proposed to use the same bottom up forecasting method for the 2014–17 regulatory control period. </w:t>
      </w:r>
    </w:p>
    <w:p w:rsidR="007A4AC2" w:rsidRDefault="007A4AC2" w:rsidP="00F6061D">
      <w:pPr>
        <w:pStyle w:val="Heading9"/>
        <w:numPr>
          <w:ilvl w:val="6"/>
          <w:numId w:val="20"/>
        </w:numPr>
      </w:pPr>
      <w:r>
        <w:t>Assessment against the opex criteria</w:t>
      </w:r>
      <w:r w:rsidR="00297D8F">
        <w:t xml:space="preserve"> using a bottom up method</w:t>
      </w:r>
    </w:p>
    <w:p w:rsidR="007A4AC2" w:rsidRDefault="007A4AC2" w:rsidP="007A4AC2">
      <w:pPr>
        <w:pStyle w:val="AERbodytext"/>
        <w:numPr>
          <w:ilvl w:val="0"/>
          <w:numId w:val="0"/>
        </w:numPr>
      </w:pPr>
      <w:r>
        <w:t xml:space="preserve">EMCa assessed SP AusNet’s underspend in the 2008–14 regulatory control period </w:t>
      </w:r>
      <w:r w:rsidR="003E3D15">
        <w:t xml:space="preserve">on a bottom up basis </w:t>
      </w:r>
      <w:r>
        <w:t>and concluded:</w:t>
      </w:r>
      <w:r>
        <w:rPr>
          <w:rStyle w:val="FootnoteReference"/>
        </w:rPr>
        <w:footnoteReference w:id="690"/>
      </w:r>
    </w:p>
    <w:p w:rsidR="007A4AC2" w:rsidRDefault="007A4AC2" w:rsidP="007A4AC2">
      <w:pPr>
        <w:pStyle w:val="AERbulletlistfirststyle"/>
      </w:pPr>
      <w:r>
        <w:t>forecasting inaccuracies contributed $26.6 million to the underspend</w:t>
      </w:r>
    </w:p>
    <w:p w:rsidR="007A4AC2" w:rsidRDefault="007A4AC2" w:rsidP="007A4AC2">
      <w:pPr>
        <w:pStyle w:val="AERbulletlistfirststyle"/>
      </w:pPr>
      <w:r>
        <w:t>deferred asset works contributed $13.9 million to the underspend</w:t>
      </w:r>
    </w:p>
    <w:p w:rsidR="007A4AC2" w:rsidRDefault="007A4AC2" w:rsidP="007A4AC2">
      <w:pPr>
        <w:pStyle w:val="AERbulletlistfirststyle"/>
      </w:pPr>
      <w:r>
        <w:t>capitalised asset works contributed $7.3 million to the underspend.</w:t>
      </w:r>
    </w:p>
    <w:p w:rsidR="003E3D15" w:rsidRDefault="003E3D15" w:rsidP="00F6061D">
      <w:pPr>
        <w:pStyle w:val="HeadingBoldBlue"/>
      </w:pPr>
      <w:r>
        <w:t>EMCa’s assessment of SP AusNet’s asset works proposal</w:t>
      </w:r>
    </w:p>
    <w:p w:rsidR="003E3D15" w:rsidRDefault="003E3D15" w:rsidP="003E3D15">
      <w:pPr>
        <w:pStyle w:val="AERbodytext"/>
        <w:numPr>
          <w:ilvl w:val="0"/>
          <w:numId w:val="0"/>
        </w:numPr>
      </w:pPr>
      <w:r>
        <w:t>EMCa assessed SP AusNet’s asset works forecast from a bottom up perspective. While it considered the proposed works are generally required from a technical perspective, it considered SP AusNet may be overcompensated for the works.</w:t>
      </w:r>
      <w:r>
        <w:rPr>
          <w:rStyle w:val="FootnoteReference"/>
        </w:rPr>
        <w:footnoteReference w:id="691"/>
      </w:r>
      <w:r>
        <w:t xml:space="preserve"> EMCa stated</w:t>
      </w:r>
      <w:r w:rsidR="00330E3D">
        <w:t>:</w:t>
      </w:r>
      <w:r>
        <w:t xml:space="preserve"> </w:t>
      </w:r>
      <w:r>
        <w:rPr>
          <w:rStyle w:val="FootnoteReference"/>
        </w:rPr>
        <w:footnoteReference w:id="692"/>
      </w:r>
    </w:p>
    <w:p w:rsidR="00330E3D" w:rsidRPr="00330E3D" w:rsidRDefault="00330E3D" w:rsidP="00330E3D">
      <w:pPr>
        <w:pStyle w:val="AERquote"/>
      </w:pPr>
      <w:r>
        <w:rPr>
          <w:rFonts w:eastAsiaTheme="minorHAnsi"/>
        </w:rPr>
        <w:t xml:space="preserve">While some Asset Works may have been found not to be required, or at least not to be required in that timeframe, and may therefore have been “prudently deferred”, SP AusNet has nevertheless recovered revenue to undertake this work in the current </w:t>
      </w:r>
      <w:r w:rsidRPr="00330E3D">
        <w:rPr>
          <w:rFonts w:eastAsiaTheme="minorHAnsi"/>
        </w:rPr>
        <w:t>RCP. And it is further seeking revenues to undertake what to some extent is the same</w:t>
      </w:r>
      <w:r>
        <w:rPr>
          <w:rFonts w:eastAsiaTheme="minorHAnsi"/>
        </w:rPr>
        <w:t xml:space="preserve"> </w:t>
      </w:r>
      <w:r w:rsidRPr="00330E3D">
        <w:rPr>
          <w:rFonts w:eastAsiaTheme="minorHAnsi"/>
        </w:rPr>
        <w:t>work, in the next RCP. It appears to us that there is a clear issue of “double dipping”</w:t>
      </w:r>
      <w:r>
        <w:rPr>
          <w:rFonts w:eastAsiaTheme="minorHAnsi"/>
        </w:rPr>
        <w:t xml:space="preserve"> </w:t>
      </w:r>
      <w:r w:rsidRPr="00330E3D">
        <w:rPr>
          <w:rFonts w:eastAsiaTheme="minorHAnsi"/>
        </w:rPr>
        <w:t>here. Moreover, the amount is substantial: SP AusNet proposed that it needed</w:t>
      </w:r>
      <w:r>
        <w:rPr>
          <w:rFonts w:eastAsiaTheme="minorHAnsi"/>
        </w:rPr>
        <w:t xml:space="preserve"> </w:t>
      </w:r>
      <w:r w:rsidRPr="00330E3D">
        <w:rPr>
          <w:rFonts w:eastAsiaTheme="minorHAnsi"/>
        </w:rPr>
        <w:t>$100.1m57 but underspent this by $45.8m</w:t>
      </w:r>
      <w:r>
        <w:rPr>
          <w:rFonts w:eastAsiaTheme="minorHAnsi"/>
        </w:rPr>
        <w:t>….</w:t>
      </w:r>
    </w:p>
    <w:p w:rsidR="003E3D15" w:rsidRDefault="003E3D15" w:rsidP="003E3D15">
      <w:pPr>
        <w:pStyle w:val="AERquote"/>
      </w:pPr>
      <w:r>
        <w:t>We bring this matter to the AER’s attention as Technical Advisors, since the implications of under achieving previously accepted opex asset works appears to lead to a regulatory anomaly under the current Rules.</w:t>
      </w:r>
    </w:p>
    <w:p w:rsidR="003E3D15" w:rsidRDefault="003E3D15" w:rsidP="003E3D15">
      <w:pPr>
        <w:pStyle w:val="AERbodytext"/>
        <w:numPr>
          <w:ilvl w:val="0"/>
          <w:numId w:val="0"/>
        </w:numPr>
      </w:pPr>
      <w:r>
        <w:t xml:space="preserve">We consider that there is not an anomaly under the NER if the revealed cost approach is used to forecast controllable opex. However, if a hybrid approach is used, as proposed by SP AusNet, then SP AusNet will be over compensated in this case. We have addressed this issue in this appendix. Given the application of the revealed costs approach to asset works in a manner consistent with the EBSS was not within its terms of reference, EMCa did not assess this issue further. </w:t>
      </w:r>
    </w:p>
    <w:p w:rsidR="003E3D15" w:rsidRDefault="003E3D15" w:rsidP="003E3D15">
      <w:pPr>
        <w:pStyle w:val="AERbodytext"/>
        <w:numPr>
          <w:ilvl w:val="0"/>
          <w:numId w:val="0"/>
        </w:numPr>
      </w:pPr>
      <w:r>
        <w:t>EMCa did, however, assess the reasons for SP AusNet’s underspend in the 2008–14 regulatory control period. It estimated that:</w:t>
      </w:r>
    </w:p>
    <w:p w:rsidR="003E3D15" w:rsidRPr="0043317F" w:rsidRDefault="003E3D15" w:rsidP="003E3D15">
      <w:pPr>
        <w:pStyle w:val="AERbulletlistfirststyle"/>
      </w:pPr>
      <w:r w:rsidRPr="0043317F">
        <w:t xml:space="preserve">forecasting inaccuracies contributed </w:t>
      </w:r>
      <w:r>
        <w:t>$26.6 million to the underspend</w:t>
      </w:r>
      <w:r w:rsidRPr="0043317F">
        <w:rPr>
          <w:rStyle w:val="FootnoteReference"/>
          <w:rFonts w:cs="Gautami"/>
          <w:szCs w:val="20"/>
        </w:rPr>
        <w:footnoteReference w:id="693"/>
      </w:r>
      <w:r w:rsidRPr="0043317F">
        <w:t xml:space="preserve"> </w:t>
      </w:r>
    </w:p>
    <w:p w:rsidR="003E3D15" w:rsidRPr="0043317F" w:rsidRDefault="003E3D15" w:rsidP="003E3D15">
      <w:pPr>
        <w:pStyle w:val="AERbulletlistfirststyle"/>
      </w:pPr>
      <w:r w:rsidRPr="0043317F">
        <w:t>defer</w:t>
      </w:r>
      <w:r>
        <w:t>red asset works contributed $13.9 million to the underspend</w:t>
      </w:r>
      <w:r w:rsidRPr="0043317F">
        <w:rPr>
          <w:rStyle w:val="FootnoteReference"/>
          <w:rFonts w:cs="Gautami"/>
          <w:szCs w:val="20"/>
        </w:rPr>
        <w:footnoteReference w:id="694"/>
      </w:r>
      <w:r w:rsidRPr="0043317F">
        <w:t xml:space="preserve"> </w:t>
      </w:r>
    </w:p>
    <w:p w:rsidR="003E3D15" w:rsidRDefault="003E3D15" w:rsidP="003E3D15">
      <w:pPr>
        <w:pStyle w:val="AERbulletlistfirststyle"/>
      </w:pPr>
      <w:r w:rsidRPr="0043317F">
        <w:t>capitalised asset works contributed</w:t>
      </w:r>
      <w:r>
        <w:t xml:space="preserve"> $7.3 million to the underspend.</w:t>
      </w:r>
      <w:r w:rsidRPr="0043317F">
        <w:rPr>
          <w:rStyle w:val="FootnoteReference"/>
          <w:rFonts w:cs="Gautami"/>
          <w:szCs w:val="20"/>
        </w:rPr>
        <w:footnoteReference w:id="695"/>
      </w:r>
    </w:p>
    <w:p w:rsidR="003E3D15" w:rsidRDefault="003E3D15" w:rsidP="003E3D15">
      <w:pPr>
        <w:pStyle w:val="AERbodytext"/>
        <w:numPr>
          <w:ilvl w:val="0"/>
          <w:numId w:val="0"/>
        </w:numPr>
      </w:pPr>
      <w:r>
        <w:t xml:space="preserve">EMCa assessed SP AusNet’s corrosion risk mitigation step change (but not the overhead line condition assessment step change and communications infrastructure step change) in conjunction with the asset works opex. </w:t>
      </w:r>
    </w:p>
    <w:p w:rsidR="003E3D15" w:rsidRDefault="003E3D15" w:rsidP="003E3D15">
      <w:pPr>
        <w:pStyle w:val="HeadingBoldBlue"/>
      </w:pPr>
      <w:r>
        <w:lastRenderedPageBreak/>
        <w:t>General concerns with SP AusNet’s asset works forecast</w:t>
      </w:r>
    </w:p>
    <w:p w:rsidR="003E3D15" w:rsidRDefault="003E3D15" w:rsidP="003E3D15">
      <w:pPr>
        <w:pStyle w:val="AERbodytext"/>
        <w:numPr>
          <w:ilvl w:val="0"/>
          <w:numId w:val="0"/>
        </w:numPr>
      </w:pPr>
      <w:r>
        <w:t>EMCa expressed some general concerns with SP AusNet’s asset works forecast. In particular, EMCa stated that:</w:t>
      </w:r>
      <w:r>
        <w:rPr>
          <w:rStyle w:val="FootnoteReference"/>
        </w:rPr>
        <w:footnoteReference w:id="696"/>
      </w:r>
    </w:p>
    <w:p w:rsidR="003E3D15" w:rsidRPr="007A4AC2" w:rsidRDefault="003E3D15" w:rsidP="003E3D15">
      <w:pPr>
        <w:pStyle w:val="AERquote"/>
      </w:pPr>
      <w:r w:rsidRPr="00271858">
        <w:t>It is difficult, given information on the current regulatory control period, to have a high degree of confidence in SP AusNet’s asset works program budget for the next regulatory control period.  Our view is that the significant variance to budget can be ascribed to one or a combination of factors and we have no evidence to suggest that these factors have materially changed. These include:</w:t>
      </w:r>
    </w:p>
    <w:p w:rsidR="003E3D15" w:rsidRPr="00667BE0" w:rsidRDefault="003E3D15" w:rsidP="003E3D15">
      <w:pPr>
        <w:pStyle w:val="AERquoteindent1"/>
        <w:numPr>
          <w:ilvl w:val="0"/>
          <w:numId w:val="22"/>
        </w:numPr>
      </w:pPr>
      <w:r w:rsidRPr="00667BE0">
        <w:t>That the need was conservatively over-estimated</w:t>
      </w:r>
    </w:p>
    <w:p w:rsidR="003E3D15" w:rsidRPr="00667BE0" w:rsidRDefault="003E3D15" w:rsidP="003E3D15">
      <w:pPr>
        <w:pStyle w:val="AERquoteindent1"/>
        <w:numPr>
          <w:ilvl w:val="0"/>
          <w:numId w:val="22"/>
        </w:numPr>
      </w:pPr>
      <w:r w:rsidRPr="00667BE0">
        <w:t>That the unit costs for the program were conservatively over-estimated</w:t>
      </w:r>
    </w:p>
    <w:p w:rsidR="003E3D15" w:rsidRPr="00667BE0" w:rsidRDefault="003E3D15" w:rsidP="003E3D15">
      <w:pPr>
        <w:pStyle w:val="AERquoteindent1"/>
        <w:numPr>
          <w:ilvl w:val="0"/>
          <w:numId w:val="22"/>
        </w:numPr>
      </w:pPr>
      <w:r>
        <w:t>T</w:t>
      </w:r>
      <w:r w:rsidRPr="00667BE0">
        <w:t>hat needs that were reasonably estimated based on information available at the time of proposing for an RCP tend to be later found not to exist, or to be less than has been reasonably estimated</w:t>
      </w:r>
    </w:p>
    <w:p w:rsidR="003E3D15" w:rsidRPr="00667BE0" w:rsidRDefault="003E3D15" w:rsidP="003E3D15">
      <w:pPr>
        <w:pStyle w:val="AERquoteindent1"/>
        <w:numPr>
          <w:ilvl w:val="0"/>
          <w:numId w:val="22"/>
        </w:numPr>
      </w:pPr>
      <w:r w:rsidRPr="00667BE0">
        <w:t xml:space="preserve">Noting that recurrent expenditure was considerably higher than was proposed, starting from the first year of the current </w:t>
      </w:r>
      <w:r>
        <w:t>regulatory control period</w:t>
      </w:r>
      <w:r w:rsidRPr="00667BE0">
        <w:t xml:space="preserve">, it is possible that work that was proposed as asset works has in fact been undertaken under recurrent maintenance, or has been capitalised.    In either case, this would be a concern as, unless adjusted for, it leads to “double dipping”.  Other than in the specific instances referred to above, we have not found further evidence for this, however it would require a regulatory accounting audit of current </w:t>
      </w:r>
      <w:r>
        <w:t>regulatory control period</w:t>
      </w:r>
      <w:r w:rsidRPr="00667BE0">
        <w:t xml:space="preserve"> expenditure to unequivocally rule out this possibility and it indicates a need to focus on expenditure categorisation in regulatory accounting;</w:t>
      </w:r>
    </w:p>
    <w:p w:rsidR="003E3D15" w:rsidRDefault="003E3D15" w:rsidP="003E3D15">
      <w:pPr>
        <w:pStyle w:val="AERquoteindent1"/>
        <w:numPr>
          <w:ilvl w:val="0"/>
          <w:numId w:val="22"/>
        </w:numPr>
      </w:pPr>
      <w:r w:rsidRPr="00667BE0">
        <w:t>That SP AusNet has held over work that reasonably should have been done, in order to obtain the three-pronged benefits of (a) increased profit and increased cash</w:t>
      </w:r>
      <w:r>
        <w:t>-</w:t>
      </w:r>
      <w:r w:rsidRPr="00667BE0">
        <w:t xml:space="preserve">flow within the regulatory period (since revenue was not reduced for the work not done), (b) an EBSS efficiency benefit and (c) obtaining an allowance for the same work to be undertaken in its proposal for the next </w:t>
      </w:r>
      <w:r>
        <w:t>regulatory control period</w:t>
      </w:r>
      <w:r w:rsidRPr="00667BE0">
        <w:t xml:space="preserve">. </w:t>
      </w:r>
    </w:p>
    <w:p w:rsidR="003E3D15" w:rsidRDefault="003E3D15" w:rsidP="003E3D15">
      <w:pPr>
        <w:pStyle w:val="AERbodytext"/>
        <w:numPr>
          <w:ilvl w:val="0"/>
          <w:numId w:val="13"/>
        </w:numPr>
      </w:pPr>
      <w:r>
        <w:t>EMCa also noted:</w:t>
      </w:r>
      <w:r>
        <w:rPr>
          <w:rStyle w:val="FootnoteReference"/>
        </w:rPr>
        <w:footnoteReference w:id="697"/>
      </w:r>
    </w:p>
    <w:p w:rsidR="003E3D15" w:rsidRDefault="003E3D15" w:rsidP="003E3D15">
      <w:pPr>
        <w:pStyle w:val="AERquote"/>
      </w:pPr>
      <w:r w:rsidRPr="00A1277E">
        <w:t>Whilst we have seen evidence that SP AusNet apply top down assessments and adjustments to the bottom up derived expenditure estimates, we have remaining concerns that this has been insufficient. Our concerns are significantly influenced by</w:t>
      </w:r>
      <w:r>
        <w:t xml:space="preserve"> our</w:t>
      </w:r>
      <w:r w:rsidRPr="00A1277E">
        <w:t xml:space="preserve"> review of </w:t>
      </w:r>
      <w:r>
        <w:t xml:space="preserve">expenditure </w:t>
      </w:r>
      <w:r w:rsidRPr="00A1277E">
        <w:t xml:space="preserve">outcomes in the current RCP, which in many areas fall well short of what SP AusNet projected in 2007/08. </w:t>
      </w:r>
    </w:p>
    <w:p w:rsidR="003E3D15" w:rsidRDefault="003E3D15" w:rsidP="003E3D15">
      <w:pPr>
        <w:pStyle w:val="AERquote"/>
      </w:pPr>
      <w:r>
        <w:t xml:space="preserve">We suggest that SP AusNet could improve the validity of outcomes from its otherwise sound asset management framework, by addressing these issues, and thereby </w:t>
      </w:r>
      <w:r w:rsidRPr="00A1277E">
        <w:t>develop</w:t>
      </w:r>
      <w:r>
        <w:t>ing</w:t>
      </w:r>
      <w:r w:rsidRPr="00A1277E">
        <w:t xml:space="preserve"> expenditure forecasts that </w:t>
      </w:r>
      <w:r>
        <w:t xml:space="preserve">better </w:t>
      </w:r>
      <w:r w:rsidRPr="00A1277E">
        <w:t>reflect what is likely to be spent</w:t>
      </w:r>
      <w:r>
        <w:rPr>
          <w:rStyle w:val="CommentReference"/>
          <w:rFonts w:ascii="Times New Roman" w:eastAsia="SimSun" w:hAnsi="Times New Roman"/>
        </w:rPr>
        <w:t xml:space="preserve">. </w:t>
      </w:r>
      <w:r w:rsidRPr="00A1277E">
        <w:t>T</w:t>
      </w:r>
      <w:r>
        <w:t>his could be assisted by obtaining a more strategic-level review of expenditure proposals, to strengthen the governance process.</w:t>
      </w:r>
    </w:p>
    <w:p w:rsidR="003E3D15" w:rsidRDefault="003E3D15" w:rsidP="003E3D15">
      <w:pPr>
        <w:pStyle w:val="HeadingBoldBlue"/>
      </w:pPr>
      <w:r>
        <w:t>Asset works and corrosion risk mitigation step change</w:t>
      </w:r>
    </w:p>
    <w:p w:rsidR="003E3D15" w:rsidRDefault="003E3D15" w:rsidP="003E3D15">
      <w:pPr>
        <w:pStyle w:val="AERbodytext"/>
        <w:numPr>
          <w:ilvl w:val="0"/>
          <w:numId w:val="0"/>
        </w:numPr>
      </w:pPr>
      <w:r>
        <w:t>EMCa reviewed the corrosion risk mitigation step change and considered it reasonable in scope and cost. However, it considered the step change did not represent an ongoing step change. EMCa therefore included its corrosion risk mitigation opex within its assessment of SP AusNet’s asset works. EMCa also noted that SP AusNet had completed a significantly lower amount of tower repainting in the 2008–14 regulatory control period than it had forecast. While it considered the tower corrosion risk mitigation program to be appropriately costed, EMCa noted that SP AusNet was reproposing tower painting as a step change to recurrent opex for work that it did not do in the current period.</w:t>
      </w:r>
      <w:r>
        <w:rPr>
          <w:rStyle w:val="FootnoteReference"/>
        </w:rPr>
        <w:footnoteReference w:id="698"/>
      </w:r>
      <w:r>
        <w:t xml:space="preserve"> This was on top of other asset works that SP AusNet had deferred and was reproposing. This totalled </w:t>
      </w:r>
      <w:r>
        <w:lastRenderedPageBreak/>
        <w:t>$21.1 million of work that SP AusNet had deferred or not completed, for which it was again seeking opex.</w:t>
      </w:r>
      <w:r>
        <w:rPr>
          <w:rStyle w:val="FootnoteReference"/>
        </w:rPr>
        <w:footnoteReference w:id="699"/>
      </w:r>
      <w:r>
        <w:t xml:space="preserve"> </w:t>
      </w:r>
    </w:p>
    <w:p w:rsidR="003E3D15" w:rsidRDefault="003E3D15" w:rsidP="003E3D15">
      <w:pPr>
        <w:pStyle w:val="AERbodytext"/>
        <w:numPr>
          <w:ilvl w:val="0"/>
          <w:numId w:val="0"/>
        </w:numPr>
      </w:pPr>
      <w:r>
        <w:t>From its review of SP AusNet’s asset works forecast of $28.4 million forecast, EMCa recommended a reduction of $7.9 million to $20.5 million.</w:t>
      </w:r>
      <w:r>
        <w:rPr>
          <w:rStyle w:val="FootnoteReference"/>
        </w:rPr>
        <w:footnoteReference w:id="700"/>
      </w:r>
      <w:r>
        <w:t xml:space="preserve"> It considered SP AusNet’s forecast for several projects within asset works were not reasonable and recommended the adjustments shown in</w:t>
      </w:r>
      <w:r w:rsidR="007034EF">
        <w:t xml:space="preserve"> table E.3</w:t>
      </w:r>
      <w:r>
        <w:t xml:space="preserve">. </w:t>
      </w:r>
    </w:p>
    <w:p w:rsidR="003E3D15" w:rsidRDefault="007034EF" w:rsidP="00A565C7">
      <w:pPr>
        <w:pStyle w:val="Caption"/>
        <w:keepLines/>
      </w:pPr>
      <w:r>
        <w:t>Table E.3</w:t>
      </w:r>
      <w:r>
        <w:tab/>
      </w:r>
      <w:r w:rsidR="003E3D15">
        <w:t>EMCa reductions to SP AusNet’s asset works projects ($m, 2013–14)</w:t>
      </w:r>
    </w:p>
    <w:tbl>
      <w:tblPr>
        <w:tblStyle w:val="AERtable-text"/>
        <w:tblW w:w="0" w:type="auto"/>
        <w:tblLook w:val="04A0" w:firstRow="1" w:lastRow="0" w:firstColumn="1" w:lastColumn="0" w:noHBand="0" w:noVBand="1"/>
      </w:tblPr>
      <w:tblGrid>
        <w:gridCol w:w="2660"/>
        <w:gridCol w:w="1134"/>
        <w:gridCol w:w="1276"/>
        <w:gridCol w:w="4172"/>
      </w:tblGrid>
      <w:tr w:rsidR="003E3D15" w:rsidRPr="00A565C7" w:rsidTr="00102785">
        <w:trPr>
          <w:cnfStyle w:val="100000000000" w:firstRow="1" w:lastRow="0" w:firstColumn="0" w:lastColumn="0" w:oddVBand="0" w:evenVBand="0" w:oddHBand="0" w:evenHBand="0" w:firstRowFirstColumn="0" w:firstRowLastColumn="0" w:lastRowFirstColumn="0" w:lastRowLastColumn="0"/>
        </w:trPr>
        <w:tc>
          <w:tcPr>
            <w:tcW w:w="2660" w:type="dxa"/>
          </w:tcPr>
          <w:p w:rsidR="003E3D15" w:rsidRPr="00A565C7" w:rsidRDefault="003E3D15" w:rsidP="00A565C7">
            <w:pPr>
              <w:pStyle w:val="AERtabletextleft"/>
              <w:keepNext/>
              <w:keepLines/>
            </w:pPr>
            <w:r w:rsidRPr="00A565C7">
              <w:t>Project name</w:t>
            </w:r>
          </w:p>
        </w:tc>
        <w:tc>
          <w:tcPr>
            <w:tcW w:w="1134" w:type="dxa"/>
          </w:tcPr>
          <w:p w:rsidR="003E3D15" w:rsidRPr="00A565C7" w:rsidRDefault="003E3D15" w:rsidP="00A565C7">
            <w:pPr>
              <w:pStyle w:val="AERtabletextright"/>
              <w:keepNext/>
              <w:keepLines/>
            </w:pPr>
            <w:r w:rsidRPr="00A565C7">
              <w:t>SP AusNet</w:t>
            </w:r>
            <w:r w:rsidRPr="00A565C7">
              <w:rPr>
                <w:rFonts w:hint="eastAsia"/>
              </w:rPr>
              <w:t>’</w:t>
            </w:r>
            <w:r w:rsidRPr="00A565C7">
              <w:t>s proposal</w:t>
            </w:r>
          </w:p>
        </w:tc>
        <w:tc>
          <w:tcPr>
            <w:tcW w:w="1276" w:type="dxa"/>
          </w:tcPr>
          <w:p w:rsidR="003E3D15" w:rsidRPr="00A565C7" w:rsidRDefault="003E3D15" w:rsidP="00A565C7">
            <w:pPr>
              <w:pStyle w:val="AERtabletextright"/>
              <w:keepNext/>
              <w:keepLines/>
            </w:pPr>
            <w:r w:rsidRPr="00A565C7">
              <w:t>EMCa</w:t>
            </w:r>
            <w:r w:rsidRPr="00A565C7">
              <w:rPr>
                <w:rFonts w:hint="eastAsia"/>
              </w:rPr>
              <w:t>’</w:t>
            </w:r>
            <w:r w:rsidRPr="00A565C7">
              <w:t>s adjusted forecast</w:t>
            </w:r>
          </w:p>
        </w:tc>
        <w:tc>
          <w:tcPr>
            <w:tcW w:w="4172" w:type="dxa"/>
          </w:tcPr>
          <w:p w:rsidR="003E3D15" w:rsidRPr="00A565C7" w:rsidRDefault="003E3D15" w:rsidP="00A565C7">
            <w:pPr>
              <w:pStyle w:val="AERtabletextleft"/>
              <w:keepNext/>
              <w:keepLines/>
            </w:pPr>
            <w:r w:rsidRPr="00A565C7">
              <w:t>Reason for reduction</w:t>
            </w:r>
          </w:p>
        </w:tc>
      </w:tr>
      <w:tr w:rsidR="003E3D15" w:rsidRPr="00A565C7" w:rsidTr="00102785">
        <w:tc>
          <w:tcPr>
            <w:tcW w:w="2660" w:type="dxa"/>
          </w:tcPr>
          <w:p w:rsidR="003E3D15" w:rsidRPr="00A565C7" w:rsidRDefault="003E3D15" w:rsidP="00A565C7">
            <w:pPr>
              <w:pStyle w:val="AERtabletextleft"/>
              <w:keepNext/>
              <w:keepLines/>
            </w:pPr>
            <w:r w:rsidRPr="00A565C7">
              <w:t xml:space="preserve">Tower corrosion </w:t>
            </w:r>
            <w:r w:rsidRPr="00A565C7">
              <w:rPr>
                <w:rFonts w:hint="eastAsia"/>
              </w:rPr>
              <w:t>–</w:t>
            </w:r>
            <w:r w:rsidRPr="00A565C7">
              <w:t xml:space="preserve"> ground level</w:t>
            </w:r>
          </w:p>
        </w:tc>
        <w:tc>
          <w:tcPr>
            <w:tcW w:w="1134" w:type="dxa"/>
          </w:tcPr>
          <w:p w:rsidR="003E3D15" w:rsidRPr="00A565C7" w:rsidRDefault="003E3D15" w:rsidP="00A565C7">
            <w:pPr>
              <w:pStyle w:val="AERtabletextright"/>
              <w:keepNext/>
              <w:keepLines/>
            </w:pPr>
            <w:r w:rsidRPr="00A565C7">
              <w:t>5.2</w:t>
            </w:r>
          </w:p>
        </w:tc>
        <w:tc>
          <w:tcPr>
            <w:tcW w:w="1276" w:type="dxa"/>
          </w:tcPr>
          <w:p w:rsidR="003E3D15" w:rsidRPr="00A565C7" w:rsidRDefault="003E3D15" w:rsidP="00A565C7">
            <w:pPr>
              <w:pStyle w:val="AERtabletextright"/>
              <w:keepNext/>
              <w:keepLines/>
            </w:pPr>
            <w:r w:rsidRPr="00A565C7">
              <w:t>1.2</w:t>
            </w:r>
          </w:p>
        </w:tc>
        <w:tc>
          <w:tcPr>
            <w:tcW w:w="4172" w:type="dxa"/>
          </w:tcPr>
          <w:p w:rsidR="003E3D15" w:rsidRPr="00A565C7" w:rsidRDefault="003E3D15" w:rsidP="00A565C7">
            <w:pPr>
              <w:pStyle w:val="AERtabletextleft"/>
              <w:keepNext/>
              <w:keepLines/>
            </w:pPr>
            <w:r w:rsidRPr="00A565C7">
              <w:t>EMCa saw no reason for the proposed increase from $0.1 million in 2013</w:t>
            </w:r>
            <w:r w:rsidRPr="00A565C7">
              <w:rPr>
                <w:rFonts w:hint="eastAsia"/>
              </w:rPr>
              <w:t>–</w:t>
            </w:r>
            <w:r w:rsidRPr="00A565C7">
              <w:t>14 to $1.8 million. It considered the works would continue at a similar level as during the 2008</w:t>
            </w:r>
            <w:r w:rsidRPr="00A565C7">
              <w:rPr>
                <w:rFonts w:hint="eastAsia"/>
              </w:rPr>
              <w:t>–</w:t>
            </w:r>
            <w:r w:rsidRPr="00A565C7">
              <w:t xml:space="preserve">14 period. </w:t>
            </w:r>
          </w:p>
        </w:tc>
      </w:tr>
      <w:tr w:rsidR="003E3D15" w:rsidRPr="00A565C7" w:rsidTr="00102785">
        <w:trPr>
          <w:cnfStyle w:val="000000010000" w:firstRow="0" w:lastRow="0" w:firstColumn="0" w:lastColumn="0" w:oddVBand="0" w:evenVBand="0" w:oddHBand="0" w:evenHBand="1" w:firstRowFirstColumn="0" w:firstRowLastColumn="0" w:lastRowFirstColumn="0" w:lastRowLastColumn="0"/>
        </w:trPr>
        <w:tc>
          <w:tcPr>
            <w:tcW w:w="2660" w:type="dxa"/>
          </w:tcPr>
          <w:p w:rsidR="003E3D15" w:rsidRPr="00A565C7" w:rsidRDefault="003E3D15" w:rsidP="00A565C7">
            <w:pPr>
              <w:pStyle w:val="AERtabletextleft"/>
              <w:keepNext/>
              <w:keepLines/>
            </w:pPr>
            <w:r w:rsidRPr="00A565C7">
              <w:t>Transformer and CT failure risk</w:t>
            </w:r>
          </w:p>
        </w:tc>
        <w:tc>
          <w:tcPr>
            <w:tcW w:w="1134" w:type="dxa"/>
          </w:tcPr>
          <w:p w:rsidR="003E3D15" w:rsidRPr="00A565C7" w:rsidRDefault="003E3D15" w:rsidP="00A565C7">
            <w:pPr>
              <w:pStyle w:val="AERtabletextright"/>
              <w:keepNext/>
              <w:keepLines/>
            </w:pPr>
            <w:r w:rsidRPr="00A565C7">
              <w:t>5.3</w:t>
            </w:r>
          </w:p>
        </w:tc>
        <w:tc>
          <w:tcPr>
            <w:tcW w:w="1276" w:type="dxa"/>
          </w:tcPr>
          <w:p w:rsidR="003E3D15" w:rsidRPr="00A565C7" w:rsidRDefault="003E3D15" w:rsidP="00A565C7">
            <w:pPr>
              <w:pStyle w:val="AERtabletextright"/>
              <w:keepNext/>
              <w:keepLines/>
            </w:pPr>
            <w:r w:rsidRPr="00A565C7">
              <w:t>1.9</w:t>
            </w:r>
          </w:p>
        </w:tc>
        <w:tc>
          <w:tcPr>
            <w:tcW w:w="4172" w:type="dxa"/>
          </w:tcPr>
          <w:p w:rsidR="003E3D15" w:rsidRPr="00A565C7" w:rsidRDefault="003E3D15" w:rsidP="00A565C7">
            <w:pPr>
              <w:pStyle w:val="AERtabletextleft"/>
              <w:keepNext/>
              <w:keepLines/>
            </w:pPr>
            <w:r w:rsidRPr="00A565C7">
              <w:t xml:space="preserve">EMCa considered $3.4 million of the proposed work is capex. </w:t>
            </w:r>
          </w:p>
        </w:tc>
      </w:tr>
      <w:tr w:rsidR="003E3D15" w:rsidRPr="00A565C7" w:rsidTr="00102785">
        <w:tc>
          <w:tcPr>
            <w:tcW w:w="2660" w:type="dxa"/>
          </w:tcPr>
          <w:p w:rsidR="003E3D15" w:rsidRPr="00A565C7" w:rsidRDefault="003E3D15" w:rsidP="00A565C7">
            <w:pPr>
              <w:pStyle w:val="AERtabletextleft"/>
              <w:keepNext/>
              <w:keepLines/>
            </w:pPr>
            <w:r w:rsidRPr="00A565C7">
              <w:t>Transmission line hardware and replacement of tower steelwork</w:t>
            </w:r>
          </w:p>
        </w:tc>
        <w:tc>
          <w:tcPr>
            <w:tcW w:w="1134" w:type="dxa"/>
          </w:tcPr>
          <w:p w:rsidR="003E3D15" w:rsidRPr="00A565C7" w:rsidRDefault="003E3D15" w:rsidP="00A565C7">
            <w:pPr>
              <w:pStyle w:val="AERtabletextright"/>
              <w:keepNext/>
              <w:keepLines/>
            </w:pPr>
            <w:r w:rsidRPr="00A565C7">
              <w:t>1.7</w:t>
            </w:r>
          </w:p>
        </w:tc>
        <w:tc>
          <w:tcPr>
            <w:tcW w:w="1276" w:type="dxa"/>
          </w:tcPr>
          <w:p w:rsidR="003E3D15" w:rsidRPr="00A565C7" w:rsidRDefault="003E3D15" w:rsidP="00A565C7">
            <w:pPr>
              <w:pStyle w:val="AERtabletextright"/>
              <w:keepNext/>
              <w:keepLines/>
            </w:pPr>
            <w:r w:rsidRPr="00A565C7">
              <w:t>1.2</w:t>
            </w:r>
          </w:p>
        </w:tc>
        <w:tc>
          <w:tcPr>
            <w:tcW w:w="4172" w:type="dxa"/>
          </w:tcPr>
          <w:p w:rsidR="003E3D15" w:rsidRPr="00A565C7" w:rsidRDefault="003E3D15" w:rsidP="00A565C7">
            <w:pPr>
              <w:pStyle w:val="AERtabletextleft"/>
              <w:keepNext/>
              <w:keepLines/>
            </w:pPr>
            <w:r w:rsidRPr="00A565C7">
              <w:t>EMCa noted less work was undertaken in the 2008</w:t>
            </w:r>
            <w:r w:rsidRPr="00A565C7">
              <w:rPr>
                <w:rFonts w:hint="eastAsia"/>
              </w:rPr>
              <w:t>–</w:t>
            </w:r>
            <w:r w:rsidRPr="00A565C7">
              <w:t xml:space="preserve">14 period, but even less cost was incurred. It found these categories were likely overestimated. </w:t>
            </w:r>
          </w:p>
        </w:tc>
      </w:tr>
    </w:tbl>
    <w:p w:rsidR="003E3D15" w:rsidRDefault="003E3D15" w:rsidP="00A565C7">
      <w:pPr>
        <w:pStyle w:val="AERtablesource"/>
      </w:pPr>
      <w:r>
        <w:t xml:space="preserve">Source: EMCa, </w:t>
      </w:r>
      <w:r w:rsidRPr="001F649B">
        <w:rPr>
          <w:rStyle w:val="AERtextitalic"/>
        </w:rPr>
        <w:t>SP AusNet technical review</w:t>
      </w:r>
      <w:r>
        <w:t xml:space="preserve">, </w:t>
      </w:r>
      <w:r w:rsidR="00DD4594">
        <w:t xml:space="preserve">August </w:t>
      </w:r>
      <w:r>
        <w:t xml:space="preserve">2013, pp. 90–2. </w:t>
      </w:r>
    </w:p>
    <w:p w:rsidR="003E3D15" w:rsidRDefault="003E3D15" w:rsidP="003E3D15">
      <w:pPr>
        <w:pStyle w:val="AERbodytext"/>
        <w:numPr>
          <w:ilvl w:val="0"/>
          <w:numId w:val="0"/>
        </w:numPr>
      </w:pPr>
      <w:r>
        <w:t>EMCa also assessed SP AusNet’s corrosion risk mitigation step change as part of asset works. It recommended accepting SP AusNet’s forecast but did not consider the work to be a step change. This increased the asset works forecast to $30.4 million, but EMCa considered SP AusNet could undertake the work within its proposed budget of $28.4 million.</w:t>
      </w:r>
      <w:r>
        <w:rPr>
          <w:rStyle w:val="FootnoteReference"/>
        </w:rPr>
        <w:footnoteReference w:id="701"/>
      </w:r>
      <w:r>
        <w:t xml:space="preserve"> EMCa also recommended we accept SP AusNet’s proposed step changes for overhead line condition assessment and communications infrastructure.</w:t>
      </w:r>
    </w:p>
    <w:p w:rsidR="003E3D15" w:rsidRDefault="003E3D15" w:rsidP="003E3D15">
      <w:pPr>
        <w:pStyle w:val="HeadingBoldBlue"/>
      </w:pPr>
      <w:r>
        <w:t>Overhead line condition assessment step change</w:t>
      </w:r>
    </w:p>
    <w:p w:rsidR="003E3D15" w:rsidRDefault="003E3D15" w:rsidP="003E3D15">
      <w:pPr>
        <w:pStyle w:val="AERbodytext"/>
        <w:numPr>
          <w:ilvl w:val="0"/>
          <w:numId w:val="0"/>
        </w:numPr>
      </w:pPr>
      <w:r>
        <w:t>EMCa reviewed the overhead line condition assessment step change and noted it was an existing program that began in 2013–14.</w:t>
      </w:r>
      <w:r>
        <w:rPr>
          <w:rStyle w:val="FootnoteReference"/>
        </w:rPr>
        <w:footnoteReference w:id="702"/>
      </w:r>
      <w:r>
        <w:t xml:space="preserve"> It considered the proposed program of work is consistent with good transmission asset management practice. It also considered the focused corrective maintenance resulting from such inspections will likely be justified by avoiding premature replacement and by extending transmission line asset lives. EMCa was satisfied that this work was not inherent in the base year, and therefore recommend</w:t>
      </w:r>
      <w:r w:rsidR="00A437BE">
        <w:t>ed</w:t>
      </w:r>
      <w:r>
        <w:t xml:space="preserve"> we accept the proposed step change.</w:t>
      </w:r>
      <w:r>
        <w:rPr>
          <w:rStyle w:val="FootnoteReference"/>
        </w:rPr>
        <w:footnoteReference w:id="703"/>
      </w:r>
      <w:r>
        <w:t xml:space="preserve"> </w:t>
      </w:r>
    </w:p>
    <w:p w:rsidR="003E3D15" w:rsidRDefault="003E3D15" w:rsidP="003E3D15">
      <w:pPr>
        <w:pStyle w:val="HeadingBoldBlue"/>
      </w:pPr>
      <w:r>
        <w:t>Communications infrastructure step change</w:t>
      </w:r>
    </w:p>
    <w:p w:rsidR="003E3D15" w:rsidRDefault="003E3D15" w:rsidP="003E3D15">
      <w:pPr>
        <w:pStyle w:val="AERbodytext"/>
        <w:numPr>
          <w:ilvl w:val="0"/>
          <w:numId w:val="0"/>
        </w:numPr>
      </w:pPr>
      <w:r>
        <w:t xml:space="preserve">EMCa noted that the costs associated with this proposed step change appeared to be driven by ongoing compliance obligations that have existed for many years (for example, complying with the Occupational Health and Safety Act 2004). However, EMCa considered the step change acceptable </w:t>
      </w:r>
      <w:r>
        <w:lastRenderedPageBreak/>
        <w:t>on the basis that communications expenditure was not included in SP AusNet’s base year and that it has only been included in asset works opex in the 2008–14 regulatory control period.</w:t>
      </w:r>
      <w:r>
        <w:rPr>
          <w:rStyle w:val="FootnoteReference"/>
        </w:rPr>
        <w:footnoteReference w:id="704"/>
      </w:r>
      <w:r>
        <w:t xml:space="preserve"> </w:t>
      </w:r>
    </w:p>
    <w:p w:rsidR="003E3D15" w:rsidRDefault="003E3D15" w:rsidP="003E3D15">
      <w:pPr>
        <w:pStyle w:val="Heading9"/>
        <w:numPr>
          <w:ilvl w:val="6"/>
          <w:numId w:val="20"/>
        </w:numPr>
      </w:pPr>
      <w:r>
        <w:t xml:space="preserve"> EMCa’s recommendation on asset works opex and related step changes </w:t>
      </w:r>
    </w:p>
    <w:p w:rsidR="003E3D15" w:rsidRDefault="003E3D15" w:rsidP="003E3D15">
      <w:pPr>
        <w:pStyle w:val="AERbodytext"/>
        <w:numPr>
          <w:ilvl w:val="0"/>
          <w:numId w:val="0"/>
        </w:numPr>
      </w:pPr>
      <w:r>
        <w:t xml:space="preserve">To compare EMCa’s recommendation with our assessment of asset works opex, EMCa’s recommendation for the asset works forecast </w:t>
      </w:r>
      <w:r w:rsidR="003F7753">
        <w:t>is presented with the</w:t>
      </w:r>
      <w:r>
        <w:t xml:space="preserve"> three related step changes. EMCa therefore recommended accepting:</w:t>
      </w:r>
    </w:p>
    <w:p w:rsidR="003E3D15" w:rsidRDefault="003E3D15" w:rsidP="003E3D15">
      <w:pPr>
        <w:pStyle w:val="AERbulletlistfirststyle"/>
      </w:pPr>
      <w:r>
        <w:t>an asset works forecast of $28.4 million (incorporating SP AusNet’s proposed corrosion risk mitigation step change)</w:t>
      </w:r>
    </w:p>
    <w:p w:rsidR="003E3D15" w:rsidRDefault="003E3D15" w:rsidP="003E3D15">
      <w:pPr>
        <w:pStyle w:val="AERbulletlistfirststyle"/>
      </w:pPr>
      <w:r>
        <w:t>Overhead condition assessment step change of $3.9 million</w:t>
      </w:r>
    </w:p>
    <w:p w:rsidR="003E3D15" w:rsidRDefault="003E3D15" w:rsidP="003E3D15">
      <w:pPr>
        <w:pStyle w:val="AERbulletlistfirststyle"/>
      </w:pPr>
      <w:r>
        <w:t xml:space="preserve">Communications infrastructure step change of $2.5 million. </w:t>
      </w:r>
    </w:p>
    <w:p w:rsidR="003E3D15" w:rsidRDefault="003E3D15" w:rsidP="003E3D15">
      <w:pPr>
        <w:pStyle w:val="AERbodytext"/>
        <w:numPr>
          <w:ilvl w:val="0"/>
          <w:numId w:val="0"/>
        </w:numPr>
      </w:pPr>
      <w:r>
        <w:t xml:space="preserve">These amounts come to a total asset works forecast of $34.9 million for SP AusNet’s </w:t>
      </w:r>
      <w:r w:rsidR="00150370">
        <w:t>total asset works opex forecast.</w:t>
      </w:r>
    </w:p>
    <w:p w:rsidR="003E3D15" w:rsidRDefault="00441FA6" w:rsidP="003E3D15">
      <w:pPr>
        <w:pStyle w:val="Caption"/>
      </w:pPr>
      <w:r>
        <w:t>Table E.4</w:t>
      </w:r>
      <w:r>
        <w:tab/>
      </w:r>
      <w:r w:rsidR="003E3D15">
        <w:t>EMCa’s assessment of SP AusNet’s total asset works opex ($m, 2013–14)</w:t>
      </w:r>
    </w:p>
    <w:tbl>
      <w:tblPr>
        <w:tblStyle w:val="AERtable-numbers"/>
        <w:tblW w:w="0" w:type="auto"/>
        <w:tblLook w:val="04A0" w:firstRow="1" w:lastRow="0" w:firstColumn="1" w:lastColumn="0" w:noHBand="0" w:noVBand="1"/>
      </w:tblPr>
      <w:tblGrid>
        <w:gridCol w:w="2783"/>
        <w:gridCol w:w="2220"/>
        <w:gridCol w:w="2185"/>
        <w:gridCol w:w="2054"/>
      </w:tblGrid>
      <w:tr w:rsidR="003F7753" w:rsidRPr="00180F57" w:rsidTr="003F77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3" w:type="dxa"/>
          </w:tcPr>
          <w:p w:rsidR="003F7753" w:rsidRPr="00A565C7" w:rsidRDefault="003F7753" w:rsidP="00A565C7">
            <w:pPr>
              <w:pStyle w:val="AERtabletextleft"/>
            </w:pPr>
          </w:p>
        </w:tc>
        <w:tc>
          <w:tcPr>
            <w:tcW w:w="2220" w:type="dxa"/>
          </w:tcPr>
          <w:p w:rsidR="003F7753" w:rsidRPr="00A565C7" w:rsidRDefault="003F7753" w:rsidP="00A565C7">
            <w:pPr>
              <w:pStyle w:val="AERtabletextright"/>
              <w:cnfStyle w:val="100000000000" w:firstRow="1" w:lastRow="0" w:firstColumn="0" w:lastColumn="0" w:oddVBand="0" w:evenVBand="0" w:oddHBand="0" w:evenHBand="0" w:firstRowFirstColumn="0" w:firstRowLastColumn="0" w:lastRowFirstColumn="0" w:lastRowLastColumn="0"/>
            </w:pPr>
            <w:r w:rsidRPr="00180F57">
              <w:t>SP AusNet total</w:t>
            </w:r>
          </w:p>
        </w:tc>
        <w:tc>
          <w:tcPr>
            <w:tcW w:w="2185" w:type="dxa"/>
          </w:tcPr>
          <w:p w:rsidR="003F7753" w:rsidRPr="00A565C7" w:rsidRDefault="003F7753" w:rsidP="00A565C7">
            <w:pPr>
              <w:pStyle w:val="AERtabletextright"/>
              <w:cnfStyle w:val="100000000000" w:firstRow="1" w:lastRow="0" w:firstColumn="0" w:lastColumn="0" w:oddVBand="0" w:evenVBand="0" w:oddHBand="0" w:evenHBand="0" w:firstRowFirstColumn="0" w:firstRowLastColumn="0" w:lastRowFirstColumn="0" w:lastRowLastColumn="0"/>
            </w:pPr>
            <w:r w:rsidRPr="00180F57">
              <w:t>EMCa total</w:t>
            </w:r>
          </w:p>
        </w:tc>
        <w:tc>
          <w:tcPr>
            <w:tcW w:w="2054" w:type="dxa"/>
          </w:tcPr>
          <w:p w:rsidR="003F7753" w:rsidRPr="00180F57" w:rsidRDefault="003F7753" w:rsidP="00A565C7">
            <w:pPr>
              <w:pStyle w:val="AERtabletextright"/>
              <w:cnfStyle w:val="100000000000" w:firstRow="1" w:lastRow="0" w:firstColumn="0" w:lastColumn="0" w:oddVBand="0" w:evenVBand="0" w:oddHBand="0" w:evenHBand="0" w:firstRowFirstColumn="0" w:firstRowLastColumn="0" w:lastRowFirstColumn="0" w:lastRowLastColumn="0"/>
            </w:pPr>
            <w:r>
              <w:t>AER total</w:t>
            </w:r>
          </w:p>
        </w:tc>
      </w:tr>
      <w:tr w:rsidR="003F7753" w:rsidRPr="00180F57" w:rsidTr="003F7753">
        <w:tc>
          <w:tcPr>
            <w:cnfStyle w:val="001000000000" w:firstRow="0" w:lastRow="0" w:firstColumn="1" w:lastColumn="0" w:oddVBand="0" w:evenVBand="0" w:oddHBand="0" w:evenHBand="0" w:firstRowFirstColumn="0" w:firstRowLastColumn="0" w:lastRowFirstColumn="0" w:lastRowLastColumn="0"/>
            <w:tcW w:w="2783" w:type="dxa"/>
          </w:tcPr>
          <w:p w:rsidR="003F7753" w:rsidRPr="00A565C7" w:rsidRDefault="003F7753" w:rsidP="00A565C7">
            <w:pPr>
              <w:pStyle w:val="AERtabletextleft"/>
            </w:pPr>
            <w:r w:rsidRPr="00180F57">
              <w:t>Asset works</w:t>
            </w:r>
          </w:p>
        </w:tc>
        <w:tc>
          <w:tcPr>
            <w:tcW w:w="2220" w:type="dxa"/>
          </w:tcPr>
          <w:p w:rsidR="003F7753" w:rsidRPr="00A565C7" w:rsidRDefault="003F7753" w:rsidP="00A565C7">
            <w:pPr>
              <w:pStyle w:val="AERtabletextright"/>
              <w:cnfStyle w:val="000000000000" w:firstRow="0" w:lastRow="0" w:firstColumn="0" w:lastColumn="0" w:oddVBand="0" w:evenVBand="0" w:oddHBand="0" w:evenHBand="0" w:firstRowFirstColumn="0" w:firstRowLastColumn="0" w:lastRowFirstColumn="0" w:lastRowLastColumn="0"/>
            </w:pPr>
            <w:r w:rsidRPr="00180F57">
              <w:t>24.6</w:t>
            </w:r>
          </w:p>
        </w:tc>
        <w:tc>
          <w:tcPr>
            <w:tcW w:w="2185" w:type="dxa"/>
          </w:tcPr>
          <w:p w:rsidR="003F7753" w:rsidRPr="00A565C7" w:rsidRDefault="003F7753" w:rsidP="00A565C7">
            <w:pPr>
              <w:pStyle w:val="AERtabletextright"/>
              <w:cnfStyle w:val="000000000000" w:firstRow="0" w:lastRow="0" w:firstColumn="0" w:lastColumn="0" w:oddVBand="0" w:evenVBand="0" w:oddHBand="0" w:evenHBand="0" w:firstRowFirstColumn="0" w:firstRowLastColumn="0" w:lastRowFirstColumn="0" w:lastRowLastColumn="0"/>
            </w:pPr>
            <w:r w:rsidRPr="00180F57">
              <w:t>28.4</w:t>
            </w:r>
          </w:p>
        </w:tc>
        <w:tc>
          <w:tcPr>
            <w:tcW w:w="2054" w:type="dxa"/>
          </w:tcPr>
          <w:p w:rsidR="003F7753" w:rsidRPr="00180F57" w:rsidRDefault="003F7753" w:rsidP="00A565C7">
            <w:pPr>
              <w:pStyle w:val="AERtabletextright"/>
              <w:cnfStyle w:val="000000000000" w:firstRow="0" w:lastRow="0" w:firstColumn="0" w:lastColumn="0" w:oddVBand="0" w:evenVBand="0" w:oddHBand="0" w:evenHBand="0" w:firstRowFirstColumn="0" w:firstRowLastColumn="0" w:lastRowFirstColumn="0" w:lastRowLastColumn="0"/>
            </w:pPr>
            <w:r>
              <w:t>12.3</w:t>
            </w:r>
          </w:p>
        </w:tc>
      </w:tr>
      <w:tr w:rsidR="003F7753" w:rsidRPr="00180F57" w:rsidTr="003F77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3" w:type="dxa"/>
          </w:tcPr>
          <w:p w:rsidR="003F7753" w:rsidRPr="00A565C7" w:rsidRDefault="003F7753" w:rsidP="00A565C7">
            <w:pPr>
              <w:pStyle w:val="AERtabletextleft"/>
            </w:pPr>
            <w:r w:rsidRPr="00180F57">
              <w:t>Asset works support</w:t>
            </w:r>
          </w:p>
        </w:tc>
        <w:tc>
          <w:tcPr>
            <w:tcW w:w="2220" w:type="dxa"/>
          </w:tcPr>
          <w:p w:rsidR="003F7753" w:rsidRPr="00A565C7" w:rsidRDefault="003F7753" w:rsidP="00A565C7">
            <w:pPr>
              <w:pStyle w:val="AERtabletextright"/>
              <w:cnfStyle w:val="000000010000" w:firstRow="0" w:lastRow="0" w:firstColumn="0" w:lastColumn="0" w:oddVBand="0" w:evenVBand="0" w:oddHBand="0" w:evenHBand="1" w:firstRowFirstColumn="0" w:firstRowLastColumn="0" w:lastRowFirstColumn="0" w:lastRowLastColumn="0"/>
            </w:pPr>
            <w:r w:rsidRPr="00180F57">
              <w:t>3.8</w:t>
            </w:r>
          </w:p>
        </w:tc>
        <w:tc>
          <w:tcPr>
            <w:tcW w:w="2185" w:type="dxa"/>
          </w:tcPr>
          <w:p w:rsidR="003F7753" w:rsidRPr="00A565C7" w:rsidRDefault="003F7753" w:rsidP="00A565C7">
            <w:pPr>
              <w:pStyle w:val="AERtabletextright"/>
              <w:cnfStyle w:val="000000010000" w:firstRow="0" w:lastRow="0" w:firstColumn="0" w:lastColumn="0" w:oddVBand="0" w:evenVBand="0" w:oddHBand="0" w:evenHBand="1" w:firstRowFirstColumn="0" w:firstRowLastColumn="0" w:lastRowFirstColumn="0" w:lastRowLastColumn="0"/>
            </w:pPr>
            <w:r w:rsidRPr="00180F57">
              <w:t>3.8</w:t>
            </w:r>
          </w:p>
        </w:tc>
        <w:tc>
          <w:tcPr>
            <w:tcW w:w="2054" w:type="dxa"/>
          </w:tcPr>
          <w:p w:rsidR="003F7753" w:rsidRPr="00180F57" w:rsidRDefault="003F7753" w:rsidP="00A565C7">
            <w:pPr>
              <w:pStyle w:val="AERtabletextright"/>
              <w:cnfStyle w:val="000000010000" w:firstRow="0" w:lastRow="0" w:firstColumn="0" w:lastColumn="0" w:oddVBand="0" w:evenVBand="0" w:oddHBand="0" w:evenHBand="1" w:firstRowFirstColumn="0" w:firstRowLastColumn="0" w:lastRowFirstColumn="0" w:lastRowLastColumn="0"/>
            </w:pPr>
            <w:r>
              <w:t>3.8</w:t>
            </w:r>
          </w:p>
        </w:tc>
      </w:tr>
      <w:tr w:rsidR="003F7753" w:rsidRPr="00180F57" w:rsidTr="003F7753">
        <w:tc>
          <w:tcPr>
            <w:cnfStyle w:val="001000000000" w:firstRow="0" w:lastRow="0" w:firstColumn="1" w:lastColumn="0" w:oddVBand="0" w:evenVBand="0" w:oddHBand="0" w:evenHBand="0" w:firstRowFirstColumn="0" w:firstRowLastColumn="0" w:lastRowFirstColumn="0" w:lastRowLastColumn="0"/>
            <w:tcW w:w="2783" w:type="dxa"/>
          </w:tcPr>
          <w:p w:rsidR="003F7753" w:rsidRPr="00A565C7" w:rsidRDefault="003F7753" w:rsidP="00A565C7">
            <w:pPr>
              <w:pStyle w:val="AERtabletextleft"/>
            </w:pPr>
            <w:r w:rsidRPr="00180F57">
              <w:t>Overhead lines condition assessment</w:t>
            </w:r>
          </w:p>
        </w:tc>
        <w:tc>
          <w:tcPr>
            <w:tcW w:w="2220" w:type="dxa"/>
          </w:tcPr>
          <w:p w:rsidR="003F7753" w:rsidRPr="00A565C7" w:rsidRDefault="003F7753" w:rsidP="00A565C7">
            <w:pPr>
              <w:pStyle w:val="AERtabletextright"/>
              <w:cnfStyle w:val="000000000000" w:firstRow="0" w:lastRow="0" w:firstColumn="0" w:lastColumn="0" w:oddVBand="0" w:evenVBand="0" w:oddHBand="0" w:evenHBand="0" w:firstRowFirstColumn="0" w:firstRowLastColumn="0" w:lastRowFirstColumn="0" w:lastRowLastColumn="0"/>
            </w:pPr>
            <w:r w:rsidRPr="00180F57">
              <w:t>3.9</w:t>
            </w:r>
          </w:p>
        </w:tc>
        <w:tc>
          <w:tcPr>
            <w:tcW w:w="2185" w:type="dxa"/>
          </w:tcPr>
          <w:p w:rsidR="003F7753" w:rsidRPr="00A565C7" w:rsidRDefault="003F7753" w:rsidP="00A565C7">
            <w:pPr>
              <w:pStyle w:val="AERtabletextright"/>
              <w:cnfStyle w:val="000000000000" w:firstRow="0" w:lastRow="0" w:firstColumn="0" w:lastColumn="0" w:oddVBand="0" w:evenVBand="0" w:oddHBand="0" w:evenHBand="0" w:firstRowFirstColumn="0" w:firstRowLastColumn="0" w:lastRowFirstColumn="0" w:lastRowLastColumn="0"/>
            </w:pPr>
            <w:r w:rsidRPr="00180F57">
              <w:t>3.9</w:t>
            </w:r>
          </w:p>
        </w:tc>
        <w:tc>
          <w:tcPr>
            <w:tcW w:w="2054" w:type="dxa"/>
          </w:tcPr>
          <w:p w:rsidR="003F7753" w:rsidRPr="00180F57" w:rsidRDefault="003F7753" w:rsidP="00A565C7">
            <w:pPr>
              <w:pStyle w:val="AERtabletextright"/>
              <w:cnfStyle w:val="000000000000" w:firstRow="0" w:lastRow="0" w:firstColumn="0" w:lastColumn="0" w:oddVBand="0" w:evenVBand="0" w:oddHBand="0" w:evenHBand="0" w:firstRowFirstColumn="0" w:firstRowLastColumn="0" w:lastRowFirstColumn="0" w:lastRowLastColumn="0"/>
            </w:pPr>
            <w:r>
              <w:t>0.0</w:t>
            </w:r>
          </w:p>
        </w:tc>
      </w:tr>
      <w:tr w:rsidR="003F7753" w:rsidRPr="00180F57" w:rsidTr="003F77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3" w:type="dxa"/>
          </w:tcPr>
          <w:p w:rsidR="003F7753" w:rsidRPr="00A565C7" w:rsidRDefault="003F7753" w:rsidP="00A565C7">
            <w:pPr>
              <w:pStyle w:val="AERtabletextleft"/>
            </w:pPr>
            <w:r w:rsidRPr="00180F57">
              <w:t>Corrosion risk mitigation</w:t>
            </w:r>
          </w:p>
        </w:tc>
        <w:tc>
          <w:tcPr>
            <w:tcW w:w="2220" w:type="dxa"/>
          </w:tcPr>
          <w:p w:rsidR="003F7753" w:rsidRPr="00A565C7" w:rsidRDefault="003F7753" w:rsidP="00A565C7">
            <w:pPr>
              <w:pStyle w:val="AERtabletextright"/>
              <w:cnfStyle w:val="000000010000" w:firstRow="0" w:lastRow="0" w:firstColumn="0" w:lastColumn="0" w:oddVBand="0" w:evenVBand="0" w:oddHBand="0" w:evenHBand="1" w:firstRowFirstColumn="0" w:firstRowLastColumn="0" w:lastRowFirstColumn="0" w:lastRowLastColumn="0"/>
            </w:pPr>
            <w:r w:rsidRPr="00180F57">
              <w:t>9.5</w:t>
            </w:r>
          </w:p>
        </w:tc>
        <w:tc>
          <w:tcPr>
            <w:tcW w:w="2185" w:type="dxa"/>
          </w:tcPr>
          <w:p w:rsidR="003F7753" w:rsidRPr="00A565C7" w:rsidRDefault="003F7753" w:rsidP="00A565C7">
            <w:pPr>
              <w:pStyle w:val="AERtabletextright"/>
              <w:cnfStyle w:val="000000010000" w:firstRow="0" w:lastRow="0" w:firstColumn="0" w:lastColumn="0" w:oddVBand="0" w:evenVBand="0" w:oddHBand="0" w:evenHBand="1" w:firstRowFirstColumn="0" w:firstRowLastColumn="0" w:lastRowFirstColumn="0" w:lastRowLastColumn="0"/>
            </w:pPr>
            <w:r w:rsidRPr="00180F57">
              <w:t>0.0</w:t>
            </w:r>
          </w:p>
        </w:tc>
        <w:tc>
          <w:tcPr>
            <w:tcW w:w="2054" w:type="dxa"/>
          </w:tcPr>
          <w:p w:rsidR="003F7753" w:rsidRPr="00180F57" w:rsidRDefault="003F7753" w:rsidP="00A565C7">
            <w:pPr>
              <w:pStyle w:val="AERtabletextright"/>
              <w:cnfStyle w:val="000000010000" w:firstRow="0" w:lastRow="0" w:firstColumn="0" w:lastColumn="0" w:oddVBand="0" w:evenVBand="0" w:oddHBand="0" w:evenHBand="1" w:firstRowFirstColumn="0" w:firstRowLastColumn="0" w:lastRowFirstColumn="0" w:lastRowLastColumn="0"/>
            </w:pPr>
            <w:r>
              <w:t>0.0</w:t>
            </w:r>
          </w:p>
        </w:tc>
      </w:tr>
      <w:tr w:rsidR="003F7753" w:rsidRPr="00180F57" w:rsidTr="003F7753">
        <w:tc>
          <w:tcPr>
            <w:cnfStyle w:val="001000000000" w:firstRow="0" w:lastRow="0" w:firstColumn="1" w:lastColumn="0" w:oddVBand="0" w:evenVBand="0" w:oddHBand="0" w:evenHBand="0" w:firstRowFirstColumn="0" w:firstRowLastColumn="0" w:lastRowFirstColumn="0" w:lastRowLastColumn="0"/>
            <w:tcW w:w="2783" w:type="dxa"/>
          </w:tcPr>
          <w:p w:rsidR="003F7753" w:rsidRPr="00A565C7" w:rsidRDefault="003F7753" w:rsidP="00A565C7">
            <w:pPr>
              <w:pStyle w:val="AERtabletextleft"/>
            </w:pPr>
            <w:r w:rsidRPr="00180F57">
              <w:t>Communications infrastructure</w:t>
            </w:r>
          </w:p>
        </w:tc>
        <w:tc>
          <w:tcPr>
            <w:tcW w:w="2220" w:type="dxa"/>
          </w:tcPr>
          <w:p w:rsidR="003F7753" w:rsidRPr="00A565C7" w:rsidRDefault="003F7753" w:rsidP="00A565C7">
            <w:pPr>
              <w:pStyle w:val="AERtabletextright"/>
              <w:cnfStyle w:val="000000000000" w:firstRow="0" w:lastRow="0" w:firstColumn="0" w:lastColumn="0" w:oddVBand="0" w:evenVBand="0" w:oddHBand="0" w:evenHBand="0" w:firstRowFirstColumn="0" w:firstRowLastColumn="0" w:lastRowFirstColumn="0" w:lastRowLastColumn="0"/>
            </w:pPr>
            <w:r w:rsidRPr="00180F57">
              <w:t>2.6</w:t>
            </w:r>
          </w:p>
        </w:tc>
        <w:tc>
          <w:tcPr>
            <w:tcW w:w="2185" w:type="dxa"/>
          </w:tcPr>
          <w:p w:rsidR="003F7753" w:rsidRPr="00A565C7" w:rsidRDefault="003F7753" w:rsidP="00A565C7">
            <w:pPr>
              <w:pStyle w:val="AERtabletextright"/>
              <w:cnfStyle w:val="000000000000" w:firstRow="0" w:lastRow="0" w:firstColumn="0" w:lastColumn="0" w:oddVBand="0" w:evenVBand="0" w:oddHBand="0" w:evenHBand="0" w:firstRowFirstColumn="0" w:firstRowLastColumn="0" w:lastRowFirstColumn="0" w:lastRowLastColumn="0"/>
            </w:pPr>
            <w:r w:rsidRPr="00180F57">
              <w:t>2.5</w:t>
            </w:r>
          </w:p>
        </w:tc>
        <w:tc>
          <w:tcPr>
            <w:tcW w:w="2054" w:type="dxa"/>
          </w:tcPr>
          <w:p w:rsidR="003F7753" w:rsidRPr="00180F57" w:rsidRDefault="003F7753" w:rsidP="00A565C7">
            <w:pPr>
              <w:pStyle w:val="AERtabletextright"/>
              <w:cnfStyle w:val="000000000000" w:firstRow="0" w:lastRow="0" w:firstColumn="0" w:lastColumn="0" w:oddVBand="0" w:evenVBand="0" w:oddHBand="0" w:evenHBand="0" w:firstRowFirstColumn="0" w:firstRowLastColumn="0" w:lastRowFirstColumn="0" w:lastRowLastColumn="0"/>
            </w:pPr>
            <w:r>
              <w:t>0.0</w:t>
            </w:r>
          </w:p>
        </w:tc>
      </w:tr>
      <w:tr w:rsidR="003F7753" w:rsidRPr="00180F57" w:rsidTr="003F77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3" w:type="dxa"/>
          </w:tcPr>
          <w:p w:rsidR="003F7753" w:rsidRPr="00A565C7" w:rsidRDefault="003F7753" w:rsidP="00A565C7">
            <w:pPr>
              <w:pStyle w:val="AERtabletextleft"/>
            </w:pPr>
            <w:r w:rsidRPr="00180F57">
              <w:t>Total asset works forecast</w:t>
            </w:r>
          </w:p>
        </w:tc>
        <w:tc>
          <w:tcPr>
            <w:tcW w:w="2220" w:type="dxa"/>
          </w:tcPr>
          <w:p w:rsidR="003F7753" w:rsidRPr="00A565C7" w:rsidRDefault="003F7753" w:rsidP="00A565C7">
            <w:pPr>
              <w:pStyle w:val="AERtabletextright"/>
              <w:cnfStyle w:val="000000010000" w:firstRow="0" w:lastRow="0" w:firstColumn="0" w:lastColumn="0" w:oddVBand="0" w:evenVBand="0" w:oddHBand="0" w:evenHBand="1" w:firstRowFirstColumn="0" w:firstRowLastColumn="0" w:lastRowFirstColumn="0" w:lastRowLastColumn="0"/>
            </w:pPr>
            <w:r w:rsidRPr="00180F57">
              <w:t>44.4</w:t>
            </w:r>
          </w:p>
        </w:tc>
        <w:tc>
          <w:tcPr>
            <w:tcW w:w="2185" w:type="dxa"/>
          </w:tcPr>
          <w:p w:rsidR="003F7753" w:rsidRPr="00A565C7" w:rsidRDefault="003F7753" w:rsidP="00A565C7">
            <w:pPr>
              <w:pStyle w:val="AERtabletextright"/>
              <w:cnfStyle w:val="000000010000" w:firstRow="0" w:lastRow="0" w:firstColumn="0" w:lastColumn="0" w:oddVBand="0" w:evenVBand="0" w:oddHBand="0" w:evenHBand="1" w:firstRowFirstColumn="0" w:firstRowLastColumn="0" w:lastRowFirstColumn="0" w:lastRowLastColumn="0"/>
            </w:pPr>
            <w:r w:rsidRPr="00180F57">
              <w:t>34.9</w:t>
            </w:r>
          </w:p>
        </w:tc>
        <w:tc>
          <w:tcPr>
            <w:tcW w:w="2054" w:type="dxa"/>
          </w:tcPr>
          <w:p w:rsidR="003F7753" w:rsidRPr="00180F57" w:rsidRDefault="003F7753" w:rsidP="00A565C7">
            <w:pPr>
              <w:pStyle w:val="AERtabletextright"/>
              <w:cnfStyle w:val="000000010000" w:firstRow="0" w:lastRow="0" w:firstColumn="0" w:lastColumn="0" w:oddVBand="0" w:evenVBand="0" w:oddHBand="0" w:evenHBand="1" w:firstRowFirstColumn="0" w:firstRowLastColumn="0" w:lastRowFirstColumn="0" w:lastRowLastColumn="0"/>
            </w:pPr>
            <w:r>
              <w:t>16.1</w:t>
            </w:r>
          </w:p>
        </w:tc>
      </w:tr>
    </w:tbl>
    <w:p w:rsidR="003E3D15" w:rsidRPr="00180F57" w:rsidRDefault="003E3D15" w:rsidP="00A565C7">
      <w:pPr>
        <w:pStyle w:val="AERtablesource"/>
      </w:pPr>
      <w:r w:rsidRPr="00A565C7">
        <w:rPr>
          <w:rStyle w:val="AERbody"/>
          <w:sz w:val="16"/>
        </w:rPr>
        <w:t xml:space="preserve">Source: </w:t>
      </w:r>
      <w:r w:rsidRPr="00A565C7">
        <w:rPr>
          <w:rStyle w:val="AERtextitalic"/>
        </w:rPr>
        <w:t>SP AusNet, Revenue proposal</w:t>
      </w:r>
      <w:r w:rsidRPr="00A565C7">
        <w:rPr>
          <w:rStyle w:val="AERbody"/>
          <w:sz w:val="16"/>
        </w:rPr>
        <w:t xml:space="preserve">; EMCa, </w:t>
      </w:r>
      <w:r w:rsidRPr="00A565C7">
        <w:rPr>
          <w:rStyle w:val="AERtextitalic"/>
        </w:rPr>
        <w:t>SP AusNet technical review</w:t>
      </w:r>
      <w:r w:rsidRPr="00A565C7">
        <w:rPr>
          <w:rStyle w:val="AERbody"/>
          <w:sz w:val="16"/>
        </w:rPr>
        <w:t xml:space="preserve">, </w:t>
      </w:r>
      <w:r w:rsidR="00A6458E">
        <w:rPr>
          <w:rStyle w:val="AERbody"/>
          <w:sz w:val="16"/>
        </w:rPr>
        <w:t>August</w:t>
      </w:r>
      <w:r w:rsidRPr="00A565C7">
        <w:rPr>
          <w:rStyle w:val="AERbody"/>
          <w:sz w:val="16"/>
        </w:rPr>
        <w:t xml:space="preserve"> 2013.</w:t>
      </w:r>
    </w:p>
    <w:p w:rsidR="00297D8F" w:rsidRDefault="00297D8F" w:rsidP="00F6061D">
      <w:pPr>
        <w:pStyle w:val="Heading9"/>
        <w:numPr>
          <w:ilvl w:val="6"/>
          <w:numId w:val="20"/>
        </w:numPr>
      </w:pPr>
      <w:r>
        <w:t>Assessment of SP AusNet’s proposal using the revealed costs method</w:t>
      </w:r>
    </w:p>
    <w:p w:rsidR="00297D8F" w:rsidRDefault="00297D8F" w:rsidP="007A4AC2">
      <w:pPr>
        <w:pStyle w:val="AERbodytext"/>
        <w:numPr>
          <w:ilvl w:val="0"/>
          <w:numId w:val="0"/>
        </w:numPr>
      </w:pPr>
      <w:r>
        <w:t xml:space="preserve">We also assessed SP AusNet’s </w:t>
      </w:r>
      <w:r w:rsidR="00B446A0">
        <w:t>opex forecast</w:t>
      </w:r>
      <w:r>
        <w:t xml:space="preserve"> using the revealed costs method.  Our discussion of the method and its application to assessing the</w:t>
      </w:r>
      <w:r w:rsidR="00B446A0">
        <w:t xml:space="preserve"> opex forecast</w:t>
      </w:r>
      <w:r>
        <w:t xml:space="preserve"> is explained in detail in attachment 3 and is not repeated here. </w:t>
      </w:r>
    </w:p>
    <w:p w:rsidR="00297D8F" w:rsidRDefault="00297D8F" w:rsidP="00F6061D">
      <w:pPr>
        <w:pStyle w:val="Heading9"/>
        <w:numPr>
          <w:ilvl w:val="6"/>
          <w:numId w:val="20"/>
        </w:numPr>
      </w:pPr>
      <w:r>
        <w:t>The opex factors, the NEO and the RPP</w:t>
      </w:r>
    </w:p>
    <w:p w:rsidR="00297D8F" w:rsidRDefault="00297D8F" w:rsidP="007A4AC2">
      <w:pPr>
        <w:pStyle w:val="AERbodytext"/>
        <w:numPr>
          <w:ilvl w:val="0"/>
          <w:numId w:val="0"/>
        </w:numPr>
      </w:pPr>
      <w:r>
        <w:t>When making our decision we must have regard to the opex factors.  We must perform our regulatory functions and powers in a manner that will or is likely to contribute to the achievement of the NEO.</w:t>
      </w:r>
      <w:r>
        <w:rPr>
          <w:rStyle w:val="FootnoteReference"/>
        </w:rPr>
        <w:footnoteReference w:id="705"/>
      </w:r>
      <w:r>
        <w:t xml:space="preserve"> We must also take into account the revenue and pric</w:t>
      </w:r>
      <w:r w:rsidR="00A6458E">
        <w:t>ing principles when exercising our</w:t>
      </w:r>
      <w:r>
        <w:t xml:space="preserve"> discretion in making a transmission determination relating to direct control services.</w:t>
      </w:r>
      <w:r>
        <w:rPr>
          <w:rStyle w:val="FootnoteReference"/>
        </w:rPr>
        <w:footnoteReference w:id="706"/>
      </w:r>
    </w:p>
    <w:p w:rsidR="00297D8F" w:rsidRDefault="00297D8F" w:rsidP="00F6061D">
      <w:pPr>
        <w:pStyle w:val="HeadingBoldBlue"/>
      </w:pPr>
      <w:r>
        <w:lastRenderedPageBreak/>
        <w:t>Opex factors</w:t>
      </w:r>
    </w:p>
    <w:p w:rsidR="009D74B1" w:rsidRDefault="00297D8F" w:rsidP="007A4AC2">
      <w:pPr>
        <w:pStyle w:val="AERbodytext"/>
        <w:numPr>
          <w:ilvl w:val="0"/>
          <w:numId w:val="0"/>
        </w:numPr>
      </w:pPr>
      <w:r>
        <w:t xml:space="preserve">We have referred to various opex factors throughout attachment </w:t>
      </w:r>
      <w:r w:rsidR="009D74B1">
        <w:t xml:space="preserve">3 </w:t>
      </w:r>
      <w:r>
        <w:t xml:space="preserve">and </w:t>
      </w:r>
      <w:r w:rsidR="009D74B1">
        <w:t xml:space="preserve">the </w:t>
      </w:r>
      <w:r>
        <w:t xml:space="preserve">appendixes when discussing our </w:t>
      </w:r>
      <w:r w:rsidR="009D74B1">
        <w:t xml:space="preserve">complete </w:t>
      </w:r>
      <w:r>
        <w:t>analysis of SP AusNet’s proposal</w:t>
      </w:r>
      <w:r w:rsidR="009D74B1">
        <w:t xml:space="preserve"> and so do not repeat them here.  Nevertheless we think it is important to highlight that one opex factor that is particularly relevant for the revealed costs method is the actual and expected operating expenditure of the provider during preceding regulatory control periods.</w:t>
      </w:r>
    </w:p>
    <w:p w:rsidR="007A4AC2" w:rsidRDefault="007A4AC2" w:rsidP="007A4AC2">
      <w:pPr>
        <w:pStyle w:val="AERbodytext"/>
        <w:numPr>
          <w:ilvl w:val="0"/>
          <w:numId w:val="0"/>
        </w:numPr>
      </w:pPr>
      <w:r>
        <w:t xml:space="preserve">Given SP AusNet’s history of overestimating asset works opex, and the inherent tendency within a bottom up build approach to lead to overestimates as explained in attachment 3, we </w:t>
      </w:r>
      <w:r w:rsidR="00297D8F">
        <w:t xml:space="preserve">take the view that </w:t>
      </w:r>
      <w:r w:rsidR="009D74B1">
        <w:t xml:space="preserve">applying </w:t>
      </w:r>
      <w:r w:rsidR="00297D8F">
        <w:t xml:space="preserve">the revealed costs method </w:t>
      </w:r>
      <w:r w:rsidR="00B446A0">
        <w:t>determines an opex forecast that better reflects the opex criteria</w:t>
      </w:r>
      <w:r>
        <w:t xml:space="preserve">.  </w:t>
      </w:r>
    </w:p>
    <w:p w:rsidR="007A4AC2" w:rsidRDefault="003E3D15" w:rsidP="007A4AC2">
      <w:pPr>
        <w:pStyle w:val="HeadingBoldBlue"/>
      </w:pPr>
      <w:r>
        <w:t xml:space="preserve">Giving effect to </w:t>
      </w:r>
      <w:r w:rsidR="007A4AC2">
        <w:t>the National Electricity Objective (NEO)</w:t>
      </w:r>
    </w:p>
    <w:p w:rsidR="007A4AC2" w:rsidRDefault="007A4AC2" w:rsidP="007A4AC2">
      <w:pPr>
        <w:pStyle w:val="AERbodytext"/>
        <w:numPr>
          <w:ilvl w:val="0"/>
          <w:numId w:val="0"/>
        </w:numPr>
      </w:pPr>
      <w:r>
        <w:t>A significant reason for the asset works underspend in the 2008–14 regulatory control period appears to be the deferral of work in circumstances where the deferral was not an ongoing efficiency that would benefit consumers. EMCa estimated that the deferral</w:t>
      </w:r>
      <w:r w:rsidR="00A6458E">
        <w:t>s</w:t>
      </w:r>
      <w:r>
        <w:t xml:space="preserve"> of work contributed </w:t>
      </w:r>
      <w:r w:rsidR="00A5482D">
        <w:t>about $13.9 million to the $44.3</w:t>
      </w:r>
      <w:r>
        <w:t xml:space="preserve"> million underspend.</w:t>
      </w:r>
      <w:r>
        <w:rPr>
          <w:rStyle w:val="FootnoteReference"/>
        </w:rPr>
        <w:footnoteReference w:id="707"/>
      </w:r>
      <w:r>
        <w:t xml:space="preserve"> SP AusNet stated that it deferred asset works due to funding constraints resulting from the global financial crisis: the cost savings realised by deferring asset works opex helped to fund gas and electricity distribution capital works.</w:t>
      </w:r>
      <w:r>
        <w:rPr>
          <w:rStyle w:val="FootnoteReference"/>
        </w:rPr>
        <w:footnoteReference w:id="708"/>
      </w:r>
      <w:r>
        <w:t xml:space="preserve"> SP AusNet’s Asset Management Plan also noted that to maintain asset works opex at the 2011–12 level, asset works planned for 2012–13 and 2013–14 would be deferred into the 2014–17 regulatory control period.</w:t>
      </w:r>
      <w:r>
        <w:rPr>
          <w:rStyle w:val="FootnoteReference"/>
        </w:rPr>
        <w:footnoteReference w:id="709"/>
      </w:r>
      <w:r>
        <w:t xml:space="preserve"> As a result, it has proposed a significantly higher level of asset works opex than was actually spent in the 2008–14 period. Consumers have, in this sense, already paid for the asset works via the opex allowance in the 2008–14 regulatory control period, and SP AusNet is now proposing that consumers pay for these works again.  </w:t>
      </w:r>
    </w:p>
    <w:p w:rsidR="007A4AC2" w:rsidRDefault="007A4AC2" w:rsidP="007A4AC2">
      <w:pPr>
        <w:pStyle w:val="AERbodytext"/>
        <w:numPr>
          <w:ilvl w:val="0"/>
          <w:numId w:val="1"/>
        </w:numPr>
      </w:pPr>
      <w:r>
        <w:t>SP AusNet stated that without this additional funding, the risk of network outages will increase further.</w:t>
      </w:r>
      <w:r>
        <w:rPr>
          <w:rStyle w:val="FootnoteReference"/>
        </w:rPr>
        <w:footnoteReference w:id="710"/>
      </w:r>
      <w:r>
        <w:t xml:space="preserve"> A step change to address elevated risk levels may be appropriate if those risk levels resulted from an external obligation or unforseen event. However, SP AusNet’s forecast elevated risk levels are a direct result of SP AusNet’s decision to cancel or defer works.</w:t>
      </w:r>
      <w:r>
        <w:rPr>
          <w:rStyle w:val="FootnoteReference"/>
        </w:rPr>
        <w:footnoteReference w:id="711"/>
      </w:r>
      <w:r>
        <w:t xml:space="preserve"> As a direct result of its asset works underspend (partly due to the deferral of work) it will receive a benefit of retain</w:t>
      </w:r>
      <w:r w:rsidR="00A5482D">
        <w:t>ing the $44.3</w:t>
      </w:r>
      <w:r>
        <w:t xml:space="preserve"> million underspend in the 2008–14 regulatory control period while obtaining $24 million under the EBSS in the 2014–17 regulatory control period.</w:t>
      </w:r>
      <w:r>
        <w:rPr>
          <w:rStyle w:val="FootnoteReference"/>
        </w:rPr>
        <w:footnoteReference w:id="712"/>
      </w:r>
      <w:r>
        <w:t xml:space="preserve"> </w:t>
      </w:r>
    </w:p>
    <w:p w:rsidR="007A4AC2" w:rsidRDefault="007A4AC2" w:rsidP="007A4AC2">
      <w:pPr>
        <w:pStyle w:val="AERbodytext"/>
        <w:numPr>
          <w:ilvl w:val="0"/>
          <w:numId w:val="1"/>
        </w:numPr>
      </w:pPr>
      <w:r>
        <w:t>SP AusNet’s proposal is not consistent with the NEO, which states that the objective of the National Electricity Law is:</w:t>
      </w:r>
      <w:r>
        <w:rPr>
          <w:rStyle w:val="FootnoteReference"/>
        </w:rPr>
        <w:footnoteReference w:id="713"/>
      </w:r>
    </w:p>
    <w:p w:rsidR="007A4AC2" w:rsidRDefault="007A4AC2" w:rsidP="007A4AC2">
      <w:pPr>
        <w:pStyle w:val="AERquote"/>
      </w:pPr>
      <w:r>
        <w:t>…to promote efficient investment in and operation and use of electricity services for the long term interests of consumers with respect to:</w:t>
      </w:r>
    </w:p>
    <w:p w:rsidR="007A4AC2" w:rsidRDefault="007A4AC2" w:rsidP="007A4AC2">
      <w:pPr>
        <w:pStyle w:val="AERquote"/>
        <w:numPr>
          <w:ilvl w:val="0"/>
          <w:numId w:val="12"/>
        </w:numPr>
      </w:pPr>
      <w:r>
        <w:t>price, quality, safety, reliability and security of supply of electricity; and</w:t>
      </w:r>
    </w:p>
    <w:p w:rsidR="007A4AC2" w:rsidRDefault="007A4AC2" w:rsidP="007A4AC2">
      <w:pPr>
        <w:pStyle w:val="AERquote"/>
        <w:numPr>
          <w:ilvl w:val="0"/>
          <w:numId w:val="12"/>
        </w:numPr>
      </w:pPr>
      <w:r>
        <w:t xml:space="preserve">the reliability, safety, security of the national electricity system. </w:t>
      </w:r>
    </w:p>
    <w:p w:rsidR="007A4AC2" w:rsidRDefault="007A4AC2" w:rsidP="007A4AC2">
      <w:pPr>
        <w:pStyle w:val="AERbulletlistfirststyle"/>
        <w:numPr>
          <w:ilvl w:val="0"/>
          <w:numId w:val="0"/>
        </w:numPr>
      </w:pPr>
      <w:r>
        <w:t xml:space="preserve">SP AusNet’s proposal would result in it being overcompensated with respect to the factors listed in the NEO. If we accepted the asset works forecast, a TNSP could propose a program of work, defer </w:t>
      </w:r>
      <w:r>
        <w:lastRenderedPageBreak/>
        <w:t>that work into the next period and realise the benefit under the EBSS. The TNSP could then propose that work again at its next reset through a bottom</w:t>
      </w:r>
      <w:r w:rsidR="008B0C46">
        <w:t xml:space="preserve"> </w:t>
      </w:r>
      <w:r>
        <w:t>up forecast and submit evidence of why the work needs to be done (for example, to mitigate heightened risk levels). This behaviour could continue indefinitely. Consumers would therefore pay more than necessary for transmission services by paying for:</w:t>
      </w:r>
    </w:p>
    <w:p w:rsidR="007A4AC2" w:rsidRDefault="007A4AC2" w:rsidP="007A4AC2">
      <w:pPr>
        <w:pStyle w:val="AERbulletlistfirststyle"/>
      </w:pPr>
      <w:r>
        <w:t xml:space="preserve">the overestimate, deferred and capitalised opex in the 2008–14 </w:t>
      </w:r>
      <w:r w:rsidR="00A5482D">
        <w:t>regulatory control period ($44.3</w:t>
      </w:r>
      <w:r>
        <w:t> million)</w:t>
      </w:r>
    </w:p>
    <w:p w:rsidR="007A4AC2" w:rsidRDefault="007A4AC2" w:rsidP="007A4AC2">
      <w:pPr>
        <w:pStyle w:val="AERbulletlistfirststyle"/>
      </w:pPr>
      <w:r>
        <w:t>the efficiency carryover in the 2014–17 regulatory control period ($24 million)</w:t>
      </w:r>
    </w:p>
    <w:p w:rsidR="007A4AC2" w:rsidRDefault="007A4AC2" w:rsidP="007A4AC2">
      <w:pPr>
        <w:pStyle w:val="AERbulletlistfirststyle"/>
      </w:pPr>
      <w:r>
        <w:t>the opex forecast above revealed cost for asset works.</w:t>
      </w:r>
    </w:p>
    <w:p w:rsidR="007A4AC2" w:rsidRDefault="007A4AC2" w:rsidP="007A4AC2">
      <w:pPr>
        <w:pStyle w:val="AERbodytext"/>
        <w:numPr>
          <w:ilvl w:val="0"/>
          <w:numId w:val="0"/>
        </w:numPr>
      </w:pPr>
      <w:r>
        <w:t xml:space="preserve">This outcome is not in the long term interests of consumers with respect to price, safety, reliability and security of supply of electricity and therefore is not consistent with the NEO. </w:t>
      </w:r>
    </w:p>
    <w:p w:rsidR="007A4AC2" w:rsidRDefault="009D74B1" w:rsidP="007A4AC2">
      <w:pPr>
        <w:pStyle w:val="HeadingBoldBlue"/>
      </w:pPr>
      <w:r>
        <w:t xml:space="preserve">Taking </w:t>
      </w:r>
      <w:r w:rsidR="007A4AC2">
        <w:t>the Revenue and Pricing Principles</w:t>
      </w:r>
      <w:r w:rsidR="00B446A0">
        <w:t xml:space="preserve"> into account</w:t>
      </w:r>
    </w:p>
    <w:p w:rsidR="007A4AC2" w:rsidRDefault="007A4AC2" w:rsidP="007A4AC2">
      <w:pPr>
        <w:pStyle w:val="AERbodytext"/>
        <w:numPr>
          <w:ilvl w:val="0"/>
          <w:numId w:val="0"/>
        </w:numPr>
      </w:pPr>
      <w:r>
        <w:t>SP AusNet’s proposal is inconsistent with the Revenue and Pricing Principles. The Revenue and Pricing Principles state that a TNSP should be provided with</w:t>
      </w:r>
      <w:r w:rsidR="009D74B1">
        <w:t>, among other things</w:t>
      </w:r>
      <w:r>
        <w:t>:</w:t>
      </w:r>
      <w:r>
        <w:rPr>
          <w:rStyle w:val="FootnoteReference"/>
        </w:rPr>
        <w:footnoteReference w:id="714"/>
      </w:r>
    </w:p>
    <w:p w:rsidR="007A4AC2" w:rsidRDefault="007A4AC2" w:rsidP="007A4AC2">
      <w:pPr>
        <w:pStyle w:val="AERbulletlistfirststyle"/>
      </w:pPr>
      <w:r>
        <w:t>a reasonable opportunity to recover at least the efficient cost it incurs in providing direct control network services</w:t>
      </w:r>
    </w:p>
    <w:p w:rsidR="007A4AC2" w:rsidRDefault="007A4AC2" w:rsidP="007A4AC2">
      <w:pPr>
        <w:pStyle w:val="AERbulletlistfirststyle"/>
      </w:pPr>
      <w:r>
        <w:t xml:space="preserve">effective incentives in order to promote economic efficiency with respect to direct control network services it provides. </w:t>
      </w:r>
    </w:p>
    <w:p w:rsidR="007A4AC2" w:rsidRPr="007B11B9" w:rsidRDefault="007A4AC2" w:rsidP="007B11B9">
      <w:pPr>
        <w:pStyle w:val="AERbodytext"/>
      </w:pPr>
      <w:r w:rsidRPr="007B11B9">
        <w:t xml:space="preserve">In relation to the first principle, SP AusNet has been afforded a reasonable opportunity to recover its efficient costs in the 2008–14 regulatory control period. It overestimated its asset works requirements and made a management decision to defer asset works opex. Customers paid for these deferred works and forecasting errors in network tariffs in the 2008–14 regulatory control period. They should not pay for SP AusNet to be afforded a second opportunity to recover these costs. </w:t>
      </w:r>
    </w:p>
    <w:p w:rsidR="007A4AC2" w:rsidRPr="007B11B9" w:rsidRDefault="007A4AC2" w:rsidP="007B11B9">
      <w:pPr>
        <w:pStyle w:val="AERbodytext"/>
      </w:pPr>
      <w:r w:rsidRPr="007B11B9">
        <w:t>Regarding the second principle, the bottom up forecast used by SP AusNet undermines the incentive to provide transmission services efficiently. By pursuing short term policies to underspend its allowance (rather than pursuing sustainable efficiencies) and proposing a bottom up forecast, a TNSP may be able to recover revenue for the same projects of work twice. This incentivises a TNSP to defer or avoid opex, even when it may not be prudent to do so. It therefore does not provide an effective incentive for economic efficiency. Meanwhile, consumers may bear an increased risk of outages as a result of this deferral. The revealed cost approach, however, works with the EBSS to incentivise sustained efficiencies and is therefore consistent with the aim of the RPP to provide effective incentives for economic efficiency.</w:t>
      </w:r>
      <w:r w:rsidRPr="00A6458E">
        <w:rPr>
          <w:vertAlign w:val="superscript"/>
        </w:rPr>
        <w:footnoteReference w:id="715"/>
      </w:r>
      <w:r w:rsidRPr="007B11B9">
        <w:t xml:space="preserve"> The revealed cost approach also deals effectively with non–sustainable efficiency gains (such as deferrals) because the TNSP will be rewarded for the underspend via the EBSS carryover while benefiting consumers via a lower opex forecast. </w:t>
      </w:r>
    </w:p>
    <w:p w:rsidR="007A4AC2" w:rsidRDefault="007A4AC2" w:rsidP="007A4AC2">
      <w:pPr>
        <w:pStyle w:val="HeadingBoldBlue"/>
      </w:pPr>
      <w:r>
        <w:t>Consistency with the EBSS</w:t>
      </w:r>
    </w:p>
    <w:p w:rsidR="007A4AC2" w:rsidRDefault="007A4AC2" w:rsidP="007A4AC2">
      <w:pPr>
        <w:pStyle w:val="AERbodytext"/>
        <w:numPr>
          <w:ilvl w:val="0"/>
          <w:numId w:val="1"/>
        </w:numPr>
      </w:pPr>
      <w:r>
        <w:t xml:space="preserve">We also considered whether SP AusNet’s asset works opex forecast was consistent with the application of the EBSS and the NER requirements for the EBSS. While consideration of the EBSS is not a listed opex factor under the NER, the opex factors are non–exhaustive and the consideration of </w:t>
      </w:r>
      <w:r>
        <w:lastRenderedPageBreak/>
        <w:t>whether the asset works opex forecast is consistent with the application of the EBSS is relevant</w:t>
      </w:r>
      <w:r w:rsidR="009D74B1">
        <w:t xml:space="preserve"> in the broader context of our overall decision on revenue</w:t>
      </w:r>
      <w:r>
        <w:t>.</w:t>
      </w:r>
      <w:r>
        <w:rPr>
          <w:rStyle w:val="FootnoteReference"/>
        </w:rPr>
        <w:footnoteReference w:id="716"/>
      </w:r>
      <w:r>
        <w:t xml:space="preserve"> </w:t>
      </w:r>
    </w:p>
    <w:p w:rsidR="007A4AC2" w:rsidRDefault="007A4AC2" w:rsidP="007A4AC2">
      <w:pPr>
        <w:pStyle w:val="AERbodytext"/>
        <w:numPr>
          <w:ilvl w:val="0"/>
          <w:numId w:val="1"/>
        </w:numPr>
      </w:pPr>
      <w:r>
        <w:t>Under the NER, the EBSS must provide a ‘fair sharing’ between the TNSP and consumers of any efficiency gains or losses realised in the regulatory control period.</w:t>
      </w:r>
      <w:r>
        <w:rPr>
          <w:rStyle w:val="FootnoteReference"/>
        </w:rPr>
        <w:footnoteReference w:id="717"/>
      </w:r>
      <w:r>
        <w:t xml:space="preserve"> The EBSS shares any efficiency gains or losses between consumers and the TNSP at a ratio of 70:30.</w:t>
      </w:r>
      <w:r>
        <w:rPr>
          <w:rStyle w:val="FootnoteReference"/>
        </w:rPr>
        <w:footnoteReference w:id="718"/>
      </w:r>
      <w:r>
        <w:t xml:space="preserve"> To do so, it assumes opex is forecast using the revealed cost approach. However, the sharing ratio of the EBSS changes if a bottom up forecast is used, or if an endogenous step change is applied. SP AusNet’s proposed bottom up asset works forecast and step changes would result in it retaining 140 per cent of the underspend, rather than the intended 30 per cent under the EBSS.</w:t>
      </w:r>
      <w:r>
        <w:rPr>
          <w:rStyle w:val="FootnoteReference"/>
        </w:rPr>
        <w:footnoteReference w:id="719"/>
      </w:r>
      <w:r>
        <w:t xml:space="preserve"> This result would occur because, by underspending its asset works opex and constructing a bottom up forecast for the </w:t>
      </w:r>
      <w:r w:rsidR="00150370">
        <w:br/>
      </w:r>
      <w:r>
        <w:t>2014–17 regulatory control period, SP AusNet would:</w:t>
      </w:r>
    </w:p>
    <w:p w:rsidR="007A4AC2" w:rsidRDefault="007A4AC2" w:rsidP="007A4AC2">
      <w:pPr>
        <w:pStyle w:val="AERbulletlistfirststyle"/>
      </w:pPr>
      <w:r>
        <w:t>keep the undersp</w:t>
      </w:r>
      <w:r w:rsidR="00A5482D">
        <w:t>end in the current period ($44.3</w:t>
      </w:r>
      <w:r>
        <w:t xml:space="preserve"> million) </w:t>
      </w:r>
    </w:p>
    <w:p w:rsidR="007A4AC2" w:rsidRDefault="007A4AC2" w:rsidP="007A4AC2">
      <w:pPr>
        <w:pStyle w:val="AERbulletlistfirststyle"/>
      </w:pPr>
      <w:r>
        <w:t>obtain $24 million in revenue via the EBSS carryover as a direct result of the asset works underspend in the 2008–14 regulatory control period; and</w:t>
      </w:r>
    </w:p>
    <w:p w:rsidR="007A4AC2" w:rsidRDefault="007A4AC2" w:rsidP="007A4AC2">
      <w:pPr>
        <w:pStyle w:val="AERbulletlistfirststyle"/>
      </w:pPr>
      <w:r>
        <w:t xml:space="preserve">obtain a higher opex forecast for asset works than would be the case under a revealed cost approach. </w:t>
      </w:r>
    </w:p>
    <w:p w:rsidR="007A4AC2" w:rsidRDefault="007A4AC2" w:rsidP="007A4AC2">
      <w:pPr>
        <w:pStyle w:val="AERbodytext"/>
        <w:numPr>
          <w:ilvl w:val="0"/>
          <w:numId w:val="1"/>
        </w:numPr>
      </w:pPr>
      <w:r>
        <w:t>This outcome does not meet the NER requirement for the EBSS to fairly share efficiency gains between consumers and the TNSP.</w:t>
      </w:r>
      <w:r>
        <w:rPr>
          <w:rStyle w:val="FootnoteReference"/>
        </w:rPr>
        <w:footnoteReference w:id="720"/>
      </w:r>
      <w:r w:rsidR="006C65AD">
        <w:t xml:space="preserve"> This concern is set out, with examples, in attachment 3. </w:t>
      </w:r>
    </w:p>
    <w:p w:rsidR="0088341A" w:rsidRDefault="0088341A" w:rsidP="0088341A">
      <w:pPr>
        <w:pStyle w:val="Heading9"/>
        <w:numPr>
          <w:ilvl w:val="6"/>
          <w:numId w:val="20"/>
        </w:numPr>
      </w:pPr>
      <w:r>
        <w:t>AER’s substitute asset works opex forecast</w:t>
      </w:r>
    </w:p>
    <w:p w:rsidR="0088341A" w:rsidRDefault="0088341A" w:rsidP="0088341A">
      <w:pPr>
        <w:pStyle w:val="AERbodytext"/>
        <w:numPr>
          <w:ilvl w:val="0"/>
          <w:numId w:val="0"/>
        </w:numPr>
      </w:pPr>
      <w:r>
        <w:t xml:space="preserve">We used the revealed cost approach to forecast SP AusNet’s total controllable opex. The reasons why we consider this to be the best forecasting method is set out in attachment 3. Implicit in our forecast of total controllable opex is a consideration of the forecast proposed by SP AusNet for its asset works opex. </w:t>
      </w:r>
    </w:p>
    <w:p w:rsidR="0088341A" w:rsidRPr="003F69B4" w:rsidRDefault="0088341A" w:rsidP="0088341A">
      <w:pPr>
        <w:pStyle w:val="HeadingBoldBlue"/>
      </w:pPr>
      <w:r w:rsidRPr="003F69B4">
        <w:t>Consistency with the opex criteria</w:t>
      </w:r>
    </w:p>
    <w:p w:rsidR="0088341A" w:rsidRDefault="0088341A" w:rsidP="0088341A">
      <w:pPr>
        <w:pStyle w:val="AERbodytext"/>
        <w:numPr>
          <w:ilvl w:val="0"/>
          <w:numId w:val="0"/>
        </w:numPr>
      </w:pPr>
      <w:r>
        <w:t>Expenditure forecasts are not exact. How</w:t>
      </w:r>
      <w:r w:rsidR="00EF3A8B">
        <w:t>e</w:t>
      </w:r>
      <w:r>
        <w:t>ver, we consider that our revealed cost approach provides the best forecast of SP AusNet’s opex, given its circumstances.</w:t>
      </w:r>
      <w:r>
        <w:rPr>
          <w:rStyle w:val="FootnoteReference"/>
        </w:rPr>
        <w:footnoteReference w:id="721"/>
      </w:r>
      <w:r>
        <w:t xml:space="preserve"> </w:t>
      </w:r>
      <w:r w:rsidR="006515F0">
        <w:t>We consider that basing the opex forecast on actual costs incurred in the 2008–14 regulatory control period will provide a forecast that reasonably reflects the the efficient costs of a prudent operator and the cost inputs required to achieve the opex objectives.</w:t>
      </w:r>
      <w:r w:rsidR="006515F0">
        <w:rPr>
          <w:rStyle w:val="FootnoteReference"/>
        </w:rPr>
        <w:footnoteReference w:id="722"/>
      </w:r>
      <w:r w:rsidR="006515F0">
        <w:t xml:space="preserve"> </w:t>
      </w:r>
      <w:r>
        <w:t xml:space="preserve">This approach does not prejudge the sustainability of cost reductions. </w:t>
      </w:r>
      <w:r>
        <w:lastRenderedPageBreak/>
        <w:t xml:space="preserve">It allows the incentive framework to drive management effort </w:t>
      </w:r>
      <w:r w:rsidR="006515F0">
        <w:t>to</w:t>
      </w:r>
      <w:r>
        <w:t xml:space="preserve"> managing the network in the long term interest</w:t>
      </w:r>
      <w:r w:rsidR="006515F0">
        <w:t>s</w:t>
      </w:r>
      <w:r>
        <w:t xml:space="preserve"> of consumer</w:t>
      </w:r>
      <w:r w:rsidR="006515F0">
        <w:t>s</w:t>
      </w:r>
      <w:r>
        <w:t>.</w:t>
      </w:r>
      <w:r>
        <w:rPr>
          <w:rStyle w:val="FootnoteReference"/>
        </w:rPr>
        <w:footnoteReference w:id="723"/>
      </w:r>
      <w:r>
        <w:t xml:space="preserve"> The revealed costs approach to setting the base year provides an unbiased forecast</w:t>
      </w:r>
      <w:r w:rsidR="006515F0">
        <w:t xml:space="preserve"> based on actual costs</w:t>
      </w:r>
      <w:r>
        <w:t xml:space="preserve">. If the revealed opex turns out to be sustainable recurrent expenditure (our forecast turn out to be 'accurate') over the next regulatory control period, then the EBSS payments will, as intended (share with consumers), reward SP AusNet for any recurrent efficiencies it has achieved in 2008–14. </w:t>
      </w:r>
    </w:p>
    <w:p w:rsidR="0088341A" w:rsidRDefault="0088341A" w:rsidP="0088341A">
      <w:pPr>
        <w:pStyle w:val="AERbodytext"/>
        <w:numPr>
          <w:ilvl w:val="0"/>
          <w:numId w:val="0"/>
        </w:numPr>
      </w:pPr>
      <w:r>
        <w:t xml:space="preserve">If, on the other hand the revealed </w:t>
      </w:r>
      <w:r w:rsidR="006515F0">
        <w:t xml:space="preserve">cost </w:t>
      </w:r>
      <w:r>
        <w:t xml:space="preserve">opex </w:t>
      </w:r>
      <w:r w:rsidR="006515F0">
        <w:t xml:space="preserve">forecast </w:t>
      </w:r>
      <w:r>
        <w:t>turns out to be unsustainable non recurrent expenditure (our forecast turn out to be 'too low'), SP AusNet are not disadvantaged. This is because their total revenue is based on all building blocks, including an EBSS building block for the EBSS carryover payment from the 2008–14 regulatory control period. Further, if this scenario eventuates, the opex allowance in the subsequent regulatory control period will take account of the revealed opex during 2014–17 to provide a higher base year opex for the subsequent regulatory control period.</w:t>
      </w:r>
    </w:p>
    <w:p w:rsidR="0088341A" w:rsidRDefault="0088341A" w:rsidP="0088341A">
      <w:pPr>
        <w:pStyle w:val="HeadingBoldBlue"/>
      </w:pPr>
      <w:r>
        <w:t xml:space="preserve">Consistency with </w:t>
      </w:r>
      <w:r w:rsidR="006515F0">
        <w:t>the</w:t>
      </w:r>
      <w:r>
        <w:t xml:space="preserve"> NEO and the Revenue and Pricing Principles</w:t>
      </w:r>
    </w:p>
    <w:p w:rsidR="0088341A" w:rsidRDefault="00960F09" w:rsidP="0088341A">
      <w:pPr>
        <w:pStyle w:val="AERbodytext"/>
        <w:numPr>
          <w:ilvl w:val="0"/>
          <w:numId w:val="0"/>
        </w:numPr>
      </w:pPr>
      <w:r>
        <w:t>T</w:t>
      </w:r>
      <w:r w:rsidR="0088341A">
        <w:t>he revealed cost approach to assessing all controllable opex maintains an effective incentive framework consistent with the revenue and pricing principles and the NEO.</w:t>
      </w:r>
      <w:r w:rsidR="0088341A">
        <w:rPr>
          <w:rStyle w:val="FootnoteReference"/>
        </w:rPr>
        <w:footnoteReference w:id="724"/>
      </w:r>
      <w:r w:rsidR="0088341A">
        <w:t xml:space="preserve"> It is consistent with the NEO as it avoids the potential for windfall gains (for which consumers would pay) as a result of using bottom up forecasts. Similarly, it meets the objectives and requirements of the EBSS under the NER</w:t>
      </w:r>
      <w:r w:rsidR="0088341A">
        <w:rPr>
          <w:rStyle w:val="FootnoteReference"/>
        </w:rPr>
        <w:footnoteReference w:id="725"/>
      </w:r>
      <w:r w:rsidR="0088341A">
        <w:t xml:space="preserve"> as it fairly shares the efficiency benefit between consumers and SP AusNet. The approach works because consumers would benefit from a lower opex forecast based on SP AusNet’s 2011–12 base year, while the incentive for the TNSP to reduce costs remains. As a result, customers would not be worse off as a result of the deferral of works as long as a revealed cost approach was used to forecast opex in the subsequent regulatory control period. That is, consumers would fund the same opex only once, while SP AusNet still keeps its underspend and receives the EBSS benefit carryover at the sharing ratio intended by the EBSS. This maintains an effective incentive to promote economic efficiency, consistent with the RPP, while meeting the long term interests of consumers, consistent with the NEO.</w:t>
      </w:r>
      <w:r w:rsidR="0088341A">
        <w:rPr>
          <w:rStyle w:val="FootnoteReference"/>
        </w:rPr>
        <w:footnoteReference w:id="726"/>
      </w:r>
      <w:r w:rsidR="0088341A">
        <w:t xml:space="preserve"> </w:t>
      </w:r>
    </w:p>
    <w:p w:rsidR="0088341A" w:rsidRDefault="0088341A" w:rsidP="0088341A">
      <w:pPr>
        <w:pStyle w:val="HeadingBoldBlue"/>
      </w:pPr>
      <w:r>
        <w:t>Consistency with forecasting other controllable opex categories</w:t>
      </w:r>
    </w:p>
    <w:p w:rsidR="0088341A" w:rsidRDefault="0088341A" w:rsidP="0088341A">
      <w:pPr>
        <w:pStyle w:val="AERbodytext"/>
        <w:numPr>
          <w:ilvl w:val="0"/>
          <w:numId w:val="1"/>
        </w:numPr>
      </w:pPr>
      <w:r>
        <w:t>SP AusNet stated that the asset works forecast was based on a bottom up build because it is comprised of programs of work that address specific risks and ad hoc work.</w:t>
      </w:r>
      <w:r>
        <w:rPr>
          <w:rStyle w:val="FootnoteReference"/>
        </w:rPr>
        <w:footnoteReference w:id="727"/>
      </w:r>
      <w:r>
        <w:t xml:space="preserve"> However, while individual programs of work may be non–recurrent, asset works is a continuous expense.  Refurbishment, condition monitoring and asset repair are activities that any TNSP conducts on an ongoing basis. While a particular project may only be required infrequently, there is an ongoing requirement for this kind of expenditure, driven by the TNSP’s risk assessment. As such, there is no reason to forecast asset works in a different manner to any other opex category. Asset works should be forecast with all other controllable opex on a revealed cost basis. </w:t>
      </w:r>
    </w:p>
    <w:p w:rsidR="006515F0" w:rsidRDefault="006515F0" w:rsidP="006515F0">
      <w:pPr>
        <w:pStyle w:val="HeadingBoldBlue"/>
      </w:pPr>
      <w:r>
        <w:t>Consistency with the EBSS</w:t>
      </w:r>
    </w:p>
    <w:p w:rsidR="007C7745" w:rsidRDefault="007C7745" w:rsidP="007C7745">
      <w:pPr>
        <w:pStyle w:val="AERbodytext"/>
        <w:numPr>
          <w:ilvl w:val="0"/>
          <w:numId w:val="0"/>
        </w:numPr>
      </w:pPr>
      <w:r>
        <w:t xml:space="preserve">The application of the revealed cost approach will also encourage the efficient provision of transmission services to consumers. This is because the incentives established under the EBSS to efficiently manage opex are based on the use of the revealed cost approach. The incentive framework under the NER and EBSS allows a TNSP to manage and prioritise its operational decisions in a </w:t>
      </w:r>
      <w:r>
        <w:lastRenderedPageBreak/>
        <w:t xml:space="preserve">prudent and efficient manner. This may include taking steps to deliver its opex program in a more cost effective way. The incentive framework works because there is a clear benefit to the TNSP of underspending opex: it keeps the additional cash flow at the time of the underspend, while also being rewarded for the efficiency gain via the EBSS carry-over in the next regulatory control period (2014–17). This is how the incentive framework drives continuous operational and management efficiencies. </w:t>
      </w:r>
    </w:p>
    <w:p w:rsidR="006515F0" w:rsidRDefault="007C7745" w:rsidP="007C7745">
      <w:pPr>
        <w:pStyle w:val="AERbodytext"/>
        <w:numPr>
          <w:ilvl w:val="0"/>
          <w:numId w:val="1"/>
        </w:numPr>
      </w:pPr>
      <w:r>
        <w:t>To facilitate these efficient outcomes, a regulatory framework is established whereby an ex ante opex allowance is provided to the TNSP. Consumers fund this opex allowance through network tariffs. This regulatory framework, however, does not include funding the same work again at the next regulatory determination if a TNSP decides to defer expenditure. If it did, the incentive framework would not encourage continuous and sustained efficiencies: rather, it would incentivise one off cost deferrals, to the detriment of consumers because they would pay for work multiple times.</w:t>
      </w:r>
    </w:p>
    <w:p w:rsidR="007451C1" w:rsidRDefault="007451C1" w:rsidP="007E5022">
      <w:pPr>
        <w:pStyle w:val="Heading7"/>
        <w:numPr>
          <w:ilvl w:val="4"/>
          <w:numId w:val="20"/>
        </w:numPr>
        <w:sectPr w:rsidR="007451C1" w:rsidSect="002140F4">
          <w:footerReference w:type="default" r:id="rId87"/>
          <w:pgSz w:w="11906" w:h="16838"/>
          <w:pgMar w:top="1440" w:right="1440" w:bottom="1440" w:left="1440" w:header="708" w:footer="708" w:gutter="0"/>
          <w:cols w:space="708"/>
          <w:docGrid w:linePitch="360"/>
        </w:sectPr>
      </w:pPr>
    </w:p>
    <w:p w:rsidR="0088341A" w:rsidRDefault="0088341A" w:rsidP="007E5022">
      <w:pPr>
        <w:pStyle w:val="Heading7"/>
        <w:numPr>
          <w:ilvl w:val="4"/>
          <w:numId w:val="20"/>
        </w:numPr>
      </w:pPr>
      <w:bookmarkStart w:id="424" w:name="_Toc365283392"/>
      <w:r w:rsidRPr="007E5022">
        <w:lastRenderedPageBreak/>
        <w:t>Contingent projects – (sensitive information)</w:t>
      </w:r>
      <w:bookmarkEnd w:id="424"/>
    </w:p>
    <w:p w:rsidR="006674C4" w:rsidRDefault="006674C4" w:rsidP="006674C4">
      <w:pPr>
        <w:pStyle w:val="AERbodytext"/>
        <w:numPr>
          <w:ilvl w:val="0"/>
          <w:numId w:val="0"/>
        </w:numPr>
      </w:pPr>
      <w:r>
        <w:t>This appendix is not public because it contains commercial–in–confidence (sensitive) information.</w:t>
      </w:r>
    </w:p>
    <w:p w:rsidR="006674C4" w:rsidRPr="006674C4" w:rsidRDefault="006674C4" w:rsidP="006674C4">
      <w:pPr>
        <w:pStyle w:val="AERbodytext"/>
        <w:numPr>
          <w:ilvl w:val="0"/>
          <w:numId w:val="0"/>
        </w:numPr>
      </w:pPr>
    </w:p>
    <w:p w:rsidR="0088341A" w:rsidRDefault="0088341A" w:rsidP="00392082">
      <w:pPr>
        <w:pStyle w:val="AERbodytext"/>
        <w:numPr>
          <w:ilvl w:val="0"/>
          <w:numId w:val="0"/>
        </w:numPr>
        <w:sectPr w:rsidR="0088341A" w:rsidSect="002140F4">
          <w:footerReference w:type="default" r:id="rId88"/>
          <w:pgSz w:w="11906" w:h="16838"/>
          <w:pgMar w:top="1440" w:right="1440" w:bottom="1440" w:left="1440" w:header="708" w:footer="708" w:gutter="0"/>
          <w:cols w:space="708"/>
          <w:docGrid w:linePitch="360"/>
        </w:sectPr>
      </w:pPr>
    </w:p>
    <w:p w:rsidR="0088341A" w:rsidRPr="00D44C1F" w:rsidRDefault="0088341A" w:rsidP="0088341A">
      <w:pPr>
        <w:pStyle w:val="Heading7"/>
        <w:numPr>
          <w:ilvl w:val="4"/>
          <w:numId w:val="20"/>
        </w:numPr>
      </w:pPr>
      <w:bookmarkStart w:id="425" w:name="_Toc365283393"/>
      <w:r w:rsidRPr="00D44C1F">
        <w:lastRenderedPageBreak/>
        <w:t>Consultation and engagement</w:t>
      </w:r>
      <w:bookmarkEnd w:id="425"/>
    </w:p>
    <w:p w:rsidR="0088341A" w:rsidRDefault="0088341A" w:rsidP="0088341A">
      <w:pPr>
        <w:pStyle w:val="Heading8"/>
        <w:numPr>
          <w:ilvl w:val="5"/>
          <w:numId w:val="20"/>
        </w:numPr>
      </w:pPr>
      <w:bookmarkStart w:id="426" w:name="_Toc365283394"/>
      <w:r>
        <w:t xml:space="preserve">Engagement </w:t>
      </w:r>
      <w:r w:rsidRPr="0052114E">
        <w:t>meetings</w:t>
      </w:r>
      <w:bookmarkEnd w:id="426"/>
    </w:p>
    <w:tbl>
      <w:tblPr>
        <w:tblStyle w:val="AERtable-text"/>
        <w:tblW w:w="0" w:type="auto"/>
        <w:tblLayout w:type="fixed"/>
        <w:tblLook w:val="04A0" w:firstRow="1" w:lastRow="0" w:firstColumn="1" w:lastColumn="0" w:noHBand="0" w:noVBand="1"/>
      </w:tblPr>
      <w:tblGrid>
        <w:gridCol w:w="1242"/>
        <w:gridCol w:w="2410"/>
        <w:gridCol w:w="4961"/>
      </w:tblGrid>
      <w:tr w:rsidR="0088341A" w:rsidRPr="00A565C7" w:rsidTr="00A565C7">
        <w:trPr>
          <w:cnfStyle w:val="100000000000" w:firstRow="1" w:lastRow="0" w:firstColumn="0" w:lastColumn="0" w:oddVBand="0" w:evenVBand="0" w:oddHBand="0" w:evenHBand="0" w:firstRowFirstColumn="0" w:firstRowLastColumn="0" w:lastRowFirstColumn="0" w:lastRowLastColumn="0"/>
        </w:trPr>
        <w:tc>
          <w:tcPr>
            <w:tcW w:w="1242" w:type="dxa"/>
          </w:tcPr>
          <w:p w:rsidR="0088341A" w:rsidRPr="00A565C7" w:rsidRDefault="0088341A" w:rsidP="00A565C7">
            <w:pPr>
              <w:pStyle w:val="AERtabletextleft"/>
            </w:pPr>
            <w:r w:rsidRPr="00A565C7">
              <w:t>Date</w:t>
            </w:r>
          </w:p>
        </w:tc>
        <w:tc>
          <w:tcPr>
            <w:tcW w:w="2410" w:type="dxa"/>
          </w:tcPr>
          <w:p w:rsidR="0088341A" w:rsidRPr="00A565C7" w:rsidRDefault="0088341A" w:rsidP="00A565C7">
            <w:pPr>
              <w:pStyle w:val="AERtabletextleft"/>
            </w:pPr>
            <w:r w:rsidRPr="00A565C7">
              <w:t>Parties</w:t>
            </w:r>
          </w:p>
        </w:tc>
        <w:tc>
          <w:tcPr>
            <w:tcW w:w="4961" w:type="dxa"/>
          </w:tcPr>
          <w:p w:rsidR="0088341A" w:rsidRPr="00A565C7" w:rsidRDefault="0088341A" w:rsidP="00A565C7">
            <w:pPr>
              <w:pStyle w:val="AERtabletextleft"/>
            </w:pPr>
            <w:r w:rsidRPr="00A565C7">
              <w:t>Subject of discussion</w:t>
            </w:r>
          </w:p>
        </w:tc>
      </w:tr>
      <w:tr w:rsidR="0088341A" w:rsidRPr="00A565C7" w:rsidTr="00A565C7">
        <w:tc>
          <w:tcPr>
            <w:tcW w:w="1242" w:type="dxa"/>
          </w:tcPr>
          <w:p w:rsidR="0088341A" w:rsidRPr="00A565C7" w:rsidRDefault="0088341A" w:rsidP="00A565C7">
            <w:pPr>
              <w:pStyle w:val="AERtabletextleft"/>
            </w:pPr>
            <w:r w:rsidRPr="00A565C7">
              <w:t>09/01/2013</w:t>
            </w:r>
          </w:p>
        </w:tc>
        <w:tc>
          <w:tcPr>
            <w:tcW w:w="2410" w:type="dxa"/>
          </w:tcPr>
          <w:p w:rsidR="0088341A" w:rsidRPr="00A565C7" w:rsidRDefault="0088341A" w:rsidP="00A565C7">
            <w:pPr>
              <w:pStyle w:val="AERtabletextleft"/>
            </w:pPr>
            <w:r w:rsidRPr="00A565C7">
              <w:t>SP AusNet &amp; AER staff</w:t>
            </w:r>
          </w:p>
        </w:tc>
        <w:tc>
          <w:tcPr>
            <w:tcW w:w="4961" w:type="dxa"/>
          </w:tcPr>
          <w:p w:rsidR="0088341A" w:rsidRPr="00A565C7" w:rsidRDefault="0088341A" w:rsidP="00A565C7">
            <w:pPr>
              <w:pStyle w:val="AERtabletextleft"/>
            </w:pPr>
            <w:r w:rsidRPr="00A565C7">
              <w:t>Pre lodgement meeting</w:t>
            </w:r>
          </w:p>
        </w:tc>
      </w:tr>
      <w:tr w:rsidR="0088341A" w:rsidRPr="00A565C7" w:rsidTr="00A565C7">
        <w:trPr>
          <w:cnfStyle w:val="000000010000" w:firstRow="0" w:lastRow="0" w:firstColumn="0" w:lastColumn="0" w:oddVBand="0" w:evenVBand="0" w:oddHBand="0" w:evenHBand="1" w:firstRowFirstColumn="0" w:firstRowLastColumn="0" w:lastRowFirstColumn="0" w:lastRowLastColumn="0"/>
        </w:trPr>
        <w:tc>
          <w:tcPr>
            <w:tcW w:w="1242" w:type="dxa"/>
          </w:tcPr>
          <w:p w:rsidR="0088341A" w:rsidRPr="00A565C7" w:rsidRDefault="0088341A" w:rsidP="00A565C7">
            <w:pPr>
              <w:pStyle w:val="AERtabletextleft"/>
            </w:pPr>
            <w:r w:rsidRPr="00A565C7">
              <w:t>04/02/2013</w:t>
            </w:r>
          </w:p>
        </w:tc>
        <w:tc>
          <w:tcPr>
            <w:tcW w:w="2410" w:type="dxa"/>
          </w:tcPr>
          <w:p w:rsidR="0088341A" w:rsidRPr="00A565C7" w:rsidRDefault="0088341A" w:rsidP="00A565C7">
            <w:pPr>
              <w:pStyle w:val="AERtabletextleft"/>
            </w:pPr>
            <w:r w:rsidRPr="00A565C7">
              <w:t>SP AusNet &amp; AER staff</w:t>
            </w:r>
          </w:p>
        </w:tc>
        <w:tc>
          <w:tcPr>
            <w:tcW w:w="4961" w:type="dxa"/>
          </w:tcPr>
          <w:p w:rsidR="0088341A" w:rsidRPr="00A565C7" w:rsidRDefault="0088341A" w:rsidP="00A565C7">
            <w:pPr>
              <w:pStyle w:val="AERtabletextleft"/>
            </w:pPr>
            <w:r w:rsidRPr="00A565C7">
              <w:t xml:space="preserve">Pre lodgement - Network capacity incentive </w:t>
            </w:r>
          </w:p>
        </w:tc>
      </w:tr>
      <w:tr w:rsidR="0088341A" w:rsidRPr="00A565C7" w:rsidTr="00A565C7">
        <w:tc>
          <w:tcPr>
            <w:tcW w:w="1242" w:type="dxa"/>
          </w:tcPr>
          <w:p w:rsidR="0088341A" w:rsidRPr="00A565C7" w:rsidRDefault="0088341A" w:rsidP="00A565C7">
            <w:pPr>
              <w:pStyle w:val="AERtabletextleft"/>
            </w:pPr>
            <w:r w:rsidRPr="00A565C7">
              <w:t>06/02/2013</w:t>
            </w:r>
          </w:p>
        </w:tc>
        <w:tc>
          <w:tcPr>
            <w:tcW w:w="2410" w:type="dxa"/>
          </w:tcPr>
          <w:p w:rsidR="0088341A" w:rsidRPr="00A565C7" w:rsidRDefault="0088341A" w:rsidP="00A565C7">
            <w:pPr>
              <w:pStyle w:val="AERtabletextleft"/>
            </w:pPr>
            <w:r w:rsidRPr="00A565C7">
              <w:t>SP AusNet &amp; AER staff</w:t>
            </w:r>
          </w:p>
        </w:tc>
        <w:tc>
          <w:tcPr>
            <w:tcW w:w="4961" w:type="dxa"/>
          </w:tcPr>
          <w:p w:rsidR="0088341A" w:rsidRPr="00A565C7" w:rsidRDefault="0088341A" w:rsidP="00A565C7">
            <w:pPr>
              <w:pStyle w:val="AERtabletextleft"/>
            </w:pPr>
            <w:r w:rsidRPr="00A565C7">
              <w:t xml:space="preserve">Pre lodgement - PASS 55 presentation </w:t>
            </w:r>
          </w:p>
        </w:tc>
      </w:tr>
      <w:tr w:rsidR="0088341A" w:rsidRPr="00A565C7" w:rsidTr="00A565C7">
        <w:trPr>
          <w:cnfStyle w:val="000000010000" w:firstRow="0" w:lastRow="0" w:firstColumn="0" w:lastColumn="0" w:oddVBand="0" w:evenVBand="0" w:oddHBand="0" w:evenHBand="1" w:firstRowFirstColumn="0" w:firstRowLastColumn="0" w:lastRowFirstColumn="0" w:lastRowLastColumn="0"/>
        </w:trPr>
        <w:tc>
          <w:tcPr>
            <w:tcW w:w="1242" w:type="dxa"/>
          </w:tcPr>
          <w:p w:rsidR="0088341A" w:rsidRPr="00A565C7" w:rsidRDefault="0088341A" w:rsidP="00A565C7">
            <w:pPr>
              <w:pStyle w:val="AERtabletextleft"/>
            </w:pPr>
            <w:r w:rsidRPr="00A565C7">
              <w:t>12/02/2013</w:t>
            </w:r>
          </w:p>
        </w:tc>
        <w:tc>
          <w:tcPr>
            <w:tcW w:w="2410" w:type="dxa"/>
          </w:tcPr>
          <w:p w:rsidR="0088341A" w:rsidRPr="00A565C7" w:rsidRDefault="0088341A" w:rsidP="00A565C7">
            <w:pPr>
              <w:pStyle w:val="AERtabletextleft"/>
            </w:pPr>
            <w:r w:rsidRPr="00A565C7">
              <w:t>SP AusNet &amp; AER staff</w:t>
            </w:r>
          </w:p>
        </w:tc>
        <w:tc>
          <w:tcPr>
            <w:tcW w:w="4961" w:type="dxa"/>
          </w:tcPr>
          <w:p w:rsidR="0088341A" w:rsidRPr="00A565C7" w:rsidRDefault="0088341A" w:rsidP="00A565C7">
            <w:pPr>
              <w:pStyle w:val="AERtabletextleft"/>
            </w:pPr>
            <w:r w:rsidRPr="00A565C7">
              <w:t>Pre lodgement meeting</w:t>
            </w:r>
          </w:p>
        </w:tc>
      </w:tr>
      <w:tr w:rsidR="0088341A" w:rsidRPr="00A565C7" w:rsidTr="00A565C7">
        <w:tc>
          <w:tcPr>
            <w:tcW w:w="1242" w:type="dxa"/>
          </w:tcPr>
          <w:p w:rsidR="0088341A" w:rsidRPr="00A565C7" w:rsidRDefault="0088341A" w:rsidP="00A565C7">
            <w:pPr>
              <w:pStyle w:val="AERtabletextleft"/>
            </w:pPr>
            <w:r w:rsidRPr="00A565C7">
              <w:t>7/03/2013</w:t>
            </w:r>
          </w:p>
        </w:tc>
        <w:tc>
          <w:tcPr>
            <w:tcW w:w="2410" w:type="dxa"/>
          </w:tcPr>
          <w:p w:rsidR="0088341A" w:rsidRPr="00A565C7" w:rsidRDefault="0088341A" w:rsidP="00A565C7">
            <w:pPr>
              <w:pStyle w:val="AERtabletextleft"/>
            </w:pPr>
            <w:r w:rsidRPr="00A565C7">
              <w:t>SP AusNet, EMCa &amp; AER staff</w:t>
            </w:r>
          </w:p>
        </w:tc>
        <w:tc>
          <w:tcPr>
            <w:tcW w:w="4961" w:type="dxa"/>
          </w:tcPr>
          <w:p w:rsidR="0088341A" w:rsidRPr="00A565C7" w:rsidRDefault="0088341A" w:rsidP="00A565C7">
            <w:pPr>
              <w:pStyle w:val="AERtabletextleft"/>
            </w:pPr>
            <w:r w:rsidRPr="00A565C7">
              <w:t>Introductory/preparatory for EMCa and SP AusNet</w:t>
            </w:r>
          </w:p>
        </w:tc>
      </w:tr>
      <w:tr w:rsidR="0088341A" w:rsidRPr="00A565C7" w:rsidTr="00A565C7">
        <w:trPr>
          <w:cnfStyle w:val="000000010000" w:firstRow="0" w:lastRow="0" w:firstColumn="0" w:lastColumn="0" w:oddVBand="0" w:evenVBand="0" w:oddHBand="0" w:evenHBand="1" w:firstRowFirstColumn="0" w:firstRowLastColumn="0" w:lastRowFirstColumn="0" w:lastRowLastColumn="0"/>
        </w:trPr>
        <w:tc>
          <w:tcPr>
            <w:tcW w:w="1242" w:type="dxa"/>
          </w:tcPr>
          <w:p w:rsidR="0088341A" w:rsidRPr="00A565C7" w:rsidRDefault="0088341A" w:rsidP="00A565C7">
            <w:pPr>
              <w:pStyle w:val="AERtabletextleft"/>
            </w:pPr>
            <w:r w:rsidRPr="00A565C7">
              <w:t>18/03/2013</w:t>
            </w:r>
          </w:p>
        </w:tc>
        <w:tc>
          <w:tcPr>
            <w:tcW w:w="2410" w:type="dxa"/>
          </w:tcPr>
          <w:p w:rsidR="0088341A" w:rsidRPr="00A565C7" w:rsidRDefault="0088341A" w:rsidP="00A565C7">
            <w:pPr>
              <w:pStyle w:val="AERtabletextleft"/>
            </w:pPr>
            <w:r w:rsidRPr="00A565C7">
              <w:t>SP AusNet, EMCa &amp; AER staff</w:t>
            </w:r>
          </w:p>
        </w:tc>
        <w:tc>
          <w:tcPr>
            <w:tcW w:w="4961" w:type="dxa"/>
          </w:tcPr>
          <w:p w:rsidR="0088341A" w:rsidRPr="00A565C7" w:rsidRDefault="0088341A" w:rsidP="00A565C7">
            <w:pPr>
              <w:pStyle w:val="AERtabletextleft"/>
            </w:pPr>
            <w:r w:rsidRPr="00A565C7">
              <w:t xml:space="preserve">On site discussions and review over 4 days </w:t>
            </w:r>
          </w:p>
        </w:tc>
      </w:tr>
      <w:tr w:rsidR="0088341A" w:rsidRPr="00A565C7" w:rsidTr="00A565C7">
        <w:tc>
          <w:tcPr>
            <w:tcW w:w="1242" w:type="dxa"/>
          </w:tcPr>
          <w:p w:rsidR="0088341A" w:rsidRPr="00A565C7" w:rsidRDefault="0088341A" w:rsidP="00A565C7">
            <w:pPr>
              <w:pStyle w:val="AERtabletextleft"/>
            </w:pPr>
            <w:r w:rsidRPr="00A565C7">
              <w:t>20/03/2013</w:t>
            </w:r>
          </w:p>
        </w:tc>
        <w:tc>
          <w:tcPr>
            <w:tcW w:w="2410" w:type="dxa"/>
          </w:tcPr>
          <w:p w:rsidR="0088341A" w:rsidRPr="00A565C7" w:rsidRDefault="0088341A" w:rsidP="00A565C7">
            <w:pPr>
              <w:pStyle w:val="AERtabletextleft"/>
            </w:pPr>
            <w:r w:rsidRPr="00A565C7">
              <w:t>SP AusNet, EMCa &amp; AER staff</w:t>
            </w:r>
          </w:p>
        </w:tc>
        <w:tc>
          <w:tcPr>
            <w:tcW w:w="4961" w:type="dxa"/>
          </w:tcPr>
          <w:p w:rsidR="0088341A" w:rsidRPr="00A565C7" w:rsidRDefault="0088341A" w:rsidP="00A565C7">
            <w:pPr>
              <w:pStyle w:val="AERtabletextleft"/>
            </w:pPr>
            <w:r w:rsidRPr="00A565C7">
              <w:t>Visit to Richmond &amp; West Melbourne stations</w:t>
            </w:r>
          </w:p>
        </w:tc>
      </w:tr>
      <w:tr w:rsidR="0088341A" w:rsidRPr="00A565C7" w:rsidTr="00A565C7">
        <w:trPr>
          <w:cnfStyle w:val="000000010000" w:firstRow="0" w:lastRow="0" w:firstColumn="0" w:lastColumn="0" w:oddVBand="0" w:evenVBand="0" w:oddHBand="0" w:evenHBand="1" w:firstRowFirstColumn="0" w:firstRowLastColumn="0" w:lastRowFirstColumn="0" w:lastRowLastColumn="0"/>
        </w:trPr>
        <w:tc>
          <w:tcPr>
            <w:tcW w:w="1242" w:type="dxa"/>
          </w:tcPr>
          <w:p w:rsidR="0088341A" w:rsidRPr="00A565C7" w:rsidRDefault="0088341A" w:rsidP="00A565C7">
            <w:pPr>
              <w:pStyle w:val="AERtabletextleft"/>
            </w:pPr>
            <w:r w:rsidRPr="00A565C7">
              <w:t>20/03/2013</w:t>
            </w:r>
          </w:p>
        </w:tc>
        <w:tc>
          <w:tcPr>
            <w:tcW w:w="2410" w:type="dxa"/>
          </w:tcPr>
          <w:p w:rsidR="0088341A" w:rsidRPr="00A565C7" w:rsidRDefault="0088341A" w:rsidP="00A565C7">
            <w:pPr>
              <w:pStyle w:val="AERtabletextleft"/>
            </w:pPr>
            <w:r w:rsidRPr="00A565C7">
              <w:t>SP AusNet &amp; AER staff</w:t>
            </w:r>
          </w:p>
        </w:tc>
        <w:tc>
          <w:tcPr>
            <w:tcW w:w="4961" w:type="dxa"/>
          </w:tcPr>
          <w:p w:rsidR="0088341A" w:rsidRPr="00A565C7" w:rsidRDefault="0088341A" w:rsidP="00A565C7">
            <w:pPr>
              <w:pStyle w:val="AERtabletextleft"/>
            </w:pPr>
            <w:r w:rsidRPr="00A565C7">
              <w:t>Post lodgement general catch-up between SP AusNet Director Regulation and AER, GM Network Regulation</w:t>
            </w:r>
          </w:p>
        </w:tc>
      </w:tr>
      <w:tr w:rsidR="0088341A" w:rsidRPr="00A565C7" w:rsidTr="00A565C7">
        <w:tc>
          <w:tcPr>
            <w:tcW w:w="1242" w:type="dxa"/>
          </w:tcPr>
          <w:p w:rsidR="0088341A" w:rsidRPr="00A565C7" w:rsidRDefault="0088341A" w:rsidP="00A565C7">
            <w:pPr>
              <w:pStyle w:val="AERtabletextleft"/>
            </w:pPr>
            <w:r w:rsidRPr="00A565C7">
              <w:t>21/03/2013</w:t>
            </w:r>
          </w:p>
        </w:tc>
        <w:tc>
          <w:tcPr>
            <w:tcW w:w="2410" w:type="dxa"/>
          </w:tcPr>
          <w:p w:rsidR="0088341A" w:rsidRPr="00A565C7" w:rsidRDefault="0088341A" w:rsidP="00A565C7">
            <w:pPr>
              <w:pStyle w:val="AERtabletextleft"/>
            </w:pPr>
            <w:r w:rsidRPr="00A565C7">
              <w:t>VIC department and AER staff</w:t>
            </w:r>
          </w:p>
        </w:tc>
        <w:tc>
          <w:tcPr>
            <w:tcW w:w="4961" w:type="dxa"/>
          </w:tcPr>
          <w:p w:rsidR="0088341A" w:rsidRPr="00A565C7" w:rsidRDefault="0088341A" w:rsidP="00A565C7">
            <w:pPr>
              <w:pStyle w:val="AERtabletextleft"/>
            </w:pPr>
            <w:r w:rsidRPr="00A565C7">
              <w:t>Post lodgement briefing by AER, GM Network Regulation</w:t>
            </w:r>
          </w:p>
        </w:tc>
      </w:tr>
      <w:tr w:rsidR="0088341A" w:rsidRPr="00A565C7" w:rsidTr="00A565C7">
        <w:trPr>
          <w:cnfStyle w:val="000000010000" w:firstRow="0" w:lastRow="0" w:firstColumn="0" w:lastColumn="0" w:oddVBand="0" w:evenVBand="0" w:oddHBand="0" w:evenHBand="1" w:firstRowFirstColumn="0" w:firstRowLastColumn="0" w:lastRowFirstColumn="0" w:lastRowLastColumn="0"/>
        </w:trPr>
        <w:tc>
          <w:tcPr>
            <w:tcW w:w="1242" w:type="dxa"/>
          </w:tcPr>
          <w:p w:rsidR="0088341A" w:rsidRPr="00A565C7" w:rsidRDefault="0088341A" w:rsidP="00A565C7">
            <w:pPr>
              <w:pStyle w:val="AERtabletextleft"/>
            </w:pPr>
            <w:r w:rsidRPr="00A565C7">
              <w:t>30/03/2013</w:t>
            </w:r>
          </w:p>
        </w:tc>
        <w:tc>
          <w:tcPr>
            <w:tcW w:w="2410" w:type="dxa"/>
          </w:tcPr>
          <w:p w:rsidR="0088341A" w:rsidRPr="00A565C7" w:rsidRDefault="0088341A" w:rsidP="00A565C7">
            <w:pPr>
              <w:pStyle w:val="AERtabletextleft"/>
            </w:pPr>
            <w:r w:rsidRPr="00A565C7">
              <w:t>SP AusNet, EMCa &amp; AER staff</w:t>
            </w:r>
          </w:p>
        </w:tc>
        <w:tc>
          <w:tcPr>
            <w:tcW w:w="4961" w:type="dxa"/>
          </w:tcPr>
          <w:p w:rsidR="0088341A" w:rsidRPr="00A565C7" w:rsidRDefault="0088341A" w:rsidP="00A565C7">
            <w:pPr>
              <w:pStyle w:val="AERtabletextleft"/>
            </w:pPr>
            <w:r w:rsidRPr="00A565C7">
              <w:t>EMCa questions to SP AusNet</w:t>
            </w:r>
          </w:p>
        </w:tc>
      </w:tr>
      <w:tr w:rsidR="0088341A" w:rsidRPr="00A565C7" w:rsidTr="00A565C7">
        <w:tc>
          <w:tcPr>
            <w:tcW w:w="1242" w:type="dxa"/>
          </w:tcPr>
          <w:p w:rsidR="0088341A" w:rsidRPr="00A565C7" w:rsidRDefault="0088341A" w:rsidP="00A565C7">
            <w:pPr>
              <w:pStyle w:val="AERtabletextleft"/>
            </w:pPr>
            <w:r w:rsidRPr="00A565C7">
              <w:t>19/04/2013</w:t>
            </w:r>
          </w:p>
        </w:tc>
        <w:tc>
          <w:tcPr>
            <w:tcW w:w="2410" w:type="dxa"/>
          </w:tcPr>
          <w:p w:rsidR="0088341A" w:rsidRPr="00A565C7" w:rsidRDefault="0088341A" w:rsidP="00A565C7">
            <w:pPr>
              <w:pStyle w:val="AERtabletextleft"/>
            </w:pPr>
            <w:r w:rsidRPr="00A565C7">
              <w:t>SP AusNet CEO &amp; AER Board</w:t>
            </w:r>
          </w:p>
        </w:tc>
        <w:tc>
          <w:tcPr>
            <w:tcW w:w="4961" w:type="dxa"/>
          </w:tcPr>
          <w:p w:rsidR="0088341A" w:rsidRPr="00A565C7" w:rsidRDefault="0088341A" w:rsidP="00A565C7">
            <w:pPr>
              <w:pStyle w:val="AERtabletextleft"/>
            </w:pPr>
            <w:r w:rsidRPr="00A565C7">
              <w:t xml:space="preserve">SP AusNet presents key issues to the AER Board </w:t>
            </w:r>
          </w:p>
        </w:tc>
      </w:tr>
      <w:tr w:rsidR="0088341A" w:rsidRPr="00A565C7" w:rsidTr="00A565C7">
        <w:trPr>
          <w:cnfStyle w:val="000000010000" w:firstRow="0" w:lastRow="0" w:firstColumn="0" w:lastColumn="0" w:oddVBand="0" w:evenVBand="0" w:oddHBand="0" w:evenHBand="1" w:firstRowFirstColumn="0" w:firstRowLastColumn="0" w:lastRowFirstColumn="0" w:lastRowLastColumn="0"/>
        </w:trPr>
        <w:tc>
          <w:tcPr>
            <w:tcW w:w="1242" w:type="dxa"/>
          </w:tcPr>
          <w:p w:rsidR="0088341A" w:rsidRPr="00A565C7" w:rsidRDefault="0088341A" w:rsidP="00A565C7">
            <w:pPr>
              <w:pStyle w:val="AERtabletextleft"/>
            </w:pPr>
            <w:r w:rsidRPr="00A565C7">
              <w:t>24/03/2013</w:t>
            </w:r>
          </w:p>
        </w:tc>
        <w:tc>
          <w:tcPr>
            <w:tcW w:w="2410" w:type="dxa"/>
          </w:tcPr>
          <w:p w:rsidR="0088341A" w:rsidRPr="00A565C7" w:rsidRDefault="0088341A" w:rsidP="00A565C7">
            <w:pPr>
              <w:pStyle w:val="AERtabletextleft"/>
            </w:pPr>
            <w:r w:rsidRPr="00A565C7">
              <w:t>Stakeholders</w:t>
            </w:r>
          </w:p>
        </w:tc>
        <w:tc>
          <w:tcPr>
            <w:tcW w:w="4961" w:type="dxa"/>
          </w:tcPr>
          <w:p w:rsidR="0088341A" w:rsidRPr="00A565C7" w:rsidRDefault="0088341A" w:rsidP="00A565C7">
            <w:pPr>
              <w:pStyle w:val="AERtabletextleft"/>
            </w:pPr>
            <w:r w:rsidRPr="00A565C7">
              <w:t xml:space="preserve">Public forum on revenue proposal hosted by AER </w:t>
            </w:r>
          </w:p>
        </w:tc>
      </w:tr>
      <w:tr w:rsidR="0088341A" w:rsidRPr="00A565C7" w:rsidTr="00A565C7">
        <w:tc>
          <w:tcPr>
            <w:tcW w:w="1242" w:type="dxa"/>
          </w:tcPr>
          <w:p w:rsidR="0088341A" w:rsidRPr="00A565C7" w:rsidRDefault="0088341A" w:rsidP="00A565C7">
            <w:pPr>
              <w:pStyle w:val="AERtabletextleft"/>
            </w:pPr>
            <w:r w:rsidRPr="00A565C7">
              <w:t>17/05/2013</w:t>
            </w:r>
          </w:p>
        </w:tc>
        <w:tc>
          <w:tcPr>
            <w:tcW w:w="2410" w:type="dxa"/>
          </w:tcPr>
          <w:p w:rsidR="0088341A" w:rsidRPr="00A565C7" w:rsidRDefault="0088341A" w:rsidP="00A565C7">
            <w:pPr>
              <w:pStyle w:val="AERtabletextleft"/>
            </w:pPr>
            <w:r w:rsidRPr="00A565C7">
              <w:t xml:space="preserve">AEMO &amp; AER staff </w:t>
            </w:r>
          </w:p>
        </w:tc>
        <w:tc>
          <w:tcPr>
            <w:tcW w:w="4961" w:type="dxa"/>
          </w:tcPr>
          <w:p w:rsidR="0088341A" w:rsidRPr="00A565C7" w:rsidRDefault="0088341A" w:rsidP="00A565C7">
            <w:pPr>
              <w:pStyle w:val="AERtabletextleft"/>
            </w:pPr>
            <w:r w:rsidRPr="00A565C7">
              <w:t xml:space="preserve">Interaction with AEMO on proposed capex </w:t>
            </w:r>
          </w:p>
        </w:tc>
      </w:tr>
      <w:tr w:rsidR="0088341A" w:rsidRPr="00A565C7" w:rsidTr="00A565C7">
        <w:trPr>
          <w:cnfStyle w:val="000000010000" w:firstRow="0" w:lastRow="0" w:firstColumn="0" w:lastColumn="0" w:oddVBand="0" w:evenVBand="0" w:oddHBand="0" w:evenHBand="1" w:firstRowFirstColumn="0" w:firstRowLastColumn="0" w:lastRowFirstColumn="0" w:lastRowLastColumn="0"/>
        </w:trPr>
        <w:tc>
          <w:tcPr>
            <w:tcW w:w="1242" w:type="dxa"/>
          </w:tcPr>
          <w:p w:rsidR="0088341A" w:rsidRPr="00A565C7" w:rsidRDefault="0088341A" w:rsidP="00A565C7">
            <w:pPr>
              <w:pStyle w:val="AERtabletextleft"/>
            </w:pPr>
            <w:r w:rsidRPr="00A565C7">
              <w:t>29/05/2013</w:t>
            </w:r>
          </w:p>
        </w:tc>
        <w:tc>
          <w:tcPr>
            <w:tcW w:w="2410" w:type="dxa"/>
          </w:tcPr>
          <w:p w:rsidR="0088341A" w:rsidRPr="00A565C7" w:rsidRDefault="0088341A" w:rsidP="00A565C7">
            <w:pPr>
              <w:pStyle w:val="AERtabletextleft"/>
            </w:pPr>
            <w:r w:rsidRPr="00A565C7">
              <w:t>EMCa &amp; AER staff</w:t>
            </w:r>
          </w:p>
        </w:tc>
        <w:tc>
          <w:tcPr>
            <w:tcW w:w="4961" w:type="dxa"/>
          </w:tcPr>
          <w:p w:rsidR="0088341A" w:rsidRPr="00A565C7" w:rsidRDefault="0088341A" w:rsidP="00A565C7">
            <w:pPr>
              <w:pStyle w:val="AERtabletextleft"/>
            </w:pPr>
            <w:r w:rsidRPr="00A565C7">
              <w:t>EMCa's initial findings workshop</w:t>
            </w:r>
          </w:p>
        </w:tc>
      </w:tr>
      <w:tr w:rsidR="0088341A" w:rsidRPr="00A565C7" w:rsidTr="00A565C7">
        <w:tc>
          <w:tcPr>
            <w:tcW w:w="1242" w:type="dxa"/>
          </w:tcPr>
          <w:p w:rsidR="0088341A" w:rsidRPr="00A565C7" w:rsidRDefault="0088341A" w:rsidP="00A565C7">
            <w:pPr>
              <w:pStyle w:val="AERtabletextleft"/>
            </w:pPr>
            <w:r w:rsidRPr="00A565C7">
              <w:t>30/05/2013</w:t>
            </w:r>
          </w:p>
        </w:tc>
        <w:tc>
          <w:tcPr>
            <w:tcW w:w="2410" w:type="dxa"/>
          </w:tcPr>
          <w:p w:rsidR="0088341A" w:rsidRPr="00A565C7" w:rsidRDefault="0088341A" w:rsidP="00A565C7">
            <w:pPr>
              <w:pStyle w:val="AERtabletextleft"/>
            </w:pPr>
            <w:r w:rsidRPr="00A565C7">
              <w:t>SP AusNet, EMCa &amp; AER staff</w:t>
            </w:r>
          </w:p>
        </w:tc>
        <w:tc>
          <w:tcPr>
            <w:tcW w:w="4961" w:type="dxa"/>
          </w:tcPr>
          <w:p w:rsidR="0088341A" w:rsidRPr="00A565C7" w:rsidRDefault="0088341A" w:rsidP="00A565C7">
            <w:pPr>
              <w:pStyle w:val="AERtabletextleft"/>
            </w:pPr>
            <w:r w:rsidRPr="00A565C7">
              <w:t>EMCa's initial findings presentation to SP AusNet (question and answer style)</w:t>
            </w:r>
          </w:p>
        </w:tc>
      </w:tr>
      <w:tr w:rsidR="0088341A" w:rsidRPr="00A565C7" w:rsidTr="00A565C7">
        <w:trPr>
          <w:cnfStyle w:val="000000010000" w:firstRow="0" w:lastRow="0" w:firstColumn="0" w:lastColumn="0" w:oddVBand="0" w:evenVBand="0" w:oddHBand="0" w:evenHBand="1" w:firstRowFirstColumn="0" w:firstRowLastColumn="0" w:lastRowFirstColumn="0" w:lastRowLastColumn="0"/>
        </w:trPr>
        <w:tc>
          <w:tcPr>
            <w:tcW w:w="1242" w:type="dxa"/>
          </w:tcPr>
          <w:p w:rsidR="0088341A" w:rsidRPr="00A565C7" w:rsidRDefault="0088341A" w:rsidP="00A565C7">
            <w:pPr>
              <w:pStyle w:val="AERtabletextleft"/>
            </w:pPr>
            <w:r w:rsidRPr="00A565C7">
              <w:t>31/05/2013</w:t>
            </w:r>
          </w:p>
        </w:tc>
        <w:tc>
          <w:tcPr>
            <w:tcW w:w="2410" w:type="dxa"/>
          </w:tcPr>
          <w:p w:rsidR="0088341A" w:rsidRPr="00A565C7" w:rsidRDefault="0088341A" w:rsidP="00A565C7">
            <w:pPr>
              <w:pStyle w:val="AERtabletextleft"/>
            </w:pPr>
            <w:r w:rsidRPr="00A565C7">
              <w:t>EUAA, EMCa &amp; AER staff</w:t>
            </w:r>
          </w:p>
        </w:tc>
        <w:tc>
          <w:tcPr>
            <w:tcW w:w="4961" w:type="dxa"/>
          </w:tcPr>
          <w:p w:rsidR="0088341A" w:rsidRPr="00A565C7" w:rsidRDefault="0088341A" w:rsidP="00A565C7">
            <w:pPr>
              <w:pStyle w:val="AERtabletextleft"/>
            </w:pPr>
            <w:r w:rsidRPr="00A565C7">
              <w:t xml:space="preserve">EMCa's initial findings presentation to energy users (question and answer style) </w:t>
            </w:r>
          </w:p>
        </w:tc>
      </w:tr>
      <w:tr w:rsidR="0088341A" w:rsidRPr="00A565C7" w:rsidTr="00A565C7">
        <w:tc>
          <w:tcPr>
            <w:tcW w:w="1242" w:type="dxa"/>
          </w:tcPr>
          <w:p w:rsidR="0088341A" w:rsidRPr="00A565C7" w:rsidRDefault="0088341A" w:rsidP="00A565C7">
            <w:pPr>
              <w:pStyle w:val="AERtabletextleft"/>
            </w:pPr>
            <w:r w:rsidRPr="00A565C7">
              <w:t>31/05/2013</w:t>
            </w:r>
          </w:p>
        </w:tc>
        <w:tc>
          <w:tcPr>
            <w:tcW w:w="2410" w:type="dxa"/>
          </w:tcPr>
          <w:p w:rsidR="0088341A" w:rsidRPr="00A565C7" w:rsidRDefault="0088341A" w:rsidP="00A565C7">
            <w:pPr>
              <w:pStyle w:val="AERtabletextleft"/>
            </w:pPr>
            <w:r w:rsidRPr="00A565C7">
              <w:t xml:space="preserve">EMCa &amp; AER Board </w:t>
            </w:r>
          </w:p>
        </w:tc>
        <w:tc>
          <w:tcPr>
            <w:tcW w:w="4961" w:type="dxa"/>
          </w:tcPr>
          <w:p w:rsidR="0088341A" w:rsidRPr="00A565C7" w:rsidRDefault="0088341A" w:rsidP="00A565C7">
            <w:pPr>
              <w:pStyle w:val="AERtabletextleft"/>
            </w:pPr>
            <w:r w:rsidRPr="00A565C7">
              <w:t xml:space="preserve">AER Board directly engages with EMCa on technical findings </w:t>
            </w:r>
          </w:p>
        </w:tc>
      </w:tr>
      <w:tr w:rsidR="0088341A" w:rsidRPr="00A565C7" w:rsidTr="00A565C7">
        <w:trPr>
          <w:cnfStyle w:val="000000010000" w:firstRow="0" w:lastRow="0" w:firstColumn="0" w:lastColumn="0" w:oddVBand="0" w:evenVBand="0" w:oddHBand="0" w:evenHBand="1" w:firstRowFirstColumn="0" w:firstRowLastColumn="0" w:lastRowFirstColumn="0" w:lastRowLastColumn="0"/>
        </w:trPr>
        <w:tc>
          <w:tcPr>
            <w:tcW w:w="1242" w:type="dxa"/>
          </w:tcPr>
          <w:p w:rsidR="0088341A" w:rsidRPr="00A565C7" w:rsidRDefault="00063BBF" w:rsidP="00A565C7">
            <w:pPr>
              <w:pStyle w:val="AERtabletextleft"/>
            </w:pPr>
            <w:r>
              <w:t>14/06/2013</w:t>
            </w:r>
          </w:p>
        </w:tc>
        <w:tc>
          <w:tcPr>
            <w:tcW w:w="2410" w:type="dxa"/>
          </w:tcPr>
          <w:p w:rsidR="0088341A" w:rsidRPr="00A565C7" w:rsidRDefault="0088341A" w:rsidP="00A565C7">
            <w:pPr>
              <w:pStyle w:val="AERtabletextleft"/>
            </w:pPr>
            <w:r w:rsidRPr="00A565C7">
              <w:t>SP AusNet, AON, am Actuaries &amp; AER staff</w:t>
            </w:r>
          </w:p>
        </w:tc>
        <w:tc>
          <w:tcPr>
            <w:tcW w:w="4961" w:type="dxa"/>
          </w:tcPr>
          <w:p w:rsidR="0088341A" w:rsidRPr="00A565C7" w:rsidRDefault="0088341A" w:rsidP="00A565C7">
            <w:pPr>
              <w:pStyle w:val="AERtabletextleft"/>
            </w:pPr>
            <w:r w:rsidRPr="00A565C7">
              <w:t xml:space="preserve">Workshop on SP AusNet's insurance proposal </w:t>
            </w:r>
          </w:p>
        </w:tc>
      </w:tr>
      <w:tr w:rsidR="00663C71" w:rsidRPr="00A565C7" w:rsidTr="00A565C7">
        <w:tc>
          <w:tcPr>
            <w:tcW w:w="1242" w:type="dxa"/>
          </w:tcPr>
          <w:p w:rsidR="00663C71" w:rsidRDefault="00663C71" w:rsidP="00A565C7">
            <w:pPr>
              <w:pStyle w:val="AERtabletextleft"/>
            </w:pPr>
            <w:r>
              <w:t>18/06/2013</w:t>
            </w:r>
          </w:p>
        </w:tc>
        <w:tc>
          <w:tcPr>
            <w:tcW w:w="2410" w:type="dxa"/>
          </w:tcPr>
          <w:p w:rsidR="00663C71" w:rsidRDefault="00663C71" w:rsidP="00063BBF">
            <w:pPr>
              <w:pStyle w:val="AERtabletextleft"/>
            </w:pPr>
            <w:r>
              <w:t>SP AusNet &amp; AER staff</w:t>
            </w:r>
          </w:p>
        </w:tc>
        <w:tc>
          <w:tcPr>
            <w:tcW w:w="4961" w:type="dxa"/>
          </w:tcPr>
          <w:p w:rsidR="00663C71" w:rsidRDefault="00663C71" w:rsidP="00063BBF">
            <w:pPr>
              <w:pStyle w:val="AERtabletextleft"/>
            </w:pPr>
            <w:r w:rsidRPr="00663C71">
              <w:t>Discussion AER RP 06 &amp; 29</w:t>
            </w:r>
            <w:r>
              <w:t xml:space="preserve"> re: </w:t>
            </w:r>
            <w:r w:rsidRPr="00663C71">
              <w:t>Timing assumption for capex, opex and PTRM inputs and remaining asset lives as at 1 April 2014 for PTRM input purposes.</w:t>
            </w:r>
          </w:p>
        </w:tc>
      </w:tr>
      <w:tr w:rsidR="00A14666" w:rsidRPr="00A565C7" w:rsidTr="00A565C7">
        <w:trPr>
          <w:cnfStyle w:val="000000010000" w:firstRow="0" w:lastRow="0" w:firstColumn="0" w:lastColumn="0" w:oddVBand="0" w:evenVBand="0" w:oddHBand="0" w:evenHBand="1" w:firstRowFirstColumn="0" w:firstRowLastColumn="0" w:lastRowFirstColumn="0" w:lastRowLastColumn="0"/>
        </w:trPr>
        <w:tc>
          <w:tcPr>
            <w:tcW w:w="1242" w:type="dxa"/>
          </w:tcPr>
          <w:p w:rsidR="00A14666" w:rsidRDefault="00A14666" w:rsidP="00A565C7">
            <w:pPr>
              <w:pStyle w:val="AERtabletextleft"/>
            </w:pPr>
            <w:r>
              <w:t>20/06/2013</w:t>
            </w:r>
          </w:p>
        </w:tc>
        <w:tc>
          <w:tcPr>
            <w:tcW w:w="2410" w:type="dxa"/>
          </w:tcPr>
          <w:p w:rsidR="00A14666" w:rsidRDefault="00A14666" w:rsidP="00063BBF">
            <w:pPr>
              <w:pStyle w:val="AERtabletextleft"/>
            </w:pPr>
            <w:r>
              <w:t>AEMO &amp; AER staff</w:t>
            </w:r>
          </w:p>
        </w:tc>
        <w:tc>
          <w:tcPr>
            <w:tcW w:w="4961" w:type="dxa"/>
          </w:tcPr>
          <w:p w:rsidR="00A14666" w:rsidRPr="009F4E2F" w:rsidRDefault="00A14666" w:rsidP="00063BBF">
            <w:pPr>
              <w:pStyle w:val="AERtabletextleft"/>
            </w:pPr>
            <w:r>
              <w:t>Discussion of availability incentive scheme and network capability component of the STPIS</w:t>
            </w:r>
          </w:p>
        </w:tc>
      </w:tr>
      <w:tr w:rsidR="00663C71" w:rsidRPr="00A565C7" w:rsidTr="00A565C7">
        <w:tc>
          <w:tcPr>
            <w:tcW w:w="1242" w:type="dxa"/>
          </w:tcPr>
          <w:p w:rsidR="00663C71" w:rsidRDefault="00663C71" w:rsidP="00A565C7">
            <w:pPr>
              <w:pStyle w:val="AERtabletextleft"/>
            </w:pPr>
            <w:r>
              <w:t>24/07/2013</w:t>
            </w:r>
          </w:p>
        </w:tc>
        <w:tc>
          <w:tcPr>
            <w:tcW w:w="2410" w:type="dxa"/>
          </w:tcPr>
          <w:p w:rsidR="00663C71" w:rsidRDefault="009F4E2F" w:rsidP="00063BBF">
            <w:pPr>
              <w:pStyle w:val="AERtabletextleft"/>
            </w:pPr>
            <w:r>
              <w:t>SP AusNet &amp; AER staff</w:t>
            </w:r>
          </w:p>
        </w:tc>
        <w:tc>
          <w:tcPr>
            <w:tcW w:w="4961" w:type="dxa"/>
          </w:tcPr>
          <w:p w:rsidR="00663C71" w:rsidRDefault="009F4E2F" w:rsidP="00063BBF">
            <w:pPr>
              <w:pStyle w:val="AERtabletextleft"/>
            </w:pPr>
            <w:r w:rsidRPr="009F4E2F">
              <w:t>ERC and CPI discussion</w:t>
            </w:r>
          </w:p>
        </w:tc>
      </w:tr>
      <w:tr w:rsidR="00063BBF" w:rsidRPr="00A565C7" w:rsidTr="00A565C7">
        <w:trPr>
          <w:cnfStyle w:val="000000010000" w:firstRow="0" w:lastRow="0" w:firstColumn="0" w:lastColumn="0" w:oddVBand="0" w:evenVBand="0" w:oddHBand="0" w:evenHBand="1" w:firstRowFirstColumn="0" w:firstRowLastColumn="0" w:lastRowFirstColumn="0" w:lastRowLastColumn="0"/>
        </w:trPr>
        <w:tc>
          <w:tcPr>
            <w:tcW w:w="1242" w:type="dxa"/>
          </w:tcPr>
          <w:p w:rsidR="00063BBF" w:rsidRPr="00A565C7" w:rsidRDefault="00063BBF" w:rsidP="00A565C7">
            <w:pPr>
              <w:pStyle w:val="AERtabletextleft"/>
            </w:pPr>
            <w:r>
              <w:t>29/07/2013</w:t>
            </w:r>
          </w:p>
        </w:tc>
        <w:tc>
          <w:tcPr>
            <w:tcW w:w="2410" w:type="dxa"/>
          </w:tcPr>
          <w:p w:rsidR="00063BBF" w:rsidRPr="00A565C7" w:rsidRDefault="00063BBF" w:rsidP="00063BBF">
            <w:pPr>
              <w:pStyle w:val="AERtabletextleft"/>
            </w:pPr>
            <w:r>
              <w:t>SP AusNet, AER Board &amp; AER staff</w:t>
            </w:r>
          </w:p>
        </w:tc>
        <w:tc>
          <w:tcPr>
            <w:tcW w:w="4961" w:type="dxa"/>
          </w:tcPr>
          <w:p w:rsidR="00063BBF" w:rsidRPr="00A565C7" w:rsidRDefault="00063BBF" w:rsidP="00063BBF">
            <w:pPr>
              <w:pStyle w:val="AERtabletextleft"/>
            </w:pPr>
            <w:r>
              <w:t>AER Board and staff attend site visit at SP AusNet terminal stations (West Melbourne and Richmond)</w:t>
            </w:r>
          </w:p>
        </w:tc>
      </w:tr>
      <w:tr w:rsidR="00063BBF" w:rsidRPr="00A565C7" w:rsidTr="00A565C7">
        <w:tc>
          <w:tcPr>
            <w:tcW w:w="1242" w:type="dxa"/>
          </w:tcPr>
          <w:p w:rsidR="00063BBF" w:rsidRPr="00A565C7" w:rsidRDefault="00D4760F" w:rsidP="00A565C7">
            <w:pPr>
              <w:pStyle w:val="AERtabletextleft"/>
            </w:pPr>
            <w:r>
              <w:t>13/08/2013</w:t>
            </w:r>
          </w:p>
        </w:tc>
        <w:tc>
          <w:tcPr>
            <w:tcW w:w="2410" w:type="dxa"/>
          </w:tcPr>
          <w:p w:rsidR="00063BBF" w:rsidRPr="00A565C7" w:rsidRDefault="00D4760F" w:rsidP="00A565C7">
            <w:pPr>
              <w:pStyle w:val="AERtabletextleft"/>
            </w:pPr>
            <w:r>
              <w:t>SP AusNet &amp; AER staff</w:t>
            </w:r>
          </w:p>
        </w:tc>
        <w:tc>
          <w:tcPr>
            <w:tcW w:w="4961" w:type="dxa"/>
          </w:tcPr>
          <w:p w:rsidR="00063BBF" w:rsidRPr="00A565C7" w:rsidRDefault="00D4760F" w:rsidP="00D4760F">
            <w:pPr>
              <w:pStyle w:val="AERtabletextleft"/>
            </w:pPr>
            <w:r>
              <w:t>Pre-draft decision capex and opex modelling discussion</w:t>
            </w:r>
          </w:p>
        </w:tc>
      </w:tr>
    </w:tbl>
    <w:p w:rsidR="0088341A" w:rsidRDefault="0088341A" w:rsidP="0088341A">
      <w:pPr>
        <w:pStyle w:val="AERbodytext"/>
        <w:numPr>
          <w:ilvl w:val="0"/>
          <w:numId w:val="0"/>
        </w:numPr>
      </w:pPr>
    </w:p>
    <w:p w:rsidR="0088341A" w:rsidRPr="008C47DF" w:rsidRDefault="0088341A" w:rsidP="0088341A">
      <w:pPr>
        <w:pStyle w:val="AERbodytext"/>
        <w:numPr>
          <w:ilvl w:val="0"/>
          <w:numId w:val="1"/>
        </w:numPr>
      </w:pPr>
    </w:p>
    <w:p w:rsidR="0088341A" w:rsidRDefault="0088341A" w:rsidP="0088341A">
      <w:pPr>
        <w:pStyle w:val="Heading8"/>
        <w:numPr>
          <w:ilvl w:val="5"/>
          <w:numId w:val="20"/>
        </w:numPr>
      </w:pPr>
      <w:bookmarkStart w:id="427" w:name="_Toc365283395"/>
      <w:r w:rsidRPr="0052114E">
        <w:lastRenderedPageBreak/>
        <w:t>Submissions</w:t>
      </w:r>
      <w:r>
        <w:t xml:space="preserve"> received</w:t>
      </w:r>
      <w:bookmarkEnd w:id="427"/>
    </w:p>
    <w:tbl>
      <w:tblPr>
        <w:tblStyle w:val="AERtable-text"/>
        <w:tblW w:w="0" w:type="auto"/>
        <w:tblLook w:val="04A0" w:firstRow="1" w:lastRow="0" w:firstColumn="1" w:lastColumn="0" w:noHBand="0" w:noVBand="1"/>
      </w:tblPr>
      <w:tblGrid>
        <w:gridCol w:w="4621"/>
        <w:gridCol w:w="4621"/>
      </w:tblGrid>
      <w:tr w:rsidR="0088341A" w:rsidTr="00501137">
        <w:trPr>
          <w:cnfStyle w:val="100000000000" w:firstRow="1" w:lastRow="0" w:firstColumn="0" w:lastColumn="0" w:oddVBand="0" w:evenVBand="0" w:oddHBand="0" w:evenHBand="0" w:firstRowFirstColumn="0" w:firstRowLastColumn="0" w:lastRowFirstColumn="0" w:lastRowLastColumn="0"/>
        </w:trPr>
        <w:tc>
          <w:tcPr>
            <w:tcW w:w="4621" w:type="dxa"/>
          </w:tcPr>
          <w:p w:rsidR="0088341A" w:rsidRDefault="0088341A" w:rsidP="00501137">
            <w:pPr>
              <w:pStyle w:val="AERtabletextleft"/>
            </w:pPr>
            <w:r>
              <w:t>Submission</w:t>
            </w:r>
          </w:p>
        </w:tc>
        <w:tc>
          <w:tcPr>
            <w:tcW w:w="4621" w:type="dxa"/>
          </w:tcPr>
          <w:p w:rsidR="0088341A" w:rsidRDefault="0088341A" w:rsidP="00501137">
            <w:pPr>
              <w:pStyle w:val="AERtabletextleft"/>
            </w:pPr>
            <w:r>
              <w:t>Date</w:t>
            </w:r>
          </w:p>
        </w:tc>
      </w:tr>
      <w:tr w:rsidR="0088341A" w:rsidTr="00501137">
        <w:tc>
          <w:tcPr>
            <w:tcW w:w="4621" w:type="dxa"/>
          </w:tcPr>
          <w:p w:rsidR="0088341A" w:rsidRDefault="0088341A" w:rsidP="00501137">
            <w:pPr>
              <w:pStyle w:val="AERtabletextleft"/>
            </w:pPr>
            <w:r>
              <w:t>Energy Users Association of Australia</w:t>
            </w:r>
          </w:p>
        </w:tc>
        <w:tc>
          <w:tcPr>
            <w:tcW w:w="4621" w:type="dxa"/>
          </w:tcPr>
          <w:p w:rsidR="0088341A" w:rsidRDefault="0088341A" w:rsidP="00501137">
            <w:pPr>
              <w:pStyle w:val="AERtabletextleft"/>
            </w:pPr>
            <w:r>
              <w:t>24 May 2013</w:t>
            </w:r>
          </w:p>
        </w:tc>
      </w:tr>
      <w:tr w:rsidR="0088341A" w:rsidTr="00501137">
        <w:trPr>
          <w:cnfStyle w:val="000000010000" w:firstRow="0" w:lastRow="0" w:firstColumn="0" w:lastColumn="0" w:oddVBand="0" w:evenVBand="0" w:oddHBand="0" w:evenHBand="1" w:firstRowFirstColumn="0" w:firstRowLastColumn="0" w:lastRowFirstColumn="0" w:lastRowLastColumn="0"/>
        </w:trPr>
        <w:tc>
          <w:tcPr>
            <w:tcW w:w="4621" w:type="dxa"/>
          </w:tcPr>
          <w:p w:rsidR="0088341A" w:rsidRDefault="0088341A" w:rsidP="00501137">
            <w:pPr>
              <w:pStyle w:val="AERtabletextleft"/>
            </w:pPr>
            <w:r>
              <w:t>Energy Users Coalition of Victoria</w:t>
            </w:r>
          </w:p>
        </w:tc>
        <w:tc>
          <w:tcPr>
            <w:tcW w:w="4621" w:type="dxa"/>
          </w:tcPr>
          <w:p w:rsidR="0088341A" w:rsidRDefault="0088341A" w:rsidP="00501137">
            <w:pPr>
              <w:pStyle w:val="AERtabletextleft"/>
            </w:pPr>
            <w:r>
              <w:t>24 May 2013</w:t>
            </w:r>
          </w:p>
        </w:tc>
      </w:tr>
    </w:tbl>
    <w:p w:rsidR="0088341A" w:rsidRPr="00B007B2" w:rsidRDefault="0088341A" w:rsidP="0088341A">
      <w:pPr>
        <w:pStyle w:val="AERbodytext"/>
        <w:numPr>
          <w:ilvl w:val="0"/>
          <w:numId w:val="1"/>
        </w:numPr>
      </w:pPr>
    </w:p>
    <w:p w:rsidR="0088341A" w:rsidRDefault="0088341A" w:rsidP="0088341A">
      <w:pPr>
        <w:pStyle w:val="Heading8"/>
        <w:numPr>
          <w:ilvl w:val="5"/>
          <w:numId w:val="20"/>
        </w:numPr>
      </w:pPr>
      <w:bookmarkStart w:id="428" w:name="_Toc365283396"/>
      <w:r>
        <w:t xml:space="preserve">Information exchanges with SP </w:t>
      </w:r>
      <w:r w:rsidRPr="0052114E">
        <w:t>AusNet</w:t>
      </w:r>
      <w:bookmarkEnd w:id="428"/>
    </w:p>
    <w:p w:rsidR="0088341A" w:rsidRPr="001858AE" w:rsidRDefault="0088341A" w:rsidP="0088341A">
      <w:pPr>
        <w:pStyle w:val="AERbodytext"/>
        <w:numPr>
          <w:ilvl w:val="0"/>
          <w:numId w:val="1"/>
        </w:numPr>
      </w:pPr>
      <w:r>
        <w:t xml:space="preserve">During the review, in addition to meetings, we receive a large amount of information from </w:t>
      </w:r>
      <w:r w:rsidRPr="000C3276">
        <w:t xml:space="preserve">SP AusNet </w:t>
      </w:r>
      <w:r>
        <w:t>in response to questions from our technical consultants and us. The table below lists these responses.</w:t>
      </w:r>
      <w:r>
        <w:rPr>
          <w:rStyle w:val="FootnoteReference"/>
        </w:rPr>
        <w:footnoteReference w:id="728"/>
      </w:r>
      <w:r>
        <w:t xml:space="preserve">  </w:t>
      </w:r>
    </w:p>
    <w:tbl>
      <w:tblPr>
        <w:tblStyle w:val="AERtable-text"/>
        <w:tblW w:w="9606" w:type="dxa"/>
        <w:tblLook w:val="04A0" w:firstRow="1" w:lastRow="0" w:firstColumn="1" w:lastColumn="0" w:noHBand="0" w:noVBand="1"/>
      </w:tblPr>
      <w:tblGrid>
        <w:gridCol w:w="1305"/>
        <w:gridCol w:w="1420"/>
        <w:gridCol w:w="6881"/>
      </w:tblGrid>
      <w:tr w:rsidR="0088341A" w:rsidRPr="009C38AF" w:rsidTr="00537676">
        <w:trPr>
          <w:cnfStyle w:val="100000000000" w:firstRow="1" w:lastRow="0" w:firstColumn="0" w:lastColumn="0" w:oddVBand="0" w:evenVBand="0" w:oddHBand="0" w:evenHBand="0" w:firstRowFirstColumn="0" w:firstRowLastColumn="0" w:lastRowFirstColumn="0" w:lastRowLastColumn="0"/>
          <w:trHeight w:val="600"/>
          <w:tblHeader/>
        </w:trPr>
        <w:tc>
          <w:tcPr>
            <w:tcW w:w="1305" w:type="dxa"/>
          </w:tcPr>
          <w:p w:rsidR="0088341A" w:rsidRPr="009C38AF" w:rsidRDefault="0088341A" w:rsidP="00501137">
            <w:pPr>
              <w:pStyle w:val="AERtabletextleft"/>
            </w:pPr>
            <w:r>
              <w:t>Reference</w:t>
            </w:r>
          </w:p>
        </w:tc>
        <w:tc>
          <w:tcPr>
            <w:tcW w:w="1420" w:type="dxa"/>
          </w:tcPr>
          <w:p w:rsidR="0088341A" w:rsidRPr="009C38AF" w:rsidRDefault="0088341A" w:rsidP="00501137">
            <w:pPr>
              <w:pStyle w:val="AERtabletextleft"/>
            </w:pPr>
            <w:r>
              <w:t>Date</w:t>
            </w:r>
          </w:p>
        </w:tc>
        <w:tc>
          <w:tcPr>
            <w:tcW w:w="6881" w:type="dxa"/>
          </w:tcPr>
          <w:p w:rsidR="0088341A" w:rsidRPr="009C38AF" w:rsidRDefault="0088341A" w:rsidP="00501137">
            <w:pPr>
              <w:pStyle w:val="AERtabletextleft"/>
            </w:pPr>
            <w:r>
              <w:t>Subject</w:t>
            </w:r>
          </w:p>
        </w:tc>
      </w:tr>
      <w:tr w:rsidR="0088341A" w:rsidRPr="009C38AF" w:rsidTr="00537676">
        <w:trPr>
          <w:trHeight w:val="600"/>
        </w:trPr>
        <w:tc>
          <w:tcPr>
            <w:tcW w:w="1305" w:type="dxa"/>
            <w:hideMark/>
          </w:tcPr>
          <w:p w:rsidR="0088341A" w:rsidRPr="009C38AF" w:rsidRDefault="0088341A" w:rsidP="00501137">
            <w:pPr>
              <w:pStyle w:val="AERtabletextleft"/>
            </w:pPr>
            <w:r w:rsidRPr="009C38AF">
              <w:t>SP EMCa002 (A,B,C)</w:t>
            </w:r>
          </w:p>
        </w:tc>
        <w:tc>
          <w:tcPr>
            <w:tcW w:w="1420" w:type="dxa"/>
            <w:hideMark/>
          </w:tcPr>
          <w:p w:rsidR="0088341A" w:rsidRPr="009C38AF" w:rsidRDefault="0088341A" w:rsidP="00501137">
            <w:pPr>
              <w:pStyle w:val="AERtabletextleft"/>
            </w:pPr>
            <w:r w:rsidRPr="009C38AF">
              <w:t>14/03/2013</w:t>
            </w:r>
          </w:p>
        </w:tc>
        <w:tc>
          <w:tcPr>
            <w:tcW w:w="6881" w:type="dxa"/>
            <w:hideMark/>
          </w:tcPr>
          <w:p w:rsidR="0088341A" w:rsidRPr="009C38AF" w:rsidRDefault="0088341A" w:rsidP="00501137">
            <w:pPr>
              <w:pStyle w:val="AERtabletextleft"/>
            </w:pPr>
            <w:r w:rsidRPr="009C38AF">
              <w:t>Current RCP Project data</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rsidRPr="009C38AF">
              <w:t>SP EMCa 003</w:t>
            </w:r>
          </w:p>
        </w:tc>
        <w:tc>
          <w:tcPr>
            <w:tcW w:w="1420" w:type="dxa"/>
            <w:hideMark/>
          </w:tcPr>
          <w:p w:rsidR="0088341A" w:rsidRPr="009C38AF" w:rsidRDefault="0088341A" w:rsidP="00501137">
            <w:pPr>
              <w:pStyle w:val="AERtabletextleft"/>
            </w:pPr>
            <w:r w:rsidRPr="009C38AF">
              <w:t>25/03/2013</w:t>
            </w:r>
          </w:p>
        </w:tc>
        <w:tc>
          <w:tcPr>
            <w:tcW w:w="6881" w:type="dxa"/>
            <w:hideMark/>
          </w:tcPr>
          <w:p w:rsidR="0088341A" w:rsidRPr="009C38AF" w:rsidRDefault="0088341A" w:rsidP="00501137">
            <w:pPr>
              <w:pStyle w:val="AERtabletextleft"/>
            </w:pPr>
            <w:r w:rsidRPr="009C38AF">
              <w:t>Condition monitoring costs</w:t>
            </w:r>
          </w:p>
        </w:tc>
      </w:tr>
      <w:tr w:rsidR="0088341A" w:rsidRPr="009C38AF" w:rsidTr="00537676">
        <w:trPr>
          <w:trHeight w:val="600"/>
        </w:trPr>
        <w:tc>
          <w:tcPr>
            <w:tcW w:w="1305" w:type="dxa"/>
            <w:hideMark/>
          </w:tcPr>
          <w:p w:rsidR="0088341A" w:rsidRPr="009C38AF" w:rsidRDefault="0088341A" w:rsidP="00501137">
            <w:pPr>
              <w:pStyle w:val="AERtabletextleft"/>
            </w:pPr>
            <w:r w:rsidRPr="009C38AF">
              <w:t>SP EMCa 004</w:t>
            </w:r>
          </w:p>
        </w:tc>
        <w:tc>
          <w:tcPr>
            <w:tcW w:w="1420" w:type="dxa"/>
            <w:hideMark/>
          </w:tcPr>
          <w:p w:rsidR="0088341A" w:rsidRPr="009C38AF" w:rsidRDefault="0088341A" w:rsidP="00501137">
            <w:pPr>
              <w:pStyle w:val="AERtabletextleft"/>
            </w:pPr>
            <w:r w:rsidRPr="009C38AF">
              <w:t>25/03/2013</w:t>
            </w:r>
          </w:p>
        </w:tc>
        <w:tc>
          <w:tcPr>
            <w:tcW w:w="6881" w:type="dxa"/>
            <w:hideMark/>
          </w:tcPr>
          <w:p w:rsidR="0088341A" w:rsidRPr="009C38AF" w:rsidRDefault="0088341A" w:rsidP="00501137">
            <w:pPr>
              <w:pStyle w:val="AERtabletextleft"/>
            </w:pPr>
            <w:r w:rsidRPr="009C38AF">
              <w:t>Actual and forecast augmentation and connection capex</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rsidRPr="009C38AF">
              <w:t>SP EMCa 005</w:t>
            </w:r>
          </w:p>
        </w:tc>
        <w:tc>
          <w:tcPr>
            <w:tcW w:w="1420" w:type="dxa"/>
            <w:hideMark/>
          </w:tcPr>
          <w:p w:rsidR="0088341A" w:rsidRPr="009C38AF" w:rsidRDefault="0088341A" w:rsidP="00501137">
            <w:pPr>
              <w:pStyle w:val="AERtabletextleft"/>
            </w:pPr>
            <w:r w:rsidRPr="009C38AF">
              <w:t>25/03/2013</w:t>
            </w:r>
          </w:p>
        </w:tc>
        <w:tc>
          <w:tcPr>
            <w:tcW w:w="6881" w:type="dxa"/>
            <w:hideMark/>
          </w:tcPr>
          <w:p w:rsidR="0088341A" w:rsidRPr="009C38AF" w:rsidRDefault="0088341A" w:rsidP="00501137">
            <w:pPr>
              <w:pStyle w:val="AERtabletextleft"/>
            </w:pPr>
            <w:r w:rsidRPr="009C38AF">
              <w:t>Consolidated IT and communications expenditure</w:t>
            </w:r>
          </w:p>
        </w:tc>
      </w:tr>
      <w:tr w:rsidR="0088341A" w:rsidRPr="009C38AF" w:rsidTr="00537676">
        <w:trPr>
          <w:trHeight w:val="600"/>
        </w:trPr>
        <w:tc>
          <w:tcPr>
            <w:tcW w:w="1305" w:type="dxa"/>
            <w:hideMark/>
          </w:tcPr>
          <w:p w:rsidR="0088341A" w:rsidRPr="009C38AF" w:rsidRDefault="0088341A" w:rsidP="00501137">
            <w:pPr>
              <w:pStyle w:val="AERtabletextleft"/>
            </w:pPr>
            <w:r w:rsidRPr="009C38AF">
              <w:t>SP EMCa 006</w:t>
            </w:r>
          </w:p>
        </w:tc>
        <w:tc>
          <w:tcPr>
            <w:tcW w:w="1420" w:type="dxa"/>
            <w:hideMark/>
          </w:tcPr>
          <w:p w:rsidR="0088341A" w:rsidRPr="009C38AF" w:rsidRDefault="0088341A" w:rsidP="00501137">
            <w:pPr>
              <w:pStyle w:val="AERtabletextleft"/>
            </w:pPr>
            <w:r w:rsidRPr="009C38AF">
              <w:t>25/03/2013</w:t>
            </w:r>
          </w:p>
        </w:tc>
        <w:tc>
          <w:tcPr>
            <w:tcW w:w="6881" w:type="dxa"/>
            <w:hideMark/>
          </w:tcPr>
          <w:p w:rsidR="0088341A" w:rsidRPr="009C38AF" w:rsidRDefault="0088341A" w:rsidP="00501137">
            <w:pPr>
              <w:pStyle w:val="AERtabletextleft"/>
            </w:pPr>
            <w:r w:rsidRPr="009C38AF">
              <w:t>Incident reporting and KPIs</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rsidRPr="009C38AF">
              <w:t>SP EMCa 007</w:t>
            </w:r>
          </w:p>
        </w:tc>
        <w:tc>
          <w:tcPr>
            <w:tcW w:w="1420" w:type="dxa"/>
            <w:hideMark/>
          </w:tcPr>
          <w:p w:rsidR="0088341A" w:rsidRPr="009C38AF" w:rsidRDefault="0088341A" w:rsidP="00501137">
            <w:pPr>
              <w:pStyle w:val="AERtabletextleft"/>
            </w:pPr>
            <w:r w:rsidRPr="009C38AF">
              <w:t>25/03/2013</w:t>
            </w:r>
          </w:p>
        </w:tc>
        <w:tc>
          <w:tcPr>
            <w:tcW w:w="6881" w:type="dxa"/>
            <w:hideMark/>
          </w:tcPr>
          <w:p w:rsidR="0088341A" w:rsidRPr="009C38AF" w:rsidRDefault="0088341A" w:rsidP="00501137">
            <w:pPr>
              <w:pStyle w:val="AERtabletextleft"/>
            </w:pPr>
            <w:r w:rsidRPr="009C38AF">
              <w:t>Asset condition information requirements - SAP</w:t>
            </w:r>
          </w:p>
        </w:tc>
      </w:tr>
      <w:tr w:rsidR="0088341A" w:rsidRPr="009C38AF" w:rsidTr="00537676">
        <w:trPr>
          <w:trHeight w:val="600"/>
        </w:trPr>
        <w:tc>
          <w:tcPr>
            <w:tcW w:w="1305" w:type="dxa"/>
            <w:hideMark/>
          </w:tcPr>
          <w:p w:rsidR="0088341A" w:rsidRPr="009C38AF" w:rsidRDefault="0088341A" w:rsidP="00501137">
            <w:pPr>
              <w:pStyle w:val="AERtabletextleft"/>
            </w:pPr>
            <w:r w:rsidRPr="009C38AF">
              <w:t>SP EMCa 008</w:t>
            </w:r>
          </w:p>
        </w:tc>
        <w:tc>
          <w:tcPr>
            <w:tcW w:w="1420" w:type="dxa"/>
            <w:hideMark/>
          </w:tcPr>
          <w:p w:rsidR="0088341A" w:rsidRPr="009C38AF" w:rsidRDefault="0088341A" w:rsidP="00501137">
            <w:pPr>
              <w:pStyle w:val="AERtabletextleft"/>
            </w:pPr>
            <w:r w:rsidRPr="009C38AF">
              <w:t>25/03/2013</w:t>
            </w:r>
          </w:p>
        </w:tc>
        <w:tc>
          <w:tcPr>
            <w:tcW w:w="6881" w:type="dxa"/>
            <w:hideMark/>
          </w:tcPr>
          <w:p w:rsidR="0088341A" w:rsidRPr="009C38AF" w:rsidRDefault="0088341A" w:rsidP="00501137">
            <w:pPr>
              <w:pStyle w:val="AERtabletextleft"/>
            </w:pPr>
            <w:r w:rsidRPr="009C38AF">
              <w:t>Sensitivity to VCR and life value assumptions</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rsidRPr="009C38AF">
              <w:t>SP EMCa 009</w:t>
            </w:r>
          </w:p>
        </w:tc>
        <w:tc>
          <w:tcPr>
            <w:tcW w:w="1420" w:type="dxa"/>
            <w:hideMark/>
          </w:tcPr>
          <w:p w:rsidR="0088341A" w:rsidRPr="009C38AF" w:rsidRDefault="0088341A" w:rsidP="00501137">
            <w:pPr>
              <w:pStyle w:val="AERtabletextleft"/>
            </w:pPr>
            <w:r w:rsidRPr="009C38AF">
              <w:t>25/03/2013</w:t>
            </w:r>
          </w:p>
        </w:tc>
        <w:tc>
          <w:tcPr>
            <w:tcW w:w="6881" w:type="dxa"/>
            <w:hideMark/>
          </w:tcPr>
          <w:p w:rsidR="0088341A" w:rsidRPr="009C38AF" w:rsidRDefault="0088341A" w:rsidP="00501137">
            <w:pPr>
              <w:pStyle w:val="AERtabletextleft"/>
            </w:pPr>
            <w:r w:rsidRPr="009C38AF">
              <w:t>Cost estimation for TRR capex projects</w:t>
            </w:r>
          </w:p>
        </w:tc>
      </w:tr>
      <w:tr w:rsidR="0088341A" w:rsidRPr="009C38AF" w:rsidTr="00537676">
        <w:trPr>
          <w:trHeight w:val="600"/>
        </w:trPr>
        <w:tc>
          <w:tcPr>
            <w:tcW w:w="1305" w:type="dxa"/>
            <w:hideMark/>
          </w:tcPr>
          <w:p w:rsidR="0088341A" w:rsidRPr="009C38AF" w:rsidRDefault="0088341A" w:rsidP="00501137">
            <w:pPr>
              <w:pStyle w:val="AERtabletextleft"/>
            </w:pPr>
            <w:r w:rsidRPr="009C38AF">
              <w:t>SP EMCa 010</w:t>
            </w:r>
          </w:p>
        </w:tc>
        <w:tc>
          <w:tcPr>
            <w:tcW w:w="1420" w:type="dxa"/>
            <w:hideMark/>
          </w:tcPr>
          <w:p w:rsidR="0088341A" w:rsidRPr="009C38AF" w:rsidRDefault="0088341A" w:rsidP="00501137">
            <w:pPr>
              <w:pStyle w:val="AERtabletextleft"/>
            </w:pPr>
            <w:r w:rsidRPr="009C38AF">
              <w:t>25/03/2013</w:t>
            </w:r>
          </w:p>
        </w:tc>
        <w:tc>
          <w:tcPr>
            <w:tcW w:w="6881" w:type="dxa"/>
            <w:hideMark/>
          </w:tcPr>
          <w:p w:rsidR="0088341A" w:rsidRPr="009C38AF" w:rsidRDefault="0088341A" w:rsidP="00501137">
            <w:pPr>
              <w:pStyle w:val="AERtabletextleft"/>
            </w:pPr>
            <w:r w:rsidRPr="009C38AF">
              <w:t xml:space="preserve">Current RCP capex variances relative to 2008 </w:t>
            </w:r>
            <w:r>
              <w:t>SP AER</w:t>
            </w:r>
            <w:r w:rsidRPr="009C38AF">
              <w:t xml:space="preserve"> Decision</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rsidRPr="009C38AF">
              <w:t>SP EMCa 011</w:t>
            </w:r>
          </w:p>
        </w:tc>
        <w:tc>
          <w:tcPr>
            <w:tcW w:w="1420" w:type="dxa"/>
            <w:hideMark/>
          </w:tcPr>
          <w:p w:rsidR="0088341A" w:rsidRPr="009C38AF" w:rsidRDefault="0088341A" w:rsidP="00501137">
            <w:pPr>
              <w:pStyle w:val="AERtabletextleft"/>
            </w:pPr>
            <w:r w:rsidRPr="009C38AF">
              <w:t>25/03/2013</w:t>
            </w:r>
          </w:p>
        </w:tc>
        <w:tc>
          <w:tcPr>
            <w:tcW w:w="6881" w:type="dxa"/>
            <w:hideMark/>
          </w:tcPr>
          <w:p w:rsidR="0088341A" w:rsidRPr="009C38AF" w:rsidRDefault="0088341A" w:rsidP="00501137">
            <w:pPr>
              <w:pStyle w:val="AERtabletextleft"/>
            </w:pPr>
            <w:r w:rsidRPr="009C38AF">
              <w:t>Group 3 Roll-in Capex</w:t>
            </w:r>
          </w:p>
        </w:tc>
      </w:tr>
      <w:tr w:rsidR="0088341A" w:rsidRPr="009C38AF" w:rsidTr="00537676">
        <w:trPr>
          <w:trHeight w:val="600"/>
        </w:trPr>
        <w:tc>
          <w:tcPr>
            <w:tcW w:w="1305" w:type="dxa"/>
            <w:hideMark/>
          </w:tcPr>
          <w:p w:rsidR="0088341A" w:rsidRPr="009C38AF" w:rsidRDefault="0088341A" w:rsidP="00501137">
            <w:pPr>
              <w:pStyle w:val="AERtabletextleft"/>
            </w:pPr>
            <w:r w:rsidRPr="009C38AF">
              <w:t>SP EMCa 012</w:t>
            </w:r>
          </w:p>
        </w:tc>
        <w:tc>
          <w:tcPr>
            <w:tcW w:w="1420" w:type="dxa"/>
            <w:hideMark/>
          </w:tcPr>
          <w:p w:rsidR="0088341A" w:rsidRPr="009C38AF" w:rsidRDefault="0088341A" w:rsidP="00501137">
            <w:pPr>
              <w:pStyle w:val="AERtabletextleft"/>
            </w:pPr>
            <w:r w:rsidRPr="009C38AF">
              <w:t>25/03/2013</w:t>
            </w:r>
          </w:p>
        </w:tc>
        <w:tc>
          <w:tcPr>
            <w:tcW w:w="6881" w:type="dxa"/>
            <w:hideMark/>
          </w:tcPr>
          <w:p w:rsidR="0088341A" w:rsidRPr="009C38AF" w:rsidRDefault="0088341A" w:rsidP="00501137">
            <w:pPr>
              <w:pStyle w:val="AERtabletextleft"/>
            </w:pPr>
            <w:r w:rsidRPr="009C38AF">
              <w:t>Asset management - optimisation and sensitivity</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rsidRPr="009C38AF">
              <w:t>SP EMCa 013</w:t>
            </w:r>
          </w:p>
        </w:tc>
        <w:tc>
          <w:tcPr>
            <w:tcW w:w="1420" w:type="dxa"/>
            <w:hideMark/>
          </w:tcPr>
          <w:p w:rsidR="0088341A" w:rsidRPr="009C38AF" w:rsidRDefault="0088341A" w:rsidP="00501137">
            <w:pPr>
              <w:pStyle w:val="AERtabletextleft"/>
            </w:pPr>
            <w:r w:rsidRPr="009C38AF">
              <w:t>25/03/2013</w:t>
            </w:r>
          </w:p>
        </w:tc>
        <w:tc>
          <w:tcPr>
            <w:tcW w:w="6881" w:type="dxa"/>
            <w:hideMark/>
          </w:tcPr>
          <w:p w:rsidR="0088341A" w:rsidRPr="009C38AF" w:rsidRDefault="0088341A" w:rsidP="00501137">
            <w:pPr>
              <w:pStyle w:val="AERtabletextleft"/>
            </w:pPr>
            <w:r w:rsidRPr="009C38AF">
              <w:t>Current and next RCP Opex trends</w:t>
            </w:r>
          </w:p>
        </w:tc>
      </w:tr>
      <w:tr w:rsidR="0088341A" w:rsidRPr="009C38AF" w:rsidTr="00537676">
        <w:trPr>
          <w:trHeight w:val="600"/>
        </w:trPr>
        <w:tc>
          <w:tcPr>
            <w:tcW w:w="1305" w:type="dxa"/>
            <w:hideMark/>
          </w:tcPr>
          <w:p w:rsidR="0088341A" w:rsidRPr="009C38AF" w:rsidRDefault="0088341A" w:rsidP="00501137">
            <w:pPr>
              <w:pStyle w:val="AERtabletextleft"/>
            </w:pPr>
            <w:r w:rsidRPr="009C38AF">
              <w:t>SP EMCa 014</w:t>
            </w:r>
          </w:p>
        </w:tc>
        <w:tc>
          <w:tcPr>
            <w:tcW w:w="1420" w:type="dxa"/>
            <w:hideMark/>
          </w:tcPr>
          <w:p w:rsidR="0088341A" w:rsidRPr="009C38AF" w:rsidRDefault="0088341A" w:rsidP="00501137">
            <w:pPr>
              <w:pStyle w:val="AERtabletextleft"/>
            </w:pPr>
            <w:r w:rsidRPr="009C38AF">
              <w:t>25/03/2013</w:t>
            </w:r>
          </w:p>
        </w:tc>
        <w:tc>
          <w:tcPr>
            <w:tcW w:w="6881" w:type="dxa"/>
            <w:hideMark/>
          </w:tcPr>
          <w:p w:rsidR="0088341A" w:rsidRPr="009C38AF" w:rsidRDefault="0088341A" w:rsidP="00501137">
            <w:pPr>
              <w:pStyle w:val="AERtabletextleft"/>
            </w:pPr>
            <w:r w:rsidRPr="009C38AF">
              <w:t>Next RCP Project information – West Melbourne</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rsidRPr="009C38AF">
              <w:t>SP EMCa 015</w:t>
            </w:r>
          </w:p>
        </w:tc>
        <w:tc>
          <w:tcPr>
            <w:tcW w:w="1420" w:type="dxa"/>
            <w:hideMark/>
          </w:tcPr>
          <w:p w:rsidR="0088341A" w:rsidRPr="009C38AF" w:rsidRDefault="0088341A" w:rsidP="00501137">
            <w:pPr>
              <w:pStyle w:val="AERtabletextleft"/>
            </w:pPr>
            <w:r w:rsidRPr="009C38AF">
              <w:t>25/03/2013</w:t>
            </w:r>
          </w:p>
        </w:tc>
        <w:tc>
          <w:tcPr>
            <w:tcW w:w="6881" w:type="dxa"/>
            <w:hideMark/>
          </w:tcPr>
          <w:p w:rsidR="0088341A" w:rsidRPr="009C38AF" w:rsidRDefault="0088341A" w:rsidP="00501137">
            <w:pPr>
              <w:pStyle w:val="AERtabletextleft"/>
            </w:pPr>
            <w:r w:rsidRPr="009C38AF">
              <w:t>Opex Non-recurrent Asset Works program – current RCP</w:t>
            </w:r>
          </w:p>
        </w:tc>
      </w:tr>
      <w:tr w:rsidR="0088341A" w:rsidRPr="009C38AF" w:rsidTr="00537676">
        <w:trPr>
          <w:trHeight w:val="600"/>
        </w:trPr>
        <w:tc>
          <w:tcPr>
            <w:tcW w:w="1305" w:type="dxa"/>
            <w:hideMark/>
          </w:tcPr>
          <w:p w:rsidR="0088341A" w:rsidRPr="009C38AF" w:rsidRDefault="0088341A" w:rsidP="00501137">
            <w:pPr>
              <w:pStyle w:val="AERtabletextleft"/>
            </w:pPr>
            <w:r w:rsidRPr="009C38AF">
              <w:t>SP EMCa 016</w:t>
            </w:r>
          </w:p>
        </w:tc>
        <w:tc>
          <w:tcPr>
            <w:tcW w:w="1420" w:type="dxa"/>
            <w:hideMark/>
          </w:tcPr>
          <w:p w:rsidR="0088341A" w:rsidRPr="009C38AF" w:rsidRDefault="0088341A" w:rsidP="00501137">
            <w:pPr>
              <w:pStyle w:val="AERtabletextleft"/>
            </w:pPr>
            <w:r w:rsidRPr="009C38AF">
              <w:t>25/03/2013</w:t>
            </w:r>
          </w:p>
        </w:tc>
        <w:tc>
          <w:tcPr>
            <w:tcW w:w="6881" w:type="dxa"/>
            <w:hideMark/>
          </w:tcPr>
          <w:p w:rsidR="0088341A" w:rsidRPr="009C38AF" w:rsidRDefault="0088341A" w:rsidP="00501137">
            <w:pPr>
              <w:pStyle w:val="AERtabletextleft"/>
            </w:pPr>
            <w:r w:rsidRPr="009C38AF">
              <w:t>Replacement cost value of SP transmission assets</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rsidRPr="009C38AF">
              <w:lastRenderedPageBreak/>
              <w:t>SP EMCa 017</w:t>
            </w:r>
          </w:p>
        </w:tc>
        <w:tc>
          <w:tcPr>
            <w:tcW w:w="1420" w:type="dxa"/>
            <w:hideMark/>
          </w:tcPr>
          <w:p w:rsidR="0088341A" w:rsidRPr="009C38AF" w:rsidRDefault="0088341A" w:rsidP="00501137">
            <w:pPr>
              <w:pStyle w:val="AERtabletextleft"/>
            </w:pPr>
            <w:r w:rsidRPr="009C38AF">
              <w:t>25/03/2013</w:t>
            </w:r>
          </w:p>
        </w:tc>
        <w:tc>
          <w:tcPr>
            <w:tcW w:w="6881" w:type="dxa"/>
            <w:hideMark/>
          </w:tcPr>
          <w:p w:rsidR="0088341A" w:rsidRPr="009C38AF" w:rsidRDefault="0088341A" w:rsidP="00501137">
            <w:pPr>
              <w:pStyle w:val="AERtabletextleft"/>
            </w:pPr>
            <w:r w:rsidRPr="009C38AF">
              <w:t>Capex overheads</w:t>
            </w:r>
          </w:p>
        </w:tc>
      </w:tr>
      <w:tr w:rsidR="0088341A" w:rsidRPr="009C38AF" w:rsidTr="00537676">
        <w:trPr>
          <w:trHeight w:val="600"/>
        </w:trPr>
        <w:tc>
          <w:tcPr>
            <w:tcW w:w="1305" w:type="dxa"/>
            <w:hideMark/>
          </w:tcPr>
          <w:p w:rsidR="0088341A" w:rsidRPr="009C38AF" w:rsidRDefault="0088341A" w:rsidP="00501137">
            <w:pPr>
              <w:pStyle w:val="AERtabletextleft"/>
            </w:pPr>
            <w:r w:rsidRPr="009C38AF">
              <w:t>SP EMCa 018</w:t>
            </w:r>
          </w:p>
        </w:tc>
        <w:tc>
          <w:tcPr>
            <w:tcW w:w="1420" w:type="dxa"/>
            <w:hideMark/>
          </w:tcPr>
          <w:p w:rsidR="0088341A" w:rsidRPr="009C38AF" w:rsidRDefault="0088341A" w:rsidP="00501137">
            <w:pPr>
              <w:pStyle w:val="AERtabletextleft"/>
            </w:pPr>
            <w:r w:rsidRPr="009C38AF">
              <w:t>25/03/2013</w:t>
            </w:r>
          </w:p>
        </w:tc>
        <w:tc>
          <w:tcPr>
            <w:tcW w:w="6881" w:type="dxa"/>
            <w:hideMark/>
          </w:tcPr>
          <w:p w:rsidR="0088341A" w:rsidRPr="009C38AF" w:rsidRDefault="0088341A" w:rsidP="00501137">
            <w:pPr>
              <w:pStyle w:val="AERtabletextleft"/>
            </w:pPr>
            <w:r w:rsidRPr="009C38AF">
              <w:t xml:space="preserve">Historical Non-recurring Routine Maintenance </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rsidRPr="009C38AF">
              <w:t>SP EMCa 019</w:t>
            </w:r>
          </w:p>
        </w:tc>
        <w:tc>
          <w:tcPr>
            <w:tcW w:w="1420" w:type="dxa"/>
            <w:hideMark/>
          </w:tcPr>
          <w:p w:rsidR="0088341A" w:rsidRPr="009C38AF" w:rsidRDefault="0088341A" w:rsidP="00501137">
            <w:pPr>
              <w:pStyle w:val="AERtabletextleft"/>
            </w:pPr>
            <w:r w:rsidRPr="009C38AF">
              <w:t>25/03/2013</w:t>
            </w:r>
          </w:p>
        </w:tc>
        <w:tc>
          <w:tcPr>
            <w:tcW w:w="6881" w:type="dxa"/>
            <w:hideMark/>
          </w:tcPr>
          <w:p w:rsidR="0088341A" w:rsidRPr="009C38AF" w:rsidRDefault="0088341A" w:rsidP="00501137">
            <w:pPr>
              <w:pStyle w:val="AERtabletextleft"/>
            </w:pPr>
            <w:r w:rsidRPr="009C38AF">
              <w:t>Cost Estimation - Unit rates, procurement, process governance and modelling</w:t>
            </w:r>
          </w:p>
        </w:tc>
      </w:tr>
      <w:tr w:rsidR="0088341A" w:rsidRPr="009C38AF" w:rsidTr="00537676">
        <w:trPr>
          <w:trHeight w:val="600"/>
        </w:trPr>
        <w:tc>
          <w:tcPr>
            <w:tcW w:w="1305" w:type="dxa"/>
            <w:hideMark/>
          </w:tcPr>
          <w:p w:rsidR="0088341A" w:rsidRPr="009C38AF" w:rsidRDefault="0088341A" w:rsidP="00501137">
            <w:pPr>
              <w:pStyle w:val="AERtabletextleft"/>
            </w:pPr>
            <w:r w:rsidRPr="009C38AF">
              <w:t>SP EMCa 020</w:t>
            </w:r>
          </w:p>
        </w:tc>
        <w:tc>
          <w:tcPr>
            <w:tcW w:w="1420" w:type="dxa"/>
            <w:hideMark/>
          </w:tcPr>
          <w:p w:rsidR="0088341A" w:rsidRPr="009C38AF" w:rsidRDefault="0088341A" w:rsidP="00501137">
            <w:pPr>
              <w:pStyle w:val="AERtabletextleft"/>
            </w:pPr>
            <w:r w:rsidRPr="009C38AF">
              <w:t>25/03/2013</w:t>
            </w:r>
          </w:p>
        </w:tc>
        <w:tc>
          <w:tcPr>
            <w:tcW w:w="6881" w:type="dxa"/>
            <w:hideMark/>
          </w:tcPr>
          <w:p w:rsidR="0088341A" w:rsidRPr="009C38AF" w:rsidRDefault="0088341A" w:rsidP="00501137">
            <w:pPr>
              <w:pStyle w:val="AERtabletextleft"/>
            </w:pPr>
            <w:r w:rsidRPr="009C38AF">
              <w:t>STPIS data quality</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rsidRPr="009C38AF">
              <w:t>SP EMCa 021</w:t>
            </w:r>
          </w:p>
        </w:tc>
        <w:tc>
          <w:tcPr>
            <w:tcW w:w="1420" w:type="dxa"/>
            <w:hideMark/>
          </w:tcPr>
          <w:p w:rsidR="0088341A" w:rsidRPr="009C38AF" w:rsidRDefault="0088341A" w:rsidP="00501137">
            <w:pPr>
              <w:pStyle w:val="AERtabletextleft"/>
            </w:pPr>
            <w:r w:rsidRPr="009C38AF">
              <w:t>11/04/2013</w:t>
            </w:r>
          </w:p>
        </w:tc>
        <w:tc>
          <w:tcPr>
            <w:tcW w:w="6881" w:type="dxa"/>
            <w:hideMark/>
          </w:tcPr>
          <w:p w:rsidR="0088341A" w:rsidRPr="009C38AF" w:rsidRDefault="0088341A" w:rsidP="00501137">
            <w:pPr>
              <w:pStyle w:val="AERtabletextleft"/>
            </w:pPr>
            <w:r w:rsidRPr="009C38AF">
              <w:t>Follow up request to EMCa015</w:t>
            </w:r>
          </w:p>
        </w:tc>
      </w:tr>
      <w:tr w:rsidR="0088341A" w:rsidRPr="009C38AF" w:rsidTr="00537676">
        <w:trPr>
          <w:trHeight w:val="600"/>
        </w:trPr>
        <w:tc>
          <w:tcPr>
            <w:tcW w:w="1305" w:type="dxa"/>
            <w:hideMark/>
          </w:tcPr>
          <w:p w:rsidR="0088341A" w:rsidRPr="009C38AF" w:rsidRDefault="0088341A" w:rsidP="00501137">
            <w:pPr>
              <w:pStyle w:val="AERtabletextleft"/>
            </w:pPr>
            <w:r w:rsidRPr="009C38AF">
              <w:t>SP EMCa 022</w:t>
            </w:r>
          </w:p>
        </w:tc>
        <w:tc>
          <w:tcPr>
            <w:tcW w:w="1420" w:type="dxa"/>
            <w:hideMark/>
          </w:tcPr>
          <w:p w:rsidR="0088341A" w:rsidRPr="009C38AF" w:rsidRDefault="0088341A" w:rsidP="00501137">
            <w:pPr>
              <w:pStyle w:val="AERtabletextleft"/>
            </w:pPr>
            <w:r w:rsidRPr="009C38AF">
              <w:t>11/04/2013</w:t>
            </w:r>
          </w:p>
        </w:tc>
        <w:tc>
          <w:tcPr>
            <w:tcW w:w="6881" w:type="dxa"/>
            <w:hideMark/>
          </w:tcPr>
          <w:p w:rsidR="0088341A" w:rsidRPr="009C38AF" w:rsidRDefault="0088341A" w:rsidP="00501137">
            <w:pPr>
              <w:pStyle w:val="AERtabletextleft"/>
            </w:pPr>
            <w:r w:rsidRPr="009C38AF">
              <w:t>Historical capex data check</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rsidRPr="009C38AF">
              <w:t>SP EMCa 023</w:t>
            </w:r>
          </w:p>
        </w:tc>
        <w:tc>
          <w:tcPr>
            <w:tcW w:w="1420" w:type="dxa"/>
            <w:hideMark/>
          </w:tcPr>
          <w:p w:rsidR="0088341A" w:rsidRPr="009C38AF" w:rsidRDefault="0088341A" w:rsidP="00501137">
            <w:pPr>
              <w:pStyle w:val="AERtabletextleft"/>
            </w:pPr>
            <w:r w:rsidRPr="009C38AF">
              <w:t>11/04/2013</w:t>
            </w:r>
          </w:p>
        </w:tc>
        <w:tc>
          <w:tcPr>
            <w:tcW w:w="6881" w:type="dxa"/>
            <w:hideMark/>
          </w:tcPr>
          <w:p w:rsidR="0088341A" w:rsidRPr="009C38AF" w:rsidRDefault="0088341A" w:rsidP="00501137">
            <w:pPr>
              <w:pStyle w:val="AERtabletextleft"/>
            </w:pPr>
            <w:r w:rsidRPr="009C38AF">
              <w:t>Current RCP projects and program scopes</w:t>
            </w:r>
          </w:p>
        </w:tc>
      </w:tr>
      <w:tr w:rsidR="0088341A" w:rsidRPr="009C38AF" w:rsidTr="00537676">
        <w:trPr>
          <w:trHeight w:val="600"/>
        </w:trPr>
        <w:tc>
          <w:tcPr>
            <w:tcW w:w="1305" w:type="dxa"/>
            <w:hideMark/>
          </w:tcPr>
          <w:p w:rsidR="0088341A" w:rsidRPr="009C38AF" w:rsidRDefault="0088341A" w:rsidP="00501137">
            <w:pPr>
              <w:pStyle w:val="AERtabletextleft"/>
            </w:pPr>
            <w:r w:rsidRPr="009C38AF">
              <w:t>SP EMCa 024</w:t>
            </w:r>
          </w:p>
        </w:tc>
        <w:tc>
          <w:tcPr>
            <w:tcW w:w="1420" w:type="dxa"/>
            <w:hideMark/>
          </w:tcPr>
          <w:p w:rsidR="0088341A" w:rsidRPr="009C38AF" w:rsidRDefault="0088341A" w:rsidP="00501137">
            <w:pPr>
              <w:pStyle w:val="AERtabletextleft"/>
            </w:pPr>
            <w:r w:rsidRPr="009C38AF">
              <w:t>11/04/2013</w:t>
            </w:r>
          </w:p>
        </w:tc>
        <w:tc>
          <w:tcPr>
            <w:tcW w:w="6881" w:type="dxa"/>
            <w:hideMark/>
          </w:tcPr>
          <w:p w:rsidR="0088341A" w:rsidRPr="009C38AF" w:rsidRDefault="0088341A" w:rsidP="00501137">
            <w:pPr>
              <w:pStyle w:val="AERtabletextleft"/>
            </w:pPr>
            <w:r w:rsidRPr="009C38AF">
              <w:t>Follow up response SP EMCa009 Q1&amp;2</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rsidRPr="009C38AF">
              <w:t>SP EMCa 025</w:t>
            </w:r>
          </w:p>
        </w:tc>
        <w:tc>
          <w:tcPr>
            <w:tcW w:w="1420" w:type="dxa"/>
            <w:hideMark/>
          </w:tcPr>
          <w:p w:rsidR="0088341A" w:rsidRPr="009C38AF" w:rsidRDefault="0088341A" w:rsidP="00501137">
            <w:pPr>
              <w:pStyle w:val="AERtabletextleft"/>
            </w:pPr>
            <w:r w:rsidRPr="009C38AF">
              <w:t>12/04/2013</w:t>
            </w:r>
          </w:p>
        </w:tc>
        <w:tc>
          <w:tcPr>
            <w:tcW w:w="6881" w:type="dxa"/>
            <w:hideMark/>
          </w:tcPr>
          <w:p w:rsidR="0088341A" w:rsidRPr="009C38AF" w:rsidRDefault="0088341A" w:rsidP="00501137">
            <w:pPr>
              <w:pStyle w:val="AERtabletextleft"/>
            </w:pPr>
            <w:r w:rsidRPr="009C38AF">
              <w:t>Follow up response SP EMCa009</w:t>
            </w:r>
          </w:p>
        </w:tc>
      </w:tr>
      <w:tr w:rsidR="0088341A" w:rsidRPr="009C38AF" w:rsidTr="00537676">
        <w:trPr>
          <w:trHeight w:val="600"/>
        </w:trPr>
        <w:tc>
          <w:tcPr>
            <w:tcW w:w="1305" w:type="dxa"/>
            <w:hideMark/>
          </w:tcPr>
          <w:p w:rsidR="0088341A" w:rsidRPr="009C38AF" w:rsidRDefault="0088341A" w:rsidP="00501137">
            <w:pPr>
              <w:pStyle w:val="AERtabletextleft"/>
            </w:pPr>
            <w:r w:rsidRPr="009C38AF">
              <w:t>SP EMCa 026</w:t>
            </w:r>
          </w:p>
        </w:tc>
        <w:tc>
          <w:tcPr>
            <w:tcW w:w="1420" w:type="dxa"/>
            <w:hideMark/>
          </w:tcPr>
          <w:p w:rsidR="0088341A" w:rsidRPr="009C38AF" w:rsidRDefault="0088341A" w:rsidP="00501137">
            <w:pPr>
              <w:pStyle w:val="AERtabletextleft"/>
            </w:pPr>
            <w:r w:rsidRPr="009C38AF">
              <w:t>16/04/2013</w:t>
            </w:r>
          </w:p>
        </w:tc>
        <w:tc>
          <w:tcPr>
            <w:tcW w:w="6881" w:type="dxa"/>
            <w:hideMark/>
          </w:tcPr>
          <w:p w:rsidR="0088341A" w:rsidRPr="009C38AF" w:rsidRDefault="0088341A" w:rsidP="00501137">
            <w:pPr>
              <w:pStyle w:val="AERtabletextleft"/>
            </w:pPr>
            <w:r w:rsidRPr="009C38AF">
              <w:t>Opex efficiency</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rsidRPr="009C38AF">
              <w:t>SP EMCa 027</w:t>
            </w:r>
          </w:p>
        </w:tc>
        <w:tc>
          <w:tcPr>
            <w:tcW w:w="1420" w:type="dxa"/>
            <w:hideMark/>
          </w:tcPr>
          <w:p w:rsidR="0088341A" w:rsidRPr="009C38AF" w:rsidRDefault="0088341A" w:rsidP="00501137">
            <w:pPr>
              <w:pStyle w:val="AERtabletextleft"/>
            </w:pPr>
            <w:r w:rsidRPr="009C38AF">
              <w:t>17/04/2013</w:t>
            </w:r>
          </w:p>
        </w:tc>
        <w:tc>
          <w:tcPr>
            <w:tcW w:w="6881" w:type="dxa"/>
            <w:hideMark/>
          </w:tcPr>
          <w:p w:rsidR="0088341A" w:rsidRPr="009C38AF" w:rsidRDefault="0088341A" w:rsidP="00501137">
            <w:pPr>
              <w:pStyle w:val="AERtabletextleft"/>
            </w:pPr>
            <w:r w:rsidRPr="009C38AF">
              <w:t>Opex step changes</w:t>
            </w:r>
          </w:p>
        </w:tc>
      </w:tr>
      <w:tr w:rsidR="0088341A" w:rsidRPr="009C38AF" w:rsidTr="00537676">
        <w:trPr>
          <w:trHeight w:val="600"/>
        </w:trPr>
        <w:tc>
          <w:tcPr>
            <w:tcW w:w="1305" w:type="dxa"/>
            <w:hideMark/>
          </w:tcPr>
          <w:p w:rsidR="0088341A" w:rsidRPr="009C38AF" w:rsidRDefault="0088341A" w:rsidP="00501137">
            <w:pPr>
              <w:pStyle w:val="AERtabletextleft"/>
            </w:pPr>
            <w:r w:rsidRPr="009C38AF">
              <w:t>SP EMCa 028</w:t>
            </w:r>
          </w:p>
        </w:tc>
        <w:tc>
          <w:tcPr>
            <w:tcW w:w="1420" w:type="dxa"/>
            <w:hideMark/>
          </w:tcPr>
          <w:p w:rsidR="0088341A" w:rsidRPr="009C38AF" w:rsidRDefault="0088341A" w:rsidP="00501137">
            <w:pPr>
              <w:pStyle w:val="AERtabletextleft"/>
            </w:pPr>
            <w:r w:rsidRPr="009C38AF">
              <w:t>18/04/2013</w:t>
            </w:r>
          </w:p>
        </w:tc>
        <w:tc>
          <w:tcPr>
            <w:tcW w:w="6881" w:type="dxa"/>
            <w:hideMark/>
          </w:tcPr>
          <w:p w:rsidR="0088341A" w:rsidRPr="009C38AF" w:rsidRDefault="0088341A" w:rsidP="00501137">
            <w:pPr>
              <w:pStyle w:val="AERtabletextleft"/>
            </w:pPr>
            <w:r w:rsidRPr="009C38AF">
              <w:t>Control estimates – follow up from EMCa 009</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rsidRPr="009C38AF">
              <w:t>SP EMCa 029</w:t>
            </w:r>
          </w:p>
        </w:tc>
        <w:tc>
          <w:tcPr>
            <w:tcW w:w="1420" w:type="dxa"/>
            <w:hideMark/>
          </w:tcPr>
          <w:p w:rsidR="0088341A" w:rsidRPr="009C38AF" w:rsidRDefault="0088341A" w:rsidP="00501137">
            <w:pPr>
              <w:pStyle w:val="AERtabletextleft"/>
            </w:pPr>
            <w:r w:rsidRPr="009C38AF">
              <w:t>19/04/2013</w:t>
            </w:r>
          </w:p>
        </w:tc>
        <w:tc>
          <w:tcPr>
            <w:tcW w:w="6881" w:type="dxa"/>
            <w:hideMark/>
          </w:tcPr>
          <w:p w:rsidR="0088341A" w:rsidRPr="009C38AF" w:rsidRDefault="0088341A" w:rsidP="00501137">
            <w:pPr>
              <w:pStyle w:val="AERtabletextleft"/>
            </w:pPr>
            <w:r w:rsidRPr="009C38AF">
              <w:t>AMS 10-14</w:t>
            </w:r>
          </w:p>
        </w:tc>
      </w:tr>
      <w:tr w:rsidR="0088341A" w:rsidRPr="009C38AF" w:rsidTr="00537676">
        <w:trPr>
          <w:trHeight w:val="600"/>
        </w:trPr>
        <w:tc>
          <w:tcPr>
            <w:tcW w:w="1305" w:type="dxa"/>
            <w:hideMark/>
          </w:tcPr>
          <w:p w:rsidR="0088341A" w:rsidRPr="009C38AF" w:rsidRDefault="0088341A" w:rsidP="00501137">
            <w:pPr>
              <w:pStyle w:val="AERtabletextleft"/>
            </w:pPr>
            <w:r w:rsidRPr="009C38AF">
              <w:t>SP EMCa 030</w:t>
            </w:r>
          </w:p>
        </w:tc>
        <w:tc>
          <w:tcPr>
            <w:tcW w:w="1420" w:type="dxa"/>
            <w:hideMark/>
          </w:tcPr>
          <w:p w:rsidR="0088341A" w:rsidRPr="009C38AF" w:rsidRDefault="0088341A" w:rsidP="00501137">
            <w:pPr>
              <w:pStyle w:val="AERtabletextleft"/>
            </w:pPr>
            <w:r w:rsidRPr="009C38AF">
              <w:t>19/04/2013</w:t>
            </w:r>
          </w:p>
        </w:tc>
        <w:tc>
          <w:tcPr>
            <w:tcW w:w="6881" w:type="dxa"/>
            <w:hideMark/>
          </w:tcPr>
          <w:p w:rsidR="0088341A" w:rsidRPr="009C38AF" w:rsidRDefault="0088341A" w:rsidP="00501137">
            <w:pPr>
              <w:pStyle w:val="AERtabletextleft"/>
            </w:pPr>
            <w:r w:rsidRPr="009C38AF">
              <w:t xml:space="preserve">Follow up to response SP EMCa014 </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rsidRPr="009C38AF">
              <w:t>SP EMCa 031</w:t>
            </w:r>
          </w:p>
        </w:tc>
        <w:tc>
          <w:tcPr>
            <w:tcW w:w="1420" w:type="dxa"/>
            <w:hideMark/>
          </w:tcPr>
          <w:p w:rsidR="0088341A" w:rsidRPr="009C38AF" w:rsidRDefault="0088341A" w:rsidP="00501137">
            <w:pPr>
              <w:pStyle w:val="AERtabletextleft"/>
            </w:pPr>
            <w:r w:rsidRPr="009C38AF">
              <w:t>15/05/2013</w:t>
            </w:r>
          </w:p>
        </w:tc>
        <w:tc>
          <w:tcPr>
            <w:tcW w:w="6881" w:type="dxa"/>
            <w:hideMark/>
          </w:tcPr>
          <w:p w:rsidR="0088341A" w:rsidRPr="009C38AF" w:rsidRDefault="0088341A" w:rsidP="00501137">
            <w:pPr>
              <w:pStyle w:val="AERtabletextleft"/>
            </w:pPr>
            <w:r w:rsidRPr="009C38AF">
              <w:t>Security and critical infrastructure step change</w:t>
            </w:r>
          </w:p>
        </w:tc>
      </w:tr>
      <w:tr w:rsidR="0088341A" w:rsidRPr="009C38AF" w:rsidTr="00537676">
        <w:trPr>
          <w:trHeight w:val="600"/>
        </w:trPr>
        <w:tc>
          <w:tcPr>
            <w:tcW w:w="1305" w:type="dxa"/>
            <w:hideMark/>
          </w:tcPr>
          <w:p w:rsidR="0088341A" w:rsidRPr="009C38AF" w:rsidRDefault="0088341A" w:rsidP="00501137">
            <w:pPr>
              <w:pStyle w:val="AERtabletextleft"/>
            </w:pPr>
            <w:r w:rsidRPr="009C38AF">
              <w:t>SP EMCa 032</w:t>
            </w:r>
          </w:p>
        </w:tc>
        <w:tc>
          <w:tcPr>
            <w:tcW w:w="1420" w:type="dxa"/>
            <w:hideMark/>
          </w:tcPr>
          <w:p w:rsidR="0088341A" w:rsidRPr="009C38AF" w:rsidRDefault="0088341A" w:rsidP="00501137">
            <w:pPr>
              <w:pStyle w:val="AERtabletextleft"/>
            </w:pPr>
            <w:r w:rsidRPr="009C38AF">
              <w:t>15/05/2013</w:t>
            </w:r>
          </w:p>
        </w:tc>
        <w:tc>
          <w:tcPr>
            <w:tcW w:w="6881" w:type="dxa"/>
            <w:hideMark/>
          </w:tcPr>
          <w:p w:rsidR="0088341A" w:rsidRPr="009C38AF" w:rsidRDefault="0088341A" w:rsidP="00501137">
            <w:pPr>
              <w:pStyle w:val="AERtabletextleft"/>
            </w:pPr>
            <w:r w:rsidRPr="009C38AF">
              <w:t>Question 2 opex step changes</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rsidRPr="009C38AF">
              <w:t>SP EMCa 033</w:t>
            </w:r>
          </w:p>
        </w:tc>
        <w:tc>
          <w:tcPr>
            <w:tcW w:w="1420" w:type="dxa"/>
            <w:hideMark/>
          </w:tcPr>
          <w:p w:rsidR="0088341A" w:rsidRPr="009C38AF" w:rsidRDefault="0088341A" w:rsidP="00501137">
            <w:pPr>
              <w:pStyle w:val="AERtabletextleft"/>
            </w:pPr>
            <w:r w:rsidRPr="009C38AF">
              <w:t>15/05/2013</w:t>
            </w:r>
          </w:p>
        </w:tc>
        <w:tc>
          <w:tcPr>
            <w:tcW w:w="6881" w:type="dxa"/>
            <w:hideMark/>
          </w:tcPr>
          <w:p w:rsidR="0088341A" w:rsidRPr="009C38AF" w:rsidRDefault="0088341A" w:rsidP="00501137">
            <w:pPr>
              <w:pStyle w:val="AERtabletextleft"/>
            </w:pPr>
            <w:r w:rsidRPr="009C38AF">
              <w:t>Clarification of SP 021A</w:t>
            </w:r>
          </w:p>
        </w:tc>
      </w:tr>
      <w:tr w:rsidR="0088341A" w:rsidRPr="009C38AF" w:rsidTr="00537676">
        <w:trPr>
          <w:trHeight w:val="600"/>
        </w:trPr>
        <w:tc>
          <w:tcPr>
            <w:tcW w:w="1305" w:type="dxa"/>
            <w:hideMark/>
          </w:tcPr>
          <w:p w:rsidR="0088341A" w:rsidRPr="009C38AF" w:rsidRDefault="0088341A" w:rsidP="00501137">
            <w:pPr>
              <w:pStyle w:val="AERtabletextleft"/>
            </w:pPr>
            <w:r w:rsidRPr="009C38AF">
              <w:t>SP EMCa 034</w:t>
            </w:r>
          </w:p>
        </w:tc>
        <w:tc>
          <w:tcPr>
            <w:tcW w:w="1420" w:type="dxa"/>
            <w:hideMark/>
          </w:tcPr>
          <w:p w:rsidR="0088341A" w:rsidRPr="009C38AF" w:rsidRDefault="0088341A" w:rsidP="00501137">
            <w:pPr>
              <w:pStyle w:val="AERtabletextleft"/>
            </w:pPr>
            <w:r w:rsidRPr="009C38AF">
              <w:t>15/05/2013</w:t>
            </w:r>
          </w:p>
        </w:tc>
        <w:tc>
          <w:tcPr>
            <w:tcW w:w="6881" w:type="dxa"/>
            <w:hideMark/>
          </w:tcPr>
          <w:p w:rsidR="0088341A" w:rsidRPr="009C38AF" w:rsidRDefault="0088341A" w:rsidP="00501137">
            <w:pPr>
              <w:pStyle w:val="AERtabletextleft"/>
            </w:pPr>
            <w:r w:rsidRPr="009C38AF">
              <w:t>ICT Strategy</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rsidRPr="009C38AF">
              <w:t>SP EMCa 034</w:t>
            </w:r>
          </w:p>
        </w:tc>
        <w:tc>
          <w:tcPr>
            <w:tcW w:w="1420" w:type="dxa"/>
            <w:hideMark/>
          </w:tcPr>
          <w:p w:rsidR="0088341A" w:rsidRPr="009C38AF" w:rsidRDefault="0088341A" w:rsidP="00501137">
            <w:pPr>
              <w:pStyle w:val="AERtabletextleft"/>
            </w:pPr>
            <w:r w:rsidRPr="009C38AF">
              <w:t>19/05/2013</w:t>
            </w:r>
          </w:p>
        </w:tc>
        <w:tc>
          <w:tcPr>
            <w:tcW w:w="6881" w:type="dxa"/>
            <w:hideMark/>
          </w:tcPr>
          <w:p w:rsidR="0088341A" w:rsidRPr="009C38AF" w:rsidRDefault="0088341A" w:rsidP="00501137">
            <w:pPr>
              <w:pStyle w:val="AERtabletextleft"/>
            </w:pPr>
            <w:r>
              <w:t>C</w:t>
            </w:r>
            <w:r w:rsidRPr="009C38AF">
              <w:t>ommunications infrastructure step change</w:t>
            </w:r>
          </w:p>
        </w:tc>
      </w:tr>
      <w:tr w:rsidR="0088341A" w:rsidRPr="009C38AF" w:rsidTr="00537676">
        <w:trPr>
          <w:trHeight w:val="600"/>
        </w:trPr>
        <w:tc>
          <w:tcPr>
            <w:tcW w:w="1305" w:type="dxa"/>
            <w:hideMark/>
          </w:tcPr>
          <w:p w:rsidR="0088341A" w:rsidRPr="009C38AF" w:rsidRDefault="0088341A" w:rsidP="00501137">
            <w:pPr>
              <w:pStyle w:val="AERtabletextleft"/>
            </w:pPr>
            <w:r w:rsidRPr="009C38AF">
              <w:t>SP EMCa 036</w:t>
            </w:r>
          </w:p>
        </w:tc>
        <w:tc>
          <w:tcPr>
            <w:tcW w:w="1420" w:type="dxa"/>
            <w:hideMark/>
          </w:tcPr>
          <w:p w:rsidR="0088341A" w:rsidRPr="009C38AF" w:rsidRDefault="0088341A" w:rsidP="00501137">
            <w:pPr>
              <w:pStyle w:val="AERtabletextleft"/>
            </w:pPr>
            <w:r w:rsidRPr="009C38AF">
              <w:t>22/05/2013</w:t>
            </w:r>
          </w:p>
        </w:tc>
        <w:tc>
          <w:tcPr>
            <w:tcW w:w="6881" w:type="dxa"/>
            <w:hideMark/>
          </w:tcPr>
          <w:p w:rsidR="0088341A" w:rsidRPr="009C38AF" w:rsidRDefault="0088341A" w:rsidP="00501137">
            <w:pPr>
              <w:pStyle w:val="AERtabletextleft"/>
            </w:pPr>
            <w:r>
              <w:t>C</w:t>
            </w:r>
            <w:r w:rsidRPr="009C38AF">
              <w:t>larification of GTS costs</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t>SP AER</w:t>
            </w:r>
            <w:r w:rsidRPr="009C38AF">
              <w:t xml:space="preserve"> RP 01</w:t>
            </w:r>
          </w:p>
        </w:tc>
        <w:tc>
          <w:tcPr>
            <w:tcW w:w="1420" w:type="dxa"/>
            <w:hideMark/>
          </w:tcPr>
          <w:p w:rsidR="0088341A" w:rsidRPr="009C38AF" w:rsidRDefault="0088341A" w:rsidP="00501137">
            <w:pPr>
              <w:pStyle w:val="AERtabletextleft"/>
            </w:pPr>
            <w:r w:rsidRPr="009C38AF">
              <w:t>13/05/2013</w:t>
            </w:r>
          </w:p>
        </w:tc>
        <w:tc>
          <w:tcPr>
            <w:tcW w:w="6881" w:type="dxa"/>
            <w:hideMark/>
          </w:tcPr>
          <w:p w:rsidR="0088341A" w:rsidRPr="009C38AF" w:rsidRDefault="0088341A" w:rsidP="00501137">
            <w:pPr>
              <w:pStyle w:val="AERtabletextleft"/>
            </w:pPr>
            <w:r w:rsidRPr="009C38AF">
              <w:t>Adjustments to EBSS spread</w:t>
            </w:r>
            <w:r>
              <w:t>-</w:t>
            </w:r>
            <w:r w:rsidRPr="009C38AF">
              <w:t xml:space="preserve">sheet inflation </w:t>
            </w:r>
          </w:p>
        </w:tc>
      </w:tr>
      <w:tr w:rsidR="0088341A" w:rsidRPr="009C38AF" w:rsidTr="00537676">
        <w:trPr>
          <w:trHeight w:val="600"/>
        </w:trPr>
        <w:tc>
          <w:tcPr>
            <w:tcW w:w="1305" w:type="dxa"/>
            <w:hideMark/>
          </w:tcPr>
          <w:p w:rsidR="0088341A" w:rsidRPr="009C38AF" w:rsidRDefault="0088341A" w:rsidP="00501137">
            <w:pPr>
              <w:pStyle w:val="AERtabletextleft"/>
            </w:pPr>
            <w:r>
              <w:t>SP AER</w:t>
            </w:r>
            <w:r w:rsidRPr="009C38AF">
              <w:t xml:space="preserve"> RP 02</w:t>
            </w:r>
          </w:p>
        </w:tc>
        <w:tc>
          <w:tcPr>
            <w:tcW w:w="1420" w:type="dxa"/>
            <w:hideMark/>
          </w:tcPr>
          <w:p w:rsidR="0088341A" w:rsidRPr="009C38AF" w:rsidRDefault="0088341A" w:rsidP="00501137">
            <w:pPr>
              <w:pStyle w:val="AERtabletextleft"/>
            </w:pPr>
            <w:r w:rsidRPr="009C38AF">
              <w:t>16/05/2013</w:t>
            </w:r>
          </w:p>
        </w:tc>
        <w:tc>
          <w:tcPr>
            <w:tcW w:w="6881" w:type="dxa"/>
            <w:hideMark/>
          </w:tcPr>
          <w:p w:rsidR="0088341A" w:rsidRPr="009C38AF" w:rsidRDefault="0088341A" w:rsidP="00501137">
            <w:pPr>
              <w:pStyle w:val="AERtabletextleft"/>
            </w:pPr>
            <w:r w:rsidRPr="009C38AF">
              <w:t>2007-08 Actual capex</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lastRenderedPageBreak/>
              <w:t>SP AER</w:t>
            </w:r>
            <w:r w:rsidRPr="009C38AF">
              <w:t xml:space="preserve"> RP 03</w:t>
            </w:r>
          </w:p>
        </w:tc>
        <w:tc>
          <w:tcPr>
            <w:tcW w:w="1420" w:type="dxa"/>
            <w:hideMark/>
          </w:tcPr>
          <w:p w:rsidR="0088341A" w:rsidRPr="009C38AF" w:rsidRDefault="0088341A" w:rsidP="00501137">
            <w:pPr>
              <w:pStyle w:val="AERtabletextleft"/>
            </w:pPr>
            <w:r w:rsidRPr="009C38AF">
              <w:t>16/05/2013</w:t>
            </w:r>
          </w:p>
        </w:tc>
        <w:tc>
          <w:tcPr>
            <w:tcW w:w="6881" w:type="dxa"/>
            <w:hideMark/>
          </w:tcPr>
          <w:p w:rsidR="0088341A" w:rsidRPr="009C38AF" w:rsidRDefault="0088341A" w:rsidP="00501137">
            <w:pPr>
              <w:pStyle w:val="AERtabletextleft"/>
            </w:pPr>
            <w:r w:rsidRPr="009C38AF">
              <w:t>Assets under construction</w:t>
            </w:r>
          </w:p>
        </w:tc>
      </w:tr>
      <w:tr w:rsidR="0088341A" w:rsidRPr="009C38AF" w:rsidTr="00537676">
        <w:trPr>
          <w:trHeight w:val="600"/>
        </w:trPr>
        <w:tc>
          <w:tcPr>
            <w:tcW w:w="1305" w:type="dxa"/>
            <w:hideMark/>
          </w:tcPr>
          <w:p w:rsidR="0088341A" w:rsidRPr="009C38AF" w:rsidRDefault="0088341A" w:rsidP="00501137">
            <w:pPr>
              <w:pStyle w:val="AERtabletextleft"/>
            </w:pPr>
            <w:r>
              <w:t>SP AER</w:t>
            </w:r>
            <w:r w:rsidRPr="009C38AF">
              <w:t xml:space="preserve"> RP 04</w:t>
            </w:r>
          </w:p>
        </w:tc>
        <w:tc>
          <w:tcPr>
            <w:tcW w:w="1420" w:type="dxa"/>
            <w:hideMark/>
          </w:tcPr>
          <w:p w:rsidR="0088341A" w:rsidRPr="009C38AF" w:rsidRDefault="0088341A" w:rsidP="00501137">
            <w:pPr>
              <w:pStyle w:val="AERtabletextleft"/>
            </w:pPr>
            <w:r w:rsidRPr="009C38AF">
              <w:t>16/05/2013</w:t>
            </w:r>
          </w:p>
        </w:tc>
        <w:tc>
          <w:tcPr>
            <w:tcW w:w="6881" w:type="dxa"/>
            <w:hideMark/>
          </w:tcPr>
          <w:p w:rsidR="0088341A" w:rsidRPr="009C38AF" w:rsidRDefault="0088341A" w:rsidP="00501137">
            <w:pPr>
              <w:pStyle w:val="AERtabletextleft"/>
            </w:pPr>
            <w:r w:rsidRPr="009C38AF">
              <w:t>Group 3 assets RAB roll forward</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t>SP AER</w:t>
            </w:r>
            <w:r w:rsidRPr="009C38AF">
              <w:t xml:space="preserve"> RP 05</w:t>
            </w:r>
          </w:p>
        </w:tc>
        <w:tc>
          <w:tcPr>
            <w:tcW w:w="1420" w:type="dxa"/>
            <w:hideMark/>
          </w:tcPr>
          <w:p w:rsidR="0088341A" w:rsidRPr="009C38AF" w:rsidRDefault="0088341A" w:rsidP="00501137">
            <w:pPr>
              <w:pStyle w:val="AERtabletextleft"/>
            </w:pPr>
            <w:r w:rsidRPr="009C38AF">
              <w:t>16/05/2013</w:t>
            </w:r>
          </w:p>
        </w:tc>
        <w:tc>
          <w:tcPr>
            <w:tcW w:w="6881" w:type="dxa"/>
            <w:hideMark/>
          </w:tcPr>
          <w:p w:rsidR="0088341A" w:rsidRPr="009C38AF" w:rsidRDefault="0088341A" w:rsidP="00501137">
            <w:pPr>
              <w:pStyle w:val="AERtabletextleft"/>
            </w:pPr>
            <w:r w:rsidRPr="009C38AF">
              <w:t>Group 3 assets RAB opex</w:t>
            </w:r>
          </w:p>
        </w:tc>
      </w:tr>
      <w:tr w:rsidR="0088341A" w:rsidRPr="009C38AF" w:rsidTr="00537676">
        <w:trPr>
          <w:trHeight w:val="600"/>
        </w:trPr>
        <w:tc>
          <w:tcPr>
            <w:tcW w:w="1305" w:type="dxa"/>
            <w:hideMark/>
          </w:tcPr>
          <w:p w:rsidR="0088341A" w:rsidRPr="009C38AF" w:rsidRDefault="0088341A" w:rsidP="00501137">
            <w:pPr>
              <w:pStyle w:val="AERtabletextleft"/>
            </w:pPr>
            <w:r>
              <w:t>SP AER</w:t>
            </w:r>
            <w:r w:rsidRPr="009C38AF">
              <w:t xml:space="preserve"> RP 06</w:t>
            </w:r>
          </w:p>
        </w:tc>
        <w:tc>
          <w:tcPr>
            <w:tcW w:w="1420" w:type="dxa"/>
            <w:hideMark/>
          </w:tcPr>
          <w:p w:rsidR="0088341A" w:rsidRPr="009C38AF" w:rsidRDefault="0088341A" w:rsidP="00501137">
            <w:pPr>
              <w:pStyle w:val="AERtabletextleft"/>
            </w:pPr>
            <w:r w:rsidRPr="009C38AF">
              <w:t>16/05/2013</w:t>
            </w:r>
          </w:p>
        </w:tc>
        <w:tc>
          <w:tcPr>
            <w:tcW w:w="6881" w:type="dxa"/>
            <w:hideMark/>
          </w:tcPr>
          <w:p w:rsidR="0088341A" w:rsidRPr="009C38AF" w:rsidRDefault="0088341A" w:rsidP="00501137">
            <w:pPr>
              <w:pStyle w:val="AERtabletextleft"/>
            </w:pPr>
            <w:r w:rsidRPr="009C38AF">
              <w:t>Remaining asset lives PTRM input</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t>SP AER</w:t>
            </w:r>
            <w:r w:rsidRPr="009C38AF">
              <w:t xml:space="preserve"> RP 07</w:t>
            </w:r>
          </w:p>
        </w:tc>
        <w:tc>
          <w:tcPr>
            <w:tcW w:w="1420" w:type="dxa"/>
            <w:hideMark/>
          </w:tcPr>
          <w:p w:rsidR="0088341A" w:rsidRPr="009C38AF" w:rsidRDefault="0088341A" w:rsidP="00501137">
            <w:pPr>
              <w:pStyle w:val="AERtabletextleft"/>
            </w:pPr>
            <w:r w:rsidRPr="009C38AF">
              <w:t>16/05/2013</w:t>
            </w:r>
          </w:p>
        </w:tc>
        <w:tc>
          <w:tcPr>
            <w:tcW w:w="6881" w:type="dxa"/>
            <w:hideMark/>
          </w:tcPr>
          <w:p w:rsidR="0088341A" w:rsidRPr="009C38AF" w:rsidRDefault="0088341A" w:rsidP="00501137">
            <w:pPr>
              <w:pStyle w:val="AERtabletextleft"/>
            </w:pPr>
            <w:r w:rsidRPr="009C38AF">
              <w:t>Movements in provisions</w:t>
            </w:r>
          </w:p>
        </w:tc>
      </w:tr>
      <w:tr w:rsidR="0088341A" w:rsidRPr="009C38AF" w:rsidTr="00537676">
        <w:trPr>
          <w:trHeight w:val="600"/>
        </w:trPr>
        <w:tc>
          <w:tcPr>
            <w:tcW w:w="1305" w:type="dxa"/>
            <w:hideMark/>
          </w:tcPr>
          <w:p w:rsidR="0088341A" w:rsidRPr="009C38AF" w:rsidRDefault="0088341A" w:rsidP="00501137">
            <w:pPr>
              <w:pStyle w:val="AERtabletextleft"/>
            </w:pPr>
            <w:r>
              <w:t>SP AER</w:t>
            </w:r>
            <w:r w:rsidRPr="009C38AF">
              <w:t xml:space="preserve"> RP 08</w:t>
            </w:r>
          </w:p>
        </w:tc>
        <w:tc>
          <w:tcPr>
            <w:tcW w:w="1420" w:type="dxa"/>
            <w:hideMark/>
          </w:tcPr>
          <w:p w:rsidR="0088341A" w:rsidRPr="009C38AF" w:rsidRDefault="0088341A" w:rsidP="00501137">
            <w:pPr>
              <w:pStyle w:val="AERtabletextleft"/>
            </w:pPr>
            <w:r w:rsidRPr="009C38AF">
              <w:t>16/05/2013</w:t>
            </w:r>
          </w:p>
        </w:tc>
        <w:tc>
          <w:tcPr>
            <w:tcW w:w="6881" w:type="dxa"/>
            <w:hideMark/>
          </w:tcPr>
          <w:p w:rsidR="0088341A" w:rsidRPr="009C38AF" w:rsidRDefault="0088341A" w:rsidP="00501137">
            <w:pPr>
              <w:pStyle w:val="AERtabletextleft"/>
            </w:pPr>
            <w:r w:rsidRPr="009C38AF">
              <w:t>Materials escalation inputs</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t>SP AER</w:t>
            </w:r>
            <w:r w:rsidRPr="009C38AF">
              <w:t xml:space="preserve"> RP 09</w:t>
            </w:r>
          </w:p>
        </w:tc>
        <w:tc>
          <w:tcPr>
            <w:tcW w:w="1420" w:type="dxa"/>
            <w:hideMark/>
          </w:tcPr>
          <w:p w:rsidR="0088341A" w:rsidRPr="009C38AF" w:rsidRDefault="0088341A" w:rsidP="00501137">
            <w:pPr>
              <w:pStyle w:val="AERtabletextleft"/>
            </w:pPr>
            <w:r w:rsidRPr="009C38AF">
              <w:t>16/05/2013</w:t>
            </w:r>
          </w:p>
        </w:tc>
        <w:tc>
          <w:tcPr>
            <w:tcW w:w="6881" w:type="dxa"/>
            <w:hideMark/>
          </w:tcPr>
          <w:p w:rsidR="0088341A" w:rsidRPr="009C38AF" w:rsidRDefault="0088341A" w:rsidP="00501137">
            <w:pPr>
              <w:pStyle w:val="AERtabletextleft"/>
            </w:pPr>
            <w:r w:rsidRPr="009C38AF">
              <w:t>Confirmation of capex and opex models</w:t>
            </w:r>
          </w:p>
        </w:tc>
      </w:tr>
      <w:tr w:rsidR="0088341A" w:rsidRPr="009C38AF" w:rsidTr="00537676">
        <w:trPr>
          <w:trHeight w:val="600"/>
        </w:trPr>
        <w:tc>
          <w:tcPr>
            <w:tcW w:w="1305" w:type="dxa"/>
            <w:hideMark/>
          </w:tcPr>
          <w:p w:rsidR="0088341A" w:rsidRPr="009C38AF" w:rsidRDefault="0088341A" w:rsidP="00501137">
            <w:pPr>
              <w:pStyle w:val="AERtabletextleft"/>
            </w:pPr>
            <w:r>
              <w:t>SP AER</w:t>
            </w:r>
            <w:r w:rsidRPr="009C38AF">
              <w:t xml:space="preserve"> RP 10</w:t>
            </w:r>
          </w:p>
        </w:tc>
        <w:tc>
          <w:tcPr>
            <w:tcW w:w="1420" w:type="dxa"/>
            <w:hideMark/>
          </w:tcPr>
          <w:p w:rsidR="0088341A" w:rsidRPr="009C38AF" w:rsidRDefault="0088341A" w:rsidP="00501137">
            <w:pPr>
              <w:pStyle w:val="AERtabletextleft"/>
            </w:pPr>
            <w:r w:rsidRPr="009C38AF">
              <w:t>17/05/2013</w:t>
            </w:r>
          </w:p>
        </w:tc>
        <w:tc>
          <w:tcPr>
            <w:tcW w:w="6881" w:type="dxa"/>
            <w:hideMark/>
          </w:tcPr>
          <w:p w:rsidR="0088341A" w:rsidRPr="009C38AF" w:rsidRDefault="0088341A" w:rsidP="00501137">
            <w:pPr>
              <w:pStyle w:val="AERtabletextleft"/>
            </w:pPr>
            <w:r w:rsidRPr="009C38AF">
              <w:t>Ov</w:t>
            </w:r>
            <w:r>
              <w:t>erhead lines condition and corro</w:t>
            </w:r>
            <w:r w:rsidRPr="009C38AF">
              <w:t>sion risk management step changes</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t>SP AER</w:t>
            </w:r>
            <w:r w:rsidRPr="009C38AF">
              <w:t xml:space="preserve"> RP 11</w:t>
            </w:r>
          </w:p>
        </w:tc>
        <w:tc>
          <w:tcPr>
            <w:tcW w:w="1420" w:type="dxa"/>
            <w:hideMark/>
          </w:tcPr>
          <w:p w:rsidR="0088341A" w:rsidRPr="009C38AF" w:rsidRDefault="0088341A" w:rsidP="00501137">
            <w:pPr>
              <w:pStyle w:val="AERtabletextleft"/>
            </w:pPr>
            <w:r w:rsidRPr="009C38AF">
              <w:t>17/05/2013</w:t>
            </w:r>
          </w:p>
        </w:tc>
        <w:tc>
          <w:tcPr>
            <w:tcW w:w="6881" w:type="dxa"/>
            <w:hideMark/>
          </w:tcPr>
          <w:p w:rsidR="0088341A" w:rsidRPr="009C38AF" w:rsidRDefault="0088341A" w:rsidP="00501137">
            <w:pPr>
              <w:pStyle w:val="AERtabletextleft"/>
            </w:pPr>
            <w:r w:rsidRPr="009C38AF">
              <w:t>Ov</w:t>
            </w:r>
            <w:r>
              <w:t>erhead lines condition and corro</w:t>
            </w:r>
            <w:r w:rsidRPr="009C38AF">
              <w:t>sion risk management step changes</w:t>
            </w:r>
          </w:p>
        </w:tc>
      </w:tr>
      <w:tr w:rsidR="0088341A" w:rsidRPr="009C38AF" w:rsidTr="00537676">
        <w:trPr>
          <w:trHeight w:val="600"/>
        </w:trPr>
        <w:tc>
          <w:tcPr>
            <w:tcW w:w="1305" w:type="dxa"/>
            <w:hideMark/>
          </w:tcPr>
          <w:p w:rsidR="0088341A" w:rsidRPr="009C38AF" w:rsidRDefault="0088341A" w:rsidP="00501137">
            <w:pPr>
              <w:pStyle w:val="AERtabletextleft"/>
            </w:pPr>
            <w:r>
              <w:t>SP AER</w:t>
            </w:r>
            <w:r w:rsidRPr="009C38AF">
              <w:t xml:space="preserve"> RP 12</w:t>
            </w:r>
          </w:p>
        </w:tc>
        <w:tc>
          <w:tcPr>
            <w:tcW w:w="1420" w:type="dxa"/>
            <w:hideMark/>
          </w:tcPr>
          <w:p w:rsidR="0088341A" w:rsidRPr="009C38AF" w:rsidRDefault="0088341A" w:rsidP="00501137">
            <w:pPr>
              <w:pStyle w:val="AERtabletextleft"/>
            </w:pPr>
            <w:r w:rsidRPr="009C38AF">
              <w:t>17/05/2013</w:t>
            </w:r>
          </w:p>
        </w:tc>
        <w:tc>
          <w:tcPr>
            <w:tcW w:w="6881" w:type="dxa"/>
            <w:hideMark/>
          </w:tcPr>
          <w:p w:rsidR="0088341A" w:rsidRPr="009C38AF" w:rsidRDefault="0088341A" w:rsidP="00501137">
            <w:pPr>
              <w:pStyle w:val="AERtabletextleft"/>
            </w:pPr>
            <w:r w:rsidRPr="009C38AF">
              <w:t>Tower corrosion - tower painting as recurrent opex</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t>SP AER</w:t>
            </w:r>
            <w:r w:rsidRPr="009C38AF">
              <w:t xml:space="preserve"> RP 13</w:t>
            </w:r>
          </w:p>
        </w:tc>
        <w:tc>
          <w:tcPr>
            <w:tcW w:w="1420" w:type="dxa"/>
            <w:hideMark/>
          </w:tcPr>
          <w:p w:rsidR="0088341A" w:rsidRPr="009C38AF" w:rsidRDefault="0088341A" w:rsidP="00501137">
            <w:pPr>
              <w:pStyle w:val="AERtabletextleft"/>
            </w:pPr>
            <w:r w:rsidRPr="009C38AF">
              <w:t>17/05/2013</w:t>
            </w:r>
          </w:p>
        </w:tc>
        <w:tc>
          <w:tcPr>
            <w:tcW w:w="6881" w:type="dxa"/>
            <w:hideMark/>
          </w:tcPr>
          <w:p w:rsidR="0088341A" w:rsidRPr="009C38AF" w:rsidRDefault="0088341A" w:rsidP="00501137">
            <w:pPr>
              <w:pStyle w:val="AERtabletextleft"/>
            </w:pPr>
            <w:r w:rsidRPr="009C38AF">
              <w:t>IT step changes</w:t>
            </w:r>
          </w:p>
        </w:tc>
      </w:tr>
      <w:tr w:rsidR="0088341A" w:rsidRPr="009C38AF" w:rsidTr="00537676">
        <w:trPr>
          <w:trHeight w:val="600"/>
        </w:trPr>
        <w:tc>
          <w:tcPr>
            <w:tcW w:w="1305" w:type="dxa"/>
            <w:hideMark/>
          </w:tcPr>
          <w:p w:rsidR="0088341A" w:rsidRPr="009C38AF" w:rsidRDefault="0088341A" w:rsidP="00501137">
            <w:pPr>
              <w:pStyle w:val="AERtabletextleft"/>
            </w:pPr>
            <w:r>
              <w:t>SP AER</w:t>
            </w:r>
            <w:r w:rsidRPr="009C38AF">
              <w:t xml:space="preserve"> RP 14</w:t>
            </w:r>
          </w:p>
        </w:tc>
        <w:tc>
          <w:tcPr>
            <w:tcW w:w="1420" w:type="dxa"/>
            <w:hideMark/>
          </w:tcPr>
          <w:p w:rsidR="0088341A" w:rsidRPr="009C38AF" w:rsidRDefault="0088341A" w:rsidP="00501137">
            <w:pPr>
              <w:pStyle w:val="AERtabletextleft"/>
            </w:pPr>
            <w:r w:rsidRPr="009C38AF">
              <w:t>17/05/2013</w:t>
            </w:r>
          </w:p>
        </w:tc>
        <w:tc>
          <w:tcPr>
            <w:tcW w:w="6881" w:type="dxa"/>
            <w:hideMark/>
          </w:tcPr>
          <w:p w:rsidR="0088341A" w:rsidRPr="009C38AF" w:rsidRDefault="0088341A" w:rsidP="00501137">
            <w:pPr>
              <w:pStyle w:val="AERtabletextleft"/>
            </w:pPr>
            <w:r>
              <w:t>B</w:t>
            </w:r>
            <w:r w:rsidRPr="009C38AF">
              <w:t>usiness case or cost/benefit for innovation program step change</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t>SP AER</w:t>
            </w:r>
            <w:r w:rsidRPr="009C38AF">
              <w:t xml:space="preserve"> RP 15</w:t>
            </w:r>
          </w:p>
        </w:tc>
        <w:tc>
          <w:tcPr>
            <w:tcW w:w="1420" w:type="dxa"/>
            <w:hideMark/>
          </w:tcPr>
          <w:p w:rsidR="0088341A" w:rsidRPr="009C38AF" w:rsidRDefault="0088341A" w:rsidP="00501137">
            <w:pPr>
              <w:pStyle w:val="AERtabletextleft"/>
            </w:pPr>
            <w:r w:rsidRPr="009C38AF">
              <w:t>17/05/2013</w:t>
            </w:r>
          </w:p>
        </w:tc>
        <w:tc>
          <w:tcPr>
            <w:tcW w:w="6881" w:type="dxa"/>
            <w:hideMark/>
          </w:tcPr>
          <w:p w:rsidR="0088341A" w:rsidRPr="009C38AF" w:rsidRDefault="0088341A" w:rsidP="00501137">
            <w:pPr>
              <w:pStyle w:val="AERtabletextleft"/>
            </w:pPr>
            <w:r>
              <w:t>O</w:t>
            </w:r>
            <w:r w:rsidRPr="009C38AF">
              <w:t>pex on security activities re TCP Act</w:t>
            </w:r>
          </w:p>
        </w:tc>
      </w:tr>
      <w:tr w:rsidR="0088341A" w:rsidRPr="009C38AF" w:rsidTr="00537676">
        <w:trPr>
          <w:trHeight w:val="600"/>
        </w:trPr>
        <w:tc>
          <w:tcPr>
            <w:tcW w:w="1305" w:type="dxa"/>
            <w:hideMark/>
          </w:tcPr>
          <w:p w:rsidR="0088341A" w:rsidRPr="009C38AF" w:rsidRDefault="0088341A" w:rsidP="00501137">
            <w:pPr>
              <w:pStyle w:val="AERtabletextleft"/>
            </w:pPr>
            <w:r>
              <w:t>SP AER</w:t>
            </w:r>
            <w:r w:rsidRPr="009C38AF">
              <w:t xml:space="preserve"> RP 16</w:t>
            </w:r>
          </w:p>
        </w:tc>
        <w:tc>
          <w:tcPr>
            <w:tcW w:w="1420" w:type="dxa"/>
            <w:hideMark/>
          </w:tcPr>
          <w:p w:rsidR="0088341A" w:rsidRPr="009C38AF" w:rsidRDefault="0088341A" w:rsidP="00501137">
            <w:pPr>
              <w:pStyle w:val="AERtabletextleft"/>
            </w:pPr>
            <w:r w:rsidRPr="009C38AF">
              <w:t>17/05/2013</w:t>
            </w:r>
          </w:p>
        </w:tc>
        <w:tc>
          <w:tcPr>
            <w:tcW w:w="6881" w:type="dxa"/>
            <w:hideMark/>
          </w:tcPr>
          <w:p w:rsidR="0088341A" w:rsidRPr="009C38AF" w:rsidRDefault="0088341A" w:rsidP="00501137">
            <w:pPr>
              <w:pStyle w:val="AERtabletextleft"/>
            </w:pPr>
            <w:r>
              <w:t>O</w:t>
            </w:r>
            <w:r w:rsidRPr="009C38AF">
              <w:t>ther security related opex</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t>SP AER</w:t>
            </w:r>
            <w:r w:rsidRPr="009C38AF">
              <w:t xml:space="preserve"> RP 17</w:t>
            </w:r>
          </w:p>
        </w:tc>
        <w:tc>
          <w:tcPr>
            <w:tcW w:w="1420" w:type="dxa"/>
            <w:hideMark/>
          </w:tcPr>
          <w:p w:rsidR="0088341A" w:rsidRPr="009C38AF" w:rsidRDefault="0088341A" w:rsidP="00501137">
            <w:pPr>
              <w:pStyle w:val="AERtabletextleft"/>
            </w:pPr>
            <w:r w:rsidRPr="009C38AF">
              <w:t>17/05/2013</w:t>
            </w:r>
          </w:p>
        </w:tc>
        <w:tc>
          <w:tcPr>
            <w:tcW w:w="6881" w:type="dxa"/>
            <w:hideMark/>
          </w:tcPr>
          <w:p w:rsidR="0088341A" w:rsidRPr="009C38AF" w:rsidRDefault="0088341A" w:rsidP="00501137">
            <w:pPr>
              <w:pStyle w:val="AERtabletextleft"/>
            </w:pPr>
            <w:r>
              <w:t>R</w:t>
            </w:r>
            <w:r w:rsidRPr="009C38AF">
              <w:t>emodel SF6 costs re updated carbon price</w:t>
            </w:r>
          </w:p>
        </w:tc>
      </w:tr>
      <w:tr w:rsidR="0088341A" w:rsidRPr="009C38AF" w:rsidTr="00537676">
        <w:trPr>
          <w:trHeight w:val="600"/>
        </w:trPr>
        <w:tc>
          <w:tcPr>
            <w:tcW w:w="1305" w:type="dxa"/>
            <w:hideMark/>
          </w:tcPr>
          <w:p w:rsidR="0088341A" w:rsidRPr="009C38AF" w:rsidRDefault="0088341A" w:rsidP="00501137">
            <w:pPr>
              <w:pStyle w:val="AERtabletextleft"/>
            </w:pPr>
            <w:r>
              <w:t>SP AER</w:t>
            </w:r>
            <w:r w:rsidRPr="009C38AF">
              <w:t xml:space="preserve"> RP 18</w:t>
            </w:r>
          </w:p>
        </w:tc>
        <w:tc>
          <w:tcPr>
            <w:tcW w:w="1420" w:type="dxa"/>
            <w:hideMark/>
          </w:tcPr>
          <w:p w:rsidR="0088341A" w:rsidRPr="009C38AF" w:rsidRDefault="0088341A" w:rsidP="00501137">
            <w:pPr>
              <w:pStyle w:val="AERtabletextleft"/>
            </w:pPr>
            <w:r w:rsidRPr="009C38AF">
              <w:t>17/05/2013</w:t>
            </w:r>
          </w:p>
        </w:tc>
        <w:tc>
          <w:tcPr>
            <w:tcW w:w="6881" w:type="dxa"/>
            <w:hideMark/>
          </w:tcPr>
          <w:p w:rsidR="0088341A" w:rsidRPr="009C38AF" w:rsidRDefault="0088341A" w:rsidP="00501137">
            <w:pPr>
              <w:pStyle w:val="AERtabletextleft"/>
            </w:pPr>
            <w:r w:rsidRPr="009C38AF">
              <w:t>Asset works</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t>SP AER</w:t>
            </w:r>
            <w:r w:rsidRPr="009C38AF">
              <w:t xml:space="preserve"> RP 19</w:t>
            </w:r>
          </w:p>
        </w:tc>
        <w:tc>
          <w:tcPr>
            <w:tcW w:w="1420" w:type="dxa"/>
            <w:hideMark/>
          </w:tcPr>
          <w:p w:rsidR="0088341A" w:rsidRPr="009C38AF" w:rsidRDefault="0088341A" w:rsidP="00501137">
            <w:pPr>
              <w:pStyle w:val="AERtabletextleft"/>
            </w:pPr>
            <w:r w:rsidRPr="009C38AF">
              <w:t>17/05/2013</w:t>
            </w:r>
          </w:p>
        </w:tc>
        <w:tc>
          <w:tcPr>
            <w:tcW w:w="6881" w:type="dxa"/>
            <w:hideMark/>
          </w:tcPr>
          <w:p w:rsidR="0088341A" w:rsidRPr="009C38AF" w:rsidRDefault="0088341A" w:rsidP="00501137">
            <w:pPr>
              <w:pStyle w:val="AERtabletextleft"/>
            </w:pPr>
            <w:r w:rsidRPr="009C38AF">
              <w:t>Asset works</w:t>
            </w:r>
          </w:p>
        </w:tc>
      </w:tr>
      <w:tr w:rsidR="0088341A" w:rsidRPr="009C38AF" w:rsidTr="00537676">
        <w:trPr>
          <w:trHeight w:val="600"/>
        </w:trPr>
        <w:tc>
          <w:tcPr>
            <w:tcW w:w="1305" w:type="dxa"/>
            <w:hideMark/>
          </w:tcPr>
          <w:p w:rsidR="0088341A" w:rsidRPr="009C38AF" w:rsidRDefault="0088341A" w:rsidP="00501137">
            <w:pPr>
              <w:pStyle w:val="AERtabletextleft"/>
            </w:pPr>
            <w:r>
              <w:t>SP AER</w:t>
            </w:r>
            <w:r w:rsidRPr="009C38AF">
              <w:t xml:space="preserve"> RP 20</w:t>
            </w:r>
          </w:p>
        </w:tc>
        <w:tc>
          <w:tcPr>
            <w:tcW w:w="1420" w:type="dxa"/>
            <w:hideMark/>
          </w:tcPr>
          <w:p w:rsidR="0088341A" w:rsidRPr="009C38AF" w:rsidRDefault="0088341A" w:rsidP="00501137">
            <w:pPr>
              <w:pStyle w:val="AERtabletextleft"/>
            </w:pPr>
            <w:r w:rsidRPr="009C38AF">
              <w:t>17/05/2013</w:t>
            </w:r>
          </w:p>
        </w:tc>
        <w:tc>
          <w:tcPr>
            <w:tcW w:w="6881" w:type="dxa"/>
            <w:hideMark/>
          </w:tcPr>
          <w:p w:rsidR="0088341A" w:rsidRPr="009C38AF" w:rsidRDefault="0088341A" w:rsidP="00501137">
            <w:pPr>
              <w:pStyle w:val="AERtabletextleft"/>
            </w:pPr>
            <w:r w:rsidRPr="009C38AF">
              <w:t>Asset works</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t>SP AER</w:t>
            </w:r>
            <w:r w:rsidRPr="009C38AF">
              <w:t xml:space="preserve"> RP 21</w:t>
            </w:r>
          </w:p>
        </w:tc>
        <w:tc>
          <w:tcPr>
            <w:tcW w:w="1420" w:type="dxa"/>
            <w:hideMark/>
          </w:tcPr>
          <w:p w:rsidR="0088341A" w:rsidRPr="009C38AF" w:rsidRDefault="0088341A" w:rsidP="00501137">
            <w:pPr>
              <w:pStyle w:val="AERtabletextleft"/>
            </w:pPr>
            <w:r w:rsidRPr="009C38AF">
              <w:t>17/05/2013</w:t>
            </w:r>
          </w:p>
        </w:tc>
        <w:tc>
          <w:tcPr>
            <w:tcW w:w="6881" w:type="dxa"/>
            <w:hideMark/>
          </w:tcPr>
          <w:p w:rsidR="0088341A" w:rsidRPr="009C38AF" w:rsidRDefault="0088341A" w:rsidP="00501137">
            <w:pPr>
              <w:pStyle w:val="AERtabletextleft"/>
            </w:pPr>
            <w:r w:rsidRPr="009C38AF">
              <w:t>Difference between reg</w:t>
            </w:r>
            <w:r>
              <w:t xml:space="preserve">ulatory </w:t>
            </w:r>
            <w:r w:rsidRPr="009C38AF">
              <w:t xml:space="preserve"> </w:t>
            </w:r>
            <w:r>
              <w:t>accounts</w:t>
            </w:r>
            <w:r w:rsidRPr="009C38AF">
              <w:t xml:space="preserve"> and pro formas</w:t>
            </w:r>
          </w:p>
        </w:tc>
      </w:tr>
      <w:tr w:rsidR="0088341A" w:rsidRPr="009C38AF" w:rsidTr="00537676">
        <w:trPr>
          <w:trHeight w:val="600"/>
        </w:trPr>
        <w:tc>
          <w:tcPr>
            <w:tcW w:w="1305" w:type="dxa"/>
            <w:hideMark/>
          </w:tcPr>
          <w:p w:rsidR="0088341A" w:rsidRPr="009C38AF" w:rsidRDefault="0088341A" w:rsidP="00501137">
            <w:pPr>
              <w:pStyle w:val="AERtabletextleft"/>
            </w:pPr>
            <w:r>
              <w:t>SP AER</w:t>
            </w:r>
            <w:r w:rsidRPr="009C38AF">
              <w:t xml:space="preserve"> RP 22</w:t>
            </w:r>
          </w:p>
        </w:tc>
        <w:tc>
          <w:tcPr>
            <w:tcW w:w="1420" w:type="dxa"/>
            <w:hideMark/>
          </w:tcPr>
          <w:p w:rsidR="0088341A" w:rsidRPr="009C38AF" w:rsidRDefault="0088341A" w:rsidP="00501137">
            <w:pPr>
              <w:pStyle w:val="AERtabletextleft"/>
            </w:pPr>
            <w:r w:rsidRPr="009C38AF">
              <w:t>17/05/2013</w:t>
            </w:r>
          </w:p>
        </w:tc>
        <w:tc>
          <w:tcPr>
            <w:tcW w:w="6881" w:type="dxa"/>
            <w:hideMark/>
          </w:tcPr>
          <w:p w:rsidR="0088341A" w:rsidRPr="009C38AF" w:rsidRDefault="0088341A" w:rsidP="00501137">
            <w:pPr>
              <w:pStyle w:val="AERtabletextleft"/>
            </w:pPr>
            <w:r w:rsidRPr="009C38AF">
              <w:t>Difference in asset works between model and pro formas</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t>SP AER</w:t>
            </w:r>
            <w:r w:rsidRPr="009C38AF">
              <w:t xml:space="preserve"> RP 23</w:t>
            </w:r>
          </w:p>
        </w:tc>
        <w:tc>
          <w:tcPr>
            <w:tcW w:w="1420" w:type="dxa"/>
            <w:hideMark/>
          </w:tcPr>
          <w:p w:rsidR="0088341A" w:rsidRPr="009C38AF" w:rsidRDefault="0088341A" w:rsidP="00501137">
            <w:pPr>
              <w:pStyle w:val="AERtabletextleft"/>
            </w:pPr>
            <w:r w:rsidRPr="009C38AF">
              <w:t>17/05/2013</w:t>
            </w:r>
          </w:p>
        </w:tc>
        <w:tc>
          <w:tcPr>
            <w:tcW w:w="6881" w:type="dxa"/>
            <w:hideMark/>
          </w:tcPr>
          <w:p w:rsidR="0088341A" w:rsidRPr="009C38AF" w:rsidRDefault="0088341A" w:rsidP="00501137">
            <w:pPr>
              <w:pStyle w:val="AERtabletextleft"/>
            </w:pPr>
            <w:r>
              <w:t>T</w:t>
            </w:r>
            <w:r w:rsidRPr="009C38AF">
              <w:t>ime series data</w:t>
            </w:r>
          </w:p>
        </w:tc>
      </w:tr>
      <w:tr w:rsidR="0088341A" w:rsidRPr="009C38AF" w:rsidTr="00537676">
        <w:trPr>
          <w:trHeight w:val="600"/>
        </w:trPr>
        <w:tc>
          <w:tcPr>
            <w:tcW w:w="1305" w:type="dxa"/>
            <w:hideMark/>
          </w:tcPr>
          <w:p w:rsidR="0088341A" w:rsidRPr="009C38AF" w:rsidRDefault="0088341A" w:rsidP="00501137">
            <w:pPr>
              <w:pStyle w:val="AERtabletextleft"/>
            </w:pPr>
            <w:r>
              <w:t>SP AER</w:t>
            </w:r>
            <w:r w:rsidRPr="009C38AF">
              <w:t xml:space="preserve"> RP 24</w:t>
            </w:r>
          </w:p>
        </w:tc>
        <w:tc>
          <w:tcPr>
            <w:tcW w:w="1420" w:type="dxa"/>
            <w:hideMark/>
          </w:tcPr>
          <w:p w:rsidR="0088341A" w:rsidRPr="009C38AF" w:rsidRDefault="0088341A" w:rsidP="00501137">
            <w:pPr>
              <w:pStyle w:val="AERtabletextleft"/>
            </w:pPr>
            <w:r w:rsidRPr="009C38AF">
              <w:t>17/05/2013</w:t>
            </w:r>
          </w:p>
        </w:tc>
        <w:tc>
          <w:tcPr>
            <w:tcW w:w="6881" w:type="dxa"/>
            <w:hideMark/>
          </w:tcPr>
          <w:p w:rsidR="0088341A" w:rsidRPr="009C38AF" w:rsidRDefault="0088341A" w:rsidP="00501137">
            <w:pPr>
              <w:pStyle w:val="AERtabletextleft"/>
            </w:pPr>
            <w:r w:rsidRPr="009C38AF">
              <w:t>Insurance cost allocation</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lastRenderedPageBreak/>
              <w:t>SP AER</w:t>
            </w:r>
            <w:r w:rsidRPr="009C38AF">
              <w:t xml:space="preserve"> RP 25</w:t>
            </w:r>
          </w:p>
        </w:tc>
        <w:tc>
          <w:tcPr>
            <w:tcW w:w="1420" w:type="dxa"/>
            <w:hideMark/>
          </w:tcPr>
          <w:p w:rsidR="0088341A" w:rsidRPr="009C38AF" w:rsidRDefault="0088341A" w:rsidP="00501137">
            <w:pPr>
              <w:pStyle w:val="AERtabletextleft"/>
            </w:pPr>
            <w:r w:rsidRPr="009C38AF">
              <w:t>17/05/2013</w:t>
            </w:r>
          </w:p>
        </w:tc>
        <w:tc>
          <w:tcPr>
            <w:tcW w:w="6881" w:type="dxa"/>
            <w:hideMark/>
          </w:tcPr>
          <w:p w:rsidR="0088341A" w:rsidRPr="009C38AF" w:rsidRDefault="0088341A" w:rsidP="00501137">
            <w:pPr>
              <w:pStyle w:val="AERtabletextleft"/>
            </w:pPr>
            <w:r>
              <w:t>I</w:t>
            </w:r>
            <w:r w:rsidRPr="009C38AF">
              <w:t>nsurance quotes or invoices</w:t>
            </w:r>
          </w:p>
        </w:tc>
      </w:tr>
      <w:tr w:rsidR="0088341A" w:rsidRPr="009C38AF" w:rsidTr="00537676">
        <w:trPr>
          <w:trHeight w:val="600"/>
        </w:trPr>
        <w:tc>
          <w:tcPr>
            <w:tcW w:w="1305" w:type="dxa"/>
            <w:hideMark/>
          </w:tcPr>
          <w:p w:rsidR="0088341A" w:rsidRPr="009C38AF" w:rsidRDefault="0088341A" w:rsidP="00501137">
            <w:pPr>
              <w:pStyle w:val="AERtabletextleft"/>
            </w:pPr>
            <w:r>
              <w:t>SP AER</w:t>
            </w:r>
            <w:r w:rsidRPr="009C38AF">
              <w:t xml:space="preserve"> RP 26</w:t>
            </w:r>
          </w:p>
        </w:tc>
        <w:tc>
          <w:tcPr>
            <w:tcW w:w="1420" w:type="dxa"/>
            <w:hideMark/>
          </w:tcPr>
          <w:p w:rsidR="0088341A" w:rsidRPr="009C38AF" w:rsidRDefault="0088341A" w:rsidP="00501137">
            <w:pPr>
              <w:pStyle w:val="AERtabletextleft"/>
            </w:pPr>
            <w:r w:rsidRPr="009C38AF">
              <w:t>17/05/2013</w:t>
            </w:r>
          </w:p>
        </w:tc>
        <w:tc>
          <w:tcPr>
            <w:tcW w:w="6881" w:type="dxa"/>
            <w:hideMark/>
          </w:tcPr>
          <w:p w:rsidR="0088341A" w:rsidRPr="009C38AF" w:rsidRDefault="0088341A" w:rsidP="00501137">
            <w:pPr>
              <w:pStyle w:val="AERtabletextleft"/>
            </w:pPr>
            <w:r w:rsidRPr="009C38AF">
              <w:t>Insurance - Treasury estimates</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t>SP AER</w:t>
            </w:r>
            <w:r w:rsidRPr="009C38AF">
              <w:t xml:space="preserve"> RP 27</w:t>
            </w:r>
          </w:p>
        </w:tc>
        <w:tc>
          <w:tcPr>
            <w:tcW w:w="1420" w:type="dxa"/>
            <w:hideMark/>
          </w:tcPr>
          <w:p w:rsidR="0088341A" w:rsidRPr="009C38AF" w:rsidRDefault="0088341A" w:rsidP="00501137">
            <w:pPr>
              <w:pStyle w:val="AERtabletextleft"/>
            </w:pPr>
            <w:r w:rsidRPr="009C38AF">
              <w:t>17/05/2013</w:t>
            </w:r>
          </w:p>
        </w:tc>
        <w:tc>
          <w:tcPr>
            <w:tcW w:w="6881" w:type="dxa"/>
            <w:hideMark/>
          </w:tcPr>
          <w:p w:rsidR="0088341A" w:rsidRPr="009C38AF" w:rsidRDefault="0088341A" w:rsidP="00501137">
            <w:pPr>
              <w:pStyle w:val="AERtabletextleft"/>
            </w:pPr>
            <w:r w:rsidRPr="009C38AF">
              <w:t>Service component</w:t>
            </w:r>
          </w:p>
        </w:tc>
      </w:tr>
      <w:tr w:rsidR="0088341A" w:rsidRPr="009C38AF" w:rsidTr="00537676">
        <w:trPr>
          <w:trHeight w:val="600"/>
        </w:trPr>
        <w:tc>
          <w:tcPr>
            <w:tcW w:w="1305" w:type="dxa"/>
            <w:hideMark/>
          </w:tcPr>
          <w:p w:rsidR="0088341A" w:rsidRPr="009C38AF" w:rsidRDefault="0088341A" w:rsidP="00501137">
            <w:pPr>
              <w:pStyle w:val="AERtabletextleft"/>
            </w:pPr>
            <w:r>
              <w:t>SP AER</w:t>
            </w:r>
            <w:r w:rsidRPr="009C38AF">
              <w:t xml:space="preserve"> RP 28</w:t>
            </w:r>
          </w:p>
        </w:tc>
        <w:tc>
          <w:tcPr>
            <w:tcW w:w="1420" w:type="dxa"/>
            <w:hideMark/>
          </w:tcPr>
          <w:p w:rsidR="0088341A" w:rsidRPr="009C38AF" w:rsidRDefault="0088341A" w:rsidP="00501137">
            <w:pPr>
              <w:pStyle w:val="AERtabletextleft"/>
            </w:pPr>
            <w:r w:rsidRPr="009C38AF">
              <w:t>17/05/2013</w:t>
            </w:r>
          </w:p>
        </w:tc>
        <w:tc>
          <w:tcPr>
            <w:tcW w:w="6881" w:type="dxa"/>
            <w:hideMark/>
          </w:tcPr>
          <w:p w:rsidR="0088341A" w:rsidRPr="009C38AF" w:rsidRDefault="0088341A" w:rsidP="00501137">
            <w:pPr>
              <w:pStyle w:val="AERtabletextleft"/>
            </w:pPr>
            <w:r w:rsidRPr="009C38AF">
              <w:t>NCIPAP</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t>SP AER</w:t>
            </w:r>
            <w:r w:rsidRPr="009C38AF">
              <w:t xml:space="preserve"> RP 29</w:t>
            </w:r>
          </w:p>
        </w:tc>
        <w:tc>
          <w:tcPr>
            <w:tcW w:w="1420" w:type="dxa"/>
            <w:hideMark/>
          </w:tcPr>
          <w:p w:rsidR="0088341A" w:rsidRPr="009C38AF" w:rsidRDefault="0088341A" w:rsidP="00501137">
            <w:pPr>
              <w:pStyle w:val="AERtabletextleft"/>
            </w:pPr>
            <w:r w:rsidRPr="009C38AF">
              <w:t>21/05/2013</w:t>
            </w:r>
          </w:p>
        </w:tc>
        <w:tc>
          <w:tcPr>
            <w:tcW w:w="6881" w:type="dxa"/>
            <w:hideMark/>
          </w:tcPr>
          <w:p w:rsidR="0088341A" w:rsidRPr="009C38AF" w:rsidRDefault="0088341A" w:rsidP="00501137">
            <w:pPr>
              <w:pStyle w:val="AERtabletextleft"/>
            </w:pPr>
            <w:r w:rsidRPr="009C38AF">
              <w:t>Timing assumptions for capex/opex</w:t>
            </w:r>
          </w:p>
        </w:tc>
      </w:tr>
      <w:tr w:rsidR="0088341A" w:rsidRPr="009C38AF" w:rsidTr="00537676">
        <w:trPr>
          <w:trHeight w:val="600"/>
        </w:trPr>
        <w:tc>
          <w:tcPr>
            <w:tcW w:w="1305" w:type="dxa"/>
            <w:hideMark/>
          </w:tcPr>
          <w:p w:rsidR="0088341A" w:rsidRPr="009C38AF" w:rsidRDefault="0088341A" w:rsidP="00501137">
            <w:pPr>
              <w:pStyle w:val="AERtabletextleft"/>
            </w:pPr>
            <w:r>
              <w:t>SP AER</w:t>
            </w:r>
            <w:r w:rsidRPr="009C38AF">
              <w:t xml:space="preserve"> RP 30</w:t>
            </w:r>
          </w:p>
        </w:tc>
        <w:tc>
          <w:tcPr>
            <w:tcW w:w="1420" w:type="dxa"/>
            <w:hideMark/>
          </w:tcPr>
          <w:p w:rsidR="0088341A" w:rsidRPr="009C38AF" w:rsidRDefault="0088341A" w:rsidP="00501137">
            <w:pPr>
              <w:pStyle w:val="AERtabletextleft"/>
            </w:pPr>
            <w:r w:rsidRPr="009C38AF">
              <w:t>21/05/2013</w:t>
            </w:r>
          </w:p>
        </w:tc>
        <w:tc>
          <w:tcPr>
            <w:tcW w:w="6881" w:type="dxa"/>
            <w:hideMark/>
          </w:tcPr>
          <w:p w:rsidR="0088341A" w:rsidRPr="009C38AF" w:rsidRDefault="0088341A" w:rsidP="00501137">
            <w:pPr>
              <w:pStyle w:val="AERtabletextleft"/>
            </w:pPr>
            <w:r w:rsidRPr="009C38AF">
              <w:t>Movement in provisions</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t>SP AER</w:t>
            </w:r>
            <w:r w:rsidRPr="009C38AF">
              <w:t xml:space="preserve"> RP 31</w:t>
            </w:r>
          </w:p>
        </w:tc>
        <w:tc>
          <w:tcPr>
            <w:tcW w:w="1420" w:type="dxa"/>
            <w:hideMark/>
          </w:tcPr>
          <w:p w:rsidR="0088341A" w:rsidRPr="009C38AF" w:rsidRDefault="0088341A" w:rsidP="00501137">
            <w:pPr>
              <w:pStyle w:val="AERtabletextleft"/>
            </w:pPr>
            <w:r w:rsidRPr="009C38AF">
              <w:t>21/05/2013</w:t>
            </w:r>
          </w:p>
        </w:tc>
        <w:tc>
          <w:tcPr>
            <w:tcW w:w="6881" w:type="dxa"/>
            <w:hideMark/>
          </w:tcPr>
          <w:p w:rsidR="0088341A" w:rsidRPr="009C38AF" w:rsidRDefault="0088341A" w:rsidP="00501137">
            <w:pPr>
              <w:pStyle w:val="AERtabletextleft"/>
            </w:pPr>
            <w:r w:rsidRPr="009C38AF">
              <w:t>EBSS Model</w:t>
            </w:r>
          </w:p>
        </w:tc>
      </w:tr>
      <w:tr w:rsidR="0088341A" w:rsidRPr="009C38AF" w:rsidTr="00537676">
        <w:trPr>
          <w:trHeight w:val="600"/>
        </w:trPr>
        <w:tc>
          <w:tcPr>
            <w:tcW w:w="1305" w:type="dxa"/>
            <w:hideMark/>
          </w:tcPr>
          <w:p w:rsidR="0088341A" w:rsidRPr="009C38AF" w:rsidRDefault="0088341A" w:rsidP="00501137">
            <w:pPr>
              <w:pStyle w:val="AERtabletextleft"/>
            </w:pPr>
            <w:r>
              <w:t>SP AER</w:t>
            </w:r>
            <w:r w:rsidRPr="009C38AF">
              <w:t xml:space="preserve"> RP 32</w:t>
            </w:r>
          </w:p>
        </w:tc>
        <w:tc>
          <w:tcPr>
            <w:tcW w:w="1420" w:type="dxa"/>
            <w:hideMark/>
          </w:tcPr>
          <w:p w:rsidR="0088341A" w:rsidRPr="009C38AF" w:rsidRDefault="0088341A" w:rsidP="00501137">
            <w:pPr>
              <w:pStyle w:val="AERtabletextleft"/>
            </w:pPr>
            <w:r w:rsidRPr="009C38AF">
              <w:t>30/05/2013</w:t>
            </w:r>
          </w:p>
        </w:tc>
        <w:tc>
          <w:tcPr>
            <w:tcW w:w="6881" w:type="dxa"/>
            <w:hideMark/>
          </w:tcPr>
          <w:p w:rsidR="0088341A" w:rsidRPr="009C38AF" w:rsidRDefault="0088341A" w:rsidP="00501137">
            <w:pPr>
              <w:pStyle w:val="AERtabletextleft"/>
            </w:pPr>
            <w:r w:rsidRPr="009C38AF">
              <w:t>Terrorism event definition</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t>SP AER</w:t>
            </w:r>
            <w:r w:rsidRPr="009C38AF">
              <w:t xml:space="preserve"> RP 33</w:t>
            </w:r>
          </w:p>
        </w:tc>
        <w:tc>
          <w:tcPr>
            <w:tcW w:w="1420" w:type="dxa"/>
            <w:hideMark/>
          </w:tcPr>
          <w:p w:rsidR="0088341A" w:rsidRPr="009C38AF" w:rsidRDefault="0088341A" w:rsidP="00501137">
            <w:pPr>
              <w:pStyle w:val="AERtabletextleft"/>
            </w:pPr>
            <w:r w:rsidRPr="009C38AF">
              <w:t>3/06/2013</w:t>
            </w:r>
          </w:p>
        </w:tc>
        <w:tc>
          <w:tcPr>
            <w:tcW w:w="6881" w:type="dxa"/>
            <w:hideMark/>
          </w:tcPr>
          <w:p w:rsidR="0088341A" w:rsidRPr="009C38AF" w:rsidRDefault="0088341A" w:rsidP="00501137">
            <w:pPr>
              <w:pStyle w:val="AERtabletextleft"/>
            </w:pPr>
            <w:r w:rsidRPr="009C38AF">
              <w:t>Historical actual insurance premiums</w:t>
            </w:r>
          </w:p>
        </w:tc>
      </w:tr>
      <w:tr w:rsidR="0088341A" w:rsidRPr="009C38AF" w:rsidTr="00537676">
        <w:trPr>
          <w:trHeight w:val="600"/>
        </w:trPr>
        <w:tc>
          <w:tcPr>
            <w:tcW w:w="1305" w:type="dxa"/>
            <w:hideMark/>
          </w:tcPr>
          <w:p w:rsidR="0088341A" w:rsidRPr="009C38AF" w:rsidRDefault="0088341A" w:rsidP="00501137">
            <w:pPr>
              <w:pStyle w:val="AERtabletextleft"/>
            </w:pPr>
            <w:r>
              <w:t>SP AER</w:t>
            </w:r>
            <w:r w:rsidRPr="009C38AF">
              <w:t xml:space="preserve"> RP 34</w:t>
            </w:r>
          </w:p>
        </w:tc>
        <w:tc>
          <w:tcPr>
            <w:tcW w:w="1420" w:type="dxa"/>
            <w:hideMark/>
          </w:tcPr>
          <w:p w:rsidR="0088341A" w:rsidRPr="009C38AF" w:rsidRDefault="0088341A" w:rsidP="00501137">
            <w:pPr>
              <w:pStyle w:val="AERtabletextleft"/>
            </w:pPr>
            <w:r w:rsidRPr="009C38AF">
              <w:t>5/06/2013</w:t>
            </w:r>
          </w:p>
        </w:tc>
        <w:tc>
          <w:tcPr>
            <w:tcW w:w="6881" w:type="dxa"/>
            <w:hideMark/>
          </w:tcPr>
          <w:p w:rsidR="0088341A" w:rsidRPr="009C38AF" w:rsidRDefault="0088341A" w:rsidP="00501137">
            <w:pPr>
              <w:pStyle w:val="AERtabletextleft"/>
            </w:pPr>
            <w:r w:rsidRPr="009C38AF">
              <w:t xml:space="preserve">Follow-up to </w:t>
            </w:r>
            <w:r>
              <w:t>SP AER</w:t>
            </w:r>
            <w:r w:rsidRPr="009C38AF">
              <w:t xml:space="preserve"> RP 02 2007–08 actual capex—FDC  </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t>SP AER</w:t>
            </w:r>
            <w:r w:rsidRPr="009C38AF">
              <w:t xml:space="preserve"> RP 35</w:t>
            </w:r>
          </w:p>
        </w:tc>
        <w:tc>
          <w:tcPr>
            <w:tcW w:w="1420" w:type="dxa"/>
            <w:hideMark/>
          </w:tcPr>
          <w:p w:rsidR="0088341A" w:rsidRPr="009C38AF" w:rsidRDefault="0088341A" w:rsidP="00501137">
            <w:pPr>
              <w:pStyle w:val="AERtabletextleft"/>
            </w:pPr>
            <w:r w:rsidRPr="009C38AF">
              <w:t>5/06/2013</w:t>
            </w:r>
          </w:p>
        </w:tc>
        <w:tc>
          <w:tcPr>
            <w:tcW w:w="6881" w:type="dxa"/>
            <w:hideMark/>
          </w:tcPr>
          <w:p w:rsidR="0088341A" w:rsidRPr="009C38AF" w:rsidRDefault="0088341A" w:rsidP="00501137">
            <w:pPr>
              <w:pStyle w:val="AERtabletextleft"/>
            </w:pPr>
            <w:r w:rsidRPr="009C38AF">
              <w:t xml:space="preserve">Follow-up to </w:t>
            </w:r>
            <w:r>
              <w:t>SP AER</w:t>
            </w:r>
            <w:r w:rsidRPr="009C38AF">
              <w:t xml:space="preserve"> RP 04 ‘Group 3’ assets—RAB roll forward</w:t>
            </w:r>
          </w:p>
        </w:tc>
      </w:tr>
      <w:tr w:rsidR="0088341A" w:rsidRPr="009C38AF" w:rsidTr="00537676">
        <w:trPr>
          <w:trHeight w:val="600"/>
        </w:trPr>
        <w:tc>
          <w:tcPr>
            <w:tcW w:w="1305" w:type="dxa"/>
            <w:hideMark/>
          </w:tcPr>
          <w:p w:rsidR="0088341A" w:rsidRPr="009C38AF" w:rsidRDefault="0088341A" w:rsidP="00501137">
            <w:pPr>
              <w:pStyle w:val="AERtabletextleft"/>
            </w:pPr>
            <w:r>
              <w:t>SP AER</w:t>
            </w:r>
            <w:r w:rsidRPr="009C38AF">
              <w:t xml:space="preserve"> RP 36</w:t>
            </w:r>
          </w:p>
        </w:tc>
        <w:tc>
          <w:tcPr>
            <w:tcW w:w="1420" w:type="dxa"/>
            <w:hideMark/>
          </w:tcPr>
          <w:p w:rsidR="0088341A" w:rsidRPr="009C38AF" w:rsidRDefault="0088341A" w:rsidP="00501137">
            <w:pPr>
              <w:pStyle w:val="AERtabletextleft"/>
            </w:pPr>
            <w:r w:rsidRPr="009C38AF">
              <w:t>5/06/2013</w:t>
            </w:r>
          </w:p>
        </w:tc>
        <w:tc>
          <w:tcPr>
            <w:tcW w:w="6881" w:type="dxa"/>
            <w:hideMark/>
          </w:tcPr>
          <w:p w:rsidR="0088341A" w:rsidRPr="009C38AF" w:rsidRDefault="0088341A" w:rsidP="00501137">
            <w:pPr>
              <w:pStyle w:val="AERtabletextleft"/>
            </w:pPr>
            <w:r w:rsidRPr="009C38AF">
              <w:t xml:space="preserve">Follow-up to </w:t>
            </w:r>
            <w:r>
              <w:t>SP AER</w:t>
            </w:r>
            <w:r w:rsidRPr="009C38AF">
              <w:t xml:space="preserve"> RP 07 Movements in provisions—for RAB roll forward</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t>SP AER</w:t>
            </w:r>
            <w:r w:rsidRPr="009C38AF">
              <w:t xml:space="preserve"> RP 37</w:t>
            </w:r>
          </w:p>
        </w:tc>
        <w:tc>
          <w:tcPr>
            <w:tcW w:w="1420" w:type="dxa"/>
            <w:hideMark/>
          </w:tcPr>
          <w:p w:rsidR="0088341A" w:rsidRPr="009C38AF" w:rsidRDefault="0088341A" w:rsidP="00501137">
            <w:pPr>
              <w:pStyle w:val="AERtabletextleft"/>
            </w:pPr>
            <w:r w:rsidRPr="009C38AF">
              <w:t>5/06/2013</w:t>
            </w:r>
          </w:p>
        </w:tc>
        <w:tc>
          <w:tcPr>
            <w:tcW w:w="6881" w:type="dxa"/>
            <w:hideMark/>
          </w:tcPr>
          <w:p w:rsidR="0088341A" w:rsidRPr="009C38AF" w:rsidRDefault="0088341A" w:rsidP="00501137">
            <w:pPr>
              <w:pStyle w:val="AERtabletextleft"/>
            </w:pPr>
            <w:r w:rsidRPr="009C38AF">
              <w:t xml:space="preserve">2007–08 forecast net capex input in the RFM </w:t>
            </w:r>
          </w:p>
        </w:tc>
      </w:tr>
      <w:tr w:rsidR="0088341A" w:rsidRPr="009C38AF" w:rsidTr="00537676">
        <w:trPr>
          <w:trHeight w:val="600"/>
        </w:trPr>
        <w:tc>
          <w:tcPr>
            <w:tcW w:w="1305" w:type="dxa"/>
            <w:hideMark/>
          </w:tcPr>
          <w:p w:rsidR="0088341A" w:rsidRPr="009C38AF" w:rsidRDefault="0088341A" w:rsidP="00501137">
            <w:pPr>
              <w:pStyle w:val="AERtabletextleft"/>
            </w:pPr>
            <w:r>
              <w:t>SP AER</w:t>
            </w:r>
            <w:r w:rsidRPr="009C38AF">
              <w:t xml:space="preserve"> RP 38</w:t>
            </w:r>
          </w:p>
        </w:tc>
        <w:tc>
          <w:tcPr>
            <w:tcW w:w="1420" w:type="dxa"/>
            <w:noWrap/>
            <w:hideMark/>
          </w:tcPr>
          <w:p w:rsidR="0088341A" w:rsidRPr="009C38AF" w:rsidRDefault="0088341A" w:rsidP="00501137">
            <w:pPr>
              <w:pStyle w:val="AERtabletextleft"/>
            </w:pPr>
            <w:r w:rsidRPr="009C38AF">
              <w:t>5/06/2013</w:t>
            </w:r>
          </w:p>
        </w:tc>
        <w:tc>
          <w:tcPr>
            <w:tcW w:w="6881" w:type="dxa"/>
            <w:hideMark/>
          </w:tcPr>
          <w:p w:rsidR="0088341A" w:rsidRPr="009C38AF" w:rsidRDefault="0088341A" w:rsidP="00501137">
            <w:pPr>
              <w:pStyle w:val="AERtabletextleft"/>
            </w:pPr>
            <w:r w:rsidRPr="009C38AF">
              <w:t>AON market report</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t>SP AER</w:t>
            </w:r>
            <w:r w:rsidRPr="009C38AF">
              <w:t xml:space="preserve"> RP 39</w:t>
            </w:r>
          </w:p>
        </w:tc>
        <w:tc>
          <w:tcPr>
            <w:tcW w:w="1420" w:type="dxa"/>
            <w:noWrap/>
            <w:hideMark/>
          </w:tcPr>
          <w:p w:rsidR="0088341A" w:rsidRPr="009C38AF" w:rsidRDefault="0088341A" w:rsidP="00501137">
            <w:pPr>
              <w:pStyle w:val="AERtabletextleft"/>
            </w:pPr>
            <w:r w:rsidRPr="009C38AF">
              <w:t>5/06/2013</w:t>
            </w:r>
          </w:p>
        </w:tc>
        <w:tc>
          <w:tcPr>
            <w:tcW w:w="6881" w:type="dxa"/>
            <w:hideMark/>
          </w:tcPr>
          <w:p w:rsidR="0088341A" w:rsidRPr="009C38AF" w:rsidRDefault="0088341A" w:rsidP="00501137">
            <w:pPr>
              <w:pStyle w:val="AERtabletextleft"/>
            </w:pPr>
            <w:r w:rsidRPr="009C38AF">
              <w:t>Self insurance claim details</w:t>
            </w:r>
          </w:p>
        </w:tc>
      </w:tr>
      <w:tr w:rsidR="0088341A" w:rsidRPr="009C38AF" w:rsidTr="00537676">
        <w:trPr>
          <w:trHeight w:val="600"/>
        </w:trPr>
        <w:tc>
          <w:tcPr>
            <w:tcW w:w="1305" w:type="dxa"/>
            <w:hideMark/>
          </w:tcPr>
          <w:p w:rsidR="0088341A" w:rsidRPr="009C38AF" w:rsidRDefault="0088341A" w:rsidP="00501137">
            <w:pPr>
              <w:pStyle w:val="AERtabletextleft"/>
            </w:pPr>
            <w:r>
              <w:t>SP AER</w:t>
            </w:r>
            <w:r w:rsidRPr="009C38AF">
              <w:t xml:space="preserve"> RP 40</w:t>
            </w:r>
          </w:p>
        </w:tc>
        <w:tc>
          <w:tcPr>
            <w:tcW w:w="1420" w:type="dxa"/>
            <w:noWrap/>
            <w:hideMark/>
          </w:tcPr>
          <w:p w:rsidR="0088341A" w:rsidRPr="009C38AF" w:rsidRDefault="0088341A" w:rsidP="00501137">
            <w:pPr>
              <w:pStyle w:val="AERtabletextleft"/>
            </w:pPr>
            <w:r w:rsidRPr="009C38AF">
              <w:t>5/06/2013</w:t>
            </w:r>
          </w:p>
        </w:tc>
        <w:tc>
          <w:tcPr>
            <w:tcW w:w="6881" w:type="dxa"/>
            <w:hideMark/>
          </w:tcPr>
          <w:p w:rsidR="0088341A" w:rsidRPr="009C38AF" w:rsidRDefault="0088341A" w:rsidP="00501137">
            <w:pPr>
              <w:pStyle w:val="AERtabletextleft"/>
            </w:pPr>
            <w:r w:rsidRPr="009C38AF">
              <w:t>Additional invoices for 2012-13</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t>SP AER</w:t>
            </w:r>
            <w:r w:rsidRPr="009C38AF">
              <w:t xml:space="preserve"> RP 41</w:t>
            </w:r>
          </w:p>
        </w:tc>
        <w:tc>
          <w:tcPr>
            <w:tcW w:w="1420" w:type="dxa"/>
            <w:noWrap/>
            <w:hideMark/>
          </w:tcPr>
          <w:p w:rsidR="0088341A" w:rsidRPr="009C38AF" w:rsidRDefault="0088341A" w:rsidP="00501137">
            <w:pPr>
              <w:pStyle w:val="AERtabletextleft"/>
            </w:pPr>
            <w:r w:rsidRPr="009C38AF">
              <w:t>5/06/2013</w:t>
            </w:r>
          </w:p>
        </w:tc>
        <w:tc>
          <w:tcPr>
            <w:tcW w:w="6881" w:type="dxa"/>
            <w:hideMark/>
          </w:tcPr>
          <w:p w:rsidR="0088341A" w:rsidRPr="009C38AF" w:rsidRDefault="0088341A" w:rsidP="00501137">
            <w:pPr>
              <w:pStyle w:val="AERtabletextleft"/>
            </w:pPr>
            <w:r w:rsidRPr="009C38AF">
              <w:t>Reconcile invoices and model</w:t>
            </w:r>
          </w:p>
        </w:tc>
      </w:tr>
      <w:tr w:rsidR="0088341A" w:rsidRPr="009C38AF" w:rsidTr="00537676">
        <w:trPr>
          <w:trHeight w:val="600"/>
        </w:trPr>
        <w:tc>
          <w:tcPr>
            <w:tcW w:w="1305" w:type="dxa"/>
            <w:hideMark/>
          </w:tcPr>
          <w:p w:rsidR="0088341A" w:rsidRPr="009C38AF" w:rsidRDefault="0088341A" w:rsidP="00501137">
            <w:pPr>
              <w:pStyle w:val="AERtabletextleft"/>
            </w:pPr>
            <w:r>
              <w:t>SP AER</w:t>
            </w:r>
            <w:r w:rsidRPr="009C38AF">
              <w:t xml:space="preserve"> RP 42</w:t>
            </w:r>
          </w:p>
        </w:tc>
        <w:tc>
          <w:tcPr>
            <w:tcW w:w="1420" w:type="dxa"/>
            <w:noWrap/>
            <w:hideMark/>
          </w:tcPr>
          <w:p w:rsidR="0088341A" w:rsidRPr="009C38AF" w:rsidRDefault="0088341A" w:rsidP="00501137">
            <w:pPr>
              <w:pStyle w:val="AERtabletextleft"/>
            </w:pPr>
            <w:r w:rsidRPr="009C38AF">
              <w:t>5/06/2013</w:t>
            </w:r>
          </w:p>
        </w:tc>
        <w:tc>
          <w:tcPr>
            <w:tcW w:w="6881" w:type="dxa"/>
            <w:hideMark/>
          </w:tcPr>
          <w:p w:rsidR="0088341A" w:rsidRPr="009C38AF" w:rsidRDefault="0088341A" w:rsidP="00501137">
            <w:pPr>
              <w:pStyle w:val="AERtabletextleft"/>
            </w:pPr>
            <w:r w:rsidRPr="009C38AF">
              <w:t>Changes in insurance allocation</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t>SP AER</w:t>
            </w:r>
            <w:r w:rsidRPr="009C38AF">
              <w:t xml:space="preserve"> RP 43</w:t>
            </w:r>
          </w:p>
        </w:tc>
        <w:tc>
          <w:tcPr>
            <w:tcW w:w="1420" w:type="dxa"/>
            <w:hideMark/>
          </w:tcPr>
          <w:p w:rsidR="0088341A" w:rsidRPr="009C38AF" w:rsidRDefault="0088341A" w:rsidP="00501137">
            <w:pPr>
              <w:pStyle w:val="AERtabletextleft"/>
            </w:pPr>
            <w:r w:rsidRPr="009C38AF">
              <w:t>6/06/2013</w:t>
            </w:r>
          </w:p>
        </w:tc>
        <w:tc>
          <w:tcPr>
            <w:tcW w:w="6881" w:type="dxa"/>
            <w:hideMark/>
          </w:tcPr>
          <w:p w:rsidR="0088341A" w:rsidRPr="009C38AF" w:rsidRDefault="0088341A" w:rsidP="00501137">
            <w:pPr>
              <w:pStyle w:val="AERtabletextleft"/>
            </w:pPr>
            <w:r w:rsidRPr="009C38AF">
              <w:t>IT Capex Appendix 2B Table reconciliation</w:t>
            </w:r>
          </w:p>
        </w:tc>
      </w:tr>
      <w:tr w:rsidR="0088341A" w:rsidRPr="009C38AF" w:rsidTr="00537676">
        <w:trPr>
          <w:trHeight w:val="600"/>
        </w:trPr>
        <w:tc>
          <w:tcPr>
            <w:tcW w:w="1305" w:type="dxa"/>
            <w:hideMark/>
          </w:tcPr>
          <w:p w:rsidR="0088341A" w:rsidRPr="009C38AF" w:rsidRDefault="0088341A" w:rsidP="00501137">
            <w:pPr>
              <w:pStyle w:val="AERtabletextleft"/>
            </w:pPr>
            <w:r>
              <w:t>SP AER</w:t>
            </w:r>
            <w:r w:rsidRPr="009C38AF">
              <w:t xml:space="preserve"> RP 44</w:t>
            </w:r>
          </w:p>
        </w:tc>
        <w:tc>
          <w:tcPr>
            <w:tcW w:w="1420" w:type="dxa"/>
            <w:hideMark/>
          </w:tcPr>
          <w:p w:rsidR="0088341A" w:rsidRPr="009C38AF" w:rsidRDefault="0088341A" w:rsidP="00501137">
            <w:pPr>
              <w:pStyle w:val="AERtabletextleft"/>
            </w:pPr>
            <w:r w:rsidRPr="009C38AF">
              <w:t>6/06/2013</w:t>
            </w:r>
          </w:p>
        </w:tc>
        <w:tc>
          <w:tcPr>
            <w:tcW w:w="6881" w:type="dxa"/>
            <w:hideMark/>
          </w:tcPr>
          <w:p w:rsidR="0088341A" w:rsidRPr="009C38AF" w:rsidRDefault="0088341A" w:rsidP="00501137">
            <w:pPr>
              <w:pStyle w:val="AERtabletextleft"/>
            </w:pPr>
            <w:r w:rsidRPr="009C38AF">
              <w:t>IT capex Appendix 4 H allocation reconciliation</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t>SP AER</w:t>
            </w:r>
            <w:r w:rsidRPr="009C38AF">
              <w:t xml:space="preserve"> RP 45</w:t>
            </w:r>
          </w:p>
        </w:tc>
        <w:tc>
          <w:tcPr>
            <w:tcW w:w="1420" w:type="dxa"/>
            <w:hideMark/>
          </w:tcPr>
          <w:p w:rsidR="0088341A" w:rsidRPr="009C38AF" w:rsidRDefault="0088341A" w:rsidP="00501137">
            <w:pPr>
              <w:pStyle w:val="AERtabletextleft"/>
            </w:pPr>
            <w:r w:rsidRPr="009C38AF">
              <w:t>6/06/2013</w:t>
            </w:r>
          </w:p>
        </w:tc>
        <w:tc>
          <w:tcPr>
            <w:tcW w:w="6881" w:type="dxa"/>
            <w:hideMark/>
          </w:tcPr>
          <w:p w:rsidR="0088341A" w:rsidRPr="009C38AF" w:rsidRDefault="0088341A" w:rsidP="00501137">
            <w:pPr>
              <w:pStyle w:val="AERtabletextleft"/>
            </w:pPr>
            <w:r w:rsidRPr="009C38AF">
              <w:t>IT capex contingency allowance</w:t>
            </w:r>
          </w:p>
        </w:tc>
      </w:tr>
      <w:tr w:rsidR="0088341A" w:rsidRPr="009C38AF" w:rsidTr="00537676">
        <w:trPr>
          <w:trHeight w:val="600"/>
        </w:trPr>
        <w:tc>
          <w:tcPr>
            <w:tcW w:w="1305" w:type="dxa"/>
            <w:hideMark/>
          </w:tcPr>
          <w:p w:rsidR="0088341A" w:rsidRPr="009C38AF" w:rsidRDefault="0088341A" w:rsidP="00501137">
            <w:pPr>
              <w:pStyle w:val="AERtabletextleft"/>
            </w:pPr>
            <w:r w:rsidRPr="009C38AF">
              <w:t> </w:t>
            </w:r>
          </w:p>
        </w:tc>
        <w:tc>
          <w:tcPr>
            <w:tcW w:w="1420" w:type="dxa"/>
            <w:hideMark/>
          </w:tcPr>
          <w:p w:rsidR="0088341A" w:rsidRPr="009C38AF" w:rsidRDefault="0088341A" w:rsidP="00501137">
            <w:pPr>
              <w:pStyle w:val="AERtabletextleft"/>
            </w:pPr>
            <w:r w:rsidRPr="009C38AF">
              <w:t>7/06/2013</w:t>
            </w:r>
          </w:p>
        </w:tc>
        <w:tc>
          <w:tcPr>
            <w:tcW w:w="6881" w:type="dxa"/>
            <w:hideMark/>
          </w:tcPr>
          <w:p w:rsidR="0088341A" w:rsidRPr="009C38AF" w:rsidRDefault="0088341A" w:rsidP="00501137">
            <w:pPr>
              <w:pStyle w:val="AERtabletextleft"/>
            </w:pPr>
            <w:r w:rsidRPr="009C38AF">
              <w:t>SP response to EMCa findings workshop</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lastRenderedPageBreak/>
              <w:t>SP AER</w:t>
            </w:r>
            <w:r w:rsidRPr="009C38AF">
              <w:t xml:space="preserve"> RP 46</w:t>
            </w:r>
          </w:p>
        </w:tc>
        <w:tc>
          <w:tcPr>
            <w:tcW w:w="1420" w:type="dxa"/>
            <w:hideMark/>
          </w:tcPr>
          <w:p w:rsidR="0088341A" w:rsidRPr="009C38AF" w:rsidRDefault="0088341A" w:rsidP="00501137">
            <w:pPr>
              <w:pStyle w:val="AERtabletextleft"/>
            </w:pPr>
            <w:r w:rsidRPr="009C38AF">
              <w:t>7/06/2013</w:t>
            </w:r>
          </w:p>
        </w:tc>
        <w:tc>
          <w:tcPr>
            <w:tcW w:w="6881" w:type="dxa"/>
            <w:hideMark/>
          </w:tcPr>
          <w:p w:rsidR="0088341A" w:rsidRPr="009C38AF" w:rsidRDefault="0088341A" w:rsidP="00501137">
            <w:pPr>
              <w:pStyle w:val="AERtabletextleft"/>
            </w:pPr>
            <w:r w:rsidRPr="009C38AF">
              <w:t>West Melbourne AIS option</w:t>
            </w:r>
          </w:p>
        </w:tc>
      </w:tr>
      <w:tr w:rsidR="0088341A" w:rsidRPr="009C38AF" w:rsidTr="00537676">
        <w:trPr>
          <w:trHeight w:val="600"/>
        </w:trPr>
        <w:tc>
          <w:tcPr>
            <w:tcW w:w="1305" w:type="dxa"/>
            <w:hideMark/>
          </w:tcPr>
          <w:p w:rsidR="0088341A" w:rsidRPr="009C38AF" w:rsidRDefault="0088341A" w:rsidP="00501137">
            <w:pPr>
              <w:pStyle w:val="AERtabletextleft"/>
            </w:pPr>
            <w:r w:rsidRPr="009C38AF">
              <w:t xml:space="preserve">EMCa 37 </w:t>
            </w:r>
          </w:p>
        </w:tc>
        <w:tc>
          <w:tcPr>
            <w:tcW w:w="1420" w:type="dxa"/>
            <w:hideMark/>
          </w:tcPr>
          <w:p w:rsidR="0088341A" w:rsidRPr="009C38AF" w:rsidRDefault="0088341A" w:rsidP="00501137">
            <w:pPr>
              <w:pStyle w:val="AERtabletextleft"/>
            </w:pPr>
            <w:r w:rsidRPr="009C38AF">
              <w:t>10/06/2013</w:t>
            </w:r>
          </w:p>
        </w:tc>
        <w:tc>
          <w:tcPr>
            <w:tcW w:w="6881" w:type="dxa"/>
            <w:hideMark/>
          </w:tcPr>
          <w:p w:rsidR="0088341A" w:rsidRPr="009C38AF" w:rsidRDefault="0088341A" w:rsidP="00501137">
            <w:pPr>
              <w:pStyle w:val="AERtabletextleft"/>
            </w:pPr>
            <w:r>
              <w:t>Totex deferral risk ch</w:t>
            </w:r>
            <w:r w:rsidRPr="009C38AF">
              <w:t>a</w:t>
            </w:r>
            <w:r>
              <w:t>n</w:t>
            </w:r>
            <w:r w:rsidRPr="009C38AF">
              <w:t>ges</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t>SP AER</w:t>
            </w:r>
            <w:r w:rsidRPr="009C38AF">
              <w:t xml:space="preserve"> RP 48</w:t>
            </w:r>
          </w:p>
        </w:tc>
        <w:tc>
          <w:tcPr>
            <w:tcW w:w="1420" w:type="dxa"/>
            <w:hideMark/>
          </w:tcPr>
          <w:p w:rsidR="0088341A" w:rsidRPr="009C38AF" w:rsidRDefault="0088341A" w:rsidP="00501137">
            <w:pPr>
              <w:pStyle w:val="AERtabletextleft"/>
            </w:pPr>
            <w:r w:rsidRPr="009C38AF">
              <w:t>11/06/2013</w:t>
            </w:r>
          </w:p>
        </w:tc>
        <w:tc>
          <w:tcPr>
            <w:tcW w:w="6881" w:type="dxa"/>
            <w:hideMark/>
          </w:tcPr>
          <w:p w:rsidR="0088341A" w:rsidRPr="009C38AF" w:rsidRDefault="0088341A" w:rsidP="00501137">
            <w:pPr>
              <w:pStyle w:val="AERtabletextleft"/>
            </w:pPr>
            <w:r w:rsidRPr="009C38AF">
              <w:t>Aon fee</w:t>
            </w:r>
          </w:p>
        </w:tc>
      </w:tr>
      <w:tr w:rsidR="0088341A" w:rsidRPr="009C38AF" w:rsidTr="00537676">
        <w:trPr>
          <w:trHeight w:val="600"/>
        </w:trPr>
        <w:tc>
          <w:tcPr>
            <w:tcW w:w="1305" w:type="dxa"/>
            <w:hideMark/>
          </w:tcPr>
          <w:p w:rsidR="0088341A" w:rsidRPr="009C38AF" w:rsidRDefault="0088341A" w:rsidP="00501137">
            <w:pPr>
              <w:pStyle w:val="AERtabletextleft"/>
            </w:pPr>
            <w:r>
              <w:t>SP AER</w:t>
            </w:r>
            <w:r w:rsidRPr="009C38AF">
              <w:t xml:space="preserve"> RP 49</w:t>
            </w:r>
          </w:p>
        </w:tc>
        <w:tc>
          <w:tcPr>
            <w:tcW w:w="1420" w:type="dxa"/>
            <w:hideMark/>
          </w:tcPr>
          <w:p w:rsidR="0088341A" w:rsidRPr="009C38AF" w:rsidRDefault="0088341A" w:rsidP="00501137">
            <w:pPr>
              <w:pStyle w:val="AERtabletextleft"/>
            </w:pPr>
            <w:r w:rsidRPr="009C38AF">
              <w:t>13/06/2013</w:t>
            </w:r>
          </w:p>
        </w:tc>
        <w:tc>
          <w:tcPr>
            <w:tcW w:w="6881" w:type="dxa"/>
            <w:hideMark/>
          </w:tcPr>
          <w:p w:rsidR="0088341A" w:rsidRPr="009C38AF" w:rsidRDefault="0088341A" w:rsidP="00501137">
            <w:pPr>
              <w:pStyle w:val="AERtabletextleft"/>
            </w:pPr>
            <w:r w:rsidRPr="009C38AF">
              <w:t>Paired bonds ISIN</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bookmarkStart w:id="429" w:name="RANGE!A217"/>
            <w:r>
              <w:t>SP AER</w:t>
            </w:r>
            <w:r w:rsidRPr="009C38AF">
              <w:t xml:space="preserve"> RP 50</w:t>
            </w:r>
            <w:bookmarkEnd w:id="429"/>
          </w:p>
        </w:tc>
        <w:tc>
          <w:tcPr>
            <w:tcW w:w="1420" w:type="dxa"/>
            <w:hideMark/>
          </w:tcPr>
          <w:p w:rsidR="0088341A" w:rsidRPr="009C38AF" w:rsidRDefault="0088341A" w:rsidP="00501137">
            <w:pPr>
              <w:pStyle w:val="AERtabletextleft"/>
            </w:pPr>
            <w:r w:rsidRPr="009C38AF">
              <w:t>13/06/2013</w:t>
            </w:r>
          </w:p>
        </w:tc>
        <w:tc>
          <w:tcPr>
            <w:tcW w:w="6881" w:type="dxa"/>
            <w:hideMark/>
          </w:tcPr>
          <w:p w:rsidR="0088341A" w:rsidRPr="009C38AF" w:rsidRDefault="0088341A" w:rsidP="00501137">
            <w:pPr>
              <w:pStyle w:val="AERtabletextleft"/>
            </w:pPr>
            <w:r w:rsidRPr="009C38AF">
              <w:t xml:space="preserve">Follow up question to </w:t>
            </w:r>
            <w:r>
              <w:t>SP AER</w:t>
            </w:r>
            <w:r w:rsidRPr="009C38AF">
              <w:t xml:space="preserve"> RP 35</w:t>
            </w:r>
          </w:p>
        </w:tc>
      </w:tr>
      <w:tr w:rsidR="0088341A" w:rsidRPr="009C38AF" w:rsidTr="00537676">
        <w:trPr>
          <w:trHeight w:val="600"/>
        </w:trPr>
        <w:tc>
          <w:tcPr>
            <w:tcW w:w="1305" w:type="dxa"/>
            <w:hideMark/>
          </w:tcPr>
          <w:p w:rsidR="0088341A" w:rsidRPr="009C38AF" w:rsidRDefault="0088341A" w:rsidP="00501137">
            <w:pPr>
              <w:pStyle w:val="AERtabletextleft"/>
            </w:pPr>
            <w:r>
              <w:t>SP AER</w:t>
            </w:r>
            <w:r w:rsidRPr="009C38AF">
              <w:t xml:space="preserve"> RP 51</w:t>
            </w:r>
          </w:p>
        </w:tc>
        <w:tc>
          <w:tcPr>
            <w:tcW w:w="1420" w:type="dxa"/>
            <w:hideMark/>
          </w:tcPr>
          <w:p w:rsidR="0088341A" w:rsidRPr="009C38AF" w:rsidRDefault="0088341A" w:rsidP="00501137">
            <w:pPr>
              <w:pStyle w:val="AERtabletextleft"/>
            </w:pPr>
            <w:r w:rsidRPr="009C38AF">
              <w:t>17/06/2013</w:t>
            </w:r>
          </w:p>
        </w:tc>
        <w:tc>
          <w:tcPr>
            <w:tcW w:w="6881" w:type="dxa"/>
            <w:hideMark/>
          </w:tcPr>
          <w:p w:rsidR="0088341A" w:rsidRPr="009C38AF" w:rsidRDefault="0088341A" w:rsidP="00501137">
            <w:pPr>
              <w:pStyle w:val="AERtabletextleft"/>
            </w:pPr>
            <w:r w:rsidRPr="009C38AF">
              <w:t>Post insurance workshop clarifications</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t>SP AER</w:t>
            </w:r>
            <w:r w:rsidRPr="009C38AF">
              <w:t xml:space="preserve"> RP 52</w:t>
            </w:r>
          </w:p>
        </w:tc>
        <w:tc>
          <w:tcPr>
            <w:tcW w:w="1420" w:type="dxa"/>
            <w:hideMark/>
          </w:tcPr>
          <w:p w:rsidR="0088341A" w:rsidRPr="009C38AF" w:rsidRDefault="0088341A" w:rsidP="00501137">
            <w:pPr>
              <w:pStyle w:val="AERtabletextleft"/>
            </w:pPr>
            <w:r w:rsidRPr="009C38AF">
              <w:t>19/06/2013</w:t>
            </w:r>
          </w:p>
        </w:tc>
        <w:tc>
          <w:tcPr>
            <w:tcW w:w="6881" w:type="dxa"/>
            <w:hideMark/>
          </w:tcPr>
          <w:p w:rsidR="0088341A" w:rsidRPr="009C38AF" w:rsidRDefault="0088341A" w:rsidP="00501137">
            <w:pPr>
              <w:pStyle w:val="AERtabletextleft"/>
            </w:pPr>
            <w:r w:rsidRPr="009C38AF">
              <w:t>Equity raising costs</w:t>
            </w:r>
          </w:p>
        </w:tc>
      </w:tr>
      <w:tr w:rsidR="0088341A" w:rsidRPr="009C38AF" w:rsidTr="00537676">
        <w:trPr>
          <w:trHeight w:val="600"/>
        </w:trPr>
        <w:tc>
          <w:tcPr>
            <w:tcW w:w="1305" w:type="dxa"/>
            <w:hideMark/>
          </w:tcPr>
          <w:p w:rsidR="0088341A" w:rsidRPr="009C38AF" w:rsidRDefault="0088341A" w:rsidP="00501137">
            <w:pPr>
              <w:pStyle w:val="AERtabletextleft"/>
            </w:pPr>
            <w:r>
              <w:t>SP AER</w:t>
            </w:r>
            <w:r w:rsidRPr="009C38AF">
              <w:t xml:space="preserve"> RP 53</w:t>
            </w:r>
          </w:p>
        </w:tc>
        <w:tc>
          <w:tcPr>
            <w:tcW w:w="1420" w:type="dxa"/>
            <w:hideMark/>
          </w:tcPr>
          <w:p w:rsidR="0088341A" w:rsidRPr="009C38AF" w:rsidRDefault="0088341A" w:rsidP="00501137">
            <w:pPr>
              <w:pStyle w:val="AERtabletextleft"/>
            </w:pPr>
            <w:r w:rsidRPr="009C38AF">
              <w:t>24/06/2013</w:t>
            </w:r>
          </w:p>
        </w:tc>
        <w:tc>
          <w:tcPr>
            <w:tcW w:w="6881" w:type="dxa"/>
            <w:hideMark/>
          </w:tcPr>
          <w:p w:rsidR="0088341A" w:rsidRPr="009C38AF" w:rsidRDefault="0088341A" w:rsidP="00501137">
            <w:pPr>
              <w:pStyle w:val="AERtabletextleft"/>
            </w:pPr>
            <w:r w:rsidRPr="009C38AF">
              <w:t>Remaining asset lives PTRM input</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t>SP AER</w:t>
            </w:r>
            <w:r w:rsidRPr="009C38AF">
              <w:t xml:space="preserve"> RP 54</w:t>
            </w:r>
          </w:p>
        </w:tc>
        <w:tc>
          <w:tcPr>
            <w:tcW w:w="1420" w:type="dxa"/>
            <w:hideMark/>
          </w:tcPr>
          <w:p w:rsidR="0088341A" w:rsidRPr="009C38AF" w:rsidRDefault="0088341A" w:rsidP="00501137">
            <w:pPr>
              <w:pStyle w:val="AERtabletextleft"/>
            </w:pPr>
            <w:r w:rsidRPr="009C38AF">
              <w:t>27/06/2013</w:t>
            </w:r>
          </w:p>
        </w:tc>
        <w:tc>
          <w:tcPr>
            <w:tcW w:w="6881" w:type="dxa"/>
            <w:hideMark/>
          </w:tcPr>
          <w:p w:rsidR="0088341A" w:rsidRPr="009C38AF" w:rsidRDefault="0088341A" w:rsidP="00501137">
            <w:pPr>
              <w:pStyle w:val="AERtabletextleft"/>
            </w:pPr>
            <w:r w:rsidRPr="009C38AF">
              <w:t>‘Group 3’ opex escalator</w:t>
            </w:r>
          </w:p>
        </w:tc>
      </w:tr>
      <w:tr w:rsidR="0088341A" w:rsidRPr="009C38AF" w:rsidTr="00537676">
        <w:trPr>
          <w:trHeight w:val="600"/>
        </w:trPr>
        <w:tc>
          <w:tcPr>
            <w:tcW w:w="1305" w:type="dxa"/>
            <w:hideMark/>
          </w:tcPr>
          <w:p w:rsidR="0088341A" w:rsidRPr="009C38AF" w:rsidRDefault="0088341A" w:rsidP="00501137">
            <w:pPr>
              <w:pStyle w:val="AERtabletextleft"/>
            </w:pPr>
            <w:r>
              <w:t>SP AER</w:t>
            </w:r>
            <w:r w:rsidRPr="009C38AF">
              <w:t xml:space="preserve"> RP 55</w:t>
            </w:r>
          </w:p>
        </w:tc>
        <w:tc>
          <w:tcPr>
            <w:tcW w:w="1420" w:type="dxa"/>
            <w:hideMark/>
          </w:tcPr>
          <w:p w:rsidR="0088341A" w:rsidRPr="009C38AF" w:rsidRDefault="0088341A" w:rsidP="00501137">
            <w:pPr>
              <w:pStyle w:val="AERtabletextleft"/>
            </w:pPr>
            <w:r w:rsidRPr="009C38AF">
              <w:t>28/06/2013</w:t>
            </w:r>
          </w:p>
        </w:tc>
        <w:tc>
          <w:tcPr>
            <w:tcW w:w="6881" w:type="dxa"/>
            <w:hideMark/>
          </w:tcPr>
          <w:p w:rsidR="0088341A" w:rsidRPr="009C38AF" w:rsidRDefault="0088341A" w:rsidP="00501137">
            <w:pPr>
              <w:pStyle w:val="AERtabletextleft"/>
            </w:pPr>
            <w:r w:rsidRPr="009C38AF">
              <w:t>STPIS</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t>SP AER</w:t>
            </w:r>
            <w:r w:rsidRPr="009C38AF">
              <w:t xml:space="preserve"> RP 56</w:t>
            </w:r>
          </w:p>
        </w:tc>
        <w:tc>
          <w:tcPr>
            <w:tcW w:w="1420" w:type="dxa"/>
            <w:hideMark/>
          </w:tcPr>
          <w:p w:rsidR="0088341A" w:rsidRPr="009C38AF" w:rsidRDefault="0088341A" w:rsidP="00501137">
            <w:pPr>
              <w:pStyle w:val="AERtabletextleft"/>
            </w:pPr>
            <w:r w:rsidRPr="009C38AF">
              <w:t>28/06/2013</w:t>
            </w:r>
          </w:p>
        </w:tc>
        <w:tc>
          <w:tcPr>
            <w:tcW w:w="6881" w:type="dxa"/>
            <w:hideMark/>
          </w:tcPr>
          <w:p w:rsidR="0088341A" w:rsidRPr="009C38AF" w:rsidRDefault="0088341A" w:rsidP="00501137">
            <w:pPr>
              <w:pStyle w:val="AERtabletextleft"/>
            </w:pPr>
            <w:r w:rsidRPr="009C38AF">
              <w:t>Security step change</w:t>
            </w:r>
          </w:p>
        </w:tc>
      </w:tr>
      <w:tr w:rsidR="0088341A" w:rsidRPr="009C38AF" w:rsidTr="00537676">
        <w:trPr>
          <w:trHeight w:val="600"/>
        </w:trPr>
        <w:tc>
          <w:tcPr>
            <w:tcW w:w="1305" w:type="dxa"/>
            <w:hideMark/>
          </w:tcPr>
          <w:p w:rsidR="0088341A" w:rsidRPr="009C38AF" w:rsidRDefault="0088341A" w:rsidP="00501137">
            <w:pPr>
              <w:pStyle w:val="AERtabletextleft"/>
            </w:pPr>
            <w:r>
              <w:t>SP AER</w:t>
            </w:r>
            <w:r w:rsidRPr="009C38AF">
              <w:t xml:space="preserve"> RP 57</w:t>
            </w:r>
          </w:p>
        </w:tc>
        <w:tc>
          <w:tcPr>
            <w:tcW w:w="1420" w:type="dxa"/>
            <w:hideMark/>
          </w:tcPr>
          <w:p w:rsidR="0088341A" w:rsidRPr="009C38AF" w:rsidRDefault="0088341A" w:rsidP="00501137">
            <w:pPr>
              <w:pStyle w:val="AERtabletextleft"/>
            </w:pPr>
            <w:r w:rsidRPr="009C38AF">
              <w:t>2/07/2013</w:t>
            </w:r>
          </w:p>
        </w:tc>
        <w:tc>
          <w:tcPr>
            <w:tcW w:w="6881" w:type="dxa"/>
            <w:hideMark/>
          </w:tcPr>
          <w:p w:rsidR="0088341A" w:rsidRPr="009C38AF" w:rsidRDefault="0088341A" w:rsidP="00501137">
            <w:pPr>
              <w:pStyle w:val="AERtabletextleft"/>
            </w:pPr>
            <w:r w:rsidRPr="009C38AF">
              <w:t>WMTS AIS and GIS costs</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t>SP AER</w:t>
            </w:r>
            <w:r w:rsidRPr="009C38AF">
              <w:t xml:space="preserve"> RP 58</w:t>
            </w:r>
          </w:p>
        </w:tc>
        <w:tc>
          <w:tcPr>
            <w:tcW w:w="1420" w:type="dxa"/>
            <w:hideMark/>
          </w:tcPr>
          <w:p w:rsidR="0088341A" w:rsidRPr="009C38AF" w:rsidRDefault="0088341A" w:rsidP="00501137">
            <w:pPr>
              <w:pStyle w:val="AERtabletextleft"/>
            </w:pPr>
            <w:r w:rsidRPr="009C38AF">
              <w:t>3/07/2013</w:t>
            </w:r>
          </w:p>
        </w:tc>
        <w:tc>
          <w:tcPr>
            <w:tcW w:w="6881" w:type="dxa"/>
            <w:hideMark/>
          </w:tcPr>
          <w:p w:rsidR="0088341A" w:rsidRPr="009C38AF" w:rsidRDefault="0088341A" w:rsidP="00501137">
            <w:pPr>
              <w:pStyle w:val="AERtabletextleft"/>
            </w:pPr>
            <w:r w:rsidRPr="009C38AF">
              <w:t>Capitalisation of ERC</w:t>
            </w:r>
          </w:p>
        </w:tc>
      </w:tr>
      <w:tr w:rsidR="0088341A" w:rsidRPr="009C38AF" w:rsidTr="00537676">
        <w:trPr>
          <w:trHeight w:val="600"/>
        </w:trPr>
        <w:tc>
          <w:tcPr>
            <w:tcW w:w="1305" w:type="dxa"/>
            <w:hideMark/>
          </w:tcPr>
          <w:p w:rsidR="0088341A" w:rsidRPr="009C38AF" w:rsidRDefault="0088341A" w:rsidP="00501137">
            <w:pPr>
              <w:pStyle w:val="AERtabletextleft"/>
            </w:pPr>
            <w:r>
              <w:t>SP AER</w:t>
            </w:r>
            <w:r w:rsidRPr="009C38AF">
              <w:t xml:space="preserve"> RP 59</w:t>
            </w:r>
          </w:p>
        </w:tc>
        <w:tc>
          <w:tcPr>
            <w:tcW w:w="1420" w:type="dxa"/>
            <w:hideMark/>
          </w:tcPr>
          <w:p w:rsidR="0088341A" w:rsidRPr="009C38AF" w:rsidRDefault="0088341A" w:rsidP="00501137">
            <w:pPr>
              <w:pStyle w:val="AERtabletextleft"/>
            </w:pPr>
            <w:r w:rsidRPr="009C38AF">
              <w:t>9/07/2013</w:t>
            </w:r>
          </w:p>
        </w:tc>
        <w:tc>
          <w:tcPr>
            <w:tcW w:w="6881" w:type="dxa"/>
            <w:hideMark/>
          </w:tcPr>
          <w:p w:rsidR="0088341A" w:rsidRPr="009C38AF" w:rsidRDefault="0088341A" w:rsidP="00501137">
            <w:pPr>
              <w:pStyle w:val="AERtabletextleft"/>
            </w:pPr>
            <w:r w:rsidRPr="009C38AF">
              <w:t>Capitalisation of overheads</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t>SP AER</w:t>
            </w:r>
            <w:r w:rsidRPr="009C38AF">
              <w:t xml:space="preserve"> RP 60</w:t>
            </w:r>
          </w:p>
        </w:tc>
        <w:tc>
          <w:tcPr>
            <w:tcW w:w="1420" w:type="dxa"/>
            <w:hideMark/>
          </w:tcPr>
          <w:p w:rsidR="0088341A" w:rsidRPr="009C38AF" w:rsidRDefault="0088341A" w:rsidP="00501137">
            <w:pPr>
              <w:pStyle w:val="AERtabletextleft"/>
            </w:pPr>
            <w:r w:rsidRPr="009C38AF">
              <w:t>11/07/2013</w:t>
            </w:r>
          </w:p>
        </w:tc>
        <w:tc>
          <w:tcPr>
            <w:tcW w:w="6881" w:type="dxa"/>
            <w:hideMark/>
          </w:tcPr>
          <w:p w:rsidR="0088341A" w:rsidRPr="009C38AF" w:rsidRDefault="0088341A" w:rsidP="00501137">
            <w:pPr>
              <w:pStyle w:val="AERtabletextleft"/>
            </w:pPr>
            <w:r w:rsidRPr="009C38AF">
              <w:t>Capitalisation of overheads</w:t>
            </w:r>
          </w:p>
        </w:tc>
      </w:tr>
      <w:tr w:rsidR="0088341A" w:rsidRPr="009C38AF" w:rsidTr="00537676">
        <w:trPr>
          <w:trHeight w:val="600"/>
        </w:trPr>
        <w:tc>
          <w:tcPr>
            <w:tcW w:w="1305" w:type="dxa"/>
            <w:hideMark/>
          </w:tcPr>
          <w:p w:rsidR="0088341A" w:rsidRPr="009C38AF" w:rsidRDefault="0088341A" w:rsidP="00501137">
            <w:pPr>
              <w:pStyle w:val="AERtabletextleft"/>
            </w:pPr>
            <w:r>
              <w:t>SP AER</w:t>
            </w:r>
            <w:r w:rsidRPr="009C38AF">
              <w:t xml:space="preserve"> RP 61</w:t>
            </w:r>
          </w:p>
        </w:tc>
        <w:tc>
          <w:tcPr>
            <w:tcW w:w="1420" w:type="dxa"/>
            <w:hideMark/>
          </w:tcPr>
          <w:p w:rsidR="0088341A" w:rsidRPr="009C38AF" w:rsidRDefault="0088341A" w:rsidP="00501137">
            <w:pPr>
              <w:pStyle w:val="AERtabletextleft"/>
            </w:pPr>
            <w:r w:rsidRPr="009C38AF">
              <w:t>17/07/2013</w:t>
            </w:r>
          </w:p>
        </w:tc>
        <w:tc>
          <w:tcPr>
            <w:tcW w:w="6881" w:type="dxa"/>
            <w:hideMark/>
          </w:tcPr>
          <w:p w:rsidR="0088341A" w:rsidRPr="009C38AF" w:rsidRDefault="0088341A" w:rsidP="00501137">
            <w:pPr>
              <w:pStyle w:val="AERtabletextleft"/>
            </w:pPr>
            <w:r w:rsidRPr="009C38AF">
              <w:t>Asset lives for amortising equity raising costs</w:t>
            </w:r>
          </w:p>
        </w:tc>
      </w:tr>
      <w:tr w:rsidR="0088341A"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hideMark/>
          </w:tcPr>
          <w:p w:rsidR="0088341A" w:rsidRPr="009C38AF" w:rsidRDefault="0088341A" w:rsidP="00501137">
            <w:pPr>
              <w:pStyle w:val="AERtabletextleft"/>
            </w:pPr>
            <w:r>
              <w:t>SP AER</w:t>
            </w:r>
            <w:r w:rsidRPr="009C38AF">
              <w:t xml:space="preserve"> RP 62</w:t>
            </w:r>
          </w:p>
        </w:tc>
        <w:tc>
          <w:tcPr>
            <w:tcW w:w="1420" w:type="dxa"/>
            <w:hideMark/>
          </w:tcPr>
          <w:p w:rsidR="0088341A" w:rsidRPr="009C38AF" w:rsidRDefault="0088341A" w:rsidP="00501137">
            <w:pPr>
              <w:pStyle w:val="AERtabletextleft"/>
            </w:pPr>
            <w:r w:rsidRPr="009C38AF">
              <w:t>18/07/2013</w:t>
            </w:r>
          </w:p>
        </w:tc>
        <w:tc>
          <w:tcPr>
            <w:tcW w:w="6881" w:type="dxa"/>
            <w:hideMark/>
          </w:tcPr>
          <w:p w:rsidR="0088341A" w:rsidRPr="009C38AF" w:rsidRDefault="0088341A" w:rsidP="00501137">
            <w:pPr>
              <w:pStyle w:val="AERtabletextleft"/>
            </w:pPr>
            <w:r w:rsidRPr="009C38AF">
              <w:t>Change to the CPI timing in the annual MAR adjustment process</w:t>
            </w:r>
          </w:p>
        </w:tc>
      </w:tr>
      <w:tr w:rsidR="00D4760F" w:rsidRPr="009C38AF" w:rsidTr="00537676">
        <w:trPr>
          <w:trHeight w:val="600"/>
        </w:trPr>
        <w:tc>
          <w:tcPr>
            <w:tcW w:w="1305" w:type="dxa"/>
          </w:tcPr>
          <w:p w:rsidR="00D4760F" w:rsidRDefault="00D4760F" w:rsidP="00501137">
            <w:pPr>
              <w:pStyle w:val="AERtabletextleft"/>
            </w:pPr>
            <w:r>
              <w:t>SP AER RP 63</w:t>
            </w:r>
          </w:p>
        </w:tc>
        <w:tc>
          <w:tcPr>
            <w:tcW w:w="1420" w:type="dxa"/>
          </w:tcPr>
          <w:p w:rsidR="00D4760F" w:rsidRPr="009C38AF" w:rsidRDefault="00D4760F" w:rsidP="00501137">
            <w:pPr>
              <w:pStyle w:val="AERtabletextleft"/>
            </w:pPr>
            <w:r>
              <w:t>05/08/2013</w:t>
            </w:r>
          </w:p>
        </w:tc>
        <w:tc>
          <w:tcPr>
            <w:tcW w:w="6881" w:type="dxa"/>
          </w:tcPr>
          <w:p w:rsidR="00D4760F" w:rsidRPr="009C38AF" w:rsidRDefault="00D4760F" w:rsidP="00501137">
            <w:pPr>
              <w:pStyle w:val="AERtabletextleft"/>
            </w:pPr>
            <w:r>
              <w:t>Updated material cost inputs</w:t>
            </w:r>
          </w:p>
        </w:tc>
      </w:tr>
      <w:tr w:rsidR="00153DE0" w:rsidRPr="009C38AF" w:rsidTr="00537676">
        <w:trPr>
          <w:cnfStyle w:val="000000010000" w:firstRow="0" w:lastRow="0" w:firstColumn="0" w:lastColumn="0" w:oddVBand="0" w:evenVBand="0" w:oddHBand="0" w:evenHBand="1" w:firstRowFirstColumn="0" w:firstRowLastColumn="0" w:lastRowFirstColumn="0" w:lastRowLastColumn="0"/>
          <w:trHeight w:val="600"/>
        </w:trPr>
        <w:tc>
          <w:tcPr>
            <w:tcW w:w="1305" w:type="dxa"/>
          </w:tcPr>
          <w:p w:rsidR="00153DE0" w:rsidRDefault="00153DE0" w:rsidP="00501137">
            <w:pPr>
              <w:pStyle w:val="AERtabletextleft"/>
            </w:pPr>
            <w:r>
              <w:t>SP AER RP 64</w:t>
            </w:r>
          </w:p>
        </w:tc>
        <w:tc>
          <w:tcPr>
            <w:tcW w:w="1420" w:type="dxa"/>
          </w:tcPr>
          <w:p w:rsidR="00153DE0" w:rsidRDefault="00153DE0" w:rsidP="00501137">
            <w:pPr>
              <w:pStyle w:val="AERtabletextleft"/>
            </w:pPr>
            <w:r>
              <w:t>05/08/2013</w:t>
            </w:r>
          </w:p>
        </w:tc>
        <w:tc>
          <w:tcPr>
            <w:tcW w:w="6881" w:type="dxa"/>
          </w:tcPr>
          <w:p w:rsidR="00153DE0" w:rsidRDefault="00153DE0" w:rsidP="00501137">
            <w:pPr>
              <w:pStyle w:val="AERtabletextleft"/>
            </w:pPr>
            <w:r>
              <w:t>IT capex cost allocation</w:t>
            </w:r>
          </w:p>
        </w:tc>
      </w:tr>
      <w:tr w:rsidR="00153DE0" w:rsidRPr="009C38AF" w:rsidTr="00537676">
        <w:trPr>
          <w:trHeight w:val="600"/>
        </w:trPr>
        <w:tc>
          <w:tcPr>
            <w:tcW w:w="1305" w:type="dxa"/>
          </w:tcPr>
          <w:p w:rsidR="00153DE0" w:rsidRDefault="00153DE0" w:rsidP="00501137">
            <w:pPr>
              <w:pStyle w:val="AERtabletextleft"/>
            </w:pPr>
            <w:r>
              <w:t>SP AER RP 65</w:t>
            </w:r>
          </w:p>
        </w:tc>
        <w:tc>
          <w:tcPr>
            <w:tcW w:w="1420" w:type="dxa"/>
          </w:tcPr>
          <w:p w:rsidR="00153DE0" w:rsidRDefault="002652EB" w:rsidP="00501137">
            <w:pPr>
              <w:pStyle w:val="AERtabletextleft"/>
            </w:pPr>
            <w:r>
              <w:t>05/08/2013</w:t>
            </w:r>
          </w:p>
        </w:tc>
        <w:tc>
          <w:tcPr>
            <w:tcW w:w="6881" w:type="dxa"/>
          </w:tcPr>
          <w:p w:rsidR="00153DE0" w:rsidRDefault="002652EB" w:rsidP="00501137">
            <w:pPr>
              <w:pStyle w:val="AERtabletextleft"/>
            </w:pPr>
            <w:r>
              <w:t>AIS opex objective</w:t>
            </w:r>
          </w:p>
        </w:tc>
      </w:tr>
    </w:tbl>
    <w:p w:rsidR="0088341A" w:rsidRPr="009C38AF" w:rsidRDefault="0088341A" w:rsidP="002652EB">
      <w:pPr>
        <w:pStyle w:val="AERbodytext"/>
        <w:numPr>
          <w:ilvl w:val="0"/>
          <w:numId w:val="0"/>
        </w:numPr>
      </w:pPr>
    </w:p>
    <w:sectPr w:rsidR="0088341A" w:rsidRPr="009C38AF" w:rsidSect="002140F4">
      <w:footerReference w:type="default" r:id="rId8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166E" w:rsidRDefault="009E166E" w:rsidP="00D82485">
      <w:pPr>
        <w:spacing w:after="0" w:line="240" w:lineRule="auto"/>
      </w:pPr>
      <w:r>
        <w:separator/>
      </w:r>
    </w:p>
  </w:endnote>
  <w:endnote w:type="continuationSeparator" w:id="0">
    <w:p w:rsidR="009E166E" w:rsidRDefault="009E166E" w:rsidP="00D82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utami">
    <w:panose1 w:val="02000500000000000000"/>
    <w:charset w:val="00"/>
    <w:family w:val="auto"/>
    <w:pitch w:val="variable"/>
    <w:sig w:usb0="002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98B" w:rsidRDefault="00B3398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6E" w:rsidRPr="00824CC8" w:rsidRDefault="009E166E" w:rsidP="00D82485">
    <w:pPr>
      <w:pStyle w:val="Footer"/>
    </w:pPr>
    <w:r>
      <w:rPr>
        <w:rStyle w:val="AERtextorange"/>
      </w:rPr>
      <w:t xml:space="preserve">AER Draft decision </w:t>
    </w:r>
    <w:r w:rsidRPr="00664307">
      <w:rPr>
        <w:rStyle w:val="AERtextorange"/>
      </w:rPr>
      <w:t>|</w:t>
    </w:r>
    <w:r w:rsidRPr="00DB6A17">
      <w:rPr>
        <w:rStyle w:val="AERtextorange"/>
      </w:rPr>
      <w:t xml:space="preserve"> </w:t>
    </w:r>
    <w:r>
      <w:rPr>
        <w:rStyle w:val="AERtextorange"/>
      </w:rPr>
      <w:t xml:space="preserve">SP AusNet 2014–15 to 2016–17 </w:t>
    </w:r>
    <w:r w:rsidRPr="00210880">
      <w:rPr>
        <w:rStyle w:val="AERbody"/>
      </w:rPr>
      <w:t>|</w:t>
    </w:r>
    <w:r>
      <w:rPr>
        <w:rStyle w:val="AERbody"/>
      </w:rPr>
      <w:t xml:space="preserve"> </w:t>
    </w:r>
    <w:r>
      <w:rPr>
        <w:rStyle w:val="AERtextblue"/>
      </w:rPr>
      <w:t>Cost of captial</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FB44D8">
      <w:rPr>
        <w:rStyle w:val="AERbody"/>
        <w:noProof/>
      </w:rPr>
      <w:t>131</w:t>
    </w:r>
    <w:r w:rsidRPr="00824CC8">
      <w:rPr>
        <w:rStyle w:val="AERbody"/>
      </w:rPr>
      <w:fldChar w:fldCharType="end"/>
    </w:r>
  </w:p>
  <w:p w:rsidR="009E166E" w:rsidRDefault="009E166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6E" w:rsidRPr="00824CC8" w:rsidRDefault="009E166E" w:rsidP="00D82485">
    <w:pPr>
      <w:pStyle w:val="Footer"/>
    </w:pPr>
    <w:r>
      <w:rPr>
        <w:rStyle w:val="AERtextorange"/>
      </w:rPr>
      <w:t xml:space="preserve">AER Draft decision </w:t>
    </w:r>
    <w:r w:rsidRPr="00664307">
      <w:rPr>
        <w:rStyle w:val="AERtextorange"/>
      </w:rPr>
      <w:t>|</w:t>
    </w:r>
    <w:r w:rsidRPr="00DB6A17">
      <w:rPr>
        <w:rStyle w:val="AERtextorange"/>
      </w:rPr>
      <w:t xml:space="preserve"> </w:t>
    </w:r>
    <w:r>
      <w:rPr>
        <w:rStyle w:val="AERtextorange"/>
      </w:rPr>
      <w:t xml:space="preserve">SP AusNet 2014–15 to 2016–17 </w:t>
    </w:r>
    <w:r w:rsidRPr="00210880">
      <w:rPr>
        <w:rStyle w:val="AERbody"/>
      </w:rPr>
      <w:t>|</w:t>
    </w:r>
    <w:r>
      <w:rPr>
        <w:rStyle w:val="AERbody"/>
      </w:rPr>
      <w:t xml:space="preserve"> </w:t>
    </w:r>
    <w:r>
      <w:rPr>
        <w:rStyle w:val="AERtextblue"/>
      </w:rPr>
      <w:t>Regulatory asset base</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FB44D8">
      <w:rPr>
        <w:rStyle w:val="AERbody"/>
        <w:noProof/>
      </w:rPr>
      <w:t>141</w:t>
    </w:r>
    <w:r w:rsidRPr="00824CC8">
      <w:rPr>
        <w:rStyle w:val="AERbody"/>
      </w:rPr>
      <w:fldChar w:fldCharType="end"/>
    </w:r>
  </w:p>
  <w:p w:rsidR="009E166E" w:rsidRDefault="009E166E">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6E" w:rsidRPr="00824CC8" w:rsidRDefault="009E166E" w:rsidP="00D82485">
    <w:pPr>
      <w:pStyle w:val="Footer"/>
    </w:pPr>
    <w:r>
      <w:rPr>
        <w:rStyle w:val="AERtextorange"/>
      </w:rPr>
      <w:t xml:space="preserve">AER Draft decision </w:t>
    </w:r>
    <w:r w:rsidRPr="00664307">
      <w:rPr>
        <w:rStyle w:val="AERtextorange"/>
      </w:rPr>
      <w:t>|</w:t>
    </w:r>
    <w:r w:rsidRPr="00DB6A17">
      <w:rPr>
        <w:rStyle w:val="AERtextorange"/>
      </w:rPr>
      <w:t xml:space="preserve"> </w:t>
    </w:r>
    <w:r>
      <w:rPr>
        <w:rStyle w:val="AERtextorange"/>
      </w:rPr>
      <w:t xml:space="preserve">SP AusNet 2014–15 to 2016–17 </w:t>
    </w:r>
    <w:r w:rsidRPr="00210880">
      <w:rPr>
        <w:rStyle w:val="AERbody"/>
      </w:rPr>
      <w:t>|</w:t>
    </w:r>
    <w:r>
      <w:rPr>
        <w:rStyle w:val="AERbody"/>
      </w:rPr>
      <w:t xml:space="preserve"> </w:t>
    </w:r>
    <w:r>
      <w:rPr>
        <w:rStyle w:val="AERtextblue"/>
      </w:rPr>
      <w:t>Regulatory depreciation</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FB44D8">
      <w:rPr>
        <w:rStyle w:val="AERbody"/>
        <w:noProof/>
      </w:rPr>
      <w:t>147</w:t>
    </w:r>
    <w:r w:rsidRPr="00824CC8">
      <w:rPr>
        <w:rStyle w:val="AERbody"/>
      </w:rPr>
      <w:fldChar w:fldCharType="end"/>
    </w:r>
  </w:p>
  <w:p w:rsidR="009E166E" w:rsidRDefault="009E166E">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6E" w:rsidRPr="00824CC8" w:rsidRDefault="009E166E" w:rsidP="00D82485">
    <w:pPr>
      <w:pStyle w:val="Footer"/>
    </w:pPr>
    <w:r>
      <w:rPr>
        <w:rStyle w:val="AERtextorange"/>
      </w:rPr>
      <w:t xml:space="preserve">AER Draft decision </w:t>
    </w:r>
    <w:r w:rsidRPr="00664307">
      <w:rPr>
        <w:rStyle w:val="AERtextorange"/>
      </w:rPr>
      <w:t>|</w:t>
    </w:r>
    <w:r w:rsidRPr="00DB6A17">
      <w:rPr>
        <w:rStyle w:val="AERtextorange"/>
      </w:rPr>
      <w:t xml:space="preserve"> </w:t>
    </w:r>
    <w:r>
      <w:rPr>
        <w:rStyle w:val="AERtextorange"/>
      </w:rPr>
      <w:t xml:space="preserve">SP AusNet 2014–15 to 2016–17 </w:t>
    </w:r>
    <w:r w:rsidRPr="00210880">
      <w:rPr>
        <w:rStyle w:val="AERbody"/>
      </w:rPr>
      <w:t>|</w:t>
    </w:r>
    <w:r>
      <w:rPr>
        <w:rStyle w:val="AERbody"/>
      </w:rPr>
      <w:t xml:space="preserve"> </w:t>
    </w:r>
    <w:r>
      <w:rPr>
        <w:rStyle w:val="AERtextblue"/>
      </w:rPr>
      <w:t>Corporate income tax</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FB44D8">
      <w:rPr>
        <w:rStyle w:val="AERbody"/>
        <w:noProof/>
      </w:rPr>
      <w:t>153</w:t>
    </w:r>
    <w:r w:rsidRPr="00824CC8">
      <w:rPr>
        <w:rStyle w:val="AERbody"/>
      </w:rPr>
      <w:fldChar w:fldCharType="end"/>
    </w:r>
  </w:p>
  <w:p w:rsidR="009E166E" w:rsidRDefault="009E166E">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6E" w:rsidRDefault="009E166E">
    <w:pPr>
      <w:pStyle w:val="Footer"/>
    </w:pPr>
    <w:r>
      <w:rPr>
        <w:rStyle w:val="AERtextorange"/>
      </w:rPr>
      <w:t xml:space="preserve">AER Draft decision </w:t>
    </w:r>
    <w:r w:rsidRPr="00664307">
      <w:rPr>
        <w:rStyle w:val="AERtextorange"/>
      </w:rPr>
      <w:t>|</w:t>
    </w:r>
    <w:r w:rsidRPr="00DB6A17">
      <w:rPr>
        <w:rStyle w:val="AERtextorange"/>
      </w:rPr>
      <w:t xml:space="preserve"> </w:t>
    </w:r>
    <w:r>
      <w:rPr>
        <w:rStyle w:val="AERtextorange"/>
      </w:rPr>
      <w:t xml:space="preserve">SP AusNet 2014–15 to 2016–17 </w:t>
    </w:r>
    <w:r w:rsidRPr="00210880">
      <w:rPr>
        <w:rStyle w:val="AERbody"/>
      </w:rPr>
      <w:t>|</w:t>
    </w:r>
    <w:r>
      <w:rPr>
        <w:rStyle w:val="AERbody"/>
      </w:rPr>
      <w:t xml:space="preserve"> </w:t>
    </w:r>
    <w:r>
      <w:rPr>
        <w:rStyle w:val="AERtextblue"/>
      </w:rPr>
      <w:t>Maximum allowed revenue</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FB44D8">
      <w:rPr>
        <w:rStyle w:val="AERbody"/>
        <w:noProof/>
      </w:rPr>
      <w:t>165</w:t>
    </w:r>
    <w:r w:rsidRPr="00824CC8">
      <w:rPr>
        <w:rStyle w:val="AERbody"/>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6E" w:rsidRPr="00EE362F" w:rsidRDefault="009E166E" w:rsidP="0025563A">
    <w:pPr>
      <w:pStyle w:val="Footer"/>
    </w:pPr>
    <w:r>
      <w:rPr>
        <w:rStyle w:val="AERtextorange"/>
      </w:rPr>
      <w:t xml:space="preserve">AER Draft decision </w:t>
    </w:r>
    <w:r w:rsidRPr="00664307">
      <w:rPr>
        <w:rStyle w:val="AERtextorange"/>
      </w:rPr>
      <w:t>|</w:t>
    </w:r>
    <w:r w:rsidRPr="00DB6A17">
      <w:rPr>
        <w:rStyle w:val="AERtextorange"/>
      </w:rPr>
      <w:t xml:space="preserve"> </w:t>
    </w:r>
    <w:r>
      <w:rPr>
        <w:rStyle w:val="AERtextorange"/>
      </w:rPr>
      <w:t>SP AusNet 2014–15 to 2016–17</w:t>
    </w:r>
    <w:r>
      <w:t xml:space="preserve"> </w:t>
    </w:r>
    <w:r>
      <w:rPr>
        <w:rStyle w:val="AERtextblue"/>
      </w:rPr>
      <w:t>| STPIS</w:t>
    </w:r>
    <w:r>
      <w:tab/>
    </w:r>
    <w:r w:rsidRPr="00D25317">
      <w:rPr>
        <w:rStyle w:val="AERtextblue"/>
      </w:rPr>
      <w:fldChar w:fldCharType="begin"/>
    </w:r>
    <w:r w:rsidRPr="00AB5BD7">
      <w:rPr>
        <w:rStyle w:val="AERtextblue"/>
      </w:rPr>
      <w:instrText xml:space="preserve"> PAGE   \* MERGEFORMAT </w:instrText>
    </w:r>
    <w:r w:rsidRPr="00D25317">
      <w:rPr>
        <w:rStyle w:val="AERtextblue"/>
      </w:rPr>
      <w:fldChar w:fldCharType="separate"/>
    </w:r>
    <w:r w:rsidR="00FB44D8">
      <w:rPr>
        <w:rStyle w:val="AERtextblue"/>
        <w:noProof/>
      </w:rPr>
      <w:t>172</w:t>
    </w:r>
    <w:r w:rsidRPr="00D25317">
      <w:rPr>
        <w:rStyle w:val="AERtextblue"/>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6E" w:rsidRDefault="009E166E">
    <w:pPr>
      <w:pStyle w:val="Footer"/>
    </w:pPr>
    <w:r>
      <w:rPr>
        <w:rStyle w:val="AERtextorange"/>
      </w:rPr>
      <w:t xml:space="preserve">AER Draft decision </w:t>
    </w:r>
    <w:r w:rsidRPr="00664307">
      <w:rPr>
        <w:rStyle w:val="AERtextorange"/>
      </w:rPr>
      <w:t>|</w:t>
    </w:r>
    <w:r w:rsidRPr="00DB6A17">
      <w:rPr>
        <w:rStyle w:val="AERtextorange"/>
      </w:rPr>
      <w:t xml:space="preserve"> </w:t>
    </w:r>
    <w:r>
      <w:rPr>
        <w:rStyle w:val="AERtextorange"/>
      </w:rPr>
      <w:t xml:space="preserve">SP AusNet 2014–15 to 2016–17 </w:t>
    </w:r>
    <w:r w:rsidRPr="00210880">
      <w:rPr>
        <w:rStyle w:val="AERbody"/>
      </w:rPr>
      <w:t>|</w:t>
    </w:r>
    <w:r>
      <w:rPr>
        <w:rStyle w:val="AERbody"/>
      </w:rPr>
      <w:t xml:space="preserve"> </w:t>
    </w:r>
    <w:r>
      <w:rPr>
        <w:rStyle w:val="AERtextblue"/>
      </w:rPr>
      <w:t>Service target performance incentive scheme</w:t>
    </w:r>
    <w:r>
      <w:rPr>
        <w:rStyle w:val="AERtextblue"/>
      </w:rPr>
      <w:tab/>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FB44D8">
      <w:rPr>
        <w:rStyle w:val="AERbody"/>
        <w:noProof/>
      </w:rPr>
      <w:t>188</w:t>
    </w:r>
    <w:r w:rsidRPr="00824CC8">
      <w:rPr>
        <w:rStyle w:val="AERbody"/>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6E" w:rsidRPr="00824CC8" w:rsidRDefault="009E166E" w:rsidP="00D82485">
    <w:pPr>
      <w:pStyle w:val="Footer"/>
    </w:pPr>
    <w:r>
      <w:rPr>
        <w:rStyle w:val="AERtextorange"/>
      </w:rPr>
      <w:t xml:space="preserve">AER Draft decision </w:t>
    </w:r>
    <w:r w:rsidRPr="00664307">
      <w:rPr>
        <w:rStyle w:val="AERtextorange"/>
      </w:rPr>
      <w:t>|</w:t>
    </w:r>
    <w:r w:rsidRPr="00DB6A17">
      <w:rPr>
        <w:rStyle w:val="AERtextorange"/>
      </w:rPr>
      <w:t xml:space="preserve"> </w:t>
    </w:r>
    <w:r>
      <w:rPr>
        <w:rStyle w:val="AERtextorange"/>
      </w:rPr>
      <w:t xml:space="preserve">SP AusNet 2014–15 to 2016–17 </w:t>
    </w:r>
    <w:r w:rsidRPr="00210880">
      <w:rPr>
        <w:rStyle w:val="AERbody"/>
      </w:rPr>
      <w:t>|</w:t>
    </w:r>
    <w:r>
      <w:rPr>
        <w:rStyle w:val="AERbody"/>
      </w:rPr>
      <w:t xml:space="preserve"> </w:t>
    </w:r>
    <w:r>
      <w:rPr>
        <w:rStyle w:val="AERtextblue"/>
      </w:rPr>
      <w:t>Efficiency benefit sharing scheme</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FB44D8">
      <w:rPr>
        <w:rStyle w:val="AERbody"/>
        <w:noProof/>
      </w:rPr>
      <w:t>198</w:t>
    </w:r>
    <w:r w:rsidRPr="00824CC8">
      <w:rPr>
        <w:rStyle w:val="AERbody"/>
      </w:rPr>
      <w:fldChar w:fldCharType="end"/>
    </w:r>
  </w:p>
  <w:p w:rsidR="009E166E" w:rsidRDefault="009E166E">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6E" w:rsidRPr="00824CC8" w:rsidRDefault="009E166E" w:rsidP="00D82485">
    <w:pPr>
      <w:pStyle w:val="Footer"/>
    </w:pPr>
    <w:r>
      <w:rPr>
        <w:rStyle w:val="AERtextorange"/>
      </w:rPr>
      <w:t xml:space="preserve">AER Draft decision </w:t>
    </w:r>
    <w:r w:rsidRPr="00664307">
      <w:rPr>
        <w:rStyle w:val="AERtextorange"/>
      </w:rPr>
      <w:t>|</w:t>
    </w:r>
    <w:r w:rsidRPr="00DB6A17">
      <w:rPr>
        <w:rStyle w:val="AERtextorange"/>
      </w:rPr>
      <w:t xml:space="preserve"> </w:t>
    </w:r>
    <w:r>
      <w:rPr>
        <w:rStyle w:val="AERtextorange"/>
      </w:rPr>
      <w:t xml:space="preserve">SP AusNet 2014–15 to 2016–17 </w:t>
    </w:r>
    <w:r w:rsidRPr="00210880">
      <w:rPr>
        <w:rStyle w:val="AERbody"/>
      </w:rPr>
      <w:t>|</w:t>
    </w:r>
    <w:r>
      <w:rPr>
        <w:rStyle w:val="AERbody"/>
      </w:rPr>
      <w:t xml:space="preserve"> </w:t>
    </w:r>
    <w:r>
      <w:rPr>
        <w:rStyle w:val="AERtextblue"/>
      </w:rPr>
      <w:t>Contingent projects</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FB44D8">
      <w:rPr>
        <w:rStyle w:val="AERbody"/>
        <w:noProof/>
      </w:rPr>
      <w:t>204</w:t>
    </w:r>
    <w:r w:rsidRPr="00824CC8">
      <w:rPr>
        <w:rStyle w:val="AERbody"/>
      </w:rPr>
      <w:fldChar w:fldCharType="end"/>
    </w:r>
  </w:p>
  <w:p w:rsidR="009E166E" w:rsidRDefault="009E166E">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6E" w:rsidRPr="00824CC8" w:rsidRDefault="009E166E" w:rsidP="00D82485">
    <w:pPr>
      <w:pStyle w:val="Footer"/>
    </w:pPr>
    <w:r>
      <w:rPr>
        <w:rStyle w:val="AERtextorange"/>
      </w:rPr>
      <w:t xml:space="preserve">AER Draft decision </w:t>
    </w:r>
    <w:r w:rsidRPr="00664307">
      <w:rPr>
        <w:rStyle w:val="AERtextorange"/>
      </w:rPr>
      <w:t>|</w:t>
    </w:r>
    <w:r w:rsidRPr="00DB6A17">
      <w:rPr>
        <w:rStyle w:val="AERtextorange"/>
      </w:rPr>
      <w:t xml:space="preserve"> </w:t>
    </w:r>
    <w:r>
      <w:rPr>
        <w:rStyle w:val="AERtextorange"/>
      </w:rPr>
      <w:t xml:space="preserve">SP AusNet 2014–15 to 2016–17 </w:t>
    </w:r>
    <w:r w:rsidRPr="00210880">
      <w:rPr>
        <w:rStyle w:val="AERbody"/>
      </w:rPr>
      <w:t>|</w:t>
    </w:r>
    <w:r>
      <w:rPr>
        <w:rStyle w:val="AERbody"/>
      </w:rPr>
      <w:t xml:space="preserve"> </w:t>
    </w:r>
    <w:r>
      <w:rPr>
        <w:rStyle w:val="AERtextblue"/>
      </w:rPr>
      <w:t>Pricing methodology</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FB44D8">
      <w:rPr>
        <w:rStyle w:val="AERbody"/>
        <w:noProof/>
      </w:rPr>
      <w:t>212</w:t>
    </w:r>
    <w:r w:rsidRPr="00824CC8">
      <w:rPr>
        <w:rStyle w:val="AERbody"/>
      </w:rPr>
      <w:fldChar w:fldCharType="end"/>
    </w:r>
  </w:p>
  <w:p w:rsidR="009E166E" w:rsidRDefault="009E16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6E" w:rsidRPr="00824CC8" w:rsidRDefault="006D5151" w:rsidP="00D82485">
    <w:pPr>
      <w:pStyle w:val="Footer"/>
    </w:pPr>
    <w:r>
      <w:rPr>
        <w:rStyle w:val="AERbody"/>
      </w:rPr>
      <w:tab/>
    </w:r>
    <w:r w:rsidR="009E166E" w:rsidRPr="00210880">
      <w:rPr>
        <w:rStyle w:val="AERbody"/>
      </w:rPr>
      <w:tab/>
    </w:r>
    <w:r w:rsidR="009E166E" w:rsidRPr="00824CC8">
      <w:rPr>
        <w:rStyle w:val="AERbody"/>
      </w:rPr>
      <w:fldChar w:fldCharType="begin"/>
    </w:r>
    <w:r w:rsidR="009E166E" w:rsidRPr="00824CC8">
      <w:rPr>
        <w:rStyle w:val="AERbody"/>
      </w:rPr>
      <w:instrText xml:space="preserve"> PAGE   \* MERGEFORMAT </w:instrText>
    </w:r>
    <w:r w:rsidR="009E166E" w:rsidRPr="00824CC8">
      <w:rPr>
        <w:rStyle w:val="AERbody"/>
      </w:rPr>
      <w:fldChar w:fldCharType="separate"/>
    </w:r>
    <w:r w:rsidR="00FB44D8">
      <w:rPr>
        <w:rStyle w:val="AERbody"/>
        <w:noProof/>
      </w:rPr>
      <w:t>2</w:t>
    </w:r>
    <w:r w:rsidR="009E166E" w:rsidRPr="00824CC8">
      <w:rPr>
        <w:rStyle w:val="AERbody"/>
      </w:rPr>
      <w:fldChar w:fldCharType="end"/>
    </w:r>
  </w:p>
  <w:p w:rsidR="009E166E" w:rsidRDefault="009E166E">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6E" w:rsidRDefault="009E166E">
    <w:pPr>
      <w:pStyle w:val="Footer"/>
    </w:pPr>
    <w:r>
      <w:rPr>
        <w:rStyle w:val="AERtextorange"/>
      </w:rPr>
      <w:t xml:space="preserve">AER Draft decision </w:t>
    </w:r>
    <w:r w:rsidRPr="00664307">
      <w:rPr>
        <w:rStyle w:val="AERtextorange"/>
      </w:rPr>
      <w:t>|</w:t>
    </w:r>
    <w:r w:rsidRPr="00DB6A17">
      <w:rPr>
        <w:rStyle w:val="AERtextorange"/>
      </w:rPr>
      <w:t xml:space="preserve"> </w:t>
    </w:r>
    <w:r>
      <w:rPr>
        <w:rStyle w:val="AERtextorange"/>
      </w:rPr>
      <w:t xml:space="preserve">SP AusNet 2014–15 to 2016–17 </w:t>
    </w:r>
    <w:r w:rsidRPr="00210880">
      <w:rPr>
        <w:rStyle w:val="AERbody"/>
      </w:rPr>
      <w:t>|</w:t>
    </w:r>
    <w:r>
      <w:rPr>
        <w:rStyle w:val="AERbody"/>
      </w:rPr>
      <w:t xml:space="preserve"> </w:t>
    </w:r>
    <w:r>
      <w:rPr>
        <w:rStyle w:val="AERtextblue"/>
      </w:rPr>
      <w:t>Negotiated services</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FB44D8">
      <w:rPr>
        <w:rStyle w:val="AERbody"/>
        <w:noProof/>
      </w:rPr>
      <w:t>217</w:t>
    </w:r>
    <w:r w:rsidRPr="00824CC8">
      <w:rPr>
        <w:rStyle w:val="AERbody"/>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6E" w:rsidRDefault="009E166E">
    <w:pPr>
      <w:pStyle w:val="Footer"/>
    </w:pPr>
    <w:r>
      <w:rPr>
        <w:rStyle w:val="AERtextorange"/>
      </w:rPr>
      <w:t xml:space="preserve">AER Draft decision </w:t>
    </w:r>
    <w:r w:rsidRPr="00664307">
      <w:rPr>
        <w:rStyle w:val="AERtextorange"/>
      </w:rPr>
      <w:t>|</w:t>
    </w:r>
    <w:r w:rsidRPr="00DB6A17">
      <w:rPr>
        <w:rStyle w:val="AERtextorange"/>
      </w:rPr>
      <w:t xml:space="preserve"> </w:t>
    </w:r>
    <w:r>
      <w:rPr>
        <w:rStyle w:val="AERtextorange"/>
      </w:rPr>
      <w:t xml:space="preserve">SP AusNet 2014–15 to 2016–17 </w:t>
    </w:r>
    <w:r w:rsidRPr="00210880">
      <w:rPr>
        <w:rStyle w:val="AERbody"/>
      </w:rPr>
      <w:t>|</w:t>
    </w:r>
    <w:r>
      <w:rPr>
        <w:rStyle w:val="AERbody"/>
      </w:rPr>
      <w:t xml:space="preserve"> </w:t>
    </w:r>
    <w:r>
      <w:rPr>
        <w:rStyle w:val="AERtextblue"/>
      </w:rPr>
      <w:t>Cost pass throughs</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FB44D8">
      <w:rPr>
        <w:rStyle w:val="AERbody"/>
        <w:noProof/>
      </w:rPr>
      <w:t>225</w:t>
    </w:r>
    <w:r w:rsidRPr="00824CC8">
      <w:rPr>
        <w:rStyle w:val="AERbody"/>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6E" w:rsidRPr="00824CC8" w:rsidRDefault="009E166E" w:rsidP="00D82485">
    <w:pPr>
      <w:pStyle w:val="Footer"/>
    </w:pPr>
    <w:r>
      <w:rPr>
        <w:rStyle w:val="AERtextorange"/>
      </w:rPr>
      <w:t xml:space="preserve">AER Draft decision </w:t>
    </w:r>
    <w:r w:rsidRPr="00664307">
      <w:rPr>
        <w:rStyle w:val="AERtextorange"/>
      </w:rPr>
      <w:t>|</w:t>
    </w:r>
    <w:r w:rsidRPr="00DB6A17">
      <w:rPr>
        <w:rStyle w:val="AERtextorange"/>
      </w:rPr>
      <w:t xml:space="preserve"> </w:t>
    </w:r>
    <w:r>
      <w:rPr>
        <w:rStyle w:val="AERtextorange"/>
      </w:rPr>
      <w:t xml:space="preserve">SP AusNet 2014–15 to 2016–17 </w:t>
    </w:r>
    <w:r w:rsidRPr="00210880">
      <w:rPr>
        <w:rStyle w:val="AERbody"/>
      </w:rPr>
      <w:t>|</w:t>
    </w:r>
    <w:r>
      <w:rPr>
        <w:rStyle w:val="AERbody"/>
      </w:rPr>
      <w:t xml:space="preserve"> </w:t>
    </w:r>
    <w:r>
      <w:rPr>
        <w:rStyle w:val="AERtextblue"/>
      </w:rPr>
      <w:t>Part 3: Appendixes</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FB44D8">
      <w:rPr>
        <w:rStyle w:val="AERbody"/>
        <w:noProof/>
      </w:rPr>
      <w:t>226</w:t>
    </w:r>
    <w:r w:rsidRPr="00824CC8">
      <w:rPr>
        <w:rStyle w:val="AERbody"/>
      </w:rPr>
      <w:fldChar w:fldCharType="end"/>
    </w:r>
  </w:p>
  <w:p w:rsidR="009E166E" w:rsidRDefault="009E166E">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6E" w:rsidRDefault="009E166E">
    <w:pPr>
      <w:pStyle w:val="Footer"/>
    </w:pPr>
    <w:r>
      <w:rPr>
        <w:rStyle w:val="AERtextorange"/>
      </w:rPr>
      <w:t xml:space="preserve">AER Draft decision </w:t>
    </w:r>
    <w:r w:rsidRPr="00664307">
      <w:rPr>
        <w:rStyle w:val="AERtextorange"/>
      </w:rPr>
      <w:t>|</w:t>
    </w:r>
    <w:r w:rsidRPr="00DB6A17">
      <w:rPr>
        <w:rStyle w:val="AERtextorange"/>
      </w:rPr>
      <w:t xml:space="preserve"> </w:t>
    </w:r>
    <w:r>
      <w:rPr>
        <w:rStyle w:val="AERtextorange"/>
      </w:rPr>
      <w:t xml:space="preserve">SP AusNet 2014–15 to 2016–17 </w:t>
    </w:r>
    <w:r w:rsidRPr="00210880">
      <w:rPr>
        <w:rStyle w:val="AERbody"/>
      </w:rPr>
      <w:t>|</w:t>
    </w:r>
    <w:r>
      <w:rPr>
        <w:rStyle w:val="AERbody"/>
      </w:rPr>
      <w:t xml:space="preserve"> </w:t>
    </w:r>
    <w:r>
      <w:rPr>
        <w:rStyle w:val="AERtextblue"/>
      </w:rPr>
      <w:t>Insurance (sensitive)</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FB44D8">
      <w:rPr>
        <w:rStyle w:val="AERbody"/>
        <w:noProof/>
      </w:rPr>
      <w:t>228</w:t>
    </w:r>
    <w:r w:rsidRPr="00824CC8">
      <w:rPr>
        <w:rStyle w:val="AERbody"/>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6E" w:rsidRDefault="009E166E">
    <w:pPr>
      <w:pStyle w:val="Footer"/>
    </w:pPr>
    <w:r>
      <w:rPr>
        <w:rStyle w:val="AERtextorange"/>
      </w:rPr>
      <w:t xml:space="preserve">AER Draft decision </w:t>
    </w:r>
    <w:r w:rsidRPr="00664307">
      <w:rPr>
        <w:rStyle w:val="AERtextorange"/>
      </w:rPr>
      <w:t>|</w:t>
    </w:r>
    <w:r w:rsidRPr="00DB6A17">
      <w:rPr>
        <w:rStyle w:val="AERtextorange"/>
      </w:rPr>
      <w:t xml:space="preserve"> </w:t>
    </w:r>
    <w:r>
      <w:rPr>
        <w:rStyle w:val="AERtextorange"/>
      </w:rPr>
      <w:t xml:space="preserve">SP AusNet 2014–15 to 2016–17 </w:t>
    </w:r>
    <w:r w:rsidRPr="00210880">
      <w:rPr>
        <w:rStyle w:val="AERbody"/>
      </w:rPr>
      <w:t>|</w:t>
    </w:r>
    <w:r>
      <w:rPr>
        <w:rStyle w:val="AERbody"/>
      </w:rPr>
      <w:t xml:space="preserve"> </w:t>
    </w:r>
    <w:r>
      <w:rPr>
        <w:rStyle w:val="AERtextblue"/>
      </w:rPr>
      <w:t>Self insurance (sensitive)</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FB44D8">
      <w:rPr>
        <w:rStyle w:val="AERbody"/>
        <w:noProof/>
      </w:rPr>
      <w:t>229</w:t>
    </w:r>
    <w:r w:rsidRPr="00824CC8">
      <w:rPr>
        <w:rStyle w:val="AERbody"/>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6E" w:rsidRPr="00EE362F" w:rsidRDefault="009E166E" w:rsidP="002140F4">
    <w:pPr>
      <w:pStyle w:val="Footer"/>
    </w:pPr>
    <w:r>
      <w:rPr>
        <w:rStyle w:val="AERtextorange"/>
      </w:rPr>
      <w:t xml:space="preserve">AER Draft decision </w:t>
    </w:r>
    <w:r w:rsidRPr="00664307">
      <w:rPr>
        <w:rStyle w:val="AERtextorange"/>
      </w:rPr>
      <w:t>|</w:t>
    </w:r>
    <w:r w:rsidRPr="00DB6A17">
      <w:rPr>
        <w:rStyle w:val="AERtextorange"/>
      </w:rPr>
      <w:t xml:space="preserve"> </w:t>
    </w:r>
    <w:r>
      <w:rPr>
        <w:rStyle w:val="AERtextorange"/>
      </w:rPr>
      <w:t>SP AusNet 2014–15 to 2016–17</w:t>
    </w:r>
    <w:r>
      <w:t xml:space="preserve"> </w:t>
    </w:r>
    <w:r w:rsidRPr="00AB5BD7">
      <w:rPr>
        <w:rStyle w:val="AERtextblue"/>
      </w:rPr>
      <w:t xml:space="preserve">| </w:t>
    </w:r>
    <w:r>
      <w:rPr>
        <w:rStyle w:val="AERtextblue"/>
      </w:rPr>
      <w:t>Opex - step changes</w:t>
    </w:r>
    <w:r>
      <w:tab/>
    </w:r>
    <w:r w:rsidRPr="00D25317">
      <w:rPr>
        <w:rStyle w:val="AERtextblue"/>
      </w:rPr>
      <w:fldChar w:fldCharType="begin"/>
    </w:r>
    <w:r w:rsidRPr="00AB5BD7">
      <w:rPr>
        <w:rStyle w:val="AERtextblue"/>
      </w:rPr>
      <w:instrText xml:space="preserve"> PAGE   \* MERGEFORMAT </w:instrText>
    </w:r>
    <w:r w:rsidRPr="00D25317">
      <w:rPr>
        <w:rStyle w:val="AERtextblue"/>
      </w:rPr>
      <w:fldChar w:fldCharType="separate"/>
    </w:r>
    <w:r w:rsidR="00FB44D8">
      <w:rPr>
        <w:rStyle w:val="AERtextblue"/>
        <w:noProof/>
      </w:rPr>
      <w:t>241</w:t>
    </w:r>
    <w:r w:rsidRPr="00D25317">
      <w:rPr>
        <w:rStyle w:val="AERtextblue"/>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6E" w:rsidRPr="00EE362F" w:rsidRDefault="009E166E" w:rsidP="002140F4">
    <w:pPr>
      <w:pStyle w:val="Footer"/>
    </w:pPr>
    <w:r>
      <w:rPr>
        <w:rStyle w:val="AERtextorange"/>
      </w:rPr>
      <w:t xml:space="preserve">AER Draft decision </w:t>
    </w:r>
    <w:r w:rsidRPr="00664307">
      <w:rPr>
        <w:rStyle w:val="AERtextorange"/>
      </w:rPr>
      <w:t>|</w:t>
    </w:r>
    <w:r w:rsidRPr="00DB6A17">
      <w:rPr>
        <w:rStyle w:val="AERtextorange"/>
      </w:rPr>
      <w:t xml:space="preserve"> </w:t>
    </w:r>
    <w:r>
      <w:rPr>
        <w:rStyle w:val="AERtextorange"/>
      </w:rPr>
      <w:t>SP AusNet 2014–15 to 2016–17</w:t>
    </w:r>
    <w:r>
      <w:t xml:space="preserve"> </w:t>
    </w:r>
    <w:r>
      <w:rPr>
        <w:rStyle w:val="AERtextblue"/>
      </w:rPr>
      <w:t>Asset works - step changes</w:t>
    </w:r>
    <w:r>
      <w:tab/>
    </w:r>
    <w:r w:rsidRPr="00D25317">
      <w:rPr>
        <w:rStyle w:val="AERtextblue"/>
      </w:rPr>
      <w:fldChar w:fldCharType="begin"/>
    </w:r>
    <w:r w:rsidRPr="00AB5BD7">
      <w:rPr>
        <w:rStyle w:val="AERtextblue"/>
      </w:rPr>
      <w:instrText xml:space="preserve"> PAGE   \* MERGEFORMAT </w:instrText>
    </w:r>
    <w:r w:rsidRPr="00D25317">
      <w:rPr>
        <w:rStyle w:val="AERtextblue"/>
      </w:rPr>
      <w:fldChar w:fldCharType="separate"/>
    </w:r>
    <w:r w:rsidR="00FB44D8">
      <w:rPr>
        <w:rStyle w:val="AERtextblue"/>
        <w:noProof/>
      </w:rPr>
      <w:t>255</w:t>
    </w:r>
    <w:r w:rsidRPr="00D25317">
      <w:rPr>
        <w:rStyle w:val="AERtextblue"/>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6E" w:rsidRPr="00EE362F" w:rsidRDefault="009E166E" w:rsidP="002140F4">
    <w:pPr>
      <w:pStyle w:val="Footer"/>
    </w:pPr>
    <w:r>
      <w:rPr>
        <w:rStyle w:val="AERtextorange"/>
      </w:rPr>
      <w:t xml:space="preserve">AER Draft decision </w:t>
    </w:r>
    <w:r w:rsidRPr="00664307">
      <w:rPr>
        <w:rStyle w:val="AERtextorange"/>
      </w:rPr>
      <w:t>|</w:t>
    </w:r>
    <w:r w:rsidRPr="00DB6A17">
      <w:rPr>
        <w:rStyle w:val="AERtextorange"/>
      </w:rPr>
      <w:t xml:space="preserve"> </w:t>
    </w:r>
    <w:r>
      <w:rPr>
        <w:rStyle w:val="AERtextorange"/>
      </w:rPr>
      <w:t>SP AusNet 2014–15 to 2016–17</w:t>
    </w:r>
    <w:r>
      <w:t xml:space="preserve"> </w:t>
    </w:r>
    <w:r>
      <w:rPr>
        <w:rStyle w:val="AERtextblue"/>
      </w:rPr>
      <w:t>Contingent projects (sensitive)</w:t>
    </w:r>
    <w:r>
      <w:tab/>
    </w:r>
    <w:r w:rsidRPr="00D25317">
      <w:rPr>
        <w:rStyle w:val="AERtextblue"/>
      </w:rPr>
      <w:fldChar w:fldCharType="begin"/>
    </w:r>
    <w:r w:rsidRPr="00AB5BD7">
      <w:rPr>
        <w:rStyle w:val="AERtextblue"/>
      </w:rPr>
      <w:instrText xml:space="preserve"> PAGE   \* MERGEFORMAT </w:instrText>
    </w:r>
    <w:r w:rsidRPr="00D25317">
      <w:rPr>
        <w:rStyle w:val="AERtextblue"/>
      </w:rPr>
      <w:fldChar w:fldCharType="separate"/>
    </w:r>
    <w:r w:rsidR="00FB44D8">
      <w:rPr>
        <w:rStyle w:val="AERtextblue"/>
        <w:noProof/>
      </w:rPr>
      <w:t>256</w:t>
    </w:r>
    <w:r w:rsidRPr="00D25317">
      <w:rPr>
        <w:rStyle w:val="AERtextblue"/>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6E" w:rsidRPr="00EE362F" w:rsidRDefault="009E166E" w:rsidP="002140F4">
    <w:pPr>
      <w:pStyle w:val="Footer"/>
    </w:pPr>
    <w:r>
      <w:rPr>
        <w:rStyle w:val="AERtextorange"/>
      </w:rPr>
      <w:t xml:space="preserve">AER Draft decision </w:t>
    </w:r>
    <w:r w:rsidRPr="00664307">
      <w:rPr>
        <w:rStyle w:val="AERtextorange"/>
      </w:rPr>
      <w:t>|</w:t>
    </w:r>
    <w:r w:rsidRPr="00DB6A17">
      <w:rPr>
        <w:rStyle w:val="AERtextorange"/>
      </w:rPr>
      <w:t xml:space="preserve"> </w:t>
    </w:r>
    <w:r>
      <w:rPr>
        <w:rStyle w:val="AERtextorange"/>
      </w:rPr>
      <w:t>SP AusNet 2014–15 to 2016–17</w:t>
    </w:r>
    <w:r>
      <w:t xml:space="preserve"> </w:t>
    </w:r>
    <w:r w:rsidRPr="00AB5BD7">
      <w:rPr>
        <w:rStyle w:val="AERtextblue"/>
      </w:rPr>
      <w:t xml:space="preserve">| </w:t>
    </w:r>
    <w:r>
      <w:rPr>
        <w:rStyle w:val="AERtextblue"/>
      </w:rPr>
      <w:t>Consultation and engagement</w:t>
    </w:r>
    <w:r>
      <w:rPr>
        <w:rStyle w:val="AERtextblue"/>
      </w:rPr>
      <w:tab/>
    </w:r>
    <w:r w:rsidRPr="00D25317">
      <w:rPr>
        <w:rStyle w:val="AERtextblue"/>
      </w:rPr>
      <w:fldChar w:fldCharType="begin"/>
    </w:r>
    <w:r w:rsidRPr="00AB5BD7">
      <w:rPr>
        <w:rStyle w:val="AERtextblue"/>
      </w:rPr>
      <w:instrText xml:space="preserve"> PAGE   \* MERGEFORMAT </w:instrText>
    </w:r>
    <w:r w:rsidRPr="00D25317">
      <w:rPr>
        <w:rStyle w:val="AERtextblue"/>
      </w:rPr>
      <w:fldChar w:fldCharType="separate"/>
    </w:r>
    <w:r w:rsidR="00FB44D8">
      <w:rPr>
        <w:rStyle w:val="AERtextblue"/>
        <w:noProof/>
      </w:rPr>
      <w:t>262</w:t>
    </w:r>
    <w:r w:rsidRPr="00D25317">
      <w:rPr>
        <w:rStyle w:val="AERtextblue"/>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98B" w:rsidRDefault="00B3398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151" w:rsidRPr="00824CC8" w:rsidRDefault="006D5151" w:rsidP="00D82485">
    <w:pPr>
      <w:pStyle w:val="Footer"/>
    </w:pPr>
    <w:r>
      <w:rPr>
        <w:rStyle w:val="AERtextorange"/>
      </w:rPr>
      <w:t xml:space="preserve">AER Draft decision </w:t>
    </w:r>
    <w:r w:rsidRPr="00664307">
      <w:rPr>
        <w:rStyle w:val="AERtextorange"/>
      </w:rPr>
      <w:t>|</w:t>
    </w:r>
    <w:r w:rsidRPr="00DB6A17">
      <w:rPr>
        <w:rStyle w:val="AERtextorange"/>
      </w:rPr>
      <w:t xml:space="preserve"> </w:t>
    </w:r>
    <w:r>
      <w:rPr>
        <w:rStyle w:val="AERtextorange"/>
      </w:rPr>
      <w:t>SP AusNet 2014–15 to 2016–17</w:t>
    </w:r>
    <w:r w:rsidRPr="00210880">
      <w:rPr>
        <w:rStyle w:val="AERbody"/>
      </w:rPr>
      <w:t xml:space="preserve"> | </w:t>
    </w:r>
    <w:r>
      <w:rPr>
        <w:rStyle w:val="AERtextblue"/>
      </w:rPr>
      <w:t>Contents</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FB44D8">
      <w:rPr>
        <w:rStyle w:val="AERbody"/>
        <w:noProof/>
      </w:rPr>
      <w:t>4</w:t>
    </w:r>
    <w:r w:rsidRPr="00824CC8">
      <w:rPr>
        <w:rStyle w:val="AERbody"/>
      </w:rPr>
      <w:fldChar w:fldCharType="end"/>
    </w:r>
  </w:p>
  <w:p w:rsidR="006D5151" w:rsidRDefault="006D515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151" w:rsidRPr="00824CC8" w:rsidRDefault="006D5151" w:rsidP="00D82485">
    <w:pPr>
      <w:pStyle w:val="Footer"/>
    </w:pPr>
    <w:r>
      <w:rPr>
        <w:rStyle w:val="AERtextorange"/>
      </w:rPr>
      <w:t xml:space="preserve">AER Draft decision </w:t>
    </w:r>
    <w:r w:rsidRPr="00664307">
      <w:rPr>
        <w:rStyle w:val="AERtextorange"/>
      </w:rPr>
      <w:t>|</w:t>
    </w:r>
    <w:r w:rsidRPr="00DB6A17">
      <w:rPr>
        <w:rStyle w:val="AERtextorange"/>
      </w:rPr>
      <w:t xml:space="preserve"> </w:t>
    </w:r>
    <w:r>
      <w:rPr>
        <w:rStyle w:val="AERtextorange"/>
      </w:rPr>
      <w:t>SP AusNet 2014–15 to 2016–17</w:t>
    </w:r>
    <w:r w:rsidRPr="00210880">
      <w:rPr>
        <w:rStyle w:val="AERbody"/>
      </w:rPr>
      <w:t xml:space="preserve"> | </w:t>
    </w:r>
    <w:r>
      <w:rPr>
        <w:rStyle w:val="AERtextblue"/>
      </w:rPr>
      <w:t>Shortened forms</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FB44D8">
      <w:rPr>
        <w:rStyle w:val="AERbody"/>
        <w:noProof/>
      </w:rPr>
      <w:t>6</w:t>
    </w:r>
    <w:r w:rsidRPr="00824CC8">
      <w:rPr>
        <w:rStyle w:val="AERbody"/>
      </w:rPr>
      <w:fldChar w:fldCharType="end"/>
    </w:r>
  </w:p>
  <w:p w:rsidR="006D5151" w:rsidRDefault="006D515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6E" w:rsidRDefault="009E166E">
    <w:pPr>
      <w:pStyle w:val="Footer"/>
    </w:pPr>
    <w:r>
      <w:rPr>
        <w:rStyle w:val="AERtextorange"/>
      </w:rPr>
      <w:t xml:space="preserve">AER Draft decision </w:t>
    </w:r>
    <w:r w:rsidRPr="00664307">
      <w:rPr>
        <w:rStyle w:val="AERtextorange"/>
      </w:rPr>
      <w:t>|</w:t>
    </w:r>
    <w:r w:rsidRPr="00DB6A17">
      <w:rPr>
        <w:rStyle w:val="AERtextorange"/>
      </w:rPr>
      <w:t xml:space="preserve"> </w:t>
    </w:r>
    <w:r>
      <w:rPr>
        <w:rStyle w:val="AERtextorange"/>
      </w:rPr>
      <w:t>SP AusNet 2014–15 to 2016–17</w:t>
    </w:r>
    <w:r w:rsidR="006D5151">
      <w:rPr>
        <w:rStyle w:val="AERtextorange"/>
      </w:rPr>
      <w:t xml:space="preserve"> </w:t>
    </w:r>
    <w:r w:rsidR="006D5151" w:rsidRPr="00210880">
      <w:rPr>
        <w:rStyle w:val="AERbody"/>
      </w:rPr>
      <w:t xml:space="preserve">| </w:t>
    </w:r>
    <w:r w:rsidR="006D5151">
      <w:rPr>
        <w:rStyle w:val="AERtextblue"/>
      </w:rPr>
      <w:t>Overview</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FB44D8">
      <w:rPr>
        <w:rStyle w:val="AERbody"/>
        <w:noProof/>
      </w:rPr>
      <w:t>57</w:t>
    </w:r>
    <w:r w:rsidRPr="00824CC8">
      <w:rPr>
        <w:rStyle w:val="AERbody"/>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6E" w:rsidRPr="00824CC8" w:rsidRDefault="009E166E" w:rsidP="00D82485">
    <w:pPr>
      <w:pStyle w:val="Footer"/>
    </w:pPr>
    <w:r>
      <w:rPr>
        <w:rStyle w:val="AERtextorange"/>
      </w:rPr>
      <w:t xml:space="preserve">AER Draft decision </w:t>
    </w:r>
    <w:r w:rsidRPr="00664307">
      <w:rPr>
        <w:rStyle w:val="AERtextorange"/>
      </w:rPr>
      <w:t>|</w:t>
    </w:r>
    <w:r w:rsidRPr="00DB6A17">
      <w:rPr>
        <w:rStyle w:val="AERtextorange"/>
      </w:rPr>
      <w:t xml:space="preserve"> </w:t>
    </w:r>
    <w:r>
      <w:rPr>
        <w:rStyle w:val="AERtextorange"/>
      </w:rPr>
      <w:t>SP AusNet 2014–15 to 2016–17</w:t>
    </w:r>
    <w:r w:rsidRPr="00210880">
      <w:rPr>
        <w:rStyle w:val="AERbody"/>
      </w:rPr>
      <w:t xml:space="preserve"> | </w:t>
    </w:r>
    <w:r>
      <w:rPr>
        <w:rStyle w:val="AERtextblue"/>
      </w:rPr>
      <w:t>Real cost escalators</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FB44D8">
      <w:rPr>
        <w:rStyle w:val="AERbody"/>
        <w:noProof/>
      </w:rPr>
      <w:t>69</w:t>
    </w:r>
    <w:r w:rsidRPr="00824CC8">
      <w:rPr>
        <w:rStyle w:val="AERbody"/>
      </w:rPr>
      <w:fldChar w:fldCharType="end"/>
    </w:r>
  </w:p>
  <w:p w:rsidR="009E166E" w:rsidRDefault="009E166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6E" w:rsidRPr="00824CC8" w:rsidRDefault="009E166E" w:rsidP="00D82485">
    <w:pPr>
      <w:pStyle w:val="Footer"/>
    </w:pPr>
    <w:r>
      <w:rPr>
        <w:rStyle w:val="AERtextorange"/>
      </w:rPr>
      <w:t xml:space="preserve">AER Draft decision </w:t>
    </w:r>
    <w:r w:rsidRPr="00664307">
      <w:rPr>
        <w:rStyle w:val="AERtextorange"/>
      </w:rPr>
      <w:t>|</w:t>
    </w:r>
    <w:r w:rsidRPr="00DB6A17">
      <w:rPr>
        <w:rStyle w:val="AERtextorange"/>
      </w:rPr>
      <w:t xml:space="preserve"> </w:t>
    </w:r>
    <w:r>
      <w:rPr>
        <w:rStyle w:val="AERtextorange"/>
      </w:rPr>
      <w:t xml:space="preserve">SP AusNet 2014–15 to 2016–17 </w:t>
    </w:r>
    <w:r w:rsidRPr="00210880">
      <w:rPr>
        <w:rStyle w:val="AERbody"/>
      </w:rPr>
      <w:t>|</w:t>
    </w:r>
    <w:r>
      <w:rPr>
        <w:rStyle w:val="AERbody"/>
      </w:rPr>
      <w:t xml:space="preserve"> </w:t>
    </w:r>
    <w:r>
      <w:rPr>
        <w:rStyle w:val="AERtextblue"/>
      </w:rPr>
      <w:t>Capital expenditure</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FB44D8">
      <w:rPr>
        <w:rStyle w:val="AERbody"/>
        <w:noProof/>
      </w:rPr>
      <w:t>90</w:t>
    </w:r>
    <w:r w:rsidRPr="00824CC8">
      <w:rPr>
        <w:rStyle w:val="AERbody"/>
      </w:rPr>
      <w:fldChar w:fldCharType="end"/>
    </w:r>
  </w:p>
  <w:p w:rsidR="009E166E" w:rsidRDefault="009E166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6E" w:rsidRPr="00824CC8" w:rsidRDefault="009E166E" w:rsidP="00D82485">
    <w:pPr>
      <w:pStyle w:val="Footer"/>
    </w:pPr>
    <w:r>
      <w:rPr>
        <w:rStyle w:val="AERtextorange"/>
      </w:rPr>
      <w:t xml:space="preserve">AER Draft decision </w:t>
    </w:r>
    <w:r w:rsidRPr="00664307">
      <w:rPr>
        <w:rStyle w:val="AERtextorange"/>
      </w:rPr>
      <w:t>|</w:t>
    </w:r>
    <w:r w:rsidRPr="00DB6A17">
      <w:rPr>
        <w:rStyle w:val="AERtextorange"/>
      </w:rPr>
      <w:t xml:space="preserve"> </w:t>
    </w:r>
    <w:r>
      <w:rPr>
        <w:rStyle w:val="AERtextorange"/>
      </w:rPr>
      <w:t xml:space="preserve">SP AusNet 2014–15 to 2016–17 </w:t>
    </w:r>
    <w:r w:rsidRPr="00210880">
      <w:rPr>
        <w:rStyle w:val="AERbody"/>
      </w:rPr>
      <w:t>|</w:t>
    </w:r>
    <w:r>
      <w:rPr>
        <w:rStyle w:val="AERbody"/>
      </w:rPr>
      <w:t xml:space="preserve"> </w:t>
    </w:r>
    <w:r>
      <w:rPr>
        <w:rStyle w:val="AERtextblue"/>
      </w:rPr>
      <w:t>Operating expenditure</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FB44D8">
      <w:rPr>
        <w:rStyle w:val="AERbody"/>
        <w:noProof/>
      </w:rPr>
      <w:t>123</w:t>
    </w:r>
    <w:r w:rsidRPr="00824CC8">
      <w:rPr>
        <w:rStyle w:val="AERbody"/>
      </w:rPr>
      <w:fldChar w:fldCharType="end"/>
    </w:r>
  </w:p>
  <w:p w:rsidR="009E166E" w:rsidRDefault="009E16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166E" w:rsidRDefault="009E166E" w:rsidP="00D82485">
      <w:pPr>
        <w:spacing w:after="0" w:line="240" w:lineRule="auto"/>
      </w:pPr>
      <w:r>
        <w:separator/>
      </w:r>
    </w:p>
  </w:footnote>
  <w:footnote w:type="continuationSeparator" w:id="0">
    <w:p w:rsidR="009E166E" w:rsidRDefault="009E166E" w:rsidP="00D82485">
      <w:pPr>
        <w:spacing w:after="0" w:line="240" w:lineRule="auto"/>
      </w:pPr>
      <w:r>
        <w:continuationSeparator/>
      </w:r>
    </w:p>
  </w:footnote>
  <w:footnote w:id="1">
    <w:p w:rsidR="009E166E" w:rsidRDefault="009E166E" w:rsidP="0088341A">
      <w:pPr>
        <w:pStyle w:val="FootnoteText"/>
      </w:pPr>
      <w:r>
        <w:rPr>
          <w:rStyle w:val="FootnoteReference"/>
        </w:rPr>
        <w:footnoteRef/>
      </w:r>
      <w:r>
        <w:t xml:space="preserve"> </w:t>
      </w:r>
      <w:r>
        <w:tab/>
        <w:t xml:space="preserve">NER, clause 6A.12.3. </w:t>
      </w:r>
    </w:p>
  </w:footnote>
  <w:footnote w:id="2">
    <w:p w:rsidR="009E166E" w:rsidRDefault="009E166E" w:rsidP="0088341A">
      <w:pPr>
        <w:pStyle w:val="FootnoteText"/>
      </w:pPr>
      <w:r>
        <w:rPr>
          <w:rStyle w:val="FootnoteReference"/>
        </w:rPr>
        <w:footnoteRef/>
      </w:r>
      <w:r>
        <w:t xml:space="preserve"> </w:t>
      </w:r>
      <w:r>
        <w:tab/>
        <w:t>NER, clause 11.59.3(a).</w:t>
      </w:r>
    </w:p>
  </w:footnote>
  <w:footnote w:id="3">
    <w:p w:rsidR="009E166E" w:rsidRDefault="009E166E" w:rsidP="0088341A">
      <w:pPr>
        <w:pStyle w:val="FootnoteText"/>
      </w:pPr>
      <w:r>
        <w:rPr>
          <w:rStyle w:val="FootnoteReference"/>
        </w:rPr>
        <w:footnoteRef/>
      </w:r>
      <w:r>
        <w:t xml:space="preserve"> </w:t>
      </w:r>
      <w:r>
        <w:tab/>
        <w:t>NER, clause 11.59.3(b).</w:t>
      </w:r>
    </w:p>
  </w:footnote>
  <w:footnote w:id="4">
    <w:p w:rsidR="009E166E" w:rsidRDefault="009E166E" w:rsidP="0088341A">
      <w:pPr>
        <w:pStyle w:val="FootnoteText"/>
      </w:pPr>
      <w:r>
        <w:rPr>
          <w:rStyle w:val="FootnoteReference"/>
        </w:rPr>
        <w:footnoteRef/>
      </w:r>
      <w:r>
        <w:t xml:space="preserve"> </w:t>
      </w:r>
      <w:r>
        <w:tab/>
        <w:t xml:space="preserve">The new version of the NER (version 53) permits us to exclude inefficient capex from the opening RAB when the TNSP has spent in excess of its capex allowance. See NER, clause S6A.2.2A. </w:t>
      </w:r>
    </w:p>
  </w:footnote>
  <w:footnote w:id="5">
    <w:p w:rsidR="009E166E" w:rsidRPr="00237360" w:rsidRDefault="009E166E" w:rsidP="0088341A">
      <w:pPr>
        <w:pStyle w:val="FootnoteText"/>
      </w:pPr>
      <w:r>
        <w:rPr>
          <w:rStyle w:val="FootnoteReference"/>
        </w:rPr>
        <w:footnoteRef/>
      </w:r>
      <w:r>
        <w:t xml:space="preserve"> </w:t>
      </w:r>
      <w:r>
        <w:tab/>
      </w:r>
      <w:r w:rsidRPr="00351A6E">
        <w:t xml:space="preserve">AER, </w:t>
      </w:r>
      <w:r w:rsidRPr="00351A6E">
        <w:rPr>
          <w:rStyle w:val="AERtextitalic"/>
        </w:rPr>
        <w:t>Consultation paper: Rate of return guidelines</w:t>
      </w:r>
      <w:r w:rsidRPr="00351A6E">
        <w:t xml:space="preserve">, </w:t>
      </w:r>
      <w:r>
        <w:t>May 2013, pp. 48–53.</w:t>
      </w:r>
    </w:p>
  </w:footnote>
  <w:footnote w:id="6">
    <w:p w:rsidR="009E166E" w:rsidRPr="00975234" w:rsidRDefault="009E166E" w:rsidP="0088341A">
      <w:pPr>
        <w:pStyle w:val="FootnoteText"/>
        <w:rPr>
          <w:rStyle w:val="AERtextitalic"/>
        </w:rPr>
      </w:pPr>
      <w:r>
        <w:rPr>
          <w:rStyle w:val="FootnoteReference"/>
        </w:rPr>
        <w:footnoteRef/>
      </w:r>
      <w:r>
        <w:t xml:space="preserve"> </w:t>
      </w:r>
      <w:r>
        <w:tab/>
        <w:t xml:space="preserve">AER, </w:t>
      </w:r>
      <w:r>
        <w:rPr>
          <w:rStyle w:val="AERtextitalic"/>
        </w:rPr>
        <w:t>Electricity transmission and distribution WACC parameter review</w:t>
      </w:r>
      <w:r>
        <w:t xml:space="preserve">, 1 May 2009: </w:t>
      </w:r>
      <w:hyperlink r:id="rId1" w:history="1">
        <w:r w:rsidRPr="00064D45">
          <w:rPr>
            <w:rStyle w:val="Hyperlink"/>
          </w:rPr>
          <w:t>http://www.aer.gov.au/node/510</w:t>
        </w:r>
      </w:hyperlink>
      <w:r>
        <w:rPr>
          <w:rStyle w:val="Hyperlink"/>
        </w:rPr>
        <w:t xml:space="preserve"> </w:t>
      </w:r>
      <w:r>
        <w:t xml:space="preserve"> </w:t>
      </w:r>
    </w:p>
  </w:footnote>
  <w:footnote w:id="7">
    <w:p w:rsidR="009E166E" w:rsidRDefault="009E166E" w:rsidP="0088341A">
      <w:pPr>
        <w:pStyle w:val="FootnoteText"/>
      </w:pPr>
      <w:r>
        <w:rPr>
          <w:rStyle w:val="FootnoteReference"/>
        </w:rPr>
        <w:footnoteRef/>
      </w:r>
      <w:r>
        <w:t xml:space="preserve"> </w:t>
      </w:r>
      <w:r>
        <w:tab/>
        <w:t xml:space="preserve">Productivity Commission, </w:t>
      </w:r>
      <w:r w:rsidRPr="00FE2FAC">
        <w:rPr>
          <w:rStyle w:val="AERtextitalic"/>
        </w:rPr>
        <w:t>Electricity network regulatory frameworks</w:t>
      </w:r>
      <w:r>
        <w:t xml:space="preserve">, October 2012 p. 502,  </w:t>
      </w:r>
      <w:hyperlink r:id="rId2" w:history="1">
        <w:r w:rsidRPr="00F23AE6">
          <w:rPr>
            <w:rStyle w:val="Hyperlink"/>
          </w:rPr>
          <w:t>http://www.pc.gov.au/projects/inquiry/electricity/draft</w:t>
        </w:r>
      </w:hyperlink>
      <w:r>
        <w:t xml:space="preserve">.  </w:t>
      </w:r>
    </w:p>
  </w:footnote>
  <w:footnote w:id="8">
    <w:p w:rsidR="009E166E" w:rsidRDefault="009E166E" w:rsidP="0088341A">
      <w:pPr>
        <w:pStyle w:val="FootnoteText"/>
      </w:pPr>
      <w:r>
        <w:rPr>
          <w:rStyle w:val="FootnoteReference"/>
        </w:rPr>
        <w:footnoteRef/>
      </w:r>
      <w:r>
        <w:t xml:space="preserve"> </w:t>
      </w:r>
      <w:r>
        <w:tab/>
        <w:t xml:space="preserve">In its capacity as the planner of the shared transmission network in Victoria. </w:t>
      </w:r>
    </w:p>
  </w:footnote>
  <w:footnote w:id="9">
    <w:p w:rsidR="009E166E" w:rsidRDefault="009E166E" w:rsidP="0088341A">
      <w:pPr>
        <w:pStyle w:val="FootnoteText"/>
      </w:pPr>
      <w:r>
        <w:rPr>
          <w:rStyle w:val="FootnoteReference"/>
        </w:rPr>
        <w:footnoteRef/>
      </w:r>
      <w:r>
        <w:t xml:space="preserve"> </w:t>
      </w:r>
      <w:r>
        <w:tab/>
        <w:t xml:space="preserve">In their capacity as planners of the transmission connection assets that connect the transmission network with the Victorian distribution networks. </w:t>
      </w:r>
    </w:p>
  </w:footnote>
  <w:footnote w:id="10">
    <w:p w:rsidR="009E166E" w:rsidRDefault="009E166E" w:rsidP="0088341A">
      <w:pPr>
        <w:pStyle w:val="FootnoteText"/>
      </w:pPr>
      <w:r>
        <w:rPr>
          <w:rStyle w:val="FootnoteReference"/>
        </w:rPr>
        <w:footnoteRef/>
      </w:r>
      <w:r>
        <w:t xml:space="preserve"> </w:t>
      </w:r>
      <w:r>
        <w:tab/>
        <w:t>NEL, section 7.</w:t>
      </w:r>
    </w:p>
  </w:footnote>
  <w:footnote w:id="11">
    <w:p w:rsidR="009E166E" w:rsidRDefault="009E166E" w:rsidP="0088341A">
      <w:pPr>
        <w:pStyle w:val="FootnoteText"/>
      </w:pPr>
      <w:r>
        <w:rPr>
          <w:rStyle w:val="FootnoteReference"/>
        </w:rPr>
        <w:footnoteRef/>
      </w:r>
      <w:r>
        <w:t xml:space="preserve"> </w:t>
      </w:r>
      <w:r>
        <w:tab/>
        <w:t xml:space="preserve">NEL, clause 16(2)(a)(i). The revenue and pricing principles are set out in section 7A of the NEL. </w:t>
      </w:r>
    </w:p>
  </w:footnote>
  <w:footnote w:id="12">
    <w:p w:rsidR="009E166E" w:rsidRDefault="009E166E" w:rsidP="0088341A">
      <w:pPr>
        <w:pStyle w:val="FootnoteText"/>
      </w:pPr>
      <w:r>
        <w:rPr>
          <w:rStyle w:val="FootnoteReference"/>
        </w:rPr>
        <w:footnoteRef/>
      </w:r>
      <w:r>
        <w:t xml:space="preserve"> </w:t>
      </w:r>
      <w:r>
        <w:tab/>
        <w:t xml:space="preserve">NER, clause 6A.12.3. </w:t>
      </w:r>
    </w:p>
  </w:footnote>
  <w:footnote w:id="13">
    <w:p w:rsidR="009E166E" w:rsidRDefault="009E166E" w:rsidP="0088341A">
      <w:pPr>
        <w:pStyle w:val="FootnoteText"/>
      </w:pPr>
      <w:r>
        <w:rPr>
          <w:rStyle w:val="FootnoteReference"/>
        </w:rPr>
        <w:footnoteRef/>
      </w:r>
      <w:r>
        <w:t xml:space="preserve"> </w:t>
      </w:r>
      <w:r>
        <w:tab/>
        <w:t xml:space="preserve">NER, clause 6A.12.3(a). </w:t>
      </w:r>
    </w:p>
  </w:footnote>
  <w:footnote w:id="14">
    <w:p w:rsidR="009E166E" w:rsidRDefault="009E166E" w:rsidP="0088341A">
      <w:pPr>
        <w:pStyle w:val="FootnoteText"/>
      </w:pPr>
      <w:r>
        <w:rPr>
          <w:rStyle w:val="FootnoteReference"/>
        </w:rPr>
        <w:footnoteRef/>
      </w:r>
      <w:r>
        <w:t xml:space="preserve"> </w:t>
      </w:r>
      <w:r>
        <w:tab/>
        <w:t xml:space="preserve">NER, clause 6A.12.2. </w:t>
      </w:r>
    </w:p>
  </w:footnote>
  <w:footnote w:id="15">
    <w:p w:rsidR="009E166E" w:rsidRDefault="009E166E" w:rsidP="0088341A">
      <w:pPr>
        <w:pStyle w:val="FootnoteText"/>
      </w:pPr>
      <w:r>
        <w:rPr>
          <w:rStyle w:val="FootnoteReference"/>
        </w:rPr>
        <w:footnoteRef/>
      </w:r>
      <w:r>
        <w:t xml:space="preserve"> </w:t>
      </w:r>
      <w:r>
        <w:tab/>
        <w:t xml:space="preserve">NER, clauses 6A.13.3 and 6A.12.4. </w:t>
      </w:r>
    </w:p>
  </w:footnote>
  <w:footnote w:id="16">
    <w:p w:rsidR="009E166E" w:rsidRDefault="009E166E" w:rsidP="0088341A">
      <w:pPr>
        <w:pStyle w:val="FootnoteText"/>
      </w:pPr>
      <w:r>
        <w:rPr>
          <w:rStyle w:val="FootnoteReference"/>
        </w:rPr>
        <w:footnoteRef/>
      </w:r>
      <w:r>
        <w:t xml:space="preserve"> </w:t>
      </w:r>
      <w:r>
        <w:tab/>
        <w:t xml:space="preserve">NER, clause 6A.13.3. </w:t>
      </w:r>
    </w:p>
  </w:footnote>
  <w:footnote w:id="17">
    <w:p w:rsidR="009E166E" w:rsidRDefault="009E166E" w:rsidP="0088341A">
      <w:pPr>
        <w:pStyle w:val="FootnoteText"/>
      </w:pPr>
      <w:r>
        <w:rPr>
          <w:rStyle w:val="FootnoteReference"/>
        </w:rPr>
        <w:footnoteRef/>
      </w:r>
      <w:r>
        <w:t xml:space="preserve"> </w:t>
      </w:r>
      <w:r>
        <w:tab/>
        <w:t xml:space="preserve">NER, clause 6A.13.3. </w:t>
      </w:r>
    </w:p>
  </w:footnote>
  <w:footnote w:id="18">
    <w:p w:rsidR="009E166E" w:rsidRDefault="009E166E" w:rsidP="0088341A">
      <w:pPr>
        <w:pStyle w:val="FootnoteText"/>
      </w:pPr>
      <w:r>
        <w:rPr>
          <w:rStyle w:val="FootnoteReference"/>
        </w:rPr>
        <w:footnoteRef/>
      </w:r>
      <w:r>
        <w:t xml:space="preserve"> </w:t>
      </w:r>
      <w:r>
        <w:tab/>
      </w:r>
      <w:r w:rsidRPr="001F64A5">
        <w:t>Energy Market Consulting associates</w:t>
      </w:r>
      <w:r>
        <w:t xml:space="preserve"> and </w:t>
      </w:r>
      <w:r w:rsidRPr="00062E70">
        <w:t>Strata Energy Consulting Ltd</w:t>
      </w:r>
      <w:r>
        <w:t xml:space="preserve"> are collectively referred to as 'EMCa'.</w:t>
      </w:r>
    </w:p>
  </w:footnote>
  <w:footnote w:id="19">
    <w:p w:rsidR="009E166E" w:rsidRDefault="009E166E" w:rsidP="0088341A">
      <w:pPr>
        <w:pStyle w:val="FootnoteText"/>
      </w:pPr>
      <w:r>
        <w:rPr>
          <w:rStyle w:val="FootnoteReference"/>
        </w:rPr>
        <w:footnoteRef/>
      </w:r>
      <w:r>
        <w:t xml:space="preserve"> </w:t>
      </w:r>
      <w:r>
        <w:tab/>
        <w:t>See appendix G.</w:t>
      </w:r>
    </w:p>
  </w:footnote>
  <w:footnote w:id="20">
    <w:p w:rsidR="009E166E" w:rsidRDefault="009E166E" w:rsidP="0088341A">
      <w:pPr>
        <w:pStyle w:val="FootnoteText"/>
      </w:pPr>
      <w:r>
        <w:rPr>
          <w:rStyle w:val="FootnoteReference"/>
        </w:rPr>
        <w:footnoteRef/>
      </w:r>
      <w:r>
        <w:t xml:space="preserve"> </w:t>
      </w:r>
      <w:r>
        <w:tab/>
        <w:t xml:space="preserve">NEL, part 3, division 6. </w:t>
      </w:r>
    </w:p>
  </w:footnote>
  <w:footnote w:id="21">
    <w:p w:rsidR="009E166E" w:rsidRDefault="009E166E" w:rsidP="0088341A">
      <w:pPr>
        <w:pStyle w:val="FootnoteText"/>
      </w:pPr>
      <w:r>
        <w:rPr>
          <w:rStyle w:val="FootnoteReference"/>
        </w:rPr>
        <w:footnoteRef/>
      </w:r>
      <w:r>
        <w:t xml:space="preserve"> </w:t>
      </w:r>
      <w:r>
        <w:tab/>
        <w:t>NER, chapter 10.</w:t>
      </w:r>
    </w:p>
  </w:footnote>
  <w:footnote w:id="22">
    <w:p w:rsidR="009E166E" w:rsidRDefault="009E166E" w:rsidP="0088341A">
      <w:pPr>
        <w:pStyle w:val="FootnoteText"/>
      </w:pPr>
      <w:r>
        <w:rPr>
          <w:rStyle w:val="FootnoteReference"/>
        </w:rPr>
        <w:footnoteRef/>
      </w:r>
      <w:r>
        <w:t xml:space="preserve"> </w:t>
      </w:r>
      <w:r>
        <w:tab/>
        <w:t>NER, chapter 10.</w:t>
      </w:r>
    </w:p>
  </w:footnote>
  <w:footnote w:id="23">
    <w:p w:rsidR="009E166E" w:rsidRDefault="009E166E" w:rsidP="0088341A">
      <w:pPr>
        <w:pStyle w:val="FootnoteText"/>
      </w:pPr>
      <w:r>
        <w:rPr>
          <w:rStyle w:val="FootnoteReference"/>
        </w:rPr>
        <w:footnoteRef/>
      </w:r>
      <w:r>
        <w:t xml:space="preserve"> </w:t>
      </w:r>
      <w:r>
        <w:tab/>
        <w:t>NER, chapter 10.</w:t>
      </w:r>
    </w:p>
  </w:footnote>
  <w:footnote w:id="24">
    <w:p w:rsidR="009E166E" w:rsidRDefault="009E166E" w:rsidP="0088341A">
      <w:pPr>
        <w:pStyle w:val="FootnoteText"/>
      </w:pPr>
      <w:r>
        <w:rPr>
          <w:rStyle w:val="FootnoteReference"/>
        </w:rPr>
        <w:footnoteRef/>
      </w:r>
      <w:r>
        <w:t xml:space="preserve"> </w:t>
      </w:r>
      <w:r>
        <w:tab/>
        <w:t>NER, clause 6A.5.4(a).</w:t>
      </w:r>
    </w:p>
  </w:footnote>
  <w:footnote w:id="25">
    <w:p w:rsidR="009E166E" w:rsidRDefault="009E166E" w:rsidP="0088341A">
      <w:pPr>
        <w:pStyle w:val="FootnoteText"/>
      </w:pPr>
      <w:r>
        <w:rPr>
          <w:rStyle w:val="FootnoteReference"/>
        </w:rPr>
        <w:footnoteRef/>
      </w:r>
      <w:r>
        <w:t xml:space="preserve"> </w:t>
      </w:r>
      <w:r>
        <w:tab/>
        <w:t>NER, clauses 6A.6.6(a) and 6A.6.7(a).</w:t>
      </w:r>
    </w:p>
  </w:footnote>
  <w:footnote w:id="26">
    <w:p w:rsidR="009E166E" w:rsidRDefault="009E166E" w:rsidP="0088341A">
      <w:pPr>
        <w:pStyle w:val="FootnoteText"/>
      </w:pPr>
      <w:r>
        <w:rPr>
          <w:rStyle w:val="FootnoteReference"/>
        </w:rPr>
        <w:footnoteRef/>
      </w:r>
      <w:r>
        <w:t xml:space="preserve"> </w:t>
      </w:r>
      <w:r>
        <w:tab/>
        <w:t>NER, clauses 6A.6.6(c) and 6A.6.7(c).</w:t>
      </w:r>
    </w:p>
  </w:footnote>
  <w:footnote w:id="27">
    <w:p w:rsidR="009E166E" w:rsidRDefault="009E166E" w:rsidP="0088341A">
      <w:pPr>
        <w:pStyle w:val="FootnoteText"/>
      </w:pPr>
      <w:r>
        <w:rPr>
          <w:rStyle w:val="FootnoteReference"/>
        </w:rPr>
        <w:footnoteRef/>
      </w:r>
      <w:r>
        <w:t xml:space="preserve"> </w:t>
      </w:r>
      <w:r>
        <w:tab/>
        <w:t>Because the regulatory control periods compared are of different lengths, we calculated the annual average revenues for the relevant regulatory control periods for comparison.</w:t>
      </w:r>
    </w:p>
  </w:footnote>
  <w:footnote w:id="28">
    <w:p w:rsidR="009E166E" w:rsidRDefault="009E166E">
      <w:pPr>
        <w:pStyle w:val="FootnoteText"/>
      </w:pPr>
      <w:r>
        <w:rPr>
          <w:rStyle w:val="FootnoteReference"/>
        </w:rPr>
        <w:footnoteRef/>
      </w:r>
      <w:r>
        <w:t xml:space="preserve"> </w:t>
      </w:r>
      <w:r>
        <w:tab/>
        <w:t>Our draft decision WACC is 7.43 per cent and the approaved WACC for 2008–14 is 9.76 per cent.</w:t>
      </w:r>
    </w:p>
  </w:footnote>
  <w:footnote w:id="29">
    <w:p w:rsidR="009E166E" w:rsidRDefault="009E166E" w:rsidP="0088341A">
      <w:pPr>
        <w:pStyle w:val="FootnoteText"/>
      </w:pPr>
      <w:r>
        <w:rPr>
          <w:rStyle w:val="FootnoteReference"/>
        </w:rPr>
        <w:footnoteRef/>
      </w:r>
      <w:r>
        <w:t xml:space="preserve"> </w:t>
      </w:r>
      <w:r>
        <w:tab/>
        <w:t xml:space="preserve">SP AusNet, </w:t>
      </w:r>
      <w:r w:rsidRPr="0087288F">
        <w:rPr>
          <w:rStyle w:val="AERtextitalic"/>
        </w:rPr>
        <w:t>Post-tax revenue model</w:t>
      </w:r>
      <w:r>
        <w:t>, February 2013.</w:t>
      </w:r>
    </w:p>
  </w:footnote>
  <w:footnote w:id="30">
    <w:p w:rsidR="009E166E" w:rsidRDefault="009E166E" w:rsidP="0088341A">
      <w:pPr>
        <w:pStyle w:val="FootnoteText"/>
      </w:pPr>
      <w:r>
        <w:rPr>
          <w:rStyle w:val="FootnoteReference"/>
        </w:rPr>
        <w:footnoteRef/>
      </w:r>
      <w:r>
        <w:t xml:space="preserve"> </w:t>
      </w:r>
      <w:r>
        <w:tab/>
        <w:t xml:space="preserve">SP AusNet, </w:t>
      </w:r>
      <w:r w:rsidRPr="0087288F">
        <w:rPr>
          <w:rStyle w:val="AERtextitalic"/>
        </w:rPr>
        <w:t>Post-tax revenue model</w:t>
      </w:r>
      <w:r>
        <w:t>, February 2013. Excludes equity raising costs.</w:t>
      </w:r>
    </w:p>
  </w:footnote>
  <w:footnote w:id="31">
    <w:p w:rsidR="009E166E" w:rsidRDefault="009E166E" w:rsidP="0088341A">
      <w:pPr>
        <w:pStyle w:val="FootnoteText"/>
      </w:pPr>
      <w:r>
        <w:rPr>
          <w:rStyle w:val="FootnoteReference"/>
        </w:rPr>
        <w:footnoteRef/>
      </w:r>
      <w:r>
        <w:t xml:space="preserve"> </w:t>
      </w:r>
      <w:r>
        <w:tab/>
        <w:t xml:space="preserve">Murraylink, </w:t>
      </w:r>
      <w:r w:rsidRPr="00FD49AD">
        <w:rPr>
          <w:rStyle w:val="AERtextitalic"/>
        </w:rPr>
        <w:t>Pricing methodology</w:t>
      </w:r>
      <w:r>
        <w:t xml:space="preserve">, May 2012, p. 3. AER, </w:t>
      </w:r>
      <w:r w:rsidRPr="00FA2E96">
        <w:rPr>
          <w:rStyle w:val="AERtextitalic"/>
        </w:rPr>
        <w:t>Final decision: Murraylink transmission determination 2013</w:t>
      </w:r>
      <w:r w:rsidRPr="00FA2E96">
        <w:rPr>
          <w:rStyle w:val="AERtextitalic"/>
          <w:rFonts w:hint="eastAsia"/>
        </w:rPr>
        <w:t>–</w:t>
      </w:r>
      <w:r w:rsidRPr="00FA2E96">
        <w:rPr>
          <w:rStyle w:val="AERtextitalic"/>
        </w:rPr>
        <w:t>18</w:t>
      </w:r>
      <w:r>
        <w:t>, April 2013, p. 9. Murraylink is an interconnector that provides a path for the flow of electricity to the limit of its 220MW capacity, in both directions, between the South Australian and Victorian transmission networks. About 55 per cent of Murraylink's revenue is from Victorian customers.</w:t>
      </w:r>
    </w:p>
  </w:footnote>
  <w:footnote w:id="32">
    <w:p w:rsidR="009E166E" w:rsidRDefault="009E166E" w:rsidP="0088341A">
      <w:pPr>
        <w:pStyle w:val="FootnoteText"/>
      </w:pPr>
      <w:r>
        <w:rPr>
          <w:rStyle w:val="FootnoteReference"/>
        </w:rPr>
        <w:footnoteRef/>
      </w:r>
      <w:r>
        <w:t xml:space="preserve"> </w:t>
      </w:r>
      <w:r>
        <w:tab/>
        <w:t>AEMO,</w:t>
      </w:r>
      <w:r w:rsidRPr="00424732">
        <w:t xml:space="preserve"> </w:t>
      </w:r>
      <w:r w:rsidRPr="00CC57BF">
        <w:rPr>
          <w:rStyle w:val="AERtextitalic"/>
        </w:rPr>
        <w:t>National electricity forecasting report</w:t>
      </w:r>
      <w:r w:rsidRPr="00424732">
        <w:t>, 201</w:t>
      </w:r>
      <w:r>
        <w:t>3, table 6-1, Medium.</w:t>
      </w:r>
    </w:p>
  </w:footnote>
  <w:footnote w:id="33">
    <w:p w:rsidR="009E166E" w:rsidRDefault="009E166E" w:rsidP="0088341A">
      <w:pPr>
        <w:pStyle w:val="FootnoteText"/>
      </w:pPr>
      <w:r>
        <w:rPr>
          <w:rStyle w:val="FootnoteReference"/>
        </w:rPr>
        <w:footnoteRef/>
      </w:r>
      <w:r>
        <w:t xml:space="preserve"> </w:t>
      </w:r>
      <w:r>
        <w:tab/>
        <w:t>T</w:t>
      </w:r>
      <w:r w:rsidRPr="00724E58">
        <w:t xml:space="preserve">he average </w:t>
      </w:r>
      <w:r>
        <w:t>decrease</w:t>
      </w:r>
      <w:r w:rsidRPr="00724E58">
        <w:t xml:space="preserve"> in </w:t>
      </w:r>
      <w:r>
        <w:t>our</w:t>
      </w:r>
      <w:r w:rsidRPr="00724E58">
        <w:t xml:space="preserve"> </w:t>
      </w:r>
      <w:r>
        <w:t>draft decision</w:t>
      </w:r>
      <w:r w:rsidRPr="00724E58">
        <w:t xml:space="preserve"> MAR </w:t>
      </w:r>
      <w:r>
        <w:t xml:space="preserve">($2013–14) </w:t>
      </w:r>
      <w:r w:rsidRPr="00724E58">
        <w:t xml:space="preserve">is </w:t>
      </w:r>
      <w:r>
        <w:t>5.2</w:t>
      </w:r>
      <w:r w:rsidRPr="00724E58">
        <w:t xml:space="preserve"> per cent per annum, whereas</w:t>
      </w:r>
      <w:r>
        <w:t xml:space="preserve"> </w:t>
      </w:r>
      <w:r w:rsidRPr="00724E58">
        <w:t xml:space="preserve">the average increase in the forecast energy delivered in </w:t>
      </w:r>
      <w:r>
        <w:t>Victoria</w:t>
      </w:r>
      <w:r w:rsidRPr="00724E58">
        <w:t xml:space="preserve"> is about </w:t>
      </w:r>
      <w:r>
        <w:t>1.5</w:t>
      </w:r>
      <w:r w:rsidRPr="00724E58">
        <w:t xml:space="preserve"> per cent per</w:t>
      </w:r>
      <w:r>
        <w:t xml:space="preserve"> </w:t>
      </w:r>
      <w:r w:rsidRPr="00724E58">
        <w:t xml:space="preserve">annum </w:t>
      </w:r>
      <w:r>
        <w:t>from 2013–14 to 2016–17</w:t>
      </w:r>
      <w:r w:rsidRPr="00724E58">
        <w:t>.</w:t>
      </w:r>
      <w:r>
        <w:t xml:space="preserve"> The reason for the transmission charge</w:t>
      </w:r>
      <w:r w:rsidRPr="00724E58">
        <w:t xml:space="preserve"> </w:t>
      </w:r>
      <w:r>
        <w:t>dec</w:t>
      </w:r>
      <w:r w:rsidRPr="00724E58">
        <w:t>rease</w:t>
      </w:r>
      <w:r>
        <w:t xml:space="preserve"> being larger than the revenue decrease is because</w:t>
      </w:r>
      <w:r w:rsidRPr="00724E58">
        <w:t xml:space="preserve"> </w:t>
      </w:r>
      <w:r>
        <w:t>our draft decision</w:t>
      </w:r>
      <w:r w:rsidRPr="00724E58">
        <w:t xml:space="preserve"> </w:t>
      </w:r>
      <w:r>
        <w:t xml:space="preserve">annual </w:t>
      </w:r>
      <w:r w:rsidRPr="00724E58">
        <w:t xml:space="preserve">MAR </w:t>
      </w:r>
      <w:r>
        <w:t xml:space="preserve">($2013–14) </w:t>
      </w:r>
      <w:r w:rsidRPr="00724E58">
        <w:t xml:space="preserve">is </w:t>
      </w:r>
      <w:r>
        <w:t xml:space="preserve">decreasing on average from 2013–14 to 2016–17 and </w:t>
      </w:r>
      <w:r w:rsidRPr="00724E58">
        <w:t xml:space="preserve">the </w:t>
      </w:r>
      <w:r>
        <w:t>annual</w:t>
      </w:r>
      <w:r w:rsidRPr="00724E58">
        <w:t xml:space="preserve"> forecast energy delivered </w:t>
      </w:r>
      <w:r>
        <w:t xml:space="preserve">in Victoria is increasing </w:t>
      </w:r>
      <w:r w:rsidRPr="00724E58">
        <w:t xml:space="preserve">over </w:t>
      </w:r>
      <w:r>
        <w:t xml:space="preserve">this </w:t>
      </w:r>
      <w:r w:rsidRPr="00724E58">
        <w:t xml:space="preserve">period. </w:t>
      </w:r>
      <w:r>
        <w:t xml:space="preserve">In nominal terms, this </w:t>
      </w:r>
      <w:r w:rsidRPr="00AF7BBB">
        <w:t>draft</w:t>
      </w:r>
      <w:r>
        <w:t xml:space="preserve"> decision will result in a de</w:t>
      </w:r>
      <w:r w:rsidRPr="00AF7BBB">
        <w:t>crease in average transmission</w:t>
      </w:r>
      <w:r>
        <w:t xml:space="preserve"> </w:t>
      </w:r>
      <w:r w:rsidRPr="00AF7BBB">
        <w:t xml:space="preserve">charges </w:t>
      </w:r>
      <w:r>
        <w:t>of 4.3</w:t>
      </w:r>
      <w:r w:rsidRPr="00AF7BBB">
        <w:t xml:space="preserve"> per cent per annum from 201</w:t>
      </w:r>
      <w:r>
        <w:t>3–14</w:t>
      </w:r>
      <w:r w:rsidRPr="00AF7BBB">
        <w:t xml:space="preserve"> to 201</w:t>
      </w:r>
      <w:r>
        <w:t>6–17</w:t>
      </w:r>
      <w:r w:rsidRPr="00AF7BBB">
        <w:t>.</w:t>
      </w:r>
    </w:p>
  </w:footnote>
  <w:footnote w:id="34">
    <w:p w:rsidR="009E166E" w:rsidRDefault="009E166E" w:rsidP="0088341A">
      <w:pPr>
        <w:pStyle w:val="FootnoteText"/>
      </w:pPr>
      <w:r>
        <w:rPr>
          <w:rStyle w:val="FootnoteReference"/>
        </w:rPr>
        <w:footnoteRef/>
      </w:r>
      <w:r>
        <w:t xml:space="preserve"> </w:t>
      </w:r>
      <w:r>
        <w:tab/>
        <w:t>NER, clause 6A.6.1.</w:t>
      </w:r>
    </w:p>
  </w:footnote>
  <w:footnote w:id="35">
    <w:p w:rsidR="009E166E" w:rsidRDefault="009E166E" w:rsidP="0088341A">
      <w:pPr>
        <w:pStyle w:val="FootnoteText"/>
      </w:pPr>
      <w:r>
        <w:rPr>
          <w:rStyle w:val="FootnoteReference"/>
        </w:rPr>
        <w:footnoteRef/>
      </w:r>
      <w:r>
        <w:t xml:space="preserve"> </w:t>
      </w:r>
      <w:r>
        <w:tab/>
        <w:t>This closing RAB value is also used as the value of the opening RAB at 1 April 2014 for the 2014–17 regulatory control period.</w:t>
      </w:r>
    </w:p>
  </w:footnote>
  <w:footnote w:id="36">
    <w:p w:rsidR="009E166E" w:rsidRDefault="009E166E" w:rsidP="0088341A">
      <w:pPr>
        <w:pStyle w:val="FootnoteText"/>
      </w:pPr>
      <w:r>
        <w:rPr>
          <w:rStyle w:val="FootnoteReference"/>
        </w:rPr>
        <w:footnoteRef/>
      </w:r>
      <w:r>
        <w:t xml:space="preserve"> </w:t>
      </w:r>
      <w:r>
        <w:tab/>
        <w:t xml:space="preserve">ACCC, </w:t>
      </w:r>
      <w:r w:rsidRPr="00412F57">
        <w:rPr>
          <w:rStyle w:val="AERtextitalic"/>
        </w:rPr>
        <w:t>Decision: Victorian transmission network revenue caps 2003-2008</w:t>
      </w:r>
      <w:r w:rsidRPr="00F64AB5">
        <w:t>, December 2002, p</w:t>
      </w:r>
      <w:r>
        <w:t>p. 86–87</w:t>
      </w:r>
      <w:r w:rsidRPr="00F64AB5">
        <w:t>.</w:t>
      </w:r>
      <w:r>
        <w:rPr>
          <w:rStyle w:val="AERtextitalic"/>
        </w:rPr>
        <w:t xml:space="preserve"> </w:t>
      </w:r>
    </w:p>
  </w:footnote>
  <w:footnote w:id="37">
    <w:p w:rsidR="009E166E" w:rsidRDefault="009E166E" w:rsidP="0088341A">
      <w:pPr>
        <w:pStyle w:val="FootnoteText"/>
      </w:pPr>
      <w:r>
        <w:rPr>
          <w:rStyle w:val="FootnoteReference"/>
        </w:rPr>
        <w:footnoteRef/>
      </w:r>
      <w:r>
        <w:t xml:space="preserve"> </w:t>
      </w:r>
      <w:r>
        <w:tab/>
      </w:r>
      <w:r w:rsidRPr="00AF3C9D">
        <w:t>NER, clause 6A.5.4(a)(2).</w:t>
      </w:r>
    </w:p>
  </w:footnote>
  <w:footnote w:id="38">
    <w:p w:rsidR="009E166E" w:rsidRDefault="009E166E" w:rsidP="0088341A">
      <w:pPr>
        <w:pStyle w:val="FootnoteText"/>
      </w:pPr>
      <w:r>
        <w:rPr>
          <w:rStyle w:val="FootnoteReference"/>
        </w:rPr>
        <w:footnoteRef/>
      </w:r>
      <w:r>
        <w:t xml:space="preserve"> </w:t>
      </w:r>
      <w:r>
        <w:tab/>
        <w:t xml:space="preserve">AER, </w:t>
      </w:r>
      <w:r>
        <w:rPr>
          <w:rStyle w:val="AERtextitalic"/>
        </w:rPr>
        <w:t>Electricity transmission and distribution WACC parameter review</w:t>
      </w:r>
      <w:r>
        <w:t xml:space="preserve">, 1 May 2009: </w:t>
      </w:r>
      <w:hyperlink r:id="rId3" w:history="1">
        <w:r w:rsidRPr="00064D45">
          <w:rPr>
            <w:rStyle w:val="Hyperlink"/>
          </w:rPr>
          <w:t>http://www.aer.gov.au/node/510</w:t>
        </w:r>
      </w:hyperlink>
    </w:p>
  </w:footnote>
  <w:footnote w:id="39">
    <w:p w:rsidR="009E166E" w:rsidRDefault="009E166E" w:rsidP="0088341A">
      <w:pPr>
        <w:pStyle w:val="FootnoteText"/>
      </w:pPr>
      <w:r>
        <w:rPr>
          <w:rStyle w:val="FootnoteReference"/>
        </w:rPr>
        <w:footnoteRef/>
      </w:r>
      <w:r>
        <w:t xml:space="preserve"> </w:t>
      </w:r>
      <w:r>
        <w:tab/>
        <w:t>Consistent with clause 6A.6.2(c)(2)(iii) of the NER, SP AusNet's</w:t>
      </w:r>
      <w:r w:rsidRPr="00A459E9">
        <w:t xml:space="preserve"> proposed averaging period</w:t>
      </w:r>
      <w:r>
        <w:t xml:space="preserve"> will remain confidential until the expiration of the agreed period.</w:t>
      </w:r>
    </w:p>
  </w:footnote>
  <w:footnote w:id="40">
    <w:p w:rsidR="009E166E" w:rsidRDefault="009E166E" w:rsidP="0088341A">
      <w:pPr>
        <w:pStyle w:val="FootnoteText"/>
      </w:pPr>
      <w:r>
        <w:rPr>
          <w:rStyle w:val="FootnoteReference"/>
        </w:rPr>
        <w:footnoteRef/>
      </w:r>
      <w:r>
        <w:t xml:space="preserve"> </w:t>
      </w:r>
      <w:r>
        <w:tab/>
        <w:t>Specifically, our draft decision is based on a 20 business day indicative averaging period, from 24 June 2013 to 19 July 2013.</w:t>
      </w:r>
    </w:p>
  </w:footnote>
  <w:footnote w:id="41">
    <w:p w:rsidR="009E166E" w:rsidRDefault="009E166E" w:rsidP="0088341A">
      <w:pPr>
        <w:pStyle w:val="FootnoteText"/>
      </w:pPr>
      <w:r>
        <w:rPr>
          <w:rStyle w:val="FootnoteReference"/>
        </w:rPr>
        <w:footnoteRef/>
      </w:r>
      <w:r>
        <w:t xml:space="preserve"> </w:t>
      </w:r>
      <w:r>
        <w:tab/>
        <w:t>T</w:t>
      </w:r>
      <w:r w:rsidRPr="00BC27E3">
        <w:t>he assumed utilisation of imputation credits (gamma) affects the corporate income tax building block allowance</w:t>
      </w:r>
      <w:r>
        <w:t>. Although gamma is not directly included in the determination of the WACC, it was determined in the WACC review.</w:t>
      </w:r>
    </w:p>
  </w:footnote>
  <w:footnote w:id="42">
    <w:p w:rsidR="009E166E" w:rsidRDefault="009E166E" w:rsidP="0088341A">
      <w:pPr>
        <w:pStyle w:val="FootnoteText"/>
      </w:pPr>
      <w:r>
        <w:rPr>
          <w:rStyle w:val="FootnoteReference"/>
        </w:rPr>
        <w:footnoteRef/>
      </w:r>
      <w:r>
        <w:t xml:space="preserve"> </w:t>
      </w:r>
      <w:r>
        <w:tab/>
      </w:r>
      <w:r w:rsidRPr="00AF3C9D">
        <w:t>NER,</w:t>
      </w:r>
      <w:r>
        <w:t xml:space="preserve"> </w:t>
      </w:r>
      <w:r w:rsidRPr="00AF3C9D">
        <w:t>clause 6A.6.2(b).</w:t>
      </w:r>
    </w:p>
  </w:footnote>
  <w:footnote w:id="43">
    <w:p w:rsidR="009E166E" w:rsidRDefault="009E166E" w:rsidP="0088341A">
      <w:pPr>
        <w:pStyle w:val="FootnoteText"/>
      </w:pPr>
      <w:r>
        <w:rPr>
          <w:rStyle w:val="FootnoteReference"/>
        </w:rPr>
        <w:footnoteRef/>
      </w:r>
      <w:r>
        <w:t xml:space="preserve"> </w:t>
      </w:r>
      <w:r>
        <w:tab/>
        <w:t>NER, clause 6A.6.2(h).</w:t>
      </w:r>
    </w:p>
  </w:footnote>
  <w:footnote w:id="44">
    <w:p w:rsidR="009E166E" w:rsidRDefault="009E166E" w:rsidP="0088341A">
      <w:pPr>
        <w:pStyle w:val="FootnoteText"/>
      </w:pPr>
      <w:r>
        <w:rPr>
          <w:rStyle w:val="FootnoteReference"/>
        </w:rPr>
        <w:footnoteRef/>
      </w:r>
      <w:r>
        <w:t xml:space="preserve"> </w:t>
      </w:r>
      <w:r>
        <w:tab/>
        <w:t xml:space="preserve">EUCV, </w:t>
      </w:r>
      <w:r>
        <w:rPr>
          <w:rStyle w:val="AERtextitalic"/>
        </w:rPr>
        <w:t>Victorian Electricity Transmission Revenue R</w:t>
      </w:r>
      <w:r w:rsidRPr="001618CC">
        <w:rPr>
          <w:rStyle w:val="AERtextitalic"/>
        </w:rPr>
        <w:t xml:space="preserve">eset, </w:t>
      </w:r>
      <w:r>
        <w:rPr>
          <w:rStyle w:val="AERtextitalic"/>
        </w:rPr>
        <w:t>SP AusNet application</w:t>
      </w:r>
      <w:r w:rsidRPr="001618CC">
        <w:rPr>
          <w:rStyle w:val="AERtextitalic"/>
        </w:rPr>
        <w:t xml:space="preserve">, A response by </w:t>
      </w:r>
      <w:r>
        <w:rPr>
          <w:rStyle w:val="AERtextitalic"/>
        </w:rPr>
        <w:t>EUCV</w:t>
      </w:r>
      <w:r>
        <w:t xml:space="preserve">, May 2013. EUAA, </w:t>
      </w:r>
      <w:r w:rsidRPr="00A96706">
        <w:rPr>
          <w:rStyle w:val="AERtextitalic"/>
        </w:rPr>
        <w:t xml:space="preserve">Submission on </w:t>
      </w:r>
      <w:r>
        <w:rPr>
          <w:rStyle w:val="AERtextitalic"/>
        </w:rPr>
        <w:t>SPI PowerNet Ltd Electricity Transmission Revenue Proposal for 2014–17</w:t>
      </w:r>
      <w:r>
        <w:t>, May 2013.</w:t>
      </w:r>
    </w:p>
  </w:footnote>
  <w:footnote w:id="45">
    <w:p w:rsidR="009E166E" w:rsidRDefault="009E166E" w:rsidP="0088341A">
      <w:pPr>
        <w:pStyle w:val="FootnoteText"/>
      </w:pPr>
      <w:r>
        <w:rPr>
          <w:rStyle w:val="FootnoteReference"/>
        </w:rPr>
        <w:footnoteRef/>
      </w:r>
      <w:r>
        <w:t xml:space="preserve"> </w:t>
      </w:r>
      <w:r>
        <w:tab/>
      </w:r>
      <w:r w:rsidRPr="00390C9B">
        <w:t xml:space="preserve">Australian Competition Tribunal, </w:t>
      </w:r>
      <w:r w:rsidRPr="00E20B11">
        <w:rPr>
          <w:rStyle w:val="AERtextitalic"/>
        </w:rPr>
        <w:t>Application by Envestra Limited (No 2)</w:t>
      </w:r>
      <w:r w:rsidRPr="00390C9B">
        <w:t xml:space="preserve"> [2012] ACompT 3, 11 January 2012, paragraphs 95, 118, 120–1; see also Australian Competition Tribunal, </w:t>
      </w:r>
      <w:r w:rsidRPr="00E20B11">
        <w:rPr>
          <w:rStyle w:val="AERtextitalic"/>
        </w:rPr>
        <w:t>Application by APT Allgas Energy Ltd</w:t>
      </w:r>
      <w:r w:rsidRPr="00390C9B">
        <w:t xml:space="preserve"> [2012] ACompT 5, 11 January 2012.</w:t>
      </w:r>
    </w:p>
  </w:footnote>
  <w:footnote w:id="46">
    <w:p w:rsidR="009E166E" w:rsidRPr="00BA51BA" w:rsidRDefault="009E166E" w:rsidP="0088341A">
      <w:pPr>
        <w:pStyle w:val="FootnoteText"/>
      </w:pPr>
      <w:r>
        <w:rPr>
          <w:rStyle w:val="FootnoteReference"/>
        </w:rPr>
        <w:footnoteRef/>
      </w:r>
      <w:r>
        <w:t xml:space="preserve"> </w:t>
      </w:r>
      <w:r>
        <w:tab/>
      </w:r>
      <w:r w:rsidRPr="00A35D2F">
        <w:t xml:space="preserve">AER, </w:t>
      </w:r>
      <w:r w:rsidRPr="009C4620">
        <w:rPr>
          <w:rStyle w:val="AERtextitalic"/>
        </w:rPr>
        <w:t>Consultation paper: Rate of return guidelines</w:t>
      </w:r>
      <w:r w:rsidRPr="00A35D2F">
        <w:t>, May 2013, pp. 48</w:t>
      </w:r>
      <w:r w:rsidRPr="00A35D2F">
        <w:rPr>
          <w:rFonts w:hint="eastAsia"/>
        </w:rPr>
        <w:t>–</w:t>
      </w:r>
      <w:r w:rsidRPr="00A35D2F">
        <w:t>53.</w:t>
      </w:r>
    </w:p>
  </w:footnote>
  <w:footnote w:id="47">
    <w:p w:rsidR="009E166E" w:rsidRDefault="009E166E" w:rsidP="0088341A">
      <w:pPr>
        <w:pStyle w:val="FootnoteText"/>
      </w:pPr>
      <w:r>
        <w:rPr>
          <w:rStyle w:val="FootnoteReference"/>
        </w:rPr>
        <w:footnoteRef/>
      </w:r>
      <w:r>
        <w:t xml:space="preserve"> </w:t>
      </w:r>
      <w:r>
        <w:tab/>
        <w:t>NER, clause </w:t>
      </w:r>
      <w:r w:rsidRPr="007100C0">
        <w:t>6A.6.2(c)(2)(iii)</w:t>
      </w:r>
      <w:r>
        <w:t>.</w:t>
      </w:r>
    </w:p>
  </w:footnote>
  <w:footnote w:id="48">
    <w:p w:rsidR="009E166E" w:rsidRDefault="009E166E" w:rsidP="0088341A">
      <w:pPr>
        <w:pStyle w:val="FootnoteText"/>
      </w:pPr>
      <w:r>
        <w:rPr>
          <w:rStyle w:val="FootnoteReference"/>
        </w:rPr>
        <w:footnoteRef/>
      </w:r>
      <w:r>
        <w:t xml:space="preserve"> </w:t>
      </w:r>
      <w:r>
        <w:tab/>
        <w:t xml:space="preserve">AER, </w:t>
      </w:r>
      <w:r w:rsidRPr="00A35D2F">
        <w:rPr>
          <w:rStyle w:val="AERtextitalic"/>
        </w:rPr>
        <w:t>Final decision: Electricity transmission and distribution network service providers</w:t>
      </w:r>
      <w:r w:rsidRPr="00A35D2F">
        <w:rPr>
          <w:rStyle w:val="AERtextitalic"/>
          <w:rFonts w:hint="eastAsia"/>
        </w:rPr>
        <w:t>—</w:t>
      </w:r>
      <w:r w:rsidRPr="00A35D2F">
        <w:rPr>
          <w:rStyle w:val="AERtextitalic"/>
        </w:rPr>
        <w:t>review of the weighted average cost of capital (WACC) parameters</w:t>
      </w:r>
      <w:r>
        <w:t>, May 2009, p. 172.</w:t>
      </w:r>
    </w:p>
  </w:footnote>
  <w:footnote w:id="49">
    <w:p w:rsidR="009E166E" w:rsidRDefault="009E166E" w:rsidP="0088341A">
      <w:pPr>
        <w:pStyle w:val="FootnoteText"/>
      </w:pPr>
      <w:r>
        <w:rPr>
          <w:rStyle w:val="FootnoteReference"/>
        </w:rPr>
        <w:footnoteRef/>
      </w:r>
      <w:r>
        <w:t xml:space="preserve"> </w:t>
      </w:r>
      <w:r>
        <w:tab/>
        <w:t>NER, 6A.6.2(c)(iii).</w:t>
      </w:r>
    </w:p>
  </w:footnote>
  <w:footnote w:id="50">
    <w:p w:rsidR="009E166E" w:rsidRDefault="009E166E" w:rsidP="0088341A">
      <w:pPr>
        <w:pStyle w:val="FootnoteText"/>
      </w:pPr>
      <w:r>
        <w:rPr>
          <w:rStyle w:val="FootnoteReference"/>
        </w:rPr>
        <w:footnoteRef/>
      </w:r>
      <w:r>
        <w:t xml:space="preserve"> </w:t>
      </w:r>
      <w:r>
        <w:tab/>
        <w:t>For example, transactions entered into during the averaging period may better hedge the interest rate risk faced by SP AusNet for the regulatory control period. Accordingly, market practitioners could charge—and SP AusNet may be willing to pay—a premium for transactions during this period. This premium can be avoided by maintaining confidentiality of the period until it has elapsed.</w:t>
      </w:r>
    </w:p>
  </w:footnote>
  <w:footnote w:id="51">
    <w:p w:rsidR="009E166E" w:rsidRDefault="009E166E" w:rsidP="0088341A">
      <w:pPr>
        <w:pStyle w:val="FootnoteText"/>
      </w:pPr>
      <w:r>
        <w:rPr>
          <w:rStyle w:val="FootnoteReference"/>
        </w:rPr>
        <w:footnoteRef/>
      </w:r>
      <w:r>
        <w:t xml:space="preserve"> </w:t>
      </w:r>
      <w:r>
        <w:tab/>
        <w:t xml:space="preserve">NER, clause 6A.5.4(a)(1) and (3). </w:t>
      </w:r>
    </w:p>
  </w:footnote>
  <w:footnote w:id="52">
    <w:p w:rsidR="009E166E" w:rsidRDefault="009E166E" w:rsidP="0088341A">
      <w:pPr>
        <w:pStyle w:val="FootnoteText"/>
      </w:pPr>
      <w:r>
        <w:rPr>
          <w:rStyle w:val="FootnoteReference"/>
        </w:rPr>
        <w:footnoteRef/>
      </w:r>
      <w:r>
        <w:t xml:space="preserve"> </w:t>
      </w:r>
      <w:r>
        <w:tab/>
        <w:t xml:space="preserve">NER, clause S6A.1.3(7). </w:t>
      </w:r>
    </w:p>
  </w:footnote>
  <w:footnote w:id="53">
    <w:p w:rsidR="009E166E" w:rsidRDefault="009E166E" w:rsidP="0088341A">
      <w:pPr>
        <w:pStyle w:val="FootnoteText"/>
      </w:pPr>
      <w:r>
        <w:rPr>
          <w:rStyle w:val="FootnoteReference"/>
        </w:rPr>
        <w:footnoteRef/>
      </w:r>
      <w:r>
        <w:t xml:space="preserve"> </w:t>
      </w:r>
      <w:r>
        <w:tab/>
        <w:t>NER, clause 6A.6.7(c).</w:t>
      </w:r>
    </w:p>
  </w:footnote>
  <w:footnote w:id="54">
    <w:p w:rsidR="009E166E" w:rsidRDefault="009E166E" w:rsidP="0088341A">
      <w:pPr>
        <w:pStyle w:val="FootnoteText"/>
      </w:pPr>
      <w:r>
        <w:rPr>
          <w:rStyle w:val="FootnoteReference"/>
        </w:rPr>
        <w:footnoteRef/>
      </w:r>
      <w:r>
        <w:t xml:space="preserve"> </w:t>
      </w:r>
      <w:r>
        <w:tab/>
        <w:t>NER, clauses 6A.6.7(d), 6A.6.7(f) and 6A.14.1(2).</w:t>
      </w:r>
    </w:p>
  </w:footnote>
  <w:footnote w:id="55">
    <w:p w:rsidR="009E166E" w:rsidRDefault="009E166E" w:rsidP="0088341A">
      <w:pPr>
        <w:pStyle w:val="FootnoteText"/>
      </w:pPr>
      <w:r>
        <w:rPr>
          <w:rStyle w:val="FootnoteReference"/>
        </w:rPr>
        <w:footnoteRef/>
      </w:r>
      <w:r>
        <w:t xml:space="preserve"> </w:t>
      </w:r>
      <w:r>
        <w:tab/>
        <w:t xml:space="preserve">SP AusNet, </w:t>
      </w:r>
      <w:r w:rsidRPr="00F3010F">
        <w:rPr>
          <w:rStyle w:val="AERtextitalic"/>
        </w:rPr>
        <w:t>Revenue proposal</w:t>
      </w:r>
      <w:r>
        <w:t>, p. 84. The figure of $564.2 million ($2013–14) differs from the $575 million ($2013–14) in Table 4.4 (p. 84) of SP AusNet's revenue proposal. Since submitting its revenue proposal, SP AusNet informed us of errors in the 'major stations replacement' category in Table 4.4 (p. 84) of its revenue proposal.</w:t>
      </w:r>
    </w:p>
  </w:footnote>
  <w:footnote w:id="56">
    <w:p w:rsidR="009E166E" w:rsidRDefault="009E166E" w:rsidP="0088341A">
      <w:pPr>
        <w:pStyle w:val="FootnoteText"/>
      </w:pPr>
      <w:r>
        <w:rPr>
          <w:rStyle w:val="FootnoteReference"/>
        </w:rPr>
        <w:footnoteRef/>
      </w:r>
      <w:r>
        <w:t xml:space="preserve"> </w:t>
      </w:r>
      <w:r>
        <w:tab/>
        <w:t>NER, clause 6A.6.7(c).</w:t>
      </w:r>
    </w:p>
  </w:footnote>
  <w:footnote w:id="57">
    <w:p w:rsidR="009E166E" w:rsidRDefault="009E166E" w:rsidP="0088341A">
      <w:pPr>
        <w:pStyle w:val="FootnoteText"/>
      </w:pPr>
      <w:r>
        <w:rPr>
          <w:rStyle w:val="FootnoteReference"/>
        </w:rPr>
        <w:footnoteRef/>
      </w:r>
      <w:r>
        <w:t xml:space="preserve"> </w:t>
      </w:r>
      <w:r>
        <w:tab/>
        <w:t xml:space="preserve">EMCa, </w:t>
      </w:r>
      <w:r w:rsidRPr="003348E3">
        <w:rPr>
          <w:rStyle w:val="AERtextitalic"/>
        </w:rPr>
        <w:t>SP AusNet technical review</w:t>
      </w:r>
      <w:r>
        <w:t>, August 2013, pp. 38–41, paragraphs 95–101.</w:t>
      </w:r>
    </w:p>
  </w:footnote>
  <w:footnote w:id="58">
    <w:p w:rsidR="009E166E" w:rsidRDefault="009E166E" w:rsidP="0088341A">
      <w:pPr>
        <w:pStyle w:val="FootnoteText"/>
      </w:pPr>
      <w:r>
        <w:rPr>
          <w:rStyle w:val="FootnoteReference"/>
        </w:rPr>
        <w:footnoteRef/>
      </w:r>
      <w:r>
        <w:t xml:space="preserve"> </w:t>
      </w:r>
      <w:r>
        <w:tab/>
        <w:t xml:space="preserve">EMCa, </w:t>
      </w:r>
      <w:r w:rsidRPr="00670961">
        <w:rPr>
          <w:i/>
        </w:rPr>
        <w:t>SP AusNet technical review</w:t>
      </w:r>
      <w:r>
        <w:t>, p.62, paragraphs 194–6.</w:t>
      </w:r>
    </w:p>
  </w:footnote>
  <w:footnote w:id="59">
    <w:p w:rsidR="009E166E" w:rsidRDefault="009E166E" w:rsidP="0088341A">
      <w:pPr>
        <w:pStyle w:val="FootnoteText"/>
      </w:pPr>
      <w:r>
        <w:rPr>
          <w:rStyle w:val="FootnoteReference"/>
        </w:rPr>
        <w:footnoteRef/>
      </w:r>
      <w:r>
        <w:t xml:space="preserve"> </w:t>
      </w:r>
      <w:r>
        <w:tab/>
        <w:t xml:space="preserve">EMCa, </w:t>
      </w:r>
      <w:r w:rsidRPr="00670961">
        <w:rPr>
          <w:i/>
        </w:rPr>
        <w:t>SP AusNet technical review</w:t>
      </w:r>
      <w:r>
        <w:t>, pp.68–77, paragraphs 239–70.</w:t>
      </w:r>
    </w:p>
  </w:footnote>
  <w:footnote w:id="60">
    <w:p w:rsidR="009E166E" w:rsidRDefault="009E166E" w:rsidP="0088341A">
      <w:pPr>
        <w:pStyle w:val="FootnoteText"/>
      </w:pPr>
      <w:r>
        <w:rPr>
          <w:rStyle w:val="FootnoteReference"/>
        </w:rPr>
        <w:footnoteRef/>
      </w:r>
      <w:r>
        <w:t xml:space="preserve"> </w:t>
      </w:r>
      <w:r>
        <w:tab/>
        <w:t>NER, clause 6A.6.6 (c).</w:t>
      </w:r>
    </w:p>
  </w:footnote>
  <w:footnote w:id="61">
    <w:p w:rsidR="009E166E" w:rsidRDefault="009E166E" w:rsidP="0088341A">
      <w:pPr>
        <w:pStyle w:val="FootnoteText"/>
      </w:pPr>
      <w:r>
        <w:rPr>
          <w:rStyle w:val="FootnoteReference"/>
        </w:rPr>
        <w:footnoteRef/>
      </w:r>
      <w:r>
        <w:t xml:space="preserve"> </w:t>
      </w:r>
      <w:r>
        <w:tab/>
        <w:t>NER, clause 6A.6.6 (c).</w:t>
      </w:r>
    </w:p>
  </w:footnote>
  <w:footnote w:id="62">
    <w:p w:rsidR="009E166E" w:rsidRDefault="009E166E" w:rsidP="0088341A">
      <w:pPr>
        <w:pStyle w:val="FootnoteText"/>
      </w:pPr>
      <w:r>
        <w:rPr>
          <w:rStyle w:val="FootnoteReference"/>
        </w:rPr>
        <w:footnoteRef/>
      </w:r>
      <w:r>
        <w:t xml:space="preserve"> </w:t>
      </w:r>
      <w:r>
        <w:tab/>
        <w:t>NER, clauses 6A.6.6 (d), 6A.12.1(c) and 6A.14.1(3)(ii).</w:t>
      </w:r>
    </w:p>
  </w:footnote>
  <w:footnote w:id="63">
    <w:p w:rsidR="009E166E" w:rsidRDefault="009E166E" w:rsidP="0088341A">
      <w:pPr>
        <w:pStyle w:val="FootnoteText"/>
      </w:pPr>
      <w:r>
        <w:rPr>
          <w:rStyle w:val="FootnoteReference"/>
        </w:rPr>
        <w:footnoteRef/>
      </w:r>
      <w:r>
        <w:t xml:space="preserve"> </w:t>
      </w:r>
      <w:r>
        <w:tab/>
        <w:t>SP AusNet's proposal (Table 5.22, p.149) reported</w:t>
      </w:r>
      <w:r w:rsidRPr="00E8069B">
        <w:t xml:space="preserve"> total </w:t>
      </w:r>
      <w:r>
        <w:t xml:space="preserve">opex </w:t>
      </w:r>
      <w:r w:rsidRPr="00E8069B">
        <w:t xml:space="preserve">as </w:t>
      </w:r>
      <w:r>
        <w:t>$</w:t>
      </w:r>
      <w:r w:rsidRPr="00E8069B">
        <w:t>657.6</w:t>
      </w:r>
      <w:r>
        <w:t xml:space="preserve"> million.</w:t>
      </w:r>
      <w:r w:rsidRPr="00E8069B">
        <w:t xml:space="preserve"> However </w:t>
      </w:r>
      <w:r>
        <w:t xml:space="preserve">the </w:t>
      </w:r>
      <w:r w:rsidRPr="00E8069B">
        <w:t xml:space="preserve">sum of </w:t>
      </w:r>
      <w:r>
        <w:t>elements</w:t>
      </w:r>
      <w:r w:rsidRPr="00E8069B">
        <w:t xml:space="preserve"> is</w:t>
      </w:r>
      <w:r>
        <w:t xml:space="preserve"> $</w:t>
      </w:r>
      <w:r w:rsidRPr="00E8069B">
        <w:t>658.6</w:t>
      </w:r>
      <w:r>
        <w:t> million. This includes amounts for efficiency benefits sharing scheme (EBSS) carryover ($47.1 million) and equity raising costs (ERC) ($3.4 million) which are excluded from the total reported here.</w:t>
      </w:r>
    </w:p>
  </w:footnote>
  <w:footnote w:id="64">
    <w:p w:rsidR="009E166E" w:rsidRDefault="009E166E" w:rsidP="0088341A">
      <w:pPr>
        <w:pStyle w:val="FootnoteText"/>
      </w:pPr>
      <w:r>
        <w:rPr>
          <w:rStyle w:val="FootnoteReference"/>
        </w:rPr>
        <w:footnoteRef/>
      </w:r>
      <w:r>
        <w:t xml:space="preserve"> </w:t>
      </w:r>
      <w:r>
        <w:tab/>
        <w:t>SP AusNet reported its costs based on the Singapore financial year 1 April to 31 March. Unless otherwise specified, all prices in this chapter are in $2013–14 dollars mid-year.</w:t>
      </w:r>
    </w:p>
  </w:footnote>
  <w:footnote w:id="65">
    <w:p w:rsidR="009E166E" w:rsidRDefault="009E166E">
      <w:pPr>
        <w:pStyle w:val="FootnoteText"/>
      </w:pPr>
      <w:r>
        <w:rPr>
          <w:rStyle w:val="FootnoteReference"/>
        </w:rPr>
        <w:footnoteRef/>
      </w:r>
      <w:r>
        <w:t xml:space="preserve"> </w:t>
      </w:r>
      <w:r>
        <w:tab/>
        <w:t>NER, clause 6A.6.6(c).</w:t>
      </w:r>
    </w:p>
  </w:footnote>
  <w:footnote w:id="66">
    <w:p w:rsidR="009E166E" w:rsidRDefault="009E166E" w:rsidP="0088341A">
      <w:pPr>
        <w:pStyle w:val="FootnoteText"/>
      </w:pPr>
      <w:r>
        <w:rPr>
          <w:rStyle w:val="FootnoteReference"/>
        </w:rPr>
        <w:footnoteRef/>
      </w:r>
      <w:r>
        <w:t xml:space="preserve"> </w:t>
      </w:r>
      <w:r>
        <w:tab/>
        <w:t xml:space="preserve">SP AusNet proposed total opex of $657.6 million, which included an efficiency benefit payment of $47.1 million and asset works of $28.8 million (SP AusNet, Revenue Proposal, Table 5.22, p.149). This information did not reconcile with other information. SP AusNet subsequently provided revised forecast [SP AusNet, </w:t>
      </w:r>
      <w:r w:rsidRPr="00EC76C1">
        <w:rPr>
          <w:rStyle w:val="AERtextitalic"/>
        </w:rPr>
        <w:t xml:space="preserve">Response to AER request </w:t>
      </w:r>
      <w:r>
        <w:rPr>
          <w:rStyle w:val="AERtextitalic"/>
        </w:rPr>
        <w:t xml:space="preserve">AER RP </w:t>
      </w:r>
      <w:r w:rsidRPr="00EC76C1">
        <w:rPr>
          <w:rStyle w:val="AERtextitalic"/>
        </w:rPr>
        <w:t>23</w:t>
      </w:r>
      <w:r>
        <w:t>, 17 May 2013].</w:t>
      </w:r>
    </w:p>
  </w:footnote>
  <w:footnote w:id="67">
    <w:p w:rsidR="009E166E" w:rsidRDefault="009E166E" w:rsidP="0088341A">
      <w:pPr>
        <w:pStyle w:val="FootnoteText"/>
      </w:pPr>
      <w:r>
        <w:rPr>
          <w:rStyle w:val="FootnoteReference"/>
        </w:rPr>
        <w:footnoteRef/>
      </w:r>
      <w:r>
        <w:t xml:space="preserve"> </w:t>
      </w:r>
      <w:r>
        <w:tab/>
        <w:t>Based on total opex excluding the land and easement tax.</w:t>
      </w:r>
    </w:p>
  </w:footnote>
  <w:footnote w:id="68">
    <w:p w:rsidR="009E166E" w:rsidRDefault="009E166E" w:rsidP="0088341A">
      <w:pPr>
        <w:pStyle w:val="FootnoteText"/>
      </w:pPr>
      <w:r>
        <w:rPr>
          <w:rStyle w:val="FootnoteReference"/>
        </w:rPr>
        <w:footnoteRef/>
      </w:r>
      <w:r>
        <w:t xml:space="preserve"> </w:t>
      </w:r>
      <w:r>
        <w:tab/>
        <w:t>NER, clause 6A.6.6(e)(2).</w:t>
      </w:r>
    </w:p>
  </w:footnote>
  <w:footnote w:id="69">
    <w:p w:rsidR="009E166E" w:rsidRDefault="009E166E">
      <w:pPr>
        <w:pStyle w:val="FootnoteText"/>
      </w:pPr>
      <w:r>
        <w:rPr>
          <w:rStyle w:val="FootnoteReference"/>
        </w:rPr>
        <w:footnoteRef/>
      </w:r>
      <w:r>
        <w:t xml:space="preserve"> </w:t>
      </w:r>
      <w:r>
        <w:tab/>
        <w:t>NER, clause 6A.6.6(c)(1)</w:t>
      </w:r>
      <w:r>
        <w:softHyphen/>
        <w:t>(3).</w:t>
      </w:r>
    </w:p>
  </w:footnote>
  <w:footnote w:id="70">
    <w:p w:rsidR="009E166E" w:rsidRDefault="009E166E" w:rsidP="00594807">
      <w:pPr>
        <w:pStyle w:val="FootnoteText"/>
      </w:pPr>
      <w:r>
        <w:rPr>
          <w:rStyle w:val="FootnoteReference"/>
        </w:rPr>
        <w:footnoteRef/>
      </w:r>
      <w:r>
        <w:t xml:space="preserve"> </w:t>
      </w:r>
      <w:r>
        <w:tab/>
        <w:t xml:space="preserve">EMCa, </w:t>
      </w:r>
      <w:r w:rsidRPr="00AE649A">
        <w:rPr>
          <w:rStyle w:val="AERtextitalic"/>
        </w:rPr>
        <w:t>SP AusNet t</w:t>
      </w:r>
      <w:r w:rsidRPr="002D5AC6">
        <w:rPr>
          <w:rStyle w:val="AERtextitalic"/>
        </w:rPr>
        <w:t>echnical review</w:t>
      </w:r>
      <w:r>
        <w:t>, August 2013, p. 12, paragraph 19.</w:t>
      </w:r>
    </w:p>
  </w:footnote>
  <w:footnote w:id="71">
    <w:p w:rsidR="009E166E" w:rsidRDefault="009E166E">
      <w:pPr>
        <w:pStyle w:val="FootnoteText"/>
      </w:pPr>
      <w:r>
        <w:rPr>
          <w:rStyle w:val="FootnoteReference"/>
        </w:rPr>
        <w:footnoteRef/>
      </w:r>
      <w:r>
        <w:t xml:space="preserve"> </w:t>
      </w:r>
      <w:r>
        <w:tab/>
        <w:t>Actual expenditure 2008-08 to 2012-13 and SP AusNet’s proposed budget estimate in 2013-14.</w:t>
      </w:r>
    </w:p>
  </w:footnote>
  <w:footnote w:id="72">
    <w:p w:rsidR="009E166E" w:rsidRDefault="009E166E" w:rsidP="0088341A">
      <w:pPr>
        <w:pStyle w:val="FootnoteText"/>
      </w:pPr>
      <w:r>
        <w:rPr>
          <w:rStyle w:val="FootnoteReference"/>
        </w:rPr>
        <w:footnoteRef/>
      </w:r>
      <w:r>
        <w:t xml:space="preserve"> </w:t>
      </w:r>
      <w:r>
        <w:tab/>
      </w:r>
      <w:r w:rsidRPr="006A64F3">
        <w:t>SP AusNet,</w:t>
      </w:r>
      <w:r>
        <w:t xml:space="preserve"> </w:t>
      </w:r>
      <w:r w:rsidRPr="00A718B3">
        <w:rPr>
          <w:rStyle w:val="AERtextitalic"/>
        </w:rPr>
        <w:t>Revenue proposal</w:t>
      </w:r>
      <w:r>
        <w:t>, p. 59 and SP AusNet</w:t>
      </w:r>
      <w:r w:rsidRPr="006A64F3">
        <w:t xml:space="preserve">, </w:t>
      </w:r>
      <w:r w:rsidRPr="00A718B3">
        <w:rPr>
          <w:rStyle w:val="AERtextitalic"/>
        </w:rPr>
        <w:t>Response to information request EMCa 026</w:t>
      </w:r>
      <w:r w:rsidRPr="006A64F3">
        <w:t>, p. 2</w:t>
      </w:r>
      <w:r>
        <w:t xml:space="preserve">. </w:t>
      </w:r>
    </w:p>
  </w:footnote>
  <w:footnote w:id="73">
    <w:p w:rsidR="009E166E" w:rsidRPr="000040C1" w:rsidRDefault="009E166E" w:rsidP="0088341A">
      <w:pPr>
        <w:pStyle w:val="FootnoteText"/>
      </w:pPr>
      <w:r>
        <w:rPr>
          <w:rStyle w:val="FootnoteReference"/>
        </w:rPr>
        <w:footnoteRef/>
      </w:r>
      <w:r>
        <w:t xml:space="preserve"> </w:t>
      </w:r>
      <w:r>
        <w:tab/>
        <w:t xml:space="preserve">SP AusNet, </w:t>
      </w:r>
      <w:r w:rsidRPr="000040C1">
        <w:rPr>
          <w:i/>
        </w:rPr>
        <w:t>Response to information request EMCa 026</w:t>
      </w:r>
      <w:r>
        <w:t xml:space="preserve">, 17 April 2013, p. 2; SP AusNet, </w:t>
      </w:r>
      <w:r w:rsidRPr="00755F35">
        <w:rPr>
          <w:i/>
        </w:rPr>
        <w:t xml:space="preserve">Response to information request AER </w:t>
      </w:r>
      <w:r>
        <w:rPr>
          <w:i/>
        </w:rPr>
        <w:t xml:space="preserve">RP </w:t>
      </w:r>
      <w:r w:rsidRPr="00755F35">
        <w:rPr>
          <w:i/>
        </w:rPr>
        <w:t>20</w:t>
      </w:r>
      <w:r>
        <w:t xml:space="preserve">, p. 1–3. </w:t>
      </w:r>
    </w:p>
  </w:footnote>
  <w:footnote w:id="74">
    <w:p w:rsidR="009E166E" w:rsidRPr="000040C1" w:rsidRDefault="009E166E" w:rsidP="0088341A">
      <w:pPr>
        <w:pStyle w:val="FootnoteText"/>
      </w:pPr>
      <w:r>
        <w:rPr>
          <w:rStyle w:val="FootnoteReference"/>
        </w:rPr>
        <w:footnoteRef/>
      </w:r>
      <w:r>
        <w:t xml:space="preserve"> </w:t>
      </w:r>
      <w:r>
        <w:tab/>
        <w:t xml:space="preserve">SP AusNet, </w:t>
      </w:r>
      <w:r w:rsidRPr="000040C1">
        <w:rPr>
          <w:i/>
        </w:rPr>
        <w:t>Revenue proposal</w:t>
      </w:r>
      <w:r>
        <w:t>, p. 59.</w:t>
      </w:r>
    </w:p>
  </w:footnote>
  <w:footnote w:id="75">
    <w:p w:rsidR="009E166E" w:rsidRPr="003E77B0" w:rsidRDefault="009E166E" w:rsidP="0088341A">
      <w:pPr>
        <w:pStyle w:val="FootnoteText"/>
      </w:pPr>
      <w:r>
        <w:rPr>
          <w:rStyle w:val="FootnoteReference"/>
        </w:rPr>
        <w:footnoteRef/>
      </w:r>
      <w:r>
        <w:t xml:space="preserve"> </w:t>
      </w:r>
      <w:r>
        <w:tab/>
        <w:t xml:space="preserve">SP AusNet, </w:t>
      </w:r>
      <w:r w:rsidRPr="003E77B0">
        <w:rPr>
          <w:i/>
        </w:rPr>
        <w:t>Revenue proposal</w:t>
      </w:r>
      <w:r>
        <w:t>, p. 59.</w:t>
      </w:r>
    </w:p>
  </w:footnote>
  <w:footnote w:id="76">
    <w:p w:rsidR="009E166E" w:rsidRDefault="009E166E" w:rsidP="0088341A">
      <w:pPr>
        <w:pStyle w:val="FootnoteText"/>
      </w:pPr>
      <w:r>
        <w:rPr>
          <w:rStyle w:val="FootnoteReference"/>
        </w:rPr>
        <w:footnoteRef/>
      </w:r>
      <w:r>
        <w:t xml:space="preserve"> </w:t>
      </w:r>
      <w:r>
        <w:tab/>
        <w:t xml:space="preserve">EMCa, </w:t>
      </w:r>
      <w:r>
        <w:rPr>
          <w:rStyle w:val="AERtextitalic"/>
        </w:rPr>
        <w:t xml:space="preserve">SP AusNet </w:t>
      </w:r>
      <w:r w:rsidRPr="00AC0F79">
        <w:rPr>
          <w:rStyle w:val="AERtextitalic"/>
        </w:rPr>
        <w:t>technical review</w:t>
      </w:r>
      <w:r>
        <w:t>, August 2013, p.16, paragraph 38.</w:t>
      </w:r>
    </w:p>
  </w:footnote>
  <w:footnote w:id="77">
    <w:p w:rsidR="009E166E" w:rsidRDefault="009E166E" w:rsidP="00246317">
      <w:pPr>
        <w:pStyle w:val="FootnoteText"/>
      </w:pPr>
      <w:r>
        <w:rPr>
          <w:rStyle w:val="FootnoteReference"/>
        </w:rPr>
        <w:footnoteRef/>
      </w:r>
      <w:r>
        <w:t xml:space="preserve"> </w:t>
      </w:r>
      <w:r>
        <w:tab/>
        <w:t>NER clause 6A.6.6(a).</w:t>
      </w:r>
    </w:p>
  </w:footnote>
  <w:footnote w:id="78">
    <w:p w:rsidR="009E166E" w:rsidRPr="005A216C" w:rsidRDefault="009E166E" w:rsidP="00607F6B">
      <w:pPr>
        <w:pStyle w:val="FootnoteText"/>
        <w:rPr>
          <w:lang w:val="en-US"/>
        </w:rPr>
      </w:pPr>
      <w:r>
        <w:rPr>
          <w:rStyle w:val="FootnoteReference"/>
        </w:rPr>
        <w:footnoteRef/>
      </w:r>
      <w:r>
        <w:t xml:space="preserve"> </w:t>
      </w:r>
      <w:r>
        <w:rPr>
          <w:lang w:val="en-US"/>
        </w:rPr>
        <w:tab/>
        <w:t>AER, ‘</w:t>
      </w:r>
      <w:r>
        <w:rPr>
          <w:rStyle w:val="AERtextitalic"/>
        </w:rPr>
        <w:t>Better regulation-</w:t>
      </w:r>
      <w:r w:rsidRPr="00E8656D">
        <w:rPr>
          <w:rStyle w:val="AERtextitalic"/>
        </w:rPr>
        <w:t>Draft expenditure forecast assessment guideline for electricity transmission</w:t>
      </w:r>
      <w:r w:rsidRPr="002C6A79">
        <w:rPr>
          <w:lang w:val="en-US"/>
        </w:rPr>
        <w:t>’, August 2013</w:t>
      </w:r>
      <w:r>
        <w:rPr>
          <w:lang w:val="en-US"/>
        </w:rPr>
        <w:t xml:space="preserve">, pp.7-9. </w:t>
      </w:r>
    </w:p>
  </w:footnote>
  <w:footnote w:id="79">
    <w:p w:rsidR="009E166E" w:rsidRDefault="009E166E" w:rsidP="0088341A">
      <w:pPr>
        <w:pStyle w:val="FootnoteText"/>
      </w:pPr>
      <w:r>
        <w:rPr>
          <w:rStyle w:val="FootnoteReference"/>
        </w:rPr>
        <w:footnoteRef/>
      </w:r>
      <w:r>
        <w:t xml:space="preserve"> </w:t>
      </w:r>
      <w:r>
        <w:tab/>
        <w:t>This does not include the network growth component.</w:t>
      </w:r>
    </w:p>
  </w:footnote>
  <w:footnote w:id="80">
    <w:p w:rsidR="009E166E" w:rsidRDefault="009E166E" w:rsidP="0088341A">
      <w:pPr>
        <w:pStyle w:val="FootnoteText"/>
      </w:pPr>
      <w:r>
        <w:rPr>
          <w:rStyle w:val="FootnoteReference"/>
        </w:rPr>
        <w:footnoteRef/>
      </w:r>
      <w:r>
        <w:t xml:space="preserve"> </w:t>
      </w:r>
      <w:r>
        <w:tab/>
        <w:t xml:space="preserve">NEL, ss7 and 7A. </w:t>
      </w:r>
    </w:p>
  </w:footnote>
  <w:footnote w:id="81">
    <w:p w:rsidR="009E166E" w:rsidRDefault="009E166E" w:rsidP="0088341A">
      <w:pPr>
        <w:pStyle w:val="FootnoteText"/>
      </w:pPr>
      <w:r>
        <w:rPr>
          <w:rStyle w:val="FootnoteReference"/>
        </w:rPr>
        <w:footnoteRef/>
      </w:r>
      <w:r>
        <w:t xml:space="preserve"> </w:t>
      </w:r>
      <w:r>
        <w:tab/>
        <w:t>NEL, ss 7 and 7A.</w:t>
      </w:r>
    </w:p>
  </w:footnote>
  <w:footnote w:id="82">
    <w:p w:rsidR="009E166E" w:rsidRDefault="009E166E" w:rsidP="0088341A">
      <w:pPr>
        <w:pStyle w:val="FootnoteText"/>
      </w:pPr>
      <w:r>
        <w:rPr>
          <w:rStyle w:val="FootnoteReference"/>
        </w:rPr>
        <w:footnoteRef/>
      </w:r>
      <w:r>
        <w:t xml:space="preserve"> </w:t>
      </w:r>
      <w:r>
        <w:tab/>
        <w:t>NEL, s7A.</w:t>
      </w:r>
    </w:p>
  </w:footnote>
  <w:footnote w:id="83">
    <w:p w:rsidR="009E166E" w:rsidRDefault="009E166E" w:rsidP="0088341A">
      <w:pPr>
        <w:pStyle w:val="FootnoteText"/>
      </w:pPr>
      <w:r>
        <w:rPr>
          <w:rStyle w:val="FootnoteReference"/>
        </w:rPr>
        <w:footnoteRef/>
      </w:r>
      <w:r>
        <w:t xml:space="preserve"> </w:t>
      </w:r>
      <w:r>
        <w:tab/>
        <w:t xml:space="preserve">NER, clause 6A.6.7(a). </w:t>
      </w:r>
    </w:p>
  </w:footnote>
  <w:footnote w:id="84">
    <w:p w:rsidR="009E166E" w:rsidRDefault="009E166E" w:rsidP="0088341A">
      <w:pPr>
        <w:pStyle w:val="FootnoteText"/>
      </w:pPr>
      <w:r>
        <w:rPr>
          <w:rStyle w:val="FootnoteReference"/>
        </w:rPr>
        <w:footnoteRef/>
      </w:r>
      <w:r>
        <w:t xml:space="preserve"> </w:t>
      </w:r>
      <w:r>
        <w:tab/>
        <w:t xml:space="preserve">EMCa, </w:t>
      </w:r>
      <w:r>
        <w:rPr>
          <w:rStyle w:val="AERtextitalic"/>
        </w:rPr>
        <w:t xml:space="preserve">SP AusNet </w:t>
      </w:r>
      <w:r w:rsidRPr="00AC0F79">
        <w:rPr>
          <w:rStyle w:val="AERtextitalic"/>
        </w:rPr>
        <w:t>technical review</w:t>
      </w:r>
      <w:r>
        <w:t xml:space="preserve">, August 2013, p.84 paragraph 303. </w:t>
      </w:r>
    </w:p>
  </w:footnote>
  <w:footnote w:id="85">
    <w:p w:rsidR="009E166E" w:rsidRDefault="009E166E" w:rsidP="0088341A">
      <w:pPr>
        <w:pStyle w:val="FootnoteText"/>
      </w:pPr>
      <w:r>
        <w:rPr>
          <w:rStyle w:val="FootnoteReference"/>
        </w:rPr>
        <w:footnoteRef/>
      </w:r>
      <w:r>
        <w:t xml:space="preserve"> </w:t>
      </w:r>
      <w:r>
        <w:tab/>
        <w:t>NER, clause 6A.6.6(e)(6).</w:t>
      </w:r>
    </w:p>
  </w:footnote>
  <w:footnote w:id="86">
    <w:p w:rsidR="009E166E" w:rsidRDefault="009E166E" w:rsidP="0088341A">
      <w:pPr>
        <w:pStyle w:val="FootnoteText"/>
      </w:pPr>
      <w:r>
        <w:rPr>
          <w:rStyle w:val="FootnoteReference"/>
        </w:rPr>
        <w:footnoteRef/>
      </w:r>
      <w:r>
        <w:t xml:space="preserve"> </w:t>
      </w:r>
      <w:r>
        <w:tab/>
        <w:t xml:space="preserve">NER, clause 11.59.3, version 54. </w:t>
      </w:r>
    </w:p>
  </w:footnote>
  <w:footnote w:id="87">
    <w:p w:rsidR="009E166E" w:rsidRDefault="009E166E" w:rsidP="0088341A">
      <w:pPr>
        <w:pStyle w:val="FootnoteText"/>
      </w:pPr>
      <w:r>
        <w:rPr>
          <w:rStyle w:val="FootnoteReference"/>
        </w:rPr>
        <w:footnoteRef/>
      </w:r>
      <w:r>
        <w:t xml:space="preserve"> </w:t>
      </w:r>
      <w:r>
        <w:tab/>
        <w:t>NER, clause 6A.6.6(e)(5).</w:t>
      </w:r>
    </w:p>
  </w:footnote>
  <w:footnote w:id="88">
    <w:p w:rsidR="009E166E" w:rsidRDefault="009E166E" w:rsidP="0088341A">
      <w:pPr>
        <w:pStyle w:val="FootnoteText"/>
      </w:pPr>
      <w:r>
        <w:rPr>
          <w:rStyle w:val="FootnoteReference"/>
        </w:rPr>
        <w:footnoteRef/>
      </w:r>
      <w:r>
        <w:t xml:space="preserve"> </w:t>
      </w:r>
      <w:r>
        <w:tab/>
        <w:t>NER, clause 6A.6.6(e)(5).</w:t>
      </w:r>
    </w:p>
  </w:footnote>
  <w:footnote w:id="89">
    <w:p w:rsidR="009E166E" w:rsidRDefault="009E166E" w:rsidP="0088341A">
      <w:pPr>
        <w:pStyle w:val="FootnoteText"/>
      </w:pPr>
      <w:r>
        <w:rPr>
          <w:rStyle w:val="FootnoteReference"/>
        </w:rPr>
        <w:footnoteRef/>
      </w:r>
      <w:r>
        <w:t xml:space="preserve"> </w:t>
      </w:r>
      <w:r>
        <w:tab/>
        <w:t>NER, clause 6A.6.6(e)(5).</w:t>
      </w:r>
    </w:p>
  </w:footnote>
  <w:footnote w:id="90">
    <w:p w:rsidR="009E166E" w:rsidRDefault="009E166E" w:rsidP="0088341A">
      <w:pPr>
        <w:pStyle w:val="FootnoteText"/>
      </w:pPr>
      <w:r>
        <w:rPr>
          <w:rStyle w:val="FootnoteReference"/>
        </w:rPr>
        <w:footnoteRef/>
      </w:r>
      <w:r>
        <w:t xml:space="preserve"> </w:t>
      </w:r>
      <w:r>
        <w:tab/>
        <w:t>NER, clause 6A.6.6(e)(5).</w:t>
      </w:r>
    </w:p>
  </w:footnote>
  <w:footnote w:id="91">
    <w:p w:rsidR="009E166E" w:rsidRDefault="009E166E" w:rsidP="0088341A">
      <w:pPr>
        <w:pStyle w:val="FootnoteText"/>
      </w:pPr>
      <w:r>
        <w:rPr>
          <w:rStyle w:val="FootnoteReference"/>
        </w:rPr>
        <w:footnoteRef/>
      </w:r>
      <w:r>
        <w:t xml:space="preserve"> </w:t>
      </w:r>
      <w:r>
        <w:tab/>
        <w:t>NER, clause 6A.6.6(e)(5).</w:t>
      </w:r>
    </w:p>
  </w:footnote>
  <w:footnote w:id="92">
    <w:p w:rsidR="009E166E" w:rsidRDefault="009E166E" w:rsidP="0088341A">
      <w:pPr>
        <w:pStyle w:val="FootnoteText"/>
      </w:pPr>
      <w:r>
        <w:rPr>
          <w:rStyle w:val="FootnoteReference"/>
        </w:rPr>
        <w:footnoteRef/>
      </w:r>
      <w:r>
        <w:t xml:space="preserve"> </w:t>
      </w:r>
      <w:r>
        <w:tab/>
        <w:t>NER, clause 6A.6.6(e)(5).</w:t>
      </w:r>
    </w:p>
  </w:footnote>
  <w:footnote w:id="93">
    <w:p w:rsidR="009E166E" w:rsidRDefault="009E166E" w:rsidP="0088341A">
      <w:pPr>
        <w:pStyle w:val="FootnoteText"/>
      </w:pPr>
      <w:r>
        <w:rPr>
          <w:rStyle w:val="FootnoteReference"/>
        </w:rPr>
        <w:footnoteRef/>
      </w:r>
      <w:r>
        <w:t xml:space="preserve"> </w:t>
      </w:r>
      <w:r>
        <w:tab/>
        <w:t>NER, clauses 6A.6.6(e)(5) and (6).</w:t>
      </w:r>
    </w:p>
  </w:footnote>
  <w:footnote w:id="94">
    <w:p w:rsidR="009E166E" w:rsidRDefault="009E166E" w:rsidP="0088341A">
      <w:pPr>
        <w:pStyle w:val="FootnoteText"/>
      </w:pPr>
      <w:r>
        <w:rPr>
          <w:rStyle w:val="FootnoteReference"/>
        </w:rPr>
        <w:footnoteRef/>
      </w:r>
      <w:r>
        <w:t xml:space="preserve"> </w:t>
      </w:r>
      <w:r>
        <w:tab/>
      </w:r>
      <w:r w:rsidRPr="00EE2907">
        <w:t>During a regulatory control period</w:t>
      </w:r>
      <w:r>
        <w:t>,</w:t>
      </w:r>
      <w:r w:rsidRPr="00EE2907">
        <w:t xml:space="preserve"> AEMO or a distribution business </w:t>
      </w:r>
      <w:r>
        <w:t>may</w:t>
      </w:r>
      <w:r w:rsidRPr="00EE2907">
        <w:t xml:space="preserve"> request </w:t>
      </w:r>
      <w:r>
        <w:t xml:space="preserve">SP AusNet to </w:t>
      </w:r>
      <w:r w:rsidRPr="00EE2907">
        <w:t>provide augmentations to the transmission network or distrib</w:t>
      </w:r>
      <w:r>
        <w:t xml:space="preserve">ution connection services. While the </w:t>
      </w:r>
      <w:r w:rsidRPr="00EE2907">
        <w:t>assets</w:t>
      </w:r>
      <w:r>
        <w:t xml:space="preserve"> constructed due to these requests </w:t>
      </w:r>
      <w:r w:rsidRPr="00EE2907">
        <w:t>provide prescribed transmission services</w:t>
      </w:r>
      <w:r>
        <w:t xml:space="preserve">, </w:t>
      </w:r>
      <w:r w:rsidRPr="00EE2907">
        <w:t xml:space="preserve">the forecast capex associated with </w:t>
      </w:r>
      <w:r>
        <w:t>these assets</w:t>
      </w:r>
      <w:r w:rsidRPr="00EE2907">
        <w:t xml:space="preserve"> sit outsi</w:t>
      </w:r>
      <w:r>
        <w:t xml:space="preserve">de of the revenue determination. This is </w:t>
      </w:r>
      <w:r w:rsidRPr="00EE2907">
        <w:t xml:space="preserve">because </w:t>
      </w:r>
      <w:r>
        <w:t xml:space="preserve">SP AusNet </w:t>
      </w:r>
      <w:r w:rsidRPr="00EE2907">
        <w:t xml:space="preserve">is not responsible for </w:t>
      </w:r>
      <w:r>
        <w:t>the</w:t>
      </w:r>
      <w:r w:rsidRPr="00EE2907">
        <w:t xml:space="preserve"> planning</w:t>
      </w:r>
      <w:r>
        <w:t xml:space="preserve"> of these capex.</w:t>
      </w:r>
      <w:r w:rsidRPr="00EE2907">
        <w:t xml:space="preserve"> </w:t>
      </w:r>
      <w:r>
        <w:t xml:space="preserve">SP AusNet </w:t>
      </w:r>
      <w:r w:rsidRPr="00EE2907">
        <w:t xml:space="preserve">refers to these services as </w:t>
      </w:r>
      <w:r>
        <w:t>‘excluded prescribed</w:t>
      </w:r>
      <w:r w:rsidRPr="00EE2907">
        <w:t xml:space="preserve"> services</w:t>
      </w:r>
      <w:r>
        <w:t>'</w:t>
      </w:r>
      <w:r w:rsidRPr="00EE2907">
        <w:t>, and the assets which p</w:t>
      </w:r>
      <w:r>
        <w:t>rovide these services are referred to as ‘</w:t>
      </w:r>
      <w:r w:rsidRPr="00EE2907">
        <w:t>Group 3</w:t>
      </w:r>
      <w:r>
        <w:t>’</w:t>
      </w:r>
      <w:r w:rsidRPr="00EE2907">
        <w:t xml:space="preserve"> assets. Group 3 assets sit outside of the </w:t>
      </w:r>
      <w:r>
        <w:t>RAB</w:t>
      </w:r>
      <w:r w:rsidRPr="00EE2907">
        <w:t xml:space="preserve"> and are governed by commercial contracts until they are rolled into the </w:t>
      </w:r>
      <w:r>
        <w:t>RAB</w:t>
      </w:r>
      <w:r w:rsidRPr="00EE2907">
        <w:t>, usually at the next revenue reset.</w:t>
      </w:r>
      <w:r>
        <w:t xml:space="preserve"> (SP AusNet , </w:t>
      </w:r>
      <w:r w:rsidRPr="00263176">
        <w:rPr>
          <w:rStyle w:val="AERtextitalic"/>
        </w:rPr>
        <w:t>Revenue proposal</w:t>
      </w:r>
      <w:r>
        <w:t>, p.30.)</w:t>
      </w:r>
    </w:p>
  </w:footnote>
  <w:footnote w:id="95">
    <w:p w:rsidR="009E166E" w:rsidRDefault="009E166E" w:rsidP="00C4680C">
      <w:pPr>
        <w:pStyle w:val="FootnoteText"/>
      </w:pPr>
      <w:r>
        <w:rPr>
          <w:rStyle w:val="FootnoteReference"/>
        </w:rPr>
        <w:footnoteRef/>
      </w:r>
      <w:r>
        <w:t xml:space="preserve"> </w:t>
      </w:r>
      <w:r>
        <w:tab/>
        <w:t>NER, clauses 6A.6.6(c)(2) and (e)(4).</w:t>
      </w:r>
    </w:p>
  </w:footnote>
  <w:footnote w:id="96">
    <w:p w:rsidR="009E166E" w:rsidRDefault="009E166E" w:rsidP="00C4680C">
      <w:pPr>
        <w:pStyle w:val="FootnoteText"/>
      </w:pPr>
      <w:r>
        <w:rPr>
          <w:rStyle w:val="FootnoteReference"/>
        </w:rPr>
        <w:footnoteRef/>
      </w:r>
      <w:r>
        <w:t xml:space="preserve"> </w:t>
      </w:r>
      <w:r>
        <w:tab/>
        <w:t>NER, clauses 6A.6.6(c)(2) and (e)(4).</w:t>
      </w:r>
    </w:p>
  </w:footnote>
  <w:footnote w:id="97">
    <w:p w:rsidR="009E166E" w:rsidRDefault="009E166E" w:rsidP="0088341A">
      <w:pPr>
        <w:pStyle w:val="FootnoteText"/>
      </w:pPr>
      <w:r>
        <w:rPr>
          <w:rStyle w:val="FootnoteReference"/>
        </w:rPr>
        <w:footnoteRef/>
      </w:r>
      <w:r>
        <w:t xml:space="preserve"> </w:t>
      </w:r>
      <w:r>
        <w:tab/>
        <w:t xml:space="preserve">AER, </w:t>
      </w:r>
      <w:r w:rsidRPr="00E26609">
        <w:rPr>
          <w:rStyle w:val="AERtextitalic"/>
        </w:rPr>
        <w:t>First proposed</w:t>
      </w:r>
      <w:r>
        <w:t xml:space="preserve"> </w:t>
      </w:r>
      <w:r>
        <w:rPr>
          <w:rStyle w:val="AERtextitalic"/>
        </w:rPr>
        <w:t>e</w:t>
      </w:r>
      <w:r w:rsidRPr="00E82A5E">
        <w:rPr>
          <w:rStyle w:val="AERtextitalic"/>
        </w:rPr>
        <w:t>lectricity transmission network service providers efficiency benefit sharing scheme</w:t>
      </w:r>
      <w:r>
        <w:t>, January 2007. The NER (clauses 11.6.17 and 11.6.18) required us to apply the first proposed EBSS to SP AusNet for the 2008 determination, but not for subsequent determinations.</w:t>
      </w:r>
    </w:p>
  </w:footnote>
  <w:footnote w:id="98">
    <w:p w:rsidR="009E166E" w:rsidRDefault="009E166E" w:rsidP="0088341A">
      <w:pPr>
        <w:pStyle w:val="FootnoteText"/>
      </w:pPr>
      <w:r>
        <w:rPr>
          <w:rStyle w:val="FootnoteReference"/>
        </w:rPr>
        <w:footnoteRef/>
      </w:r>
      <w:r>
        <w:t xml:space="preserve"> </w:t>
      </w:r>
      <w:r>
        <w:tab/>
        <w:t xml:space="preserve">AER, </w:t>
      </w:r>
      <w:r w:rsidRPr="00E82A5E">
        <w:rPr>
          <w:rStyle w:val="AERtextitalic"/>
        </w:rPr>
        <w:t>Electricity transmission network service providers efficiency benefit sharing scheme</w:t>
      </w:r>
      <w:r>
        <w:t>, September 2007.</w:t>
      </w:r>
    </w:p>
  </w:footnote>
  <w:footnote w:id="99">
    <w:p w:rsidR="009E166E" w:rsidRDefault="009E166E" w:rsidP="0088341A">
      <w:pPr>
        <w:pStyle w:val="FootnoteText"/>
      </w:pPr>
      <w:r>
        <w:rPr>
          <w:rStyle w:val="FootnoteReference"/>
        </w:rPr>
        <w:footnoteRef/>
      </w:r>
      <w:r>
        <w:t xml:space="preserve"> </w:t>
      </w:r>
      <w:r>
        <w:tab/>
      </w:r>
      <w:r w:rsidRPr="005252A4">
        <w:t>NER, clauses 6A.4.2(a)(6) and 6A.14.1(1)(iv).</w:t>
      </w:r>
    </w:p>
  </w:footnote>
  <w:footnote w:id="100">
    <w:p w:rsidR="009E166E" w:rsidRDefault="009E166E" w:rsidP="0088341A">
      <w:pPr>
        <w:pStyle w:val="FootnoteText"/>
      </w:pPr>
      <w:r>
        <w:rPr>
          <w:rStyle w:val="FootnoteReference"/>
        </w:rPr>
        <w:footnoteRef/>
      </w:r>
      <w:r>
        <w:t xml:space="preserve"> </w:t>
      </w:r>
      <w:r>
        <w:tab/>
        <w:t xml:space="preserve">AER, </w:t>
      </w:r>
      <w:r w:rsidRPr="00D0324D">
        <w:rPr>
          <w:rStyle w:val="AERtextitalic"/>
        </w:rPr>
        <w:t>First proposed electricity</w:t>
      </w:r>
      <w:r w:rsidRPr="00E82A5E">
        <w:rPr>
          <w:rStyle w:val="AERtextitalic"/>
        </w:rPr>
        <w:t xml:space="preserve"> transmission network service providers efficiency benefit sharing scheme</w:t>
      </w:r>
      <w:r>
        <w:t>, January 2007, p. 2.</w:t>
      </w:r>
    </w:p>
  </w:footnote>
  <w:footnote w:id="101">
    <w:p w:rsidR="009E166E" w:rsidRDefault="009E166E" w:rsidP="0088341A">
      <w:pPr>
        <w:pStyle w:val="FootnoteText"/>
      </w:pPr>
      <w:r>
        <w:rPr>
          <w:rStyle w:val="FootnoteReference"/>
        </w:rPr>
        <w:footnoteRef/>
      </w:r>
      <w:r>
        <w:t xml:space="preserve"> </w:t>
      </w:r>
      <w:r>
        <w:tab/>
        <w:t>NER, clause 6A.6.4.</w:t>
      </w:r>
    </w:p>
  </w:footnote>
  <w:footnote w:id="102">
    <w:p w:rsidR="009E166E" w:rsidRDefault="009E166E" w:rsidP="0088341A">
      <w:pPr>
        <w:pStyle w:val="FootnoteText"/>
      </w:pPr>
      <w:r>
        <w:rPr>
          <w:rStyle w:val="FootnoteReference"/>
        </w:rPr>
        <w:footnoteRef/>
      </w:r>
      <w:r>
        <w:t xml:space="preserve"> </w:t>
      </w:r>
      <w:r>
        <w:tab/>
        <w:t>NER, clause 6A.8.1(c)(5).</w:t>
      </w:r>
    </w:p>
  </w:footnote>
  <w:footnote w:id="103">
    <w:p w:rsidR="009E166E" w:rsidRDefault="009E166E" w:rsidP="0088341A">
      <w:pPr>
        <w:pStyle w:val="FootnoteText"/>
      </w:pPr>
      <w:r>
        <w:rPr>
          <w:rStyle w:val="FootnoteReference"/>
        </w:rPr>
        <w:footnoteRef/>
      </w:r>
      <w:r>
        <w:t xml:space="preserve"> </w:t>
      </w:r>
      <w:r>
        <w:tab/>
        <w:t>NER, clause 6A.8.1(c)(5)(i).</w:t>
      </w:r>
    </w:p>
  </w:footnote>
  <w:footnote w:id="104">
    <w:p w:rsidR="009E166E" w:rsidRDefault="009E166E" w:rsidP="0088341A">
      <w:pPr>
        <w:pStyle w:val="FootnoteText"/>
      </w:pPr>
      <w:r>
        <w:rPr>
          <w:rStyle w:val="FootnoteReference"/>
        </w:rPr>
        <w:footnoteRef/>
      </w:r>
      <w:r>
        <w:t xml:space="preserve"> </w:t>
      </w:r>
      <w:r>
        <w:tab/>
        <w:t>NER, clause 6A.8.1(b).</w:t>
      </w:r>
    </w:p>
  </w:footnote>
  <w:footnote w:id="105">
    <w:p w:rsidR="009E166E" w:rsidRDefault="009E166E" w:rsidP="0088341A">
      <w:pPr>
        <w:pStyle w:val="FootnoteText"/>
      </w:pPr>
      <w:r>
        <w:rPr>
          <w:rStyle w:val="FootnoteReference"/>
        </w:rPr>
        <w:footnoteRef/>
      </w:r>
      <w:r>
        <w:t xml:space="preserve"> </w:t>
      </w:r>
      <w:r>
        <w:tab/>
      </w:r>
      <w:r w:rsidRPr="004F5961">
        <w:t xml:space="preserve">SP AusNet, </w:t>
      </w:r>
      <w:r w:rsidRPr="00A12502">
        <w:rPr>
          <w:rStyle w:val="AERtextitalic"/>
        </w:rPr>
        <w:t>Revenue proposal for the 2014–17 regulatory control period</w:t>
      </w:r>
      <w:r>
        <w:t xml:space="preserve">, </w:t>
      </w:r>
      <w:r w:rsidRPr="004F5961">
        <w:t>Appendix G</w:t>
      </w:r>
      <w:r>
        <w:t>:</w:t>
      </w:r>
      <w:r w:rsidRPr="004F5961">
        <w:t xml:space="preserve"> Proposed contingent projects for the 2014–17 regulatory contro</w:t>
      </w:r>
      <w:r>
        <w:t>l period, 28 February 2013, p. 5.</w:t>
      </w:r>
    </w:p>
  </w:footnote>
  <w:footnote w:id="106">
    <w:p w:rsidR="009E166E" w:rsidRDefault="009E166E" w:rsidP="0088341A">
      <w:pPr>
        <w:pStyle w:val="FootnoteText"/>
      </w:pPr>
      <w:r>
        <w:rPr>
          <w:rStyle w:val="FootnoteReference"/>
        </w:rPr>
        <w:footnoteRef/>
      </w:r>
      <w:r>
        <w:t xml:space="preserve"> </w:t>
      </w:r>
      <w:r>
        <w:tab/>
        <w:t xml:space="preserve">AER, </w:t>
      </w:r>
      <w:r w:rsidRPr="001E7D29">
        <w:rPr>
          <w:rStyle w:val="AERtextitalic"/>
        </w:rPr>
        <w:t>Final –</w:t>
      </w:r>
      <w:r>
        <w:rPr>
          <w:rStyle w:val="AERtextitalic"/>
        </w:rPr>
        <w:t xml:space="preserve"> Service Target P</w:t>
      </w:r>
      <w:r w:rsidRPr="001E7D29">
        <w:rPr>
          <w:rStyle w:val="AERtextitalic"/>
        </w:rPr>
        <w:t>erforma</w:t>
      </w:r>
      <w:r>
        <w:rPr>
          <w:rStyle w:val="AERtextitalic"/>
        </w:rPr>
        <w:t>nce Incentive Scheme</w:t>
      </w:r>
      <w:r w:rsidRPr="001E7D29">
        <w:rPr>
          <w:rStyle w:val="AERtextitalic"/>
        </w:rPr>
        <w:t xml:space="preserve">, </w:t>
      </w:r>
      <w:r w:rsidRPr="00CB7C54">
        <w:rPr>
          <w:rStyle w:val="AERtextitalic"/>
          <w:i w:val="0"/>
        </w:rPr>
        <w:t>December 2012.</w:t>
      </w:r>
      <w:r>
        <w:rPr>
          <w:rStyle w:val="AERtextitalic"/>
        </w:rPr>
        <w:t xml:space="preserve"> </w:t>
      </w:r>
      <w:r>
        <w:t xml:space="preserve"> </w:t>
      </w:r>
    </w:p>
  </w:footnote>
  <w:footnote w:id="107">
    <w:p w:rsidR="009E166E" w:rsidRDefault="009E166E" w:rsidP="0088341A">
      <w:pPr>
        <w:pStyle w:val="FootnoteText"/>
      </w:pPr>
      <w:r>
        <w:rPr>
          <w:rStyle w:val="FootnoteReference"/>
        </w:rPr>
        <w:footnoteRef/>
      </w:r>
      <w:r>
        <w:t xml:space="preserve"> </w:t>
      </w:r>
      <w:r>
        <w:tab/>
        <w:t xml:space="preserve">AER, </w:t>
      </w:r>
      <w:r w:rsidRPr="001E7D29">
        <w:rPr>
          <w:rStyle w:val="AERtextitalic"/>
        </w:rPr>
        <w:t>Final –</w:t>
      </w:r>
      <w:r>
        <w:rPr>
          <w:rStyle w:val="AERtextitalic"/>
        </w:rPr>
        <w:t xml:space="preserve"> Service Target P</w:t>
      </w:r>
      <w:r w:rsidRPr="001E7D29">
        <w:rPr>
          <w:rStyle w:val="AERtextitalic"/>
        </w:rPr>
        <w:t>erforma</w:t>
      </w:r>
      <w:r>
        <w:rPr>
          <w:rStyle w:val="AERtextitalic"/>
        </w:rPr>
        <w:t>nce Incentive Scheme</w:t>
      </w:r>
      <w:r w:rsidRPr="001E7D29">
        <w:rPr>
          <w:rStyle w:val="AERtextitalic"/>
        </w:rPr>
        <w:t>,</w:t>
      </w:r>
      <w:r>
        <w:rPr>
          <w:rStyle w:val="AERtextitalic"/>
        </w:rPr>
        <w:t xml:space="preserve"> </w:t>
      </w:r>
      <w:r w:rsidRPr="00E16B4E">
        <w:rPr>
          <w:rStyle w:val="AERtextitalic"/>
          <w:i w:val="0"/>
        </w:rPr>
        <w:t>December 2012, clause</w:t>
      </w:r>
      <w:r w:rsidRPr="00AE7F67">
        <w:rPr>
          <w:rStyle w:val="AERtextitalic"/>
          <w:i w:val="0"/>
        </w:rPr>
        <w:t xml:space="preserve"> 5.2(k)</w:t>
      </w:r>
      <w:r>
        <w:rPr>
          <w:rStyle w:val="AERtextitalic"/>
          <w:i w:val="0"/>
        </w:rPr>
        <w:t>.</w:t>
      </w:r>
    </w:p>
  </w:footnote>
  <w:footnote w:id="108">
    <w:p w:rsidR="009E166E" w:rsidRDefault="009E166E" w:rsidP="0088341A">
      <w:pPr>
        <w:pStyle w:val="FootnoteText"/>
      </w:pPr>
      <w:r>
        <w:rPr>
          <w:rStyle w:val="FootnoteReference"/>
        </w:rPr>
        <w:footnoteRef/>
      </w:r>
      <w:r>
        <w:t xml:space="preserve"> </w:t>
      </w:r>
      <w:r>
        <w:tab/>
        <w:t xml:space="preserve">It would obtain an additional 2 per cent of MAR if it had a market impact performance of zero binding dispatch intervals in a calendar year. </w:t>
      </w:r>
    </w:p>
  </w:footnote>
  <w:footnote w:id="109">
    <w:p w:rsidR="009E166E" w:rsidRDefault="009E166E" w:rsidP="0088341A">
      <w:pPr>
        <w:pStyle w:val="FootnoteText"/>
      </w:pPr>
      <w:r>
        <w:rPr>
          <w:rStyle w:val="FootnoteReference"/>
        </w:rPr>
        <w:footnoteRef/>
      </w:r>
      <w:r>
        <w:t xml:space="preserve"> </w:t>
      </w:r>
      <w:r>
        <w:tab/>
        <w:t xml:space="preserve">AER, </w:t>
      </w:r>
      <w:r w:rsidRPr="001E7D29">
        <w:rPr>
          <w:rStyle w:val="AERtextitalic"/>
        </w:rPr>
        <w:t>Final –</w:t>
      </w:r>
      <w:r>
        <w:rPr>
          <w:rStyle w:val="AERtextitalic"/>
        </w:rPr>
        <w:t xml:space="preserve"> Service Target P</w:t>
      </w:r>
      <w:r w:rsidRPr="001E7D29">
        <w:rPr>
          <w:rStyle w:val="AERtextitalic"/>
        </w:rPr>
        <w:t>erforma</w:t>
      </w:r>
      <w:r>
        <w:rPr>
          <w:rStyle w:val="AERtextitalic"/>
        </w:rPr>
        <w:t>nce Incentive S</w:t>
      </w:r>
      <w:r w:rsidRPr="001E7D29">
        <w:rPr>
          <w:rStyle w:val="AERtextitalic"/>
        </w:rPr>
        <w:t xml:space="preserve">cheme, </w:t>
      </w:r>
      <w:r w:rsidRPr="00637E97">
        <w:rPr>
          <w:rStyle w:val="AERtextitalic"/>
          <w:i w:val="0"/>
        </w:rPr>
        <w:t>December 2012, clause 5.2.</w:t>
      </w:r>
      <w:r>
        <w:rPr>
          <w:rStyle w:val="AERtextitalic"/>
        </w:rPr>
        <w:t xml:space="preserve"> </w:t>
      </w:r>
    </w:p>
  </w:footnote>
  <w:footnote w:id="110">
    <w:p w:rsidR="009E166E" w:rsidRDefault="009E166E" w:rsidP="0088341A">
      <w:pPr>
        <w:pStyle w:val="FootnoteText"/>
      </w:pPr>
      <w:r>
        <w:rPr>
          <w:rStyle w:val="FootnoteReference"/>
        </w:rPr>
        <w:footnoteRef/>
      </w:r>
      <w:r>
        <w:t xml:space="preserve"> </w:t>
      </w:r>
      <w:r>
        <w:tab/>
        <w:t>NER, clause 6A.2.2(4).</w:t>
      </w:r>
    </w:p>
  </w:footnote>
  <w:footnote w:id="111">
    <w:p w:rsidR="009E166E" w:rsidRDefault="009E166E" w:rsidP="0088341A">
      <w:pPr>
        <w:pStyle w:val="FootnoteText"/>
      </w:pPr>
      <w:r>
        <w:rPr>
          <w:rStyle w:val="FootnoteReference"/>
        </w:rPr>
        <w:footnoteRef/>
      </w:r>
      <w:r>
        <w:t xml:space="preserve"> </w:t>
      </w:r>
      <w:r>
        <w:tab/>
        <w:t>NER, clauses 6A.24.1(b)(1) and (2).</w:t>
      </w:r>
    </w:p>
  </w:footnote>
  <w:footnote w:id="112">
    <w:p w:rsidR="009E166E" w:rsidRDefault="009E166E" w:rsidP="0088341A">
      <w:pPr>
        <w:pStyle w:val="FootnoteText"/>
      </w:pPr>
      <w:r>
        <w:rPr>
          <w:rStyle w:val="FootnoteReference"/>
        </w:rPr>
        <w:footnoteRef/>
      </w:r>
      <w:r>
        <w:t xml:space="preserve"> </w:t>
      </w:r>
      <w:r>
        <w:tab/>
        <w:t>NER, clause 6A.24.1(c).</w:t>
      </w:r>
    </w:p>
  </w:footnote>
  <w:footnote w:id="113">
    <w:p w:rsidR="009E166E" w:rsidRDefault="009E166E" w:rsidP="0088341A">
      <w:pPr>
        <w:pStyle w:val="FootnoteText"/>
      </w:pPr>
      <w:r>
        <w:rPr>
          <w:rStyle w:val="FootnoteReference"/>
        </w:rPr>
        <w:footnoteRef/>
      </w:r>
      <w:r>
        <w:t xml:space="preserve"> </w:t>
      </w:r>
      <w:r>
        <w:tab/>
        <w:t xml:space="preserve">SP AusNet, </w:t>
      </w:r>
      <w:r w:rsidRPr="00160486">
        <w:rPr>
          <w:rStyle w:val="AERtextitalic"/>
        </w:rPr>
        <w:t>Revenue proposal</w:t>
      </w:r>
      <w:r>
        <w:t xml:space="preserve">, Appendix 13A: Pricing methodology, p. 4. </w:t>
      </w:r>
    </w:p>
  </w:footnote>
  <w:footnote w:id="114">
    <w:p w:rsidR="009E166E" w:rsidRDefault="009E166E" w:rsidP="0088341A">
      <w:pPr>
        <w:pStyle w:val="FootnoteText"/>
      </w:pPr>
      <w:r>
        <w:rPr>
          <w:rStyle w:val="FootnoteReference"/>
        </w:rPr>
        <w:footnoteRef/>
      </w:r>
      <w:r>
        <w:t xml:space="preserve"> </w:t>
      </w:r>
      <w:r>
        <w:tab/>
        <w:t xml:space="preserve">SP AusNet, </w:t>
      </w:r>
      <w:r w:rsidRPr="00D0340A">
        <w:rPr>
          <w:rStyle w:val="AERtextitalic"/>
        </w:rPr>
        <w:t xml:space="preserve">Revenue proposal, </w:t>
      </w:r>
      <w:r>
        <w:t>Appendix 13A: Pricing methodology, p. 4.</w:t>
      </w:r>
    </w:p>
  </w:footnote>
  <w:footnote w:id="115">
    <w:p w:rsidR="009E166E" w:rsidRDefault="009E166E" w:rsidP="0088341A">
      <w:pPr>
        <w:pStyle w:val="FootnoteText"/>
      </w:pPr>
      <w:r>
        <w:rPr>
          <w:rStyle w:val="FootnoteReference"/>
        </w:rPr>
        <w:footnoteRef/>
      </w:r>
      <w:r>
        <w:t xml:space="preserve"> </w:t>
      </w:r>
      <w:r>
        <w:tab/>
        <w:t>NER, clause 6A.29.1.</w:t>
      </w:r>
    </w:p>
  </w:footnote>
  <w:footnote w:id="116">
    <w:p w:rsidR="009E166E" w:rsidRDefault="009E166E" w:rsidP="0088341A">
      <w:pPr>
        <w:pStyle w:val="FootnoteText"/>
      </w:pPr>
      <w:r>
        <w:rPr>
          <w:rStyle w:val="FootnoteReference"/>
        </w:rPr>
        <w:footnoteRef/>
      </w:r>
      <w:r>
        <w:t xml:space="preserve"> </w:t>
      </w:r>
      <w:r>
        <w:tab/>
        <w:t xml:space="preserve">AEMO, </w:t>
      </w:r>
      <w:r>
        <w:rPr>
          <w:i/>
        </w:rPr>
        <w:t>Proposed pricing methodology and negotiating framework for regulatory control period commencing 1 July 2014,</w:t>
      </w:r>
      <w:r>
        <w:t xml:space="preserve"> 16 August 2013.</w:t>
      </w:r>
    </w:p>
  </w:footnote>
  <w:footnote w:id="117">
    <w:p w:rsidR="009E166E" w:rsidRDefault="009E166E" w:rsidP="0088341A">
      <w:pPr>
        <w:pStyle w:val="FootnoteText"/>
      </w:pPr>
      <w:r>
        <w:rPr>
          <w:rStyle w:val="FootnoteReference"/>
        </w:rPr>
        <w:footnoteRef/>
      </w:r>
      <w:r>
        <w:t xml:space="preserve"> </w:t>
      </w:r>
      <w:r>
        <w:tab/>
        <w:t>NER, clause 6A.9.5(c).</w:t>
      </w:r>
    </w:p>
  </w:footnote>
  <w:footnote w:id="118">
    <w:p w:rsidR="009E166E" w:rsidRDefault="009E166E" w:rsidP="0088341A">
      <w:pPr>
        <w:pStyle w:val="FootnoteText"/>
      </w:pPr>
      <w:r>
        <w:rPr>
          <w:rStyle w:val="FootnoteReference"/>
        </w:rPr>
        <w:footnoteRef/>
      </w:r>
      <w:r>
        <w:t xml:space="preserve"> </w:t>
      </w:r>
      <w:r>
        <w:tab/>
        <w:t>NER, clause 6A.9.1.</w:t>
      </w:r>
    </w:p>
  </w:footnote>
  <w:footnote w:id="119">
    <w:p w:rsidR="009E166E" w:rsidRDefault="009E166E" w:rsidP="0088341A">
      <w:pPr>
        <w:pStyle w:val="FootnoteText"/>
      </w:pPr>
      <w:r>
        <w:rPr>
          <w:rStyle w:val="FootnoteReference"/>
        </w:rPr>
        <w:footnoteRef/>
      </w:r>
      <w:r>
        <w:t xml:space="preserve"> </w:t>
      </w:r>
      <w:r>
        <w:tab/>
        <w:t>NER, clause 6A.9.5(c).</w:t>
      </w:r>
    </w:p>
  </w:footnote>
  <w:footnote w:id="120">
    <w:p w:rsidR="009E166E" w:rsidRDefault="009E166E" w:rsidP="0088341A">
      <w:pPr>
        <w:pStyle w:val="FootnoteText"/>
      </w:pPr>
      <w:r>
        <w:rPr>
          <w:rStyle w:val="FootnoteReference"/>
        </w:rPr>
        <w:footnoteRef/>
      </w:r>
      <w:r>
        <w:t xml:space="preserve"> </w:t>
      </w:r>
      <w:r>
        <w:tab/>
        <w:t xml:space="preserve">NER, definition of </w:t>
      </w:r>
      <w:r>
        <w:rPr>
          <w:rStyle w:val="AERtextitalic"/>
        </w:rPr>
        <w:t>n</w:t>
      </w:r>
      <w:r w:rsidRPr="00B21932">
        <w:rPr>
          <w:rStyle w:val="AERtextitalic"/>
        </w:rPr>
        <w:t>ominated event pass through considerations</w:t>
      </w:r>
      <w:r w:rsidRPr="000E1267">
        <w:rPr>
          <w:rStyle w:val="AERtextitalic"/>
          <w:i w:val="0"/>
        </w:rPr>
        <w:t>,</w:t>
      </w:r>
      <w:r w:rsidRPr="004B5AEC">
        <w:t xml:space="preserve"> chapter 10</w:t>
      </w:r>
      <w:r>
        <w:t>.</w:t>
      </w:r>
    </w:p>
  </w:footnote>
  <w:footnote w:id="121">
    <w:p w:rsidR="009E166E" w:rsidRDefault="009E166E" w:rsidP="0088341A">
      <w:pPr>
        <w:pStyle w:val="FootnoteText"/>
      </w:pPr>
      <w:r>
        <w:rPr>
          <w:rStyle w:val="FootnoteReference"/>
        </w:rPr>
        <w:footnoteRef/>
      </w:r>
      <w:r>
        <w:t xml:space="preserve"> </w:t>
      </w:r>
      <w:r>
        <w:tab/>
        <w:t>NER clause 6A.7.3(a).</w:t>
      </w:r>
    </w:p>
  </w:footnote>
  <w:footnote w:id="122">
    <w:p w:rsidR="009E166E" w:rsidRDefault="009E166E" w:rsidP="0088341A">
      <w:pPr>
        <w:pStyle w:val="FootnoteText"/>
      </w:pPr>
      <w:r>
        <w:rPr>
          <w:rStyle w:val="FootnoteReference"/>
        </w:rPr>
        <w:footnoteRef/>
      </w:r>
      <w:r>
        <w:t xml:space="preserve"> </w:t>
      </w:r>
      <w:r>
        <w:tab/>
        <w:t xml:space="preserve">SP AusNet, </w:t>
      </w:r>
      <w:r w:rsidRPr="008E78F9">
        <w:rPr>
          <w:rStyle w:val="AERtextitalic"/>
        </w:rPr>
        <w:t>Response to information request AER RP 32, Nominated terrorism pass through event</w:t>
      </w:r>
      <w:r>
        <w:t>, 4 June 2013.</w:t>
      </w:r>
    </w:p>
  </w:footnote>
  <w:footnote w:id="123">
    <w:p w:rsidR="009E166E" w:rsidRDefault="009E166E" w:rsidP="0088341A">
      <w:pPr>
        <w:pStyle w:val="FootnoteText"/>
      </w:pPr>
      <w:r>
        <w:rPr>
          <w:rStyle w:val="FootnoteReference"/>
        </w:rPr>
        <w:footnoteRef/>
      </w:r>
      <w:r>
        <w:t xml:space="preserve"> </w:t>
      </w:r>
      <w:r>
        <w:tab/>
        <w:t xml:space="preserve">SP AusNet, </w:t>
      </w:r>
      <w:r>
        <w:rPr>
          <w:rStyle w:val="AERtextitalic"/>
        </w:rPr>
        <w:t>R</w:t>
      </w:r>
      <w:r w:rsidRPr="00A34020">
        <w:rPr>
          <w:rStyle w:val="AERtextitalic"/>
        </w:rPr>
        <w:t>evenue proposal</w:t>
      </w:r>
      <w:r>
        <w:t>, p. 184.</w:t>
      </w:r>
    </w:p>
  </w:footnote>
  <w:footnote w:id="124">
    <w:p w:rsidR="009E166E" w:rsidRDefault="009E166E" w:rsidP="0088341A">
      <w:pPr>
        <w:pStyle w:val="FootnoteText"/>
      </w:pPr>
      <w:r>
        <w:rPr>
          <w:rStyle w:val="FootnoteReference"/>
        </w:rPr>
        <w:footnoteRef/>
      </w:r>
      <w:r>
        <w:t xml:space="preserve"> </w:t>
      </w:r>
      <w:r>
        <w:tab/>
        <w:t>NER, clauses 6A.6.6(c) and 6A.6.7(c).</w:t>
      </w:r>
    </w:p>
  </w:footnote>
  <w:footnote w:id="125">
    <w:p w:rsidR="009E166E" w:rsidRDefault="009E166E" w:rsidP="0088341A">
      <w:pPr>
        <w:pStyle w:val="FootnoteText"/>
      </w:pPr>
      <w:r>
        <w:rPr>
          <w:rStyle w:val="FootnoteReference"/>
        </w:rPr>
        <w:footnoteRef/>
      </w:r>
      <w:r>
        <w:t xml:space="preserve"> </w:t>
      </w:r>
      <w:r>
        <w:tab/>
        <w:t xml:space="preserve">SP AusNet, </w:t>
      </w:r>
      <w:r w:rsidRPr="004C3A74">
        <w:rPr>
          <w:rStyle w:val="AERtextitalic"/>
        </w:rPr>
        <w:t>Revenue proposal</w:t>
      </w:r>
      <w:r>
        <w:t>, pp. 82, 116–8.</w:t>
      </w:r>
    </w:p>
  </w:footnote>
  <w:footnote w:id="126">
    <w:p w:rsidR="009E166E" w:rsidRDefault="009E166E" w:rsidP="0088341A">
      <w:pPr>
        <w:pStyle w:val="FootnoteText"/>
      </w:pPr>
      <w:r>
        <w:rPr>
          <w:rStyle w:val="FootnoteReference"/>
        </w:rPr>
        <w:footnoteRef/>
      </w:r>
      <w:r>
        <w:t xml:space="preserve"> </w:t>
      </w:r>
      <w:r>
        <w:tab/>
        <w:t xml:space="preserve">SP AusNet, </w:t>
      </w:r>
      <w:r w:rsidRPr="004C3A74">
        <w:rPr>
          <w:rStyle w:val="AERtextitalic"/>
        </w:rPr>
        <w:t>Revenue proposal</w:t>
      </w:r>
      <w:r>
        <w:t>, p. 85.</w:t>
      </w:r>
    </w:p>
  </w:footnote>
  <w:footnote w:id="127">
    <w:p w:rsidR="009E166E" w:rsidRDefault="009E166E" w:rsidP="0088341A">
      <w:pPr>
        <w:pStyle w:val="FootnoteText"/>
      </w:pPr>
      <w:r>
        <w:rPr>
          <w:rStyle w:val="FootnoteReference"/>
        </w:rPr>
        <w:footnoteRef/>
      </w:r>
      <w:r>
        <w:t xml:space="preserve"> </w:t>
      </w:r>
      <w:r>
        <w:tab/>
        <w:t xml:space="preserve">SP AusNet, </w:t>
      </w:r>
      <w:r w:rsidRPr="004C3A74">
        <w:rPr>
          <w:rStyle w:val="AERtextitalic"/>
        </w:rPr>
        <w:t>Revenue proposal</w:t>
      </w:r>
      <w:r>
        <w:t>, pp. 116–8.</w:t>
      </w:r>
    </w:p>
  </w:footnote>
  <w:footnote w:id="128">
    <w:p w:rsidR="009E166E" w:rsidRDefault="009E166E" w:rsidP="0088341A">
      <w:pPr>
        <w:pStyle w:val="FootnoteText"/>
      </w:pPr>
      <w:r>
        <w:rPr>
          <w:rStyle w:val="FootnoteReference"/>
        </w:rPr>
        <w:footnoteRef/>
      </w:r>
      <w:r>
        <w:t xml:space="preserve"> </w:t>
      </w:r>
      <w:r>
        <w:tab/>
        <w:t xml:space="preserve">SP AusNet, </w:t>
      </w:r>
      <w:r w:rsidRPr="004C3A74">
        <w:rPr>
          <w:rStyle w:val="AERtextitalic"/>
        </w:rPr>
        <w:t>Revenue proposal</w:t>
      </w:r>
      <w:r>
        <w:t>, p. 85.</w:t>
      </w:r>
    </w:p>
  </w:footnote>
  <w:footnote w:id="129">
    <w:p w:rsidR="009E166E" w:rsidRDefault="009E166E" w:rsidP="0088341A">
      <w:pPr>
        <w:pStyle w:val="FootnoteText"/>
      </w:pPr>
      <w:r>
        <w:rPr>
          <w:rStyle w:val="FootnoteReference"/>
        </w:rPr>
        <w:footnoteRef/>
      </w:r>
      <w:r>
        <w:t xml:space="preserve"> </w:t>
      </w:r>
      <w:r>
        <w:tab/>
        <w:t xml:space="preserve">SKM, </w:t>
      </w:r>
      <w:r w:rsidRPr="001D7360">
        <w:rPr>
          <w:rStyle w:val="AERtextitalic"/>
        </w:rPr>
        <w:t>Annual material cost escalators 2014/15–2016/17</w:t>
      </w:r>
      <w:r>
        <w:t>, 19 November 2012.</w:t>
      </w:r>
    </w:p>
  </w:footnote>
  <w:footnote w:id="130">
    <w:p w:rsidR="009E166E" w:rsidRDefault="009E166E" w:rsidP="0088341A">
      <w:pPr>
        <w:pStyle w:val="FootnoteText"/>
      </w:pPr>
      <w:r>
        <w:rPr>
          <w:rStyle w:val="FootnoteReference"/>
        </w:rPr>
        <w:footnoteRef/>
      </w:r>
      <w:r>
        <w:t xml:space="preserve"> </w:t>
      </w:r>
      <w:r>
        <w:tab/>
        <w:t>NER, clauses 6A.6.6(c) and 6A.6.7(c).</w:t>
      </w:r>
    </w:p>
  </w:footnote>
  <w:footnote w:id="131">
    <w:p w:rsidR="009E166E" w:rsidRDefault="009E166E" w:rsidP="0088341A">
      <w:pPr>
        <w:pStyle w:val="FootnoteText"/>
      </w:pPr>
      <w:r>
        <w:rPr>
          <w:rStyle w:val="FootnoteReference"/>
        </w:rPr>
        <w:footnoteRef/>
      </w:r>
      <w:r>
        <w:t xml:space="preserve"> </w:t>
      </w:r>
      <w:r>
        <w:tab/>
        <w:t>NER, clauses 6A.6.6(c)(3) and 6A.6.7(c)(3).</w:t>
      </w:r>
    </w:p>
  </w:footnote>
  <w:footnote w:id="132">
    <w:p w:rsidR="009E166E" w:rsidRDefault="009E166E" w:rsidP="0088341A">
      <w:pPr>
        <w:pStyle w:val="FootnoteText"/>
      </w:pPr>
      <w:r>
        <w:rPr>
          <w:rStyle w:val="FootnoteReference"/>
        </w:rPr>
        <w:footnoteRef/>
      </w:r>
      <w:r>
        <w:t xml:space="preserve"> </w:t>
      </w:r>
      <w:r>
        <w:tab/>
        <w:t xml:space="preserve">BIS Shrapnel, </w:t>
      </w:r>
      <w:r w:rsidRPr="003C72A3">
        <w:rPr>
          <w:rStyle w:val="AERtextitalic"/>
        </w:rPr>
        <w:t>Real labour cost escalation forecasts to 2017–Australia &amp; Victoria</w:t>
      </w:r>
      <w:r>
        <w:t>, November 2012.</w:t>
      </w:r>
    </w:p>
  </w:footnote>
  <w:footnote w:id="133">
    <w:p w:rsidR="009E166E" w:rsidRDefault="009E166E" w:rsidP="0088341A">
      <w:pPr>
        <w:pStyle w:val="FootnoteText"/>
      </w:pPr>
      <w:r>
        <w:rPr>
          <w:rStyle w:val="FootnoteReference"/>
        </w:rPr>
        <w:footnoteRef/>
      </w:r>
      <w:r>
        <w:t xml:space="preserve"> </w:t>
      </w:r>
      <w:r>
        <w:tab/>
        <w:t xml:space="preserve">DAE, </w:t>
      </w:r>
      <w:r w:rsidRPr="00900A6B">
        <w:rPr>
          <w:rStyle w:val="AERtextitalic"/>
        </w:rPr>
        <w:t>Response SP AusNet regulatory proposal</w:t>
      </w:r>
      <w:r>
        <w:t xml:space="preserve">, 20 May 2013; DAE, </w:t>
      </w:r>
      <w:r w:rsidRPr="00302E01">
        <w:rPr>
          <w:rStyle w:val="AERtextitalic"/>
        </w:rPr>
        <w:t>Forecast growth in labour costs in Victoria</w:t>
      </w:r>
      <w:r>
        <w:t>, 13 June 2013, p. 80.</w:t>
      </w:r>
    </w:p>
  </w:footnote>
  <w:footnote w:id="134">
    <w:p w:rsidR="009E166E" w:rsidRDefault="009E166E" w:rsidP="0088341A">
      <w:pPr>
        <w:pStyle w:val="FootnoteText"/>
      </w:pPr>
      <w:r>
        <w:rPr>
          <w:rStyle w:val="FootnoteReference"/>
        </w:rPr>
        <w:footnoteRef/>
      </w:r>
      <w:r>
        <w:t xml:space="preserve"> </w:t>
      </w:r>
      <w:r>
        <w:tab/>
        <w:t xml:space="preserve">SKM, </w:t>
      </w:r>
      <w:r w:rsidRPr="003C72A3">
        <w:rPr>
          <w:rStyle w:val="AERtextitalic"/>
        </w:rPr>
        <w:t>Annual material escalators 2014/15–2016/17</w:t>
      </w:r>
      <w:r>
        <w:t>, 19 November 2012.</w:t>
      </w:r>
    </w:p>
  </w:footnote>
  <w:footnote w:id="135">
    <w:p w:rsidR="009E166E" w:rsidRDefault="009E166E" w:rsidP="0088341A">
      <w:pPr>
        <w:pStyle w:val="FootnoteText"/>
      </w:pPr>
      <w:r>
        <w:rPr>
          <w:rStyle w:val="FootnoteReference"/>
        </w:rPr>
        <w:footnoteRef/>
      </w:r>
      <w:r>
        <w:t xml:space="preserve"> </w:t>
      </w:r>
      <w:r>
        <w:tab/>
        <w:t xml:space="preserve">DAE, </w:t>
      </w:r>
      <w:r w:rsidRPr="00900A6B">
        <w:rPr>
          <w:rStyle w:val="AERtextitalic"/>
        </w:rPr>
        <w:t>Response SP AusNet regulatory proposal</w:t>
      </w:r>
      <w:r>
        <w:t xml:space="preserve">, 20 May 2013, p. 2; </w:t>
      </w:r>
      <w:r w:rsidRPr="00900A6B">
        <w:t xml:space="preserve">BIS Shrapnel, </w:t>
      </w:r>
      <w:r w:rsidRPr="00900A6B">
        <w:rPr>
          <w:rStyle w:val="AERtextitalic"/>
        </w:rPr>
        <w:t xml:space="preserve">Labour cost </w:t>
      </w:r>
      <w:r>
        <w:rPr>
          <w:rStyle w:val="AERtextitalic"/>
        </w:rPr>
        <w:t>escalation forecasts to 2017/18—</w:t>
      </w:r>
      <w:r w:rsidRPr="00900A6B">
        <w:rPr>
          <w:rStyle w:val="AERtextitalic"/>
        </w:rPr>
        <w:t>Australia and South Australia</w:t>
      </w:r>
      <w:r>
        <w:t>, April 2012, pp. i</w:t>
      </w:r>
      <w:r w:rsidRPr="00900A6B">
        <w:t>–iii</w:t>
      </w:r>
      <w:r>
        <w:t>;</w:t>
      </w:r>
      <w:r w:rsidRPr="00900A6B">
        <w:t xml:space="preserve"> </w:t>
      </w:r>
      <w:r>
        <w:t xml:space="preserve">SKM, </w:t>
      </w:r>
      <w:r w:rsidRPr="00900A6B">
        <w:rPr>
          <w:rStyle w:val="AERtextitalic"/>
        </w:rPr>
        <w:t>Annual mat</w:t>
      </w:r>
      <w:r>
        <w:rPr>
          <w:rStyle w:val="AERtextitalic"/>
        </w:rPr>
        <w:t>erial cost escalators 2014/15—</w:t>
      </w:r>
      <w:r w:rsidRPr="00900A6B">
        <w:rPr>
          <w:rStyle w:val="AERtextitalic"/>
        </w:rPr>
        <w:t>2016/17</w:t>
      </w:r>
      <w:r>
        <w:t>, 19 November 2012, p. ii.</w:t>
      </w:r>
    </w:p>
  </w:footnote>
  <w:footnote w:id="136">
    <w:p w:rsidR="009E166E" w:rsidRDefault="009E166E" w:rsidP="0088341A">
      <w:pPr>
        <w:pStyle w:val="FootnoteText"/>
      </w:pPr>
      <w:r>
        <w:rPr>
          <w:rStyle w:val="FootnoteReference"/>
        </w:rPr>
        <w:footnoteRef/>
      </w:r>
      <w:r>
        <w:t xml:space="preserve"> </w:t>
      </w:r>
      <w:r>
        <w:tab/>
        <w:t xml:space="preserve">EUCV, </w:t>
      </w:r>
      <w:r w:rsidRPr="00B5735F">
        <w:rPr>
          <w:rStyle w:val="AERtextitalic"/>
        </w:rPr>
        <w:t xml:space="preserve">SP AusNet application: </w:t>
      </w:r>
      <w:r>
        <w:rPr>
          <w:rStyle w:val="AERtextitalic"/>
        </w:rPr>
        <w:t>a</w:t>
      </w:r>
      <w:r w:rsidRPr="00B5735F">
        <w:rPr>
          <w:rStyle w:val="AERtextitalic"/>
        </w:rPr>
        <w:t xml:space="preserve"> response by the Energy Users Coalition of Victoria</w:t>
      </w:r>
      <w:r>
        <w:t>, May 2013, pp. 13–7.</w:t>
      </w:r>
    </w:p>
  </w:footnote>
  <w:footnote w:id="137">
    <w:p w:rsidR="009E166E" w:rsidRDefault="009E166E" w:rsidP="0088341A">
      <w:pPr>
        <w:pStyle w:val="FootnoteText"/>
      </w:pPr>
      <w:r>
        <w:rPr>
          <w:rStyle w:val="FootnoteReference"/>
        </w:rPr>
        <w:footnoteRef/>
      </w:r>
      <w:r>
        <w:t xml:space="preserve"> </w:t>
      </w:r>
      <w:r>
        <w:tab/>
        <w:t>NER, clauses 6A.6.6(c)(3) and 6A.6.7(c)(3).</w:t>
      </w:r>
    </w:p>
  </w:footnote>
  <w:footnote w:id="138">
    <w:p w:rsidR="009E166E" w:rsidRDefault="009E166E" w:rsidP="0088341A">
      <w:pPr>
        <w:pStyle w:val="FootnoteText"/>
      </w:pPr>
      <w:r>
        <w:rPr>
          <w:rStyle w:val="FootnoteReference"/>
        </w:rPr>
        <w:footnoteRef/>
      </w:r>
      <w:r>
        <w:t xml:space="preserve"> </w:t>
      </w:r>
      <w:r>
        <w:tab/>
        <w:t xml:space="preserve">AER, </w:t>
      </w:r>
      <w:r w:rsidRPr="00B5735F">
        <w:rPr>
          <w:rStyle w:val="AERtextitalic"/>
        </w:rPr>
        <w:t>Final decision, ElectraNet transmission determination</w:t>
      </w:r>
      <w:r>
        <w:t xml:space="preserve">, April 2013, p.54; AER, </w:t>
      </w:r>
      <w:r w:rsidRPr="00E24BA4">
        <w:rPr>
          <w:rStyle w:val="AERtextitalic"/>
        </w:rPr>
        <w:t>Final decision, SP</w:t>
      </w:r>
      <w:r w:rsidRPr="00C443D7">
        <w:rPr>
          <w:rStyle w:val="AERtextitalic"/>
        </w:rPr>
        <w:t> AusNet</w:t>
      </w:r>
      <w:r>
        <w:rPr>
          <w:rStyle w:val="AERtextitalic"/>
        </w:rPr>
        <w:t xml:space="preserve"> gas distribution</w:t>
      </w:r>
      <w:r w:rsidRPr="00C443D7">
        <w:rPr>
          <w:rStyle w:val="AERtextitalic"/>
        </w:rPr>
        <w:t xml:space="preserve"> access arrangement</w:t>
      </w:r>
      <w:r>
        <w:t>, Part 3, March 2013, pp. 7–12.</w:t>
      </w:r>
    </w:p>
  </w:footnote>
  <w:footnote w:id="139">
    <w:p w:rsidR="009E166E" w:rsidRDefault="009E166E" w:rsidP="0088341A">
      <w:pPr>
        <w:pStyle w:val="FootnoteText"/>
      </w:pPr>
      <w:r>
        <w:rPr>
          <w:rStyle w:val="FootnoteReference"/>
        </w:rPr>
        <w:footnoteRef/>
      </w:r>
      <w:r>
        <w:t xml:space="preserve"> </w:t>
      </w:r>
      <w:r>
        <w:tab/>
        <w:t xml:space="preserve">EUCV, </w:t>
      </w:r>
      <w:r w:rsidRPr="00B5735F">
        <w:rPr>
          <w:rStyle w:val="AERtextitalic"/>
        </w:rPr>
        <w:t xml:space="preserve">SP AusNet application: </w:t>
      </w:r>
      <w:r>
        <w:rPr>
          <w:rStyle w:val="AERtextitalic"/>
        </w:rPr>
        <w:t>a</w:t>
      </w:r>
      <w:r w:rsidRPr="00B5735F">
        <w:rPr>
          <w:rStyle w:val="AERtextitalic"/>
        </w:rPr>
        <w:t xml:space="preserve"> response by the Energy Users Coalition of Victoria</w:t>
      </w:r>
      <w:r>
        <w:t xml:space="preserve">, May 2013, p. 14. </w:t>
      </w:r>
    </w:p>
  </w:footnote>
  <w:footnote w:id="140">
    <w:p w:rsidR="009E166E" w:rsidRDefault="009E166E" w:rsidP="0088341A">
      <w:pPr>
        <w:pStyle w:val="FootnoteText"/>
      </w:pPr>
      <w:r>
        <w:rPr>
          <w:rStyle w:val="FootnoteReference"/>
        </w:rPr>
        <w:footnoteRef/>
      </w:r>
      <w:r>
        <w:t xml:space="preserve"> </w:t>
      </w:r>
      <w:r>
        <w:tab/>
        <w:t xml:space="preserve">BIS Shrapnel, </w:t>
      </w:r>
      <w:r w:rsidRPr="00302E01">
        <w:rPr>
          <w:rStyle w:val="AERtextitalic"/>
        </w:rPr>
        <w:t>Real labour cost escalation forecasts to 2017—Australia and Victoria</w:t>
      </w:r>
      <w:r>
        <w:t xml:space="preserve">, November 2012; DAE, </w:t>
      </w:r>
      <w:r w:rsidRPr="00302E01">
        <w:rPr>
          <w:rStyle w:val="AERtextitalic"/>
        </w:rPr>
        <w:t>Forecast growth in labour costs in Victoria</w:t>
      </w:r>
      <w:r>
        <w:t>, 13 June 2013.</w:t>
      </w:r>
    </w:p>
  </w:footnote>
  <w:footnote w:id="141">
    <w:p w:rsidR="009E166E" w:rsidRDefault="009E166E" w:rsidP="0088341A">
      <w:pPr>
        <w:pStyle w:val="FootnoteText"/>
      </w:pPr>
      <w:r>
        <w:rPr>
          <w:rStyle w:val="FootnoteReference"/>
        </w:rPr>
        <w:footnoteRef/>
      </w:r>
      <w:r>
        <w:t xml:space="preserve"> </w:t>
      </w:r>
      <w:r>
        <w:tab/>
        <w:t>NER, 6A.6.6(c) and 6A.6.7(c).</w:t>
      </w:r>
    </w:p>
  </w:footnote>
  <w:footnote w:id="142">
    <w:p w:rsidR="009E166E" w:rsidRDefault="009E166E" w:rsidP="0088341A">
      <w:pPr>
        <w:pStyle w:val="FootnoteText"/>
      </w:pPr>
      <w:r>
        <w:rPr>
          <w:rStyle w:val="FootnoteReference"/>
        </w:rPr>
        <w:footnoteRef/>
      </w:r>
      <w:r>
        <w:t xml:space="preserve"> </w:t>
      </w:r>
      <w:r>
        <w:tab/>
        <w:t xml:space="preserve">ABS, </w:t>
      </w:r>
      <w:r w:rsidRPr="00D52657">
        <w:rPr>
          <w:rStyle w:val="AERtextitalic"/>
        </w:rPr>
        <w:t>Email from Kathryn Parlour to Fleur Gibbons</w:t>
      </w:r>
      <w:r>
        <w:t>, 8 July 2010.</w:t>
      </w:r>
    </w:p>
  </w:footnote>
  <w:footnote w:id="143">
    <w:p w:rsidR="009E166E" w:rsidRDefault="009E166E" w:rsidP="0088341A">
      <w:pPr>
        <w:pStyle w:val="FootnoteText"/>
      </w:pPr>
      <w:r>
        <w:rPr>
          <w:rStyle w:val="FootnoteReference"/>
        </w:rPr>
        <w:footnoteRef/>
      </w:r>
      <w:r>
        <w:t xml:space="preserve"> </w:t>
      </w:r>
      <w:r>
        <w:tab/>
        <w:t xml:space="preserve">SP AusNet, </w:t>
      </w:r>
      <w:r w:rsidRPr="00D52657">
        <w:rPr>
          <w:rStyle w:val="AERtextitalic"/>
        </w:rPr>
        <w:t>Revenue proposal</w:t>
      </w:r>
      <w:r>
        <w:t>, p. 116.</w:t>
      </w:r>
    </w:p>
  </w:footnote>
  <w:footnote w:id="144">
    <w:p w:rsidR="009E166E" w:rsidRDefault="009E166E" w:rsidP="0088341A">
      <w:pPr>
        <w:pStyle w:val="FootnoteText"/>
      </w:pPr>
      <w:r>
        <w:rPr>
          <w:rStyle w:val="FootnoteReference"/>
        </w:rPr>
        <w:footnoteRef/>
      </w:r>
      <w:r>
        <w:t xml:space="preserve"> </w:t>
      </w:r>
      <w:r>
        <w:tab/>
        <w:t xml:space="preserve">SP AusNet, </w:t>
      </w:r>
      <w:r w:rsidRPr="00D52657">
        <w:rPr>
          <w:rStyle w:val="AERtextitalic"/>
        </w:rPr>
        <w:t>Revenue proposal</w:t>
      </w:r>
      <w:r>
        <w:t xml:space="preserve">, p. 116; BIS Shrapnel, </w:t>
      </w:r>
      <w:r w:rsidRPr="00D52657">
        <w:rPr>
          <w:rStyle w:val="AERtextitalic"/>
        </w:rPr>
        <w:t>Real labour cost escalation forecasts to 2017</w:t>
      </w:r>
      <w:r>
        <w:t>, November 2012, p. 23.</w:t>
      </w:r>
    </w:p>
  </w:footnote>
  <w:footnote w:id="145">
    <w:p w:rsidR="009E166E" w:rsidRDefault="009E166E" w:rsidP="0088341A">
      <w:pPr>
        <w:pStyle w:val="FootnoteText"/>
      </w:pPr>
      <w:r>
        <w:rPr>
          <w:rStyle w:val="FootnoteReference"/>
        </w:rPr>
        <w:footnoteRef/>
      </w:r>
      <w:r>
        <w:t xml:space="preserve"> </w:t>
      </w:r>
      <w:r>
        <w:tab/>
        <w:t xml:space="preserve">SP AusNet, </w:t>
      </w:r>
      <w:r w:rsidRPr="00D52657">
        <w:rPr>
          <w:rStyle w:val="AERtextitalic"/>
        </w:rPr>
        <w:t>Revenue proposal</w:t>
      </w:r>
      <w:r>
        <w:t>, pp. 116–8.</w:t>
      </w:r>
    </w:p>
  </w:footnote>
  <w:footnote w:id="146">
    <w:p w:rsidR="009E166E" w:rsidRDefault="009E166E" w:rsidP="0088341A">
      <w:pPr>
        <w:pStyle w:val="FootnoteText"/>
      </w:pPr>
      <w:r>
        <w:rPr>
          <w:rStyle w:val="FootnoteReference"/>
        </w:rPr>
        <w:footnoteRef/>
      </w:r>
      <w:r>
        <w:t xml:space="preserve"> </w:t>
      </w:r>
      <w:r>
        <w:tab/>
        <w:t xml:space="preserve">DAE, </w:t>
      </w:r>
      <w:r>
        <w:rPr>
          <w:rStyle w:val="AERtextitalic"/>
        </w:rPr>
        <w:t>Response SP AusNet regulatory proposal</w:t>
      </w:r>
      <w:r>
        <w:t>, 20 May 2013, p. 15.</w:t>
      </w:r>
    </w:p>
  </w:footnote>
  <w:footnote w:id="147">
    <w:p w:rsidR="009E166E" w:rsidRDefault="009E166E" w:rsidP="0088341A">
      <w:pPr>
        <w:pStyle w:val="FootnoteText"/>
      </w:pPr>
      <w:r>
        <w:rPr>
          <w:rStyle w:val="FootnoteReference"/>
        </w:rPr>
        <w:footnoteRef/>
      </w:r>
      <w:r>
        <w:t xml:space="preserve"> </w:t>
      </w:r>
      <w:r>
        <w:tab/>
        <w:t xml:space="preserve">BIS Shrapnel, </w:t>
      </w:r>
      <w:r w:rsidRPr="00302E01">
        <w:rPr>
          <w:rStyle w:val="AERtextitalic"/>
        </w:rPr>
        <w:t>Real labour cost escalation forecasts to 2017—Australia and Victoria</w:t>
      </w:r>
      <w:r>
        <w:t>, November 2012, p. 23.</w:t>
      </w:r>
    </w:p>
  </w:footnote>
  <w:footnote w:id="148">
    <w:p w:rsidR="009E166E" w:rsidRDefault="009E166E" w:rsidP="0088341A">
      <w:pPr>
        <w:pStyle w:val="FootnoteText"/>
      </w:pPr>
      <w:r>
        <w:rPr>
          <w:rStyle w:val="FootnoteReference"/>
        </w:rPr>
        <w:footnoteRef/>
      </w:r>
      <w:r>
        <w:t xml:space="preserve"> </w:t>
      </w:r>
      <w:r>
        <w:tab/>
        <w:t xml:space="preserve">SP AusNet, </w:t>
      </w:r>
      <w:r w:rsidRPr="00D52657">
        <w:rPr>
          <w:rStyle w:val="AERtextitalic"/>
        </w:rPr>
        <w:t>Revenue proposal</w:t>
      </w:r>
      <w:r>
        <w:t>, p. 116.</w:t>
      </w:r>
    </w:p>
  </w:footnote>
  <w:footnote w:id="149">
    <w:p w:rsidR="009E166E" w:rsidRDefault="009E166E" w:rsidP="0088341A">
      <w:pPr>
        <w:pStyle w:val="FootnoteText"/>
      </w:pPr>
      <w:r>
        <w:rPr>
          <w:rStyle w:val="FootnoteReference"/>
        </w:rPr>
        <w:footnoteRef/>
      </w:r>
      <w:r>
        <w:t xml:space="preserve"> </w:t>
      </w:r>
      <w:r>
        <w:tab/>
        <w:t xml:space="preserve">BIS Shrapnel, </w:t>
      </w:r>
      <w:r w:rsidRPr="00302E01">
        <w:rPr>
          <w:rStyle w:val="AERtextitalic"/>
        </w:rPr>
        <w:t>Real labour cost escalation forecasts to 2017—Australia and Victoria</w:t>
      </w:r>
      <w:r>
        <w:t>, November 2012, p. 23.</w:t>
      </w:r>
    </w:p>
  </w:footnote>
  <w:footnote w:id="150">
    <w:p w:rsidR="009E166E" w:rsidRDefault="009E166E" w:rsidP="0088341A">
      <w:pPr>
        <w:pStyle w:val="FootnoteText"/>
      </w:pPr>
      <w:r>
        <w:rPr>
          <w:rStyle w:val="FootnoteReference"/>
        </w:rPr>
        <w:footnoteRef/>
      </w:r>
      <w:r>
        <w:t xml:space="preserve"> </w:t>
      </w:r>
      <w:r>
        <w:tab/>
        <w:t xml:space="preserve">DAE, </w:t>
      </w:r>
      <w:r>
        <w:rPr>
          <w:rStyle w:val="AERtextitalic"/>
        </w:rPr>
        <w:t>Response SP AusNet regulatory proposal</w:t>
      </w:r>
      <w:r>
        <w:t>, 20 May 2013, p. 15.</w:t>
      </w:r>
    </w:p>
  </w:footnote>
  <w:footnote w:id="151">
    <w:p w:rsidR="009E166E" w:rsidRDefault="009E166E" w:rsidP="0088341A">
      <w:pPr>
        <w:pStyle w:val="FootnoteText"/>
      </w:pPr>
      <w:r>
        <w:rPr>
          <w:rStyle w:val="FootnoteReference"/>
        </w:rPr>
        <w:footnoteRef/>
      </w:r>
      <w:r>
        <w:t xml:space="preserve"> </w:t>
      </w:r>
      <w:r>
        <w:tab/>
        <w:t>NER, clauses 6A.6.6(c) and 6A.6.7(c).</w:t>
      </w:r>
    </w:p>
  </w:footnote>
  <w:footnote w:id="152">
    <w:p w:rsidR="009E166E" w:rsidRDefault="009E166E" w:rsidP="0088341A">
      <w:pPr>
        <w:pStyle w:val="FootnoteText"/>
      </w:pPr>
      <w:r>
        <w:rPr>
          <w:rStyle w:val="FootnoteReference"/>
        </w:rPr>
        <w:footnoteRef/>
      </w:r>
      <w:r>
        <w:t xml:space="preserve"> </w:t>
      </w:r>
      <w:r>
        <w:tab/>
        <w:t xml:space="preserve">DAE, </w:t>
      </w:r>
      <w:r>
        <w:rPr>
          <w:rStyle w:val="AERtextitalic"/>
        </w:rPr>
        <w:t>Response SP AusNet regulatory proposal</w:t>
      </w:r>
      <w:r>
        <w:t>, 20 May 2013, pp. 78–82.</w:t>
      </w:r>
    </w:p>
  </w:footnote>
  <w:footnote w:id="153">
    <w:p w:rsidR="009E166E" w:rsidRDefault="009E166E" w:rsidP="0088341A">
      <w:pPr>
        <w:pStyle w:val="FootnoteText"/>
      </w:pPr>
      <w:r>
        <w:rPr>
          <w:rStyle w:val="FootnoteReference"/>
        </w:rPr>
        <w:footnoteRef/>
      </w:r>
      <w:r>
        <w:t xml:space="preserve"> </w:t>
      </w:r>
      <w:r>
        <w:tab/>
        <w:t xml:space="preserve">DAE, </w:t>
      </w:r>
      <w:r>
        <w:rPr>
          <w:rStyle w:val="AERtextitalic"/>
        </w:rPr>
        <w:t>Response SP AusNet regulatory proposal</w:t>
      </w:r>
      <w:r>
        <w:t xml:space="preserve">, 20 May 2013, pp. 78–82; BIS Shrapnel, </w:t>
      </w:r>
      <w:r w:rsidRPr="00302E01">
        <w:rPr>
          <w:rStyle w:val="AERtextitalic"/>
        </w:rPr>
        <w:t>Real labour cost escalation forecasts to 2017—Australia and Victoria</w:t>
      </w:r>
      <w:r>
        <w:t>, November 2012, p. 44.</w:t>
      </w:r>
    </w:p>
  </w:footnote>
  <w:footnote w:id="154">
    <w:p w:rsidR="009E166E" w:rsidRDefault="009E166E" w:rsidP="0088341A">
      <w:pPr>
        <w:pStyle w:val="FootnoteText"/>
      </w:pPr>
      <w:r>
        <w:rPr>
          <w:rStyle w:val="FootnoteReference"/>
        </w:rPr>
        <w:footnoteRef/>
      </w:r>
      <w:r>
        <w:t xml:space="preserve"> </w:t>
      </w:r>
      <w:r>
        <w:tab/>
        <w:t xml:space="preserve">BIS Shrapnel, </w:t>
      </w:r>
      <w:r w:rsidRPr="00302E01">
        <w:rPr>
          <w:rStyle w:val="AERtextitalic"/>
        </w:rPr>
        <w:t>Real labour cost escalation forecasts to 2017—Australia and Victoria</w:t>
      </w:r>
      <w:r>
        <w:t>, November 2012, p. 1.</w:t>
      </w:r>
    </w:p>
  </w:footnote>
  <w:footnote w:id="155">
    <w:p w:rsidR="009E166E" w:rsidRDefault="009E166E" w:rsidP="0088341A">
      <w:pPr>
        <w:pStyle w:val="FootnoteText"/>
      </w:pPr>
      <w:r>
        <w:rPr>
          <w:rStyle w:val="FootnoteReference"/>
        </w:rPr>
        <w:footnoteRef/>
      </w:r>
      <w:r>
        <w:t xml:space="preserve"> </w:t>
      </w:r>
      <w:r>
        <w:tab/>
        <w:t xml:space="preserve">DAE, </w:t>
      </w:r>
      <w:r w:rsidRPr="00302E01">
        <w:rPr>
          <w:rStyle w:val="AERtextitalic"/>
        </w:rPr>
        <w:t>Forecast growth in labour costs in Victoria</w:t>
      </w:r>
      <w:r>
        <w:t>, 13 June 2013, p. 80.</w:t>
      </w:r>
    </w:p>
  </w:footnote>
  <w:footnote w:id="156">
    <w:p w:rsidR="009E166E" w:rsidRDefault="009E166E" w:rsidP="0088341A">
      <w:pPr>
        <w:pStyle w:val="FootnoteText"/>
      </w:pPr>
      <w:r>
        <w:rPr>
          <w:rStyle w:val="FootnoteReference"/>
        </w:rPr>
        <w:footnoteRef/>
      </w:r>
      <w:r>
        <w:t xml:space="preserve"> </w:t>
      </w:r>
      <w:r>
        <w:tab/>
        <w:t>ABS, catalogue number 6345.0.</w:t>
      </w:r>
    </w:p>
  </w:footnote>
  <w:footnote w:id="157">
    <w:p w:rsidR="009E166E" w:rsidRDefault="009E166E" w:rsidP="0088341A">
      <w:pPr>
        <w:pStyle w:val="FootnoteText"/>
      </w:pPr>
      <w:r>
        <w:rPr>
          <w:rStyle w:val="FootnoteReference"/>
        </w:rPr>
        <w:footnoteRef/>
      </w:r>
      <w:r>
        <w:t xml:space="preserve"> </w:t>
      </w:r>
      <w:r>
        <w:tab/>
        <w:t xml:space="preserve">DAE, </w:t>
      </w:r>
      <w:r w:rsidRPr="00302E01">
        <w:rPr>
          <w:rStyle w:val="AERtextitalic"/>
        </w:rPr>
        <w:t>Forecast growth in labour costs in Victoria</w:t>
      </w:r>
      <w:r>
        <w:t>, 13 June 2013, p. 80.</w:t>
      </w:r>
    </w:p>
  </w:footnote>
  <w:footnote w:id="158">
    <w:p w:rsidR="009E166E" w:rsidRDefault="009E166E" w:rsidP="0088341A">
      <w:pPr>
        <w:pStyle w:val="FootnoteText"/>
      </w:pPr>
      <w:r>
        <w:rPr>
          <w:rStyle w:val="FootnoteReference"/>
        </w:rPr>
        <w:footnoteRef/>
      </w:r>
      <w:r>
        <w:t xml:space="preserve"> </w:t>
      </w:r>
      <w:r>
        <w:tab/>
        <w:t xml:space="preserve">DAE, </w:t>
      </w:r>
      <w:r w:rsidRPr="00302E01">
        <w:rPr>
          <w:rStyle w:val="AERtextitalic"/>
        </w:rPr>
        <w:t>Forecast growth in labour costs in Victoria</w:t>
      </w:r>
      <w:r>
        <w:t>, 13 June 2013, p. 80.</w:t>
      </w:r>
    </w:p>
  </w:footnote>
  <w:footnote w:id="159">
    <w:p w:rsidR="009E166E" w:rsidRDefault="009E166E" w:rsidP="0088341A">
      <w:pPr>
        <w:pStyle w:val="FootnoteText"/>
      </w:pPr>
      <w:r>
        <w:rPr>
          <w:rStyle w:val="FootnoteReference"/>
        </w:rPr>
        <w:footnoteRef/>
      </w:r>
      <w:r>
        <w:t xml:space="preserve"> </w:t>
      </w:r>
      <w:r>
        <w:tab/>
        <w:t>Victorian Department of Treasury and Finance</w:t>
      </w:r>
      <w:r w:rsidRPr="00E24BA4">
        <w:rPr>
          <w:rStyle w:val="AERtextitalic"/>
        </w:rPr>
        <w:t>, Victorian State Budget 2013–14: Budget Paper 2: Strategy and Outlook</w:t>
      </w:r>
      <w:r>
        <w:t>, 7 May 2013, p. 3.</w:t>
      </w:r>
    </w:p>
  </w:footnote>
  <w:footnote w:id="160">
    <w:p w:rsidR="009E166E" w:rsidRDefault="009E166E" w:rsidP="0088341A">
      <w:pPr>
        <w:pStyle w:val="FootnoteText"/>
      </w:pPr>
      <w:r>
        <w:rPr>
          <w:rStyle w:val="FootnoteReference"/>
        </w:rPr>
        <w:footnoteRef/>
      </w:r>
      <w:r>
        <w:t xml:space="preserve"> </w:t>
      </w:r>
      <w:r>
        <w:tab/>
        <w:t>ABS, catalogue number 6345.0.</w:t>
      </w:r>
    </w:p>
  </w:footnote>
  <w:footnote w:id="161">
    <w:p w:rsidR="009E166E" w:rsidRDefault="009E166E" w:rsidP="0088341A">
      <w:pPr>
        <w:pStyle w:val="FootnoteText"/>
      </w:pPr>
      <w:r>
        <w:rPr>
          <w:rStyle w:val="FootnoteReference"/>
        </w:rPr>
        <w:footnoteRef/>
      </w:r>
      <w:r>
        <w:t xml:space="preserve"> </w:t>
      </w:r>
      <w:r>
        <w:tab/>
        <w:t xml:space="preserve">BIS Shrapnel, </w:t>
      </w:r>
      <w:r w:rsidRPr="00302E01">
        <w:rPr>
          <w:rStyle w:val="AERtextitalic"/>
        </w:rPr>
        <w:t>Real labour cost escalation forecasts to 2017—Australia and Victoria</w:t>
      </w:r>
      <w:r>
        <w:t>, November 2012, p. 45.</w:t>
      </w:r>
    </w:p>
  </w:footnote>
  <w:footnote w:id="162">
    <w:p w:rsidR="009E166E" w:rsidRDefault="009E166E" w:rsidP="0088341A">
      <w:pPr>
        <w:pStyle w:val="FootnoteText"/>
      </w:pPr>
      <w:r>
        <w:rPr>
          <w:rStyle w:val="FootnoteReference"/>
        </w:rPr>
        <w:footnoteRef/>
      </w:r>
      <w:r>
        <w:t xml:space="preserve"> </w:t>
      </w:r>
      <w:r>
        <w:tab/>
        <w:t xml:space="preserve">BIS Shrapnel, </w:t>
      </w:r>
      <w:r w:rsidRPr="00302E01">
        <w:rPr>
          <w:rStyle w:val="AERtextitalic"/>
        </w:rPr>
        <w:t>Real labour cost escalation forecasts to 2017—Australia and Victoria</w:t>
      </w:r>
      <w:r>
        <w:t>, November 2012, p. 43.</w:t>
      </w:r>
    </w:p>
  </w:footnote>
  <w:footnote w:id="163">
    <w:p w:rsidR="009E166E" w:rsidRDefault="009E166E" w:rsidP="0088341A">
      <w:pPr>
        <w:pStyle w:val="FootnoteText"/>
      </w:pPr>
      <w:r>
        <w:rPr>
          <w:rStyle w:val="FootnoteReference"/>
        </w:rPr>
        <w:footnoteRef/>
      </w:r>
      <w:r>
        <w:t xml:space="preserve"> </w:t>
      </w:r>
      <w:r>
        <w:tab/>
        <w:t xml:space="preserve">BIS Shrapnel, </w:t>
      </w:r>
      <w:r w:rsidRPr="00302E01">
        <w:rPr>
          <w:rStyle w:val="AERtextitalic"/>
        </w:rPr>
        <w:t>Real labour cost escalation forecasts to 2017—Australia and Victoria</w:t>
      </w:r>
      <w:r>
        <w:t>, November 2012, p. 43.</w:t>
      </w:r>
    </w:p>
  </w:footnote>
  <w:footnote w:id="164">
    <w:p w:rsidR="009E166E" w:rsidRDefault="009E166E" w:rsidP="0088341A">
      <w:pPr>
        <w:pStyle w:val="FootnoteText"/>
      </w:pPr>
      <w:r>
        <w:rPr>
          <w:rStyle w:val="FootnoteReference"/>
        </w:rPr>
        <w:footnoteRef/>
      </w:r>
      <w:r>
        <w:t xml:space="preserve"> </w:t>
      </w:r>
      <w:r>
        <w:tab/>
        <w:t>NER, clauses 6A.6.6(c) and 6A.6.7(c).</w:t>
      </w:r>
    </w:p>
  </w:footnote>
  <w:footnote w:id="165">
    <w:p w:rsidR="009E166E" w:rsidRDefault="009E166E" w:rsidP="0088341A">
      <w:pPr>
        <w:pStyle w:val="FootnoteText"/>
      </w:pPr>
      <w:r>
        <w:rPr>
          <w:rStyle w:val="FootnoteReference"/>
        </w:rPr>
        <w:footnoteRef/>
      </w:r>
      <w:r>
        <w:t xml:space="preserve"> </w:t>
      </w:r>
      <w:r>
        <w:tab/>
        <w:t xml:space="preserve">SKM, </w:t>
      </w:r>
      <w:r w:rsidRPr="00063973">
        <w:rPr>
          <w:rStyle w:val="AERtextitalic"/>
        </w:rPr>
        <w:t>Annual material cost escalators 2014/15–2016/17</w:t>
      </w:r>
      <w:r>
        <w:t>, 19 November 2012.</w:t>
      </w:r>
    </w:p>
  </w:footnote>
  <w:footnote w:id="166">
    <w:p w:rsidR="009E166E" w:rsidRDefault="009E166E" w:rsidP="0088341A">
      <w:pPr>
        <w:pStyle w:val="FootnoteText"/>
      </w:pPr>
      <w:r>
        <w:rPr>
          <w:rStyle w:val="FootnoteReference"/>
        </w:rPr>
        <w:footnoteRef/>
      </w:r>
      <w:r>
        <w:t xml:space="preserve"> </w:t>
      </w:r>
      <w:r>
        <w:tab/>
        <w:t>NER, clause 6A.6.7(c).</w:t>
      </w:r>
    </w:p>
  </w:footnote>
  <w:footnote w:id="167">
    <w:p w:rsidR="009E166E" w:rsidRDefault="009E166E" w:rsidP="0088341A">
      <w:pPr>
        <w:pStyle w:val="FootnoteText"/>
      </w:pPr>
      <w:r>
        <w:rPr>
          <w:rStyle w:val="FootnoteReference"/>
        </w:rPr>
        <w:footnoteRef/>
      </w:r>
      <w:r>
        <w:t xml:space="preserve"> </w:t>
      </w:r>
      <w:r>
        <w:tab/>
        <w:t xml:space="preserve">SKM, </w:t>
      </w:r>
      <w:r w:rsidRPr="00063973">
        <w:rPr>
          <w:rStyle w:val="AERtextitalic"/>
        </w:rPr>
        <w:t>Annual material cost escalators 2014/15–2016/17</w:t>
      </w:r>
      <w:r>
        <w:t>, 19 November 2012, p. 2.</w:t>
      </w:r>
    </w:p>
  </w:footnote>
  <w:footnote w:id="168">
    <w:p w:rsidR="009E166E" w:rsidRDefault="009E166E" w:rsidP="0088341A">
      <w:pPr>
        <w:pStyle w:val="FootnoteText"/>
      </w:pPr>
      <w:r>
        <w:rPr>
          <w:rStyle w:val="FootnoteReference"/>
        </w:rPr>
        <w:footnoteRef/>
      </w:r>
      <w:r>
        <w:t xml:space="preserve"> </w:t>
      </w:r>
      <w:r>
        <w:tab/>
        <w:t xml:space="preserve">SKM, </w:t>
      </w:r>
      <w:r w:rsidRPr="004774C3">
        <w:rPr>
          <w:rStyle w:val="AERtextitalic"/>
        </w:rPr>
        <w:t>Escalation factors affecting capital expenditure forecasts</w:t>
      </w:r>
      <w:r>
        <w:t>, 21 February 2007, p. 30.</w:t>
      </w:r>
    </w:p>
  </w:footnote>
  <w:footnote w:id="169">
    <w:p w:rsidR="009E166E" w:rsidRDefault="009E166E" w:rsidP="0088341A">
      <w:pPr>
        <w:pStyle w:val="FootnoteText"/>
      </w:pPr>
      <w:r>
        <w:rPr>
          <w:rStyle w:val="FootnoteReference"/>
        </w:rPr>
        <w:footnoteRef/>
      </w:r>
      <w:r>
        <w:t xml:space="preserve"> </w:t>
      </w:r>
      <w:r>
        <w:tab/>
        <w:t xml:space="preserve">SKM, </w:t>
      </w:r>
      <w:r w:rsidRPr="00063973">
        <w:rPr>
          <w:rStyle w:val="AERtextitalic"/>
        </w:rPr>
        <w:t>Annual material cost escalators 2014/15–2016/17</w:t>
      </w:r>
      <w:r>
        <w:t>, 19 November 2012, p. 24.</w:t>
      </w:r>
    </w:p>
  </w:footnote>
  <w:footnote w:id="170">
    <w:p w:rsidR="009E166E" w:rsidRDefault="009E166E" w:rsidP="0088341A">
      <w:pPr>
        <w:pStyle w:val="FootnoteText"/>
      </w:pPr>
      <w:r>
        <w:rPr>
          <w:rStyle w:val="FootnoteReference"/>
        </w:rPr>
        <w:footnoteRef/>
      </w:r>
      <w:r>
        <w:t xml:space="preserve"> </w:t>
      </w:r>
      <w:r>
        <w:tab/>
        <w:t xml:space="preserve">The Honourable Mark Butler MP, </w:t>
      </w:r>
      <w:r w:rsidRPr="00B61148">
        <w:rPr>
          <w:rStyle w:val="AERtextitalic"/>
        </w:rPr>
        <w:t>Australia to move to a floating price on carbon pollution in 2014</w:t>
      </w:r>
      <w:r>
        <w:t xml:space="preserve">, 16 July 2013, </w:t>
      </w:r>
      <w:r w:rsidRPr="007A6E28">
        <w:t>http://minister.innovation.gov.au/markbutler/mediareleases/pages/australiatomovetoafloatingpriceoncarbonpollutionin2014.aspx</w:t>
      </w:r>
    </w:p>
  </w:footnote>
  <w:footnote w:id="171">
    <w:p w:rsidR="009E166E" w:rsidRDefault="009E166E" w:rsidP="0088341A">
      <w:pPr>
        <w:pStyle w:val="FootnoteText"/>
      </w:pPr>
      <w:r>
        <w:rPr>
          <w:rStyle w:val="FootnoteReference"/>
        </w:rPr>
        <w:footnoteRef/>
      </w:r>
      <w:r>
        <w:t xml:space="preserve"> </w:t>
      </w:r>
      <w:r>
        <w:tab/>
        <w:t xml:space="preserve">Commonwealth of Australia, </w:t>
      </w:r>
      <w:r w:rsidRPr="00020741">
        <w:rPr>
          <w:rStyle w:val="AERtextitalic"/>
        </w:rPr>
        <w:t>Budget strategy and outlook: Budget Paper 1</w:t>
      </w:r>
      <w:r>
        <w:t xml:space="preserve">, 14 May 2013, p. 2-48; Department of Climate Change, </w:t>
      </w:r>
      <w:r>
        <w:rPr>
          <w:rStyle w:val="AERtextitalic"/>
        </w:rPr>
        <w:t>What does an early ETS mean for businesses? Fact sheet</w:t>
      </w:r>
      <w:r>
        <w:t>, p. 2. Cited 17 July 2013:</w:t>
      </w:r>
      <w:r w:rsidRPr="0012292F">
        <w:t xml:space="preserve"> http://climatechange.gov.au/sites/climatechange/files/files/reducing-carbon/carbon-pricing-policy/what-does-early-ets-mean-businesses.pdf</w:t>
      </w:r>
    </w:p>
  </w:footnote>
  <w:footnote w:id="172">
    <w:p w:rsidR="009E166E" w:rsidRDefault="009E166E" w:rsidP="0088341A">
      <w:pPr>
        <w:pStyle w:val="FootnoteText"/>
      </w:pPr>
      <w:r>
        <w:rPr>
          <w:rStyle w:val="FootnoteReference"/>
        </w:rPr>
        <w:footnoteRef/>
      </w:r>
      <w:r>
        <w:t xml:space="preserve"> </w:t>
      </w:r>
      <w:r>
        <w:tab/>
        <w:t xml:space="preserve">Commonwealth of Australia, </w:t>
      </w:r>
      <w:r w:rsidRPr="00020741">
        <w:rPr>
          <w:rStyle w:val="AERtextitalic"/>
        </w:rPr>
        <w:t>Budget strategy and outlook: Budget Paper 1</w:t>
      </w:r>
      <w:r>
        <w:t>, 14 May 2013, p. 1-17.</w:t>
      </w:r>
    </w:p>
  </w:footnote>
  <w:footnote w:id="173">
    <w:p w:rsidR="009E166E" w:rsidRDefault="009E166E" w:rsidP="0088341A">
      <w:pPr>
        <w:pStyle w:val="FootnoteText"/>
      </w:pPr>
      <w:r>
        <w:rPr>
          <w:rStyle w:val="FootnoteReference"/>
        </w:rPr>
        <w:footnoteRef/>
      </w:r>
      <w:r>
        <w:t xml:space="preserve"> </w:t>
      </w:r>
      <w:r>
        <w:tab/>
        <w:t xml:space="preserve">SKM, </w:t>
      </w:r>
      <w:r w:rsidRPr="001550B0">
        <w:rPr>
          <w:rStyle w:val="AERtextitalic"/>
        </w:rPr>
        <w:t>Annual material cost escalators 2014/15–2016/17</w:t>
      </w:r>
      <w:r>
        <w:t>, 19 November 2012, pp.10–11.</w:t>
      </w:r>
    </w:p>
  </w:footnote>
  <w:footnote w:id="174">
    <w:p w:rsidR="009E166E" w:rsidRDefault="009E166E" w:rsidP="0088341A">
      <w:pPr>
        <w:pStyle w:val="FootnoteText"/>
      </w:pPr>
      <w:r>
        <w:rPr>
          <w:rStyle w:val="FootnoteReference"/>
        </w:rPr>
        <w:footnoteRef/>
      </w:r>
      <w:r>
        <w:t xml:space="preserve"> </w:t>
      </w:r>
      <w:r>
        <w:tab/>
        <w:t>NER, clause 6A.6.7(a).</w:t>
      </w:r>
    </w:p>
  </w:footnote>
  <w:footnote w:id="175">
    <w:p w:rsidR="009E166E" w:rsidRDefault="009E166E" w:rsidP="0088341A">
      <w:pPr>
        <w:pStyle w:val="FootnoteText"/>
      </w:pPr>
      <w:r>
        <w:rPr>
          <w:rStyle w:val="FootnoteReference"/>
        </w:rPr>
        <w:footnoteRef/>
      </w:r>
      <w:r>
        <w:t xml:space="preserve"> </w:t>
      </w:r>
      <w:r>
        <w:tab/>
        <w:t>NER, clause 6A.5.4.</w:t>
      </w:r>
    </w:p>
  </w:footnote>
  <w:footnote w:id="176">
    <w:p w:rsidR="009E166E" w:rsidRDefault="009E166E">
      <w:pPr>
        <w:pStyle w:val="FootnoteText"/>
      </w:pPr>
      <w:r>
        <w:rPr>
          <w:rStyle w:val="FootnoteReference"/>
        </w:rPr>
        <w:footnoteRef/>
      </w:r>
      <w:r>
        <w:t xml:space="preserve"> </w:t>
      </w:r>
      <w:r>
        <w:tab/>
        <w:t>NER, clauses 6A.6.7(d), 6A.6.7(f) and 6A.14.1(2).</w:t>
      </w:r>
    </w:p>
  </w:footnote>
  <w:footnote w:id="177">
    <w:p w:rsidR="009E166E" w:rsidRDefault="009E166E">
      <w:pPr>
        <w:pStyle w:val="FootnoteText"/>
      </w:pPr>
      <w:r>
        <w:rPr>
          <w:rStyle w:val="FootnoteReference"/>
        </w:rPr>
        <w:footnoteRef/>
      </w:r>
      <w:r>
        <w:t xml:space="preserve"> </w:t>
      </w:r>
      <w:r>
        <w:tab/>
        <w:t>NER, clause 6A.6.7(c).</w:t>
      </w:r>
    </w:p>
  </w:footnote>
  <w:footnote w:id="178">
    <w:p w:rsidR="009E166E" w:rsidRDefault="009E166E" w:rsidP="0088341A">
      <w:pPr>
        <w:pStyle w:val="FootnoteText"/>
      </w:pPr>
      <w:r>
        <w:rPr>
          <w:rStyle w:val="FootnoteReference"/>
        </w:rPr>
        <w:footnoteRef/>
      </w:r>
      <w:r>
        <w:t xml:space="preserve"> </w:t>
      </w:r>
      <w:r>
        <w:tab/>
        <w:t xml:space="preserve">SP AusNet, </w:t>
      </w:r>
      <w:r w:rsidRPr="00F3010F">
        <w:rPr>
          <w:rStyle w:val="AERtextitalic"/>
        </w:rPr>
        <w:t>Revenue proposal</w:t>
      </w:r>
      <w:r>
        <w:t>, p. 84. The figure of $564.2 million ($2013–14) differs from the $575 million ($2013–14) in Table 4.4 (p. 84) of SP AusNet's revenue proposal. Since submitting its revenue proposal, SP AusNet informed us of errors in the 'major stations replacement' category in Table 4.4 (p. 84) of its revenue proposal.</w:t>
      </w:r>
    </w:p>
  </w:footnote>
  <w:footnote w:id="179">
    <w:p w:rsidR="009E166E" w:rsidRDefault="009E166E" w:rsidP="0088341A">
      <w:pPr>
        <w:pStyle w:val="FootnoteText"/>
      </w:pPr>
      <w:r>
        <w:rPr>
          <w:rStyle w:val="FootnoteReference"/>
        </w:rPr>
        <w:footnoteRef/>
      </w:r>
      <w:r>
        <w:t xml:space="preserve"> </w:t>
      </w:r>
      <w:r>
        <w:tab/>
        <w:t>Forecast capex of $564.2 million is averaged over three years, whereas actual and expected capex of $788.7 million is averaged over six years.</w:t>
      </w:r>
    </w:p>
  </w:footnote>
  <w:footnote w:id="180">
    <w:p w:rsidR="009E166E" w:rsidRDefault="009E166E" w:rsidP="0088341A">
      <w:pPr>
        <w:pStyle w:val="FootnoteText"/>
      </w:pPr>
      <w:r>
        <w:rPr>
          <w:rStyle w:val="FootnoteReference"/>
        </w:rPr>
        <w:footnoteRef/>
      </w:r>
      <w:r>
        <w:t xml:space="preserve"> </w:t>
      </w:r>
      <w:r>
        <w:tab/>
        <w:t xml:space="preserve">The reasons SP AusNet gave for the underspend are set out in its </w:t>
      </w:r>
      <w:r w:rsidRPr="00F3010F">
        <w:rPr>
          <w:rStyle w:val="AERtextitalic"/>
        </w:rPr>
        <w:t>Revenue proposal</w:t>
      </w:r>
      <w:r>
        <w:t>, p. 51.</w:t>
      </w:r>
    </w:p>
  </w:footnote>
  <w:footnote w:id="181">
    <w:p w:rsidR="009E166E" w:rsidRDefault="009E166E" w:rsidP="0088341A">
      <w:pPr>
        <w:pStyle w:val="FootnoteText"/>
      </w:pPr>
      <w:r>
        <w:rPr>
          <w:rStyle w:val="FootnoteReference"/>
        </w:rPr>
        <w:footnoteRef/>
      </w:r>
      <w:r>
        <w:t xml:space="preserve"> </w:t>
      </w:r>
      <w:r>
        <w:tab/>
        <w:t>NER, clause 6A.6.7(c).</w:t>
      </w:r>
    </w:p>
  </w:footnote>
  <w:footnote w:id="182">
    <w:p w:rsidR="009E166E" w:rsidRDefault="009E166E" w:rsidP="0088341A">
      <w:pPr>
        <w:pStyle w:val="FootnoteText"/>
      </w:pPr>
      <w:r>
        <w:rPr>
          <w:rStyle w:val="FootnoteReference"/>
        </w:rPr>
        <w:footnoteRef/>
      </w:r>
      <w:r>
        <w:t xml:space="preserve"> </w:t>
      </w:r>
      <w:r>
        <w:tab/>
        <w:t>NER, clauses 6A.6.7(d), 6A.6.7(f) and 6A.14.1(2).</w:t>
      </w:r>
    </w:p>
  </w:footnote>
  <w:footnote w:id="183">
    <w:p w:rsidR="009E166E" w:rsidRDefault="009E166E" w:rsidP="0088341A">
      <w:pPr>
        <w:pStyle w:val="FootnoteText"/>
      </w:pPr>
      <w:r>
        <w:rPr>
          <w:rStyle w:val="FootnoteReference"/>
        </w:rPr>
        <w:footnoteRef/>
      </w:r>
      <w:r>
        <w:t xml:space="preserve"> </w:t>
      </w:r>
      <w:r>
        <w:tab/>
        <w:t>NER, clause 6A.6.7(c). The capex objectives are set out in NER, clause 6A.6.7(a).</w:t>
      </w:r>
    </w:p>
  </w:footnote>
  <w:footnote w:id="184">
    <w:p w:rsidR="009E166E" w:rsidRDefault="009E166E" w:rsidP="0088341A">
      <w:pPr>
        <w:pStyle w:val="FootnoteText"/>
      </w:pPr>
      <w:r>
        <w:rPr>
          <w:rStyle w:val="FootnoteReference"/>
        </w:rPr>
        <w:footnoteRef/>
      </w:r>
      <w:r>
        <w:t xml:space="preserve"> </w:t>
      </w:r>
      <w:r>
        <w:tab/>
        <w:t>NER, clause 6A.6.7(e); NEL, ss. 7 and 7A.</w:t>
      </w:r>
    </w:p>
  </w:footnote>
  <w:footnote w:id="185">
    <w:p w:rsidR="009E166E" w:rsidRDefault="009E166E" w:rsidP="0088341A">
      <w:pPr>
        <w:pStyle w:val="FootnoteText"/>
      </w:pPr>
      <w:r>
        <w:rPr>
          <w:rStyle w:val="FootnoteReference"/>
        </w:rPr>
        <w:footnoteRef/>
      </w:r>
      <w:r>
        <w:t xml:space="preserve"> </w:t>
      </w:r>
      <w:r>
        <w:tab/>
        <w:t>NER, clause 6A.14.1(2).</w:t>
      </w:r>
    </w:p>
  </w:footnote>
  <w:footnote w:id="186">
    <w:p w:rsidR="009E166E" w:rsidRDefault="009E166E" w:rsidP="0088341A">
      <w:pPr>
        <w:pStyle w:val="FootnoteText"/>
      </w:pPr>
      <w:r>
        <w:rPr>
          <w:rStyle w:val="FootnoteReference"/>
        </w:rPr>
        <w:footnoteRef/>
      </w:r>
      <w:r>
        <w:t xml:space="preserve"> </w:t>
      </w:r>
      <w:r>
        <w:tab/>
        <w:t>This attachment refers to Energy Market Consulting Associates and Strata Energy Consultants collectively as EMCa.</w:t>
      </w:r>
    </w:p>
  </w:footnote>
  <w:footnote w:id="187">
    <w:p w:rsidR="009E166E" w:rsidRDefault="009E166E" w:rsidP="0088341A">
      <w:pPr>
        <w:pStyle w:val="FootnoteText"/>
      </w:pPr>
      <w:r>
        <w:rPr>
          <w:rStyle w:val="FootnoteReference"/>
        </w:rPr>
        <w:footnoteRef/>
      </w:r>
      <w:r>
        <w:t xml:space="preserve"> </w:t>
      </w:r>
      <w:r>
        <w:tab/>
        <w:t xml:space="preserve">EMCa, </w:t>
      </w:r>
      <w:r w:rsidRPr="00C80796">
        <w:rPr>
          <w:rStyle w:val="AERtextitalic"/>
        </w:rPr>
        <w:t>SP AusNet technical review</w:t>
      </w:r>
      <w:r>
        <w:rPr>
          <w:rStyle w:val="AERtextitalic"/>
        </w:rPr>
        <w:t xml:space="preserve"> </w:t>
      </w:r>
      <w:r>
        <w:t>August 2013.</w:t>
      </w:r>
    </w:p>
  </w:footnote>
  <w:footnote w:id="188">
    <w:p w:rsidR="009E166E" w:rsidRDefault="009E166E" w:rsidP="0088341A">
      <w:pPr>
        <w:pStyle w:val="FootnoteText"/>
      </w:pPr>
      <w:r>
        <w:rPr>
          <w:rStyle w:val="FootnoteReference"/>
        </w:rPr>
        <w:footnoteRef/>
      </w:r>
      <w:r>
        <w:t xml:space="preserve"> </w:t>
      </w:r>
      <w:r>
        <w:tab/>
        <w:t xml:space="preserve">EMCa, </w:t>
      </w:r>
      <w:r w:rsidRPr="00C80796">
        <w:rPr>
          <w:rStyle w:val="AERtextitalic"/>
        </w:rPr>
        <w:t>SP AusNet technical review</w:t>
      </w:r>
      <w:r>
        <w:t>, August 2013, pp. 8–9, paragraphs 9–12.</w:t>
      </w:r>
    </w:p>
  </w:footnote>
  <w:footnote w:id="189">
    <w:p w:rsidR="009E166E" w:rsidRDefault="009E166E" w:rsidP="00050CCA">
      <w:pPr>
        <w:pStyle w:val="FootnoteText"/>
      </w:pPr>
      <w:r>
        <w:rPr>
          <w:rStyle w:val="FootnoteReference"/>
        </w:rPr>
        <w:footnoteRef/>
      </w:r>
      <w:r>
        <w:t xml:space="preserve"> </w:t>
      </w:r>
      <w:r>
        <w:tab/>
        <w:t xml:space="preserve">McGrathNicol, </w:t>
      </w:r>
      <w:r>
        <w:rPr>
          <w:rStyle w:val="AERtextitalic"/>
        </w:rPr>
        <w:t>Review of SP AusNet Expenditure</w:t>
      </w:r>
      <w:r>
        <w:t>, [confidential], 19 August 2013.</w:t>
      </w:r>
    </w:p>
  </w:footnote>
  <w:footnote w:id="190">
    <w:p w:rsidR="009E166E" w:rsidRDefault="009E166E" w:rsidP="0088341A">
      <w:pPr>
        <w:pStyle w:val="FootnoteText"/>
      </w:pPr>
      <w:r>
        <w:rPr>
          <w:rStyle w:val="FootnoteReference"/>
        </w:rPr>
        <w:footnoteRef/>
      </w:r>
      <w:r>
        <w:t xml:space="preserve"> </w:t>
      </w:r>
      <w:r>
        <w:tab/>
        <w:t>NER, clause 11.59.4.</w:t>
      </w:r>
    </w:p>
  </w:footnote>
  <w:footnote w:id="191">
    <w:p w:rsidR="009E166E" w:rsidRDefault="009E166E" w:rsidP="0088341A">
      <w:pPr>
        <w:pStyle w:val="FootnoteText"/>
      </w:pPr>
      <w:r>
        <w:rPr>
          <w:rStyle w:val="FootnoteReference"/>
        </w:rPr>
        <w:footnoteRef/>
      </w:r>
      <w:r>
        <w:t xml:space="preserve"> </w:t>
      </w:r>
      <w:r>
        <w:tab/>
        <w:t>NER, clause 6A.6.7(e)(5).</w:t>
      </w:r>
    </w:p>
  </w:footnote>
  <w:footnote w:id="192">
    <w:p w:rsidR="009E166E" w:rsidRDefault="009E166E" w:rsidP="0088341A">
      <w:pPr>
        <w:pStyle w:val="FootnoteText"/>
      </w:pPr>
      <w:r>
        <w:rPr>
          <w:rStyle w:val="FootnoteReference"/>
        </w:rPr>
        <w:footnoteRef/>
      </w:r>
      <w:r>
        <w:t xml:space="preserve"> </w:t>
      </w:r>
      <w:r>
        <w:tab/>
        <w:t xml:space="preserve">EMCa, </w:t>
      </w:r>
      <w:r w:rsidRPr="003348E3">
        <w:rPr>
          <w:rStyle w:val="AERtextitalic"/>
        </w:rPr>
        <w:t>SP AusNet technical review</w:t>
      </w:r>
      <w:r>
        <w:t>, August 2013, p. 12, paragraph 18.</w:t>
      </w:r>
    </w:p>
  </w:footnote>
  <w:footnote w:id="193">
    <w:p w:rsidR="009E166E" w:rsidRDefault="009E166E" w:rsidP="0088341A">
      <w:pPr>
        <w:pStyle w:val="FootnoteText"/>
      </w:pPr>
      <w:r>
        <w:rPr>
          <w:rStyle w:val="FootnoteReference"/>
        </w:rPr>
        <w:footnoteRef/>
      </w:r>
      <w:r>
        <w:t xml:space="preserve"> </w:t>
      </w:r>
      <w:r>
        <w:tab/>
        <w:t xml:space="preserve">SP AusNet, </w:t>
      </w:r>
      <w:r w:rsidRPr="00F3010F">
        <w:rPr>
          <w:rStyle w:val="AERtextitalic"/>
        </w:rPr>
        <w:t>Revenue proposal</w:t>
      </w:r>
      <w:r>
        <w:t>, p. 45.</w:t>
      </w:r>
    </w:p>
  </w:footnote>
  <w:footnote w:id="194">
    <w:p w:rsidR="009E166E" w:rsidRDefault="009E166E" w:rsidP="0088341A">
      <w:pPr>
        <w:pStyle w:val="FootnoteText"/>
      </w:pPr>
      <w:r>
        <w:rPr>
          <w:rStyle w:val="FootnoteReference"/>
        </w:rPr>
        <w:footnoteRef/>
      </w:r>
      <w:r>
        <w:t xml:space="preserve"> </w:t>
      </w:r>
      <w:r>
        <w:tab/>
        <w:t xml:space="preserve">SP AusNet, </w:t>
      </w:r>
      <w:r w:rsidRPr="00F3010F">
        <w:rPr>
          <w:rStyle w:val="AERtextitalic"/>
        </w:rPr>
        <w:t>Revenue proposal</w:t>
      </w:r>
      <w:r>
        <w:t>, p. 70.</w:t>
      </w:r>
    </w:p>
  </w:footnote>
  <w:footnote w:id="195">
    <w:p w:rsidR="009E166E" w:rsidRDefault="009E166E" w:rsidP="0088341A">
      <w:pPr>
        <w:pStyle w:val="FootnoteText"/>
      </w:pPr>
      <w:r>
        <w:rPr>
          <w:rStyle w:val="FootnoteReference"/>
        </w:rPr>
        <w:footnoteRef/>
      </w:r>
      <w:r>
        <w:t xml:space="preserve"> </w:t>
      </w:r>
      <w:r>
        <w:tab/>
        <w:t xml:space="preserve">EMCa, </w:t>
      </w:r>
      <w:r w:rsidRPr="003348E3">
        <w:rPr>
          <w:rStyle w:val="AERtextitalic"/>
        </w:rPr>
        <w:t>SP AusNet technical review</w:t>
      </w:r>
      <w:r>
        <w:t>, August 2013, pp. 34–5, paragraphs 74–7.</w:t>
      </w:r>
    </w:p>
  </w:footnote>
  <w:footnote w:id="196">
    <w:p w:rsidR="009E166E" w:rsidRDefault="009E166E" w:rsidP="0088341A">
      <w:pPr>
        <w:pStyle w:val="FootnoteText"/>
      </w:pPr>
      <w:r>
        <w:rPr>
          <w:rStyle w:val="FootnoteReference"/>
        </w:rPr>
        <w:footnoteRef/>
      </w:r>
      <w:r>
        <w:t xml:space="preserve"> </w:t>
      </w:r>
      <w:r>
        <w:tab/>
        <w:t xml:space="preserve">EMCa, </w:t>
      </w:r>
      <w:r w:rsidRPr="003348E3">
        <w:rPr>
          <w:rStyle w:val="AERtextitalic"/>
        </w:rPr>
        <w:t>SP AusNet technical review</w:t>
      </w:r>
      <w:r>
        <w:t>, August 2013, p. 48, paragraph 128.</w:t>
      </w:r>
    </w:p>
  </w:footnote>
  <w:footnote w:id="197">
    <w:p w:rsidR="009E166E" w:rsidRDefault="009E166E" w:rsidP="0088341A">
      <w:pPr>
        <w:pStyle w:val="FootnoteText"/>
      </w:pPr>
      <w:r>
        <w:rPr>
          <w:rStyle w:val="FootnoteReference"/>
        </w:rPr>
        <w:footnoteRef/>
      </w:r>
      <w:r>
        <w:t xml:space="preserve"> </w:t>
      </w:r>
      <w:r>
        <w:tab/>
        <w:t xml:space="preserve">EMCa, </w:t>
      </w:r>
      <w:r w:rsidRPr="003348E3">
        <w:rPr>
          <w:rStyle w:val="AERtextitalic"/>
        </w:rPr>
        <w:t>SP AusNet technical review</w:t>
      </w:r>
      <w:r>
        <w:t xml:space="preserve">, August 2013, pp. 36–7, paragraphs 87–91. </w:t>
      </w:r>
    </w:p>
  </w:footnote>
  <w:footnote w:id="198">
    <w:p w:rsidR="009E166E" w:rsidRDefault="009E166E" w:rsidP="0088341A">
      <w:pPr>
        <w:pStyle w:val="FootnoteText"/>
      </w:pPr>
      <w:r>
        <w:rPr>
          <w:rStyle w:val="FootnoteReference"/>
        </w:rPr>
        <w:footnoteRef/>
      </w:r>
      <w:r>
        <w:t xml:space="preserve"> </w:t>
      </w:r>
      <w:r>
        <w:tab/>
        <w:t xml:space="preserve">SP AusNet, </w:t>
      </w:r>
      <w:r w:rsidRPr="00F3010F">
        <w:rPr>
          <w:rStyle w:val="AERtextitalic"/>
        </w:rPr>
        <w:t>Revenue proposal</w:t>
      </w:r>
      <w:r>
        <w:t>, p. 76.</w:t>
      </w:r>
    </w:p>
  </w:footnote>
  <w:footnote w:id="199">
    <w:p w:rsidR="009E166E" w:rsidRDefault="009E166E" w:rsidP="0088341A">
      <w:pPr>
        <w:pStyle w:val="FootnoteText"/>
      </w:pPr>
      <w:r>
        <w:rPr>
          <w:rStyle w:val="FootnoteReference"/>
        </w:rPr>
        <w:footnoteRef/>
      </w:r>
      <w:r>
        <w:t xml:space="preserve"> </w:t>
      </w:r>
      <w:r>
        <w:tab/>
        <w:t xml:space="preserve">SP AusNet, </w:t>
      </w:r>
      <w:r w:rsidRPr="00F3010F">
        <w:rPr>
          <w:rStyle w:val="AERtextitalic"/>
        </w:rPr>
        <w:t>Revenue proposal</w:t>
      </w:r>
      <w:r>
        <w:t>, pp. 76–7.</w:t>
      </w:r>
    </w:p>
  </w:footnote>
  <w:footnote w:id="200">
    <w:p w:rsidR="009E166E" w:rsidRDefault="009E166E" w:rsidP="0088341A">
      <w:pPr>
        <w:pStyle w:val="FootnoteText"/>
      </w:pPr>
      <w:r>
        <w:rPr>
          <w:rStyle w:val="FootnoteReference"/>
        </w:rPr>
        <w:footnoteRef/>
      </w:r>
      <w:r>
        <w:t xml:space="preserve"> </w:t>
      </w:r>
      <w:r>
        <w:tab/>
        <w:t xml:space="preserve">EMCa, </w:t>
      </w:r>
      <w:r w:rsidRPr="003348E3">
        <w:rPr>
          <w:rStyle w:val="AERtextitalic"/>
        </w:rPr>
        <w:t>SP AusNet technical review</w:t>
      </w:r>
      <w:r>
        <w:t>, August 2013, p. 37, paragraph 90.</w:t>
      </w:r>
    </w:p>
  </w:footnote>
  <w:footnote w:id="201">
    <w:p w:rsidR="009E166E" w:rsidRDefault="009E166E" w:rsidP="0088341A">
      <w:pPr>
        <w:pStyle w:val="FootnoteText"/>
      </w:pPr>
      <w:r>
        <w:rPr>
          <w:rStyle w:val="FootnoteReference"/>
        </w:rPr>
        <w:footnoteRef/>
      </w:r>
      <w:r>
        <w:t xml:space="preserve"> </w:t>
      </w:r>
      <w:r>
        <w:tab/>
        <w:t xml:space="preserve">EMCa, </w:t>
      </w:r>
      <w:r w:rsidRPr="003348E3">
        <w:rPr>
          <w:rStyle w:val="AERtextitalic"/>
        </w:rPr>
        <w:t>SP AusNet technical review</w:t>
      </w:r>
      <w:r>
        <w:t>, August 2013, p. 40, paragraph 100.</w:t>
      </w:r>
    </w:p>
  </w:footnote>
  <w:footnote w:id="202">
    <w:p w:rsidR="009E166E" w:rsidRDefault="009E166E" w:rsidP="0088341A">
      <w:pPr>
        <w:pStyle w:val="FootnoteText"/>
      </w:pPr>
      <w:r>
        <w:rPr>
          <w:rStyle w:val="FootnoteReference"/>
        </w:rPr>
        <w:footnoteRef/>
      </w:r>
      <w:r>
        <w:t xml:space="preserve"> </w:t>
      </w:r>
      <w:r>
        <w:tab/>
        <w:t xml:space="preserve">EMCa, </w:t>
      </w:r>
      <w:r w:rsidRPr="003348E3">
        <w:rPr>
          <w:rStyle w:val="AERtextitalic"/>
        </w:rPr>
        <w:t>SP AusNet technical review</w:t>
      </w:r>
      <w:r>
        <w:t>, August 2013, p. 49, paragraph 134.</w:t>
      </w:r>
    </w:p>
  </w:footnote>
  <w:footnote w:id="203">
    <w:p w:rsidR="009E166E" w:rsidRDefault="009E166E" w:rsidP="0088341A">
      <w:pPr>
        <w:pStyle w:val="FootnoteText"/>
      </w:pPr>
      <w:r>
        <w:rPr>
          <w:rStyle w:val="FootnoteReference"/>
        </w:rPr>
        <w:footnoteRef/>
      </w:r>
      <w:r>
        <w:t xml:space="preserve"> </w:t>
      </w:r>
      <w:r>
        <w:tab/>
        <w:t xml:space="preserve">EMCa, </w:t>
      </w:r>
      <w:r w:rsidRPr="003348E3">
        <w:rPr>
          <w:rStyle w:val="AERtextitalic"/>
        </w:rPr>
        <w:t>SP AusNet technical review</w:t>
      </w:r>
      <w:r>
        <w:t>, August 2013, pp. 38–41, paragraphs 95–101.</w:t>
      </w:r>
    </w:p>
  </w:footnote>
  <w:footnote w:id="204">
    <w:p w:rsidR="009E166E" w:rsidRDefault="009E166E" w:rsidP="0088341A">
      <w:pPr>
        <w:pStyle w:val="FootnoteText"/>
      </w:pPr>
      <w:r>
        <w:rPr>
          <w:rStyle w:val="FootnoteReference"/>
        </w:rPr>
        <w:footnoteRef/>
      </w:r>
      <w:r>
        <w:t xml:space="preserve"> </w:t>
      </w:r>
      <w:r>
        <w:tab/>
        <w:t xml:space="preserve">EMCa, </w:t>
      </w:r>
      <w:r w:rsidRPr="003348E3">
        <w:rPr>
          <w:rStyle w:val="AERtextitalic"/>
        </w:rPr>
        <w:t>SP AusNet technical review</w:t>
      </w:r>
      <w:r>
        <w:t>, August 2013, p. 49, paragraph 135.</w:t>
      </w:r>
    </w:p>
  </w:footnote>
  <w:footnote w:id="205">
    <w:p w:rsidR="009E166E" w:rsidRDefault="009E166E" w:rsidP="0088341A">
      <w:pPr>
        <w:pStyle w:val="FootnoteText"/>
      </w:pPr>
      <w:r>
        <w:rPr>
          <w:rStyle w:val="FootnoteReference"/>
        </w:rPr>
        <w:footnoteRef/>
      </w:r>
      <w:r>
        <w:t xml:space="preserve"> </w:t>
      </w:r>
      <w:r>
        <w:tab/>
        <w:t xml:space="preserve">EMCa, </w:t>
      </w:r>
      <w:r w:rsidRPr="003348E3">
        <w:rPr>
          <w:rStyle w:val="AERtextitalic"/>
        </w:rPr>
        <w:t>SP AusNet technical review</w:t>
      </w:r>
      <w:r>
        <w:t>, August 2013, pp. 44–6, paragraphs 115–9.</w:t>
      </w:r>
    </w:p>
  </w:footnote>
  <w:footnote w:id="206">
    <w:p w:rsidR="009E166E" w:rsidRDefault="009E166E" w:rsidP="0088341A">
      <w:pPr>
        <w:pStyle w:val="FootnoteText"/>
      </w:pPr>
      <w:r>
        <w:rPr>
          <w:rStyle w:val="FootnoteReference"/>
        </w:rPr>
        <w:footnoteRef/>
      </w:r>
      <w:r>
        <w:t xml:space="preserve"> </w:t>
      </w:r>
      <w:r>
        <w:tab/>
        <w:t xml:space="preserve">EMCa, </w:t>
      </w:r>
      <w:r w:rsidRPr="003348E3">
        <w:rPr>
          <w:rStyle w:val="AERtextitalic"/>
        </w:rPr>
        <w:t>SP AusNet technical review</w:t>
      </w:r>
      <w:r>
        <w:t>, August 2013, p. 49, paragraph 135.</w:t>
      </w:r>
    </w:p>
  </w:footnote>
  <w:footnote w:id="207">
    <w:p w:rsidR="009E166E" w:rsidRDefault="009E166E" w:rsidP="0088341A">
      <w:pPr>
        <w:pStyle w:val="FootnoteText"/>
      </w:pPr>
      <w:r>
        <w:rPr>
          <w:rStyle w:val="FootnoteReference"/>
        </w:rPr>
        <w:footnoteRef/>
      </w:r>
      <w:r>
        <w:t xml:space="preserve"> </w:t>
      </w:r>
      <w:r>
        <w:tab/>
        <w:t xml:space="preserve">SP AusNet, </w:t>
      </w:r>
      <w:r w:rsidRPr="00F3010F">
        <w:rPr>
          <w:rStyle w:val="AERtextitalic"/>
        </w:rPr>
        <w:t>Revenue proposal</w:t>
      </w:r>
      <w:r>
        <w:t xml:space="preserve">, p. 91. The sum of the two projects ($189 million) in table 4.6 (p. 91) of SP AusNet's proposal differs from the total amount ($185.8 million) in Table 4.4 (p. 84) of SP AusNet's revenue proposal because the individual amounts in Table 4.6 (p. 91) have not had the efficiency factor of 1.44 per cent applied to them (SP AusNet, </w:t>
      </w:r>
      <w:r w:rsidRPr="00F3010F">
        <w:rPr>
          <w:rStyle w:val="AERtextitalic"/>
        </w:rPr>
        <w:t>Revenue proposal</w:t>
      </w:r>
      <w:r>
        <w:t>, p. 83).</w:t>
      </w:r>
    </w:p>
  </w:footnote>
  <w:footnote w:id="208">
    <w:p w:rsidR="009E166E" w:rsidRDefault="009E166E" w:rsidP="0088341A">
      <w:pPr>
        <w:pStyle w:val="FootnoteText"/>
      </w:pPr>
      <w:r>
        <w:rPr>
          <w:rStyle w:val="FootnoteReference"/>
        </w:rPr>
        <w:footnoteRef/>
      </w:r>
      <w:r>
        <w:t xml:space="preserve"> </w:t>
      </w:r>
      <w:r>
        <w:tab/>
        <w:t>The difference between SP AusNet's forecast capex and our substitute capex for the RTS reflects differences between SP AusNet's proposed real cost escalators and ours.</w:t>
      </w:r>
    </w:p>
  </w:footnote>
  <w:footnote w:id="209">
    <w:p w:rsidR="009E166E" w:rsidRDefault="009E166E" w:rsidP="0088341A">
      <w:pPr>
        <w:pStyle w:val="FootnoteText"/>
      </w:pPr>
      <w:r>
        <w:rPr>
          <w:rStyle w:val="FootnoteReference"/>
        </w:rPr>
        <w:footnoteRef/>
      </w:r>
      <w:r>
        <w:t xml:space="preserve"> </w:t>
      </w:r>
      <w:r>
        <w:tab/>
        <w:t xml:space="preserve">SP AusNet, </w:t>
      </w:r>
      <w:r w:rsidRPr="00F3010F">
        <w:rPr>
          <w:rStyle w:val="AERtextitalic"/>
        </w:rPr>
        <w:t>Revenue proposal</w:t>
      </w:r>
      <w:r>
        <w:t>, pp. 86–7.</w:t>
      </w:r>
    </w:p>
  </w:footnote>
  <w:footnote w:id="210">
    <w:p w:rsidR="009E166E" w:rsidRDefault="009E166E" w:rsidP="0088341A">
      <w:pPr>
        <w:pStyle w:val="FootnoteText"/>
      </w:pPr>
      <w:r>
        <w:rPr>
          <w:rStyle w:val="FootnoteReference"/>
        </w:rPr>
        <w:footnoteRef/>
      </w:r>
      <w:r>
        <w:t xml:space="preserve"> </w:t>
      </w:r>
      <w:r>
        <w:tab/>
        <w:t xml:space="preserve">AEMO, </w:t>
      </w:r>
      <w:r w:rsidRPr="00D52BD4">
        <w:rPr>
          <w:rStyle w:val="AERtextitalic"/>
        </w:rPr>
        <w:t>National electricity forecasting report</w:t>
      </w:r>
      <w:r>
        <w:t>, 2012, chapter 8, p. 10.</w:t>
      </w:r>
    </w:p>
  </w:footnote>
  <w:footnote w:id="211">
    <w:p w:rsidR="009E166E" w:rsidRDefault="009E166E" w:rsidP="0088341A">
      <w:pPr>
        <w:pStyle w:val="FootnoteText"/>
      </w:pPr>
      <w:r>
        <w:rPr>
          <w:rStyle w:val="FootnoteReference"/>
        </w:rPr>
        <w:footnoteRef/>
      </w:r>
      <w:r>
        <w:t xml:space="preserve"> </w:t>
      </w:r>
      <w:r>
        <w:tab/>
        <w:t xml:space="preserve">EUAA, </w:t>
      </w:r>
      <w:r w:rsidRPr="00385CB0">
        <w:rPr>
          <w:rStyle w:val="AERtextitalic"/>
        </w:rPr>
        <w:t>Submission</w:t>
      </w:r>
      <w:r>
        <w:t>, p. 11.</w:t>
      </w:r>
    </w:p>
  </w:footnote>
  <w:footnote w:id="212">
    <w:p w:rsidR="009E166E" w:rsidRDefault="009E166E" w:rsidP="0088341A">
      <w:pPr>
        <w:pStyle w:val="FootnoteText"/>
      </w:pPr>
      <w:r>
        <w:rPr>
          <w:rStyle w:val="FootnoteReference"/>
        </w:rPr>
        <w:footnoteRef/>
      </w:r>
      <w:r>
        <w:t xml:space="preserve"> </w:t>
      </w:r>
      <w:r>
        <w:tab/>
        <w:t xml:space="preserve">EUAA, </w:t>
      </w:r>
      <w:r w:rsidRPr="00385CB0">
        <w:rPr>
          <w:rStyle w:val="AERtextitalic"/>
        </w:rPr>
        <w:t>Submission</w:t>
      </w:r>
      <w:r>
        <w:t>, pp. 11–2.</w:t>
      </w:r>
    </w:p>
  </w:footnote>
  <w:footnote w:id="213">
    <w:p w:rsidR="009E166E" w:rsidRDefault="009E166E" w:rsidP="0088341A">
      <w:pPr>
        <w:pStyle w:val="FootnoteText"/>
      </w:pPr>
      <w:r>
        <w:rPr>
          <w:rStyle w:val="FootnoteReference"/>
        </w:rPr>
        <w:footnoteRef/>
      </w:r>
      <w:r>
        <w:t xml:space="preserve"> </w:t>
      </w:r>
      <w:r>
        <w:tab/>
        <w:t xml:space="preserve">EUCV, </w:t>
      </w:r>
      <w:r w:rsidRPr="004254B1">
        <w:rPr>
          <w:rStyle w:val="AERtextitalic"/>
        </w:rPr>
        <w:t>Submission</w:t>
      </w:r>
      <w:r>
        <w:t>, p. 43.</w:t>
      </w:r>
    </w:p>
  </w:footnote>
  <w:footnote w:id="214">
    <w:p w:rsidR="009E166E" w:rsidRDefault="009E166E" w:rsidP="0088341A">
      <w:pPr>
        <w:pStyle w:val="FootnoteText"/>
      </w:pPr>
      <w:r>
        <w:rPr>
          <w:rStyle w:val="FootnoteReference"/>
        </w:rPr>
        <w:footnoteRef/>
      </w:r>
      <w:r>
        <w:t xml:space="preserve"> </w:t>
      </w:r>
      <w:r>
        <w:tab/>
        <w:t xml:space="preserve">AEMO, </w:t>
      </w:r>
      <w:r w:rsidRPr="008C0218">
        <w:rPr>
          <w:rStyle w:val="AERtextitalic"/>
        </w:rPr>
        <w:t>National electricity forecasting report</w:t>
      </w:r>
      <w:r>
        <w:t>, 2013, chapter 6, p. 4.</w:t>
      </w:r>
    </w:p>
  </w:footnote>
  <w:footnote w:id="215">
    <w:p w:rsidR="009E166E" w:rsidRDefault="009E166E" w:rsidP="0088341A">
      <w:pPr>
        <w:pStyle w:val="FootnoteText"/>
      </w:pPr>
      <w:r>
        <w:rPr>
          <w:rStyle w:val="FootnoteReference"/>
        </w:rPr>
        <w:footnoteRef/>
      </w:r>
      <w:r>
        <w:t xml:space="preserve"> </w:t>
      </w:r>
      <w:r>
        <w:tab/>
        <w:t xml:space="preserve">SP AusNet, </w:t>
      </w:r>
      <w:r w:rsidRPr="00F3010F">
        <w:rPr>
          <w:rStyle w:val="AERtextitalic"/>
        </w:rPr>
        <w:t>Revenue proposal</w:t>
      </w:r>
      <w:r>
        <w:t>, pp. 92–4.</w:t>
      </w:r>
    </w:p>
  </w:footnote>
  <w:footnote w:id="216">
    <w:p w:rsidR="009E166E" w:rsidRDefault="009E166E" w:rsidP="0088341A">
      <w:pPr>
        <w:pStyle w:val="FootnoteText"/>
      </w:pPr>
      <w:r>
        <w:rPr>
          <w:rStyle w:val="FootnoteReference"/>
        </w:rPr>
        <w:footnoteRef/>
      </w:r>
      <w:r>
        <w:t xml:space="preserve"> </w:t>
      </w:r>
      <w:r>
        <w:tab/>
        <w:t xml:space="preserve">SP AusNet, </w:t>
      </w:r>
      <w:r w:rsidRPr="008D4850">
        <w:rPr>
          <w:rStyle w:val="AERtextitalic"/>
        </w:rPr>
        <w:t>Electricity transmission revenue proposal, 2008–14</w:t>
      </w:r>
      <w:r>
        <w:t>, p. 64.</w:t>
      </w:r>
    </w:p>
  </w:footnote>
  <w:footnote w:id="217">
    <w:p w:rsidR="009E166E" w:rsidRDefault="009E166E" w:rsidP="0088341A">
      <w:pPr>
        <w:pStyle w:val="FootnoteText"/>
      </w:pPr>
      <w:r>
        <w:rPr>
          <w:rStyle w:val="FootnoteReference"/>
        </w:rPr>
        <w:footnoteRef/>
      </w:r>
      <w:r>
        <w:t xml:space="preserve"> </w:t>
      </w:r>
      <w:r>
        <w:tab/>
        <w:t xml:space="preserve">SP AusNet proposed to commence redeveloping the 220 kV switchyard and converting it to GIS in the 2008–14 regulatory control period. SP AusNet, </w:t>
      </w:r>
      <w:r w:rsidRPr="008D4850">
        <w:rPr>
          <w:rStyle w:val="AERtextitalic"/>
        </w:rPr>
        <w:t>Electricity transmission revenue proposal, 2008–14</w:t>
      </w:r>
      <w:r>
        <w:t>, p. 68.</w:t>
      </w:r>
    </w:p>
  </w:footnote>
  <w:footnote w:id="218">
    <w:p w:rsidR="009E166E" w:rsidRDefault="009E166E" w:rsidP="0088341A">
      <w:pPr>
        <w:pStyle w:val="FootnoteText"/>
      </w:pPr>
      <w:r>
        <w:rPr>
          <w:rStyle w:val="FootnoteReference"/>
        </w:rPr>
        <w:footnoteRef/>
      </w:r>
      <w:r>
        <w:t xml:space="preserve"> </w:t>
      </w:r>
      <w:r>
        <w:tab/>
        <w:t xml:space="preserve">EMCa, </w:t>
      </w:r>
      <w:r w:rsidRPr="003348E3">
        <w:rPr>
          <w:rStyle w:val="AERtextitalic"/>
        </w:rPr>
        <w:t>SP AusNet technical review</w:t>
      </w:r>
      <w:r>
        <w:t>, August 2013, pp. 52–3, paragraphs 148–55.</w:t>
      </w:r>
    </w:p>
  </w:footnote>
  <w:footnote w:id="219">
    <w:p w:rsidR="009E166E" w:rsidRDefault="009E166E" w:rsidP="0088341A">
      <w:pPr>
        <w:pStyle w:val="FootnoteText"/>
      </w:pPr>
      <w:r>
        <w:rPr>
          <w:rStyle w:val="FootnoteReference"/>
        </w:rPr>
        <w:footnoteRef/>
      </w:r>
      <w:r>
        <w:t xml:space="preserve"> </w:t>
      </w:r>
      <w:r>
        <w:tab/>
        <w:t xml:space="preserve">SP AusNet, </w:t>
      </w:r>
      <w:r w:rsidRPr="00F3010F">
        <w:rPr>
          <w:rStyle w:val="AERtextitalic"/>
        </w:rPr>
        <w:t>Revenue proposal</w:t>
      </w:r>
      <w:r>
        <w:t>, pp. 92–3.</w:t>
      </w:r>
    </w:p>
  </w:footnote>
  <w:footnote w:id="220">
    <w:p w:rsidR="009E166E" w:rsidRDefault="009E166E" w:rsidP="0088341A">
      <w:pPr>
        <w:pStyle w:val="FootnoteText"/>
      </w:pPr>
      <w:r>
        <w:rPr>
          <w:rStyle w:val="FootnoteReference"/>
        </w:rPr>
        <w:footnoteRef/>
      </w:r>
      <w:r>
        <w:t xml:space="preserve"> </w:t>
      </w:r>
      <w:r>
        <w:tab/>
        <w:t xml:space="preserve">SP AusNet, </w:t>
      </w:r>
      <w:r w:rsidRPr="009E1B8C">
        <w:rPr>
          <w:rStyle w:val="AERtextitalic"/>
        </w:rPr>
        <w:t>Identified additional costs – SP AusNet electricity transmission revenue proposal 2014–15 to 2016–17</w:t>
      </w:r>
      <w:r>
        <w:t xml:space="preserve">, 16 July 2013. </w:t>
      </w:r>
    </w:p>
  </w:footnote>
  <w:footnote w:id="221">
    <w:p w:rsidR="009E166E" w:rsidRDefault="009E166E" w:rsidP="0088341A">
      <w:pPr>
        <w:pStyle w:val="FootnoteText"/>
      </w:pPr>
      <w:r>
        <w:rPr>
          <w:rStyle w:val="FootnoteReference"/>
        </w:rPr>
        <w:footnoteRef/>
      </w:r>
      <w:r>
        <w:t xml:space="preserve"> </w:t>
      </w:r>
      <w:r>
        <w:tab/>
        <w:t xml:space="preserve">SP AusNet, </w:t>
      </w:r>
      <w:r w:rsidRPr="00A831A4">
        <w:rPr>
          <w:rStyle w:val="AERtextitalic"/>
        </w:rPr>
        <w:t xml:space="preserve">Material developments at West Melbourne </w:t>
      </w:r>
      <w:r>
        <w:rPr>
          <w:rStyle w:val="AERtextitalic"/>
        </w:rPr>
        <w:t>t</w:t>
      </w:r>
      <w:r w:rsidRPr="00A831A4">
        <w:rPr>
          <w:rStyle w:val="AERtextitalic"/>
        </w:rPr>
        <w:t xml:space="preserve">erminal </w:t>
      </w:r>
      <w:r>
        <w:rPr>
          <w:rStyle w:val="AERtextitalic"/>
        </w:rPr>
        <w:t>s</w:t>
      </w:r>
      <w:r w:rsidRPr="00A831A4">
        <w:rPr>
          <w:rStyle w:val="AERtextitalic"/>
        </w:rPr>
        <w:t>tation</w:t>
      </w:r>
      <w:r>
        <w:t>, 22 July 2013.</w:t>
      </w:r>
    </w:p>
  </w:footnote>
  <w:footnote w:id="222">
    <w:p w:rsidR="009E166E" w:rsidRDefault="009E166E" w:rsidP="0088341A">
      <w:pPr>
        <w:pStyle w:val="FootnoteText"/>
      </w:pPr>
      <w:r>
        <w:rPr>
          <w:rStyle w:val="FootnoteReference"/>
        </w:rPr>
        <w:footnoteRef/>
      </w:r>
      <w:r>
        <w:t xml:space="preserve"> </w:t>
      </w:r>
      <w:r>
        <w:tab/>
        <w:t>Before SP AusNet submitted</w:t>
      </w:r>
      <w:r w:rsidRPr="00A61BB5">
        <w:t xml:space="preserve"> this additional material, we were considering SP AusNet's forecast capex of $106.4 million for this project and EMCa's assessment of it. EMCa's assessment is set out in section 5.2.2 and an addendum to its report.</w:t>
      </w:r>
      <w:r>
        <w:t xml:space="preserve"> EMCa, </w:t>
      </w:r>
      <w:r w:rsidRPr="003348E3">
        <w:rPr>
          <w:rStyle w:val="AERtextitalic"/>
        </w:rPr>
        <w:t>SP AusNet technical review</w:t>
      </w:r>
      <w:r>
        <w:t>, pp. 53–61</w:t>
      </w:r>
      <w:r w:rsidR="006A025F">
        <w:t>, paragraphs  156–92 and pp. 118–21</w:t>
      </w:r>
      <w:r>
        <w:t>, paragraphs 429–47.</w:t>
      </w:r>
    </w:p>
  </w:footnote>
  <w:footnote w:id="223">
    <w:p w:rsidR="009E166E" w:rsidRDefault="009E166E" w:rsidP="0088341A">
      <w:pPr>
        <w:pStyle w:val="FootnoteText"/>
      </w:pPr>
      <w:r>
        <w:rPr>
          <w:rStyle w:val="FootnoteReference"/>
        </w:rPr>
        <w:footnoteRef/>
      </w:r>
      <w:r>
        <w:t xml:space="preserve"> </w:t>
      </w:r>
      <w:r>
        <w:tab/>
        <w:t xml:space="preserve">SP AusNet, </w:t>
      </w:r>
      <w:r w:rsidRPr="00F3010F">
        <w:rPr>
          <w:rStyle w:val="AERtextitalic"/>
        </w:rPr>
        <w:t>Revenue proposal</w:t>
      </w:r>
      <w:r>
        <w:t>, p. 84.</w:t>
      </w:r>
    </w:p>
  </w:footnote>
  <w:footnote w:id="224">
    <w:p w:rsidR="009E166E" w:rsidRDefault="009E166E" w:rsidP="0088341A">
      <w:pPr>
        <w:pStyle w:val="FootnoteText"/>
      </w:pPr>
      <w:r>
        <w:rPr>
          <w:rStyle w:val="FootnoteReference"/>
        </w:rPr>
        <w:footnoteRef/>
      </w:r>
      <w:r>
        <w:t xml:space="preserve"> </w:t>
      </w:r>
      <w:r>
        <w:tab/>
        <w:t xml:space="preserve">EMCa, </w:t>
      </w:r>
      <w:r w:rsidRPr="003348E3">
        <w:rPr>
          <w:rStyle w:val="AERtextitalic"/>
        </w:rPr>
        <w:t>SP AusNet technical review</w:t>
      </w:r>
      <w:r w:rsidR="006A025F">
        <w:t>, August 2013, pp. 62</w:t>
      </w:r>
      <w:r>
        <w:t>–4, paragraphs 193–219.</w:t>
      </w:r>
    </w:p>
  </w:footnote>
  <w:footnote w:id="225">
    <w:p w:rsidR="009E166E" w:rsidRDefault="009E166E" w:rsidP="0088341A">
      <w:pPr>
        <w:pStyle w:val="FootnoteText"/>
      </w:pPr>
      <w:r>
        <w:rPr>
          <w:rStyle w:val="FootnoteReference"/>
        </w:rPr>
        <w:footnoteRef/>
      </w:r>
      <w:r>
        <w:t xml:space="preserve"> </w:t>
      </w:r>
      <w:r>
        <w:tab/>
        <w:t xml:space="preserve">EMCa, </w:t>
      </w:r>
      <w:r w:rsidRPr="003348E3">
        <w:rPr>
          <w:rStyle w:val="AERtextitalic"/>
        </w:rPr>
        <w:t>SP AusNet technical review</w:t>
      </w:r>
      <w:r>
        <w:t>, August 2013, p. 62, paragraphs 194–6.</w:t>
      </w:r>
    </w:p>
  </w:footnote>
  <w:footnote w:id="226">
    <w:p w:rsidR="009E166E" w:rsidRDefault="009E166E" w:rsidP="0088341A">
      <w:pPr>
        <w:pStyle w:val="FootnoteText"/>
      </w:pPr>
      <w:r>
        <w:rPr>
          <w:rStyle w:val="FootnoteReference"/>
        </w:rPr>
        <w:footnoteRef/>
      </w:r>
      <w:r>
        <w:t xml:space="preserve"> </w:t>
      </w:r>
      <w:r>
        <w:tab/>
        <w:t xml:space="preserve">EMCa, </w:t>
      </w:r>
      <w:r w:rsidRPr="003348E3">
        <w:rPr>
          <w:rStyle w:val="AERtextitalic"/>
        </w:rPr>
        <w:t>SP AusNet technical review</w:t>
      </w:r>
      <w:r>
        <w:t>, August 2013, pp. 62–3, paragraphs 201–10.</w:t>
      </w:r>
    </w:p>
  </w:footnote>
  <w:footnote w:id="227">
    <w:p w:rsidR="009E166E" w:rsidRDefault="009E166E" w:rsidP="0088341A">
      <w:pPr>
        <w:pStyle w:val="FootnoteText"/>
      </w:pPr>
      <w:r>
        <w:rPr>
          <w:rStyle w:val="FootnoteReference"/>
        </w:rPr>
        <w:footnoteRef/>
      </w:r>
      <w:r>
        <w:t xml:space="preserve"> </w:t>
      </w:r>
      <w:r>
        <w:tab/>
        <w:t xml:space="preserve">SP AusNet, </w:t>
      </w:r>
      <w:r w:rsidRPr="00F3010F">
        <w:rPr>
          <w:rStyle w:val="AERtextitalic"/>
        </w:rPr>
        <w:t>Revenue proposal</w:t>
      </w:r>
      <w:r>
        <w:t>, p. 97.</w:t>
      </w:r>
    </w:p>
  </w:footnote>
  <w:footnote w:id="228">
    <w:p w:rsidR="009E166E" w:rsidRDefault="009E166E" w:rsidP="0088341A">
      <w:pPr>
        <w:pStyle w:val="FootnoteText"/>
      </w:pPr>
      <w:r>
        <w:rPr>
          <w:rStyle w:val="FootnoteReference"/>
        </w:rPr>
        <w:footnoteRef/>
      </w:r>
      <w:r>
        <w:t xml:space="preserve"> </w:t>
      </w:r>
      <w:r>
        <w:tab/>
        <w:t xml:space="preserve">SP AusNet, </w:t>
      </w:r>
      <w:r w:rsidRPr="00F3010F">
        <w:rPr>
          <w:rStyle w:val="AERtextitalic"/>
        </w:rPr>
        <w:t>Revenue proposal</w:t>
      </w:r>
      <w:r>
        <w:t>, pp. 51 and 99–102.</w:t>
      </w:r>
    </w:p>
  </w:footnote>
  <w:footnote w:id="229">
    <w:p w:rsidR="009E166E" w:rsidRDefault="009E166E" w:rsidP="0088341A">
      <w:pPr>
        <w:pStyle w:val="FootnoteText"/>
      </w:pPr>
      <w:r>
        <w:rPr>
          <w:rStyle w:val="FootnoteReference"/>
        </w:rPr>
        <w:footnoteRef/>
      </w:r>
      <w:r>
        <w:t xml:space="preserve"> </w:t>
      </w:r>
      <w:r>
        <w:tab/>
        <w:t xml:space="preserve">SP AusNet, </w:t>
      </w:r>
      <w:r w:rsidRPr="00F3010F">
        <w:rPr>
          <w:rStyle w:val="AERtextitalic"/>
        </w:rPr>
        <w:t>Revenue proposal</w:t>
      </w:r>
      <w:r>
        <w:t>, p. 84.</w:t>
      </w:r>
    </w:p>
  </w:footnote>
  <w:footnote w:id="230">
    <w:p w:rsidR="009E166E" w:rsidRDefault="009E166E" w:rsidP="005802F3">
      <w:pPr>
        <w:pStyle w:val="FootnoteText"/>
      </w:pPr>
      <w:r>
        <w:rPr>
          <w:rStyle w:val="FootnoteReference"/>
        </w:rPr>
        <w:footnoteRef/>
      </w:r>
      <w:r>
        <w:t xml:space="preserve"> </w:t>
      </w:r>
      <w:r>
        <w:tab/>
        <w:t xml:space="preserve">SP AusNet, </w:t>
      </w:r>
      <w:r w:rsidRPr="00F3010F">
        <w:rPr>
          <w:rStyle w:val="AERtextitalic"/>
        </w:rPr>
        <w:t>Revenue proposal</w:t>
      </w:r>
      <w:r>
        <w:t>, pp. 51 and 102.</w:t>
      </w:r>
    </w:p>
  </w:footnote>
  <w:footnote w:id="231">
    <w:p w:rsidR="009E166E" w:rsidRDefault="009E166E" w:rsidP="0088341A">
      <w:pPr>
        <w:pStyle w:val="FootnoteText"/>
      </w:pPr>
      <w:r>
        <w:rPr>
          <w:rStyle w:val="FootnoteReference"/>
        </w:rPr>
        <w:footnoteRef/>
      </w:r>
      <w:r>
        <w:t xml:space="preserve"> </w:t>
      </w:r>
      <w:r>
        <w:tab/>
        <w:t xml:space="preserve">SP AusNet, </w:t>
      </w:r>
      <w:r w:rsidRPr="00F3010F">
        <w:rPr>
          <w:rStyle w:val="AERtextitalic"/>
        </w:rPr>
        <w:t>Revenue proposal</w:t>
      </w:r>
      <w:r>
        <w:t>, pp. 103–4.</w:t>
      </w:r>
    </w:p>
  </w:footnote>
  <w:footnote w:id="232">
    <w:p w:rsidR="009E166E" w:rsidRDefault="009E166E" w:rsidP="0088341A">
      <w:pPr>
        <w:pStyle w:val="FootnoteText"/>
      </w:pPr>
      <w:r>
        <w:rPr>
          <w:rStyle w:val="FootnoteReference"/>
        </w:rPr>
        <w:footnoteRef/>
      </w:r>
      <w:r>
        <w:t xml:space="preserve"> </w:t>
      </w:r>
      <w:r>
        <w:tab/>
        <w:t xml:space="preserve">EUAA, </w:t>
      </w:r>
      <w:r w:rsidRPr="00385CB0">
        <w:rPr>
          <w:rStyle w:val="AERtextitalic"/>
        </w:rPr>
        <w:t>Submission</w:t>
      </w:r>
      <w:r>
        <w:t>, p. 13.</w:t>
      </w:r>
    </w:p>
  </w:footnote>
  <w:footnote w:id="233">
    <w:p w:rsidR="009E166E" w:rsidRDefault="009E166E" w:rsidP="0088341A">
      <w:pPr>
        <w:pStyle w:val="FootnoteText"/>
      </w:pPr>
      <w:r>
        <w:rPr>
          <w:rStyle w:val="FootnoteReference"/>
        </w:rPr>
        <w:footnoteRef/>
      </w:r>
      <w:r>
        <w:t xml:space="preserve"> </w:t>
      </w:r>
      <w:r>
        <w:tab/>
        <w:t xml:space="preserve">EUCV, </w:t>
      </w:r>
      <w:r w:rsidRPr="004254B1">
        <w:rPr>
          <w:rStyle w:val="AERtextitalic"/>
        </w:rPr>
        <w:t>Submission</w:t>
      </w:r>
      <w:r>
        <w:t>, p. 40.</w:t>
      </w:r>
    </w:p>
  </w:footnote>
  <w:footnote w:id="234">
    <w:p w:rsidR="009E166E" w:rsidRDefault="009E166E" w:rsidP="0088341A">
      <w:pPr>
        <w:pStyle w:val="FootnoteText"/>
      </w:pPr>
      <w:r>
        <w:rPr>
          <w:rStyle w:val="FootnoteReference"/>
        </w:rPr>
        <w:footnoteRef/>
      </w:r>
      <w:r>
        <w:t xml:space="preserve"> </w:t>
      </w:r>
      <w:r>
        <w:tab/>
        <w:t xml:space="preserve">EMCa, </w:t>
      </w:r>
      <w:r w:rsidRPr="003348E3">
        <w:rPr>
          <w:rStyle w:val="AERtextitalic"/>
        </w:rPr>
        <w:t>SP AusNet technical review</w:t>
      </w:r>
      <w:r>
        <w:t>, August 2013, pp. 69–77, paragraphs 241–70.</w:t>
      </w:r>
    </w:p>
  </w:footnote>
  <w:footnote w:id="235">
    <w:p w:rsidR="009E166E" w:rsidRDefault="009E166E" w:rsidP="0088341A">
      <w:pPr>
        <w:pStyle w:val="FootnoteText"/>
      </w:pPr>
      <w:r>
        <w:rPr>
          <w:rStyle w:val="FootnoteReference"/>
        </w:rPr>
        <w:footnoteRef/>
      </w:r>
      <w:r>
        <w:t xml:space="preserve"> </w:t>
      </w:r>
      <w:r>
        <w:tab/>
        <w:t xml:space="preserve">EMCa, </w:t>
      </w:r>
      <w:r w:rsidRPr="003348E3">
        <w:rPr>
          <w:rStyle w:val="AERtextitalic"/>
        </w:rPr>
        <w:t>SP AusNet technical review</w:t>
      </w:r>
      <w:r>
        <w:t>, August 2013, p. 75, paragraph 265.</w:t>
      </w:r>
    </w:p>
  </w:footnote>
  <w:footnote w:id="236">
    <w:p w:rsidR="009E166E" w:rsidRDefault="009E166E" w:rsidP="0088341A">
      <w:pPr>
        <w:pStyle w:val="FootnoteText"/>
      </w:pPr>
      <w:r>
        <w:rPr>
          <w:rStyle w:val="FootnoteReference"/>
        </w:rPr>
        <w:footnoteRef/>
      </w:r>
      <w:r>
        <w:t xml:space="preserve"> </w:t>
      </w:r>
      <w:r>
        <w:tab/>
        <w:t xml:space="preserve">AER, </w:t>
      </w:r>
      <w:r w:rsidRPr="005C0922">
        <w:rPr>
          <w:rStyle w:val="AERtextitalic"/>
        </w:rPr>
        <w:t xml:space="preserve">Access arrangement </w:t>
      </w:r>
      <w:r>
        <w:rPr>
          <w:rStyle w:val="AERtextitalic"/>
        </w:rPr>
        <w:t>draft</w:t>
      </w:r>
      <w:r w:rsidRPr="005C0922">
        <w:rPr>
          <w:rStyle w:val="AERtextitalic"/>
        </w:rPr>
        <w:t xml:space="preserve"> decision 2013–17 SPI Networks (Gas)</w:t>
      </w:r>
      <w:r>
        <w:rPr>
          <w:rStyle w:val="AERtextitalic"/>
        </w:rPr>
        <w:t xml:space="preserve"> part 2 attachments</w:t>
      </w:r>
      <w:r>
        <w:t>, September 2012, p. 66.</w:t>
      </w:r>
    </w:p>
  </w:footnote>
  <w:footnote w:id="237">
    <w:p w:rsidR="009E166E" w:rsidRDefault="009E166E" w:rsidP="0088341A">
      <w:pPr>
        <w:pStyle w:val="FootnoteText"/>
      </w:pPr>
      <w:r>
        <w:rPr>
          <w:rStyle w:val="FootnoteReference"/>
        </w:rPr>
        <w:footnoteRef/>
      </w:r>
      <w:r>
        <w:t xml:space="preserve"> </w:t>
      </w:r>
      <w:r>
        <w:tab/>
        <w:t xml:space="preserve">SP AusNet, </w:t>
      </w:r>
      <w:r w:rsidRPr="00F3010F">
        <w:rPr>
          <w:rStyle w:val="AERtextitalic"/>
        </w:rPr>
        <w:t>Revenue proposal</w:t>
      </w:r>
      <w:r>
        <w:t>, p 102.</w:t>
      </w:r>
    </w:p>
  </w:footnote>
  <w:footnote w:id="238">
    <w:p w:rsidR="009E166E" w:rsidRDefault="009E166E" w:rsidP="0088341A">
      <w:pPr>
        <w:pStyle w:val="FootnoteText"/>
      </w:pPr>
      <w:r>
        <w:rPr>
          <w:rStyle w:val="FootnoteReference"/>
        </w:rPr>
        <w:footnoteRef/>
      </w:r>
      <w:r>
        <w:t xml:space="preserve"> </w:t>
      </w:r>
      <w:r>
        <w:tab/>
        <w:t>NER, clause 6A.6.6 (c).</w:t>
      </w:r>
    </w:p>
  </w:footnote>
  <w:footnote w:id="239">
    <w:p w:rsidR="009E166E" w:rsidRDefault="009E166E" w:rsidP="0088341A">
      <w:pPr>
        <w:pStyle w:val="FootnoteText"/>
      </w:pPr>
      <w:r>
        <w:rPr>
          <w:rStyle w:val="FootnoteReference"/>
        </w:rPr>
        <w:footnoteRef/>
      </w:r>
      <w:r>
        <w:t xml:space="preserve"> </w:t>
      </w:r>
      <w:r>
        <w:tab/>
        <w:t>NER, clause 6A.6.6 (c).</w:t>
      </w:r>
    </w:p>
  </w:footnote>
  <w:footnote w:id="240">
    <w:p w:rsidR="009E166E" w:rsidRDefault="009E166E" w:rsidP="0088341A">
      <w:pPr>
        <w:pStyle w:val="FootnoteText"/>
      </w:pPr>
      <w:r>
        <w:rPr>
          <w:rStyle w:val="FootnoteReference"/>
        </w:rPr>
        <w:footnoteRef/>
      </w:r>
      <w:r>
        <w:t xml:space="preserve"> </w:t>
      </w:r>
      <w:r>
        <w:tab/>
        <w:t>NER, clauses 6A.6.6 (d), 6A.12.1(c) and 6A.14.1(3)(ii).</w:t>
      </w:r>
    </w:p>
  </w:footnote>
  <w:footnote w:id="241">
    <w:p w:rsidR="009E166E" w:rsidRDefault="009E166E" w:rsidP="0088341A">
      <w:pPr>
        <w:pStyle w:val="FootnoteText"/>
      </w:pPr>
      <w:r>
        <w:rPr>
          <w:rStyle w:val="FootnoteReference"/>
        </w:rPr>
        <w:footnoteRef/>
      </w:r>
      <w:r>
        <w:t xml:space="preserve"> </w:t>
      </w:r>
      <w:r>
        <w:tab/>
        <w:t>SP AusNet's proposal (table 5.22, p.149) reported</w:t>
      </w:r>
      <w:r w:rsidRPr="00E8069B">
        <w:t xml:space="preserve"> total </w:t>
      </w:r>
      <w:r>
        <w:t xml:space="preserve">opex </w:t>
      </w:r>
      <w:r w:rsidRPr="00E8069B">
        <w:t xml:space="preserve">as </w:t>
      </w:r>
      <w:r>
        <w:t>$</w:t>
      </w:r>
      <w:r w:rsidRPr="00E8069B">
        <w:t>657.6</w:t>
      </w:r>
      <w:r>
        <w:t xml:space="preserve"> million.</w:t>
      </w:r>
      <w:r w:rsidRPr="00E8069B">
        <w:t xml:space="preserve"> However</w:t>
      </w:r>
      <w:r>
        <w:t>,</w:t>
      </w:r>
      <w:r w:rsidRPr="00E8069B">
        <w:t xml:space="preserve"> </w:t>
      </w:r>
      <w:r>
        <w:t xml:space="preserve">the </w:t>
      </w:r>
      <w:r w:rsidRPr="00E8069B">
        <w:t xml:space="preserve">sum of </w:t>
      </w:r>
      <w:r>
        <w:t>elements</w:t>
      </w:r>
      <w:r w:rsidRPr="00E8069B">
        <w:t xml:space="preserve"> is</w:t>
      </w:r>
      <w:r>
        <w:t xml:space="preserve"> $</w:t>
      </w:r>
      <w:r w:rsidRPr="00E8069B">
        <w:t>658.6</w:t>
      </w:r>
      <w:r>
        <w:t> million. This includes amounts for the efficiency benefits sharing scheme (EBSS) carryover ($47.1 million) and equity raising costs (ERC) ($3.4 million) which are excluded from the total reported here.</w:t>
      </w:r>
    </w:p>
  </w:footnote>
  <w:footnote w:id="242">
    <w:p w:rsidR="009E166E" w:rsidRDefault="009E166E" w:rsidP="0088341A">
      <w:pPr>
        <w:pStyle w:val="FootnoteText"/>
      </w:pPr>
      <w:r>
        <w:rPr>
          <w:rStyle w:val="FootnoteReference"/>
        </w:rPr>
        <w:footnoteRef/>
      </w:r>
      <w:r>
        <w:t xml:space="preserve"> </w:t>
      </w:r>
      <w:r>
        <w:tab/>
        <w:t>SP AusNet reported its costs based on the Singapore financial year 1 April to 31 March. Unless otherwise specified, all prices in this chapter are in $2013–14 dollars mid-year.</w:t>
      </w:r>
    </w:p>
  </w:footnote>
  <w:footnote w:id="243">
    <w:p w:rsidR="009E166E" w:rsidRDefault="009E166E" w:rsidP="0088341A">
      <w:pPr>
        <w:pStyle w:val="FootnoteText"/>
      </w:pPr>
      <w:r>
        <w:rPr>
          <w:rStyle w:val="FootnoteReference"/>
        </w:rPr>
        <w:footnoteRef/>
      </w:r>
      <w:r>
        <w:t xml:space="preserve"> </w:t>
      </w:r>
      <w:r>
        <w:tab/>
        <w:t>NER, clause 6A.6.6 (c).</w:t>
      </w:r>
    </w:p>
  </w:footnote>
  <w:footnote w:id="244">
    <w:p w:rsidR="009E166E" w:rsidRDefault="009E166E" w:rsidP="0088341A">
      <w:pPr>
        <w:pStyle w:val="FootnoteText"/>
      </w:pPr>
      <w:r>
        <w:rPr>
          <w:rStyle w:val="FootnoteReference"/>
        </w:rPr>
        <w:footnoteRef/>
      </w:r>
      <w:r>
        <w:t xml:space="preserve"> </w:t>
      </w:r>
      <w:r>
        <w:tab/>
        <w:t>NER, clause 6A.6.6(e)(1).</w:t>
      </w:r>
    </w:p>
  </w:footnote>
  <w:footnote w:id="245">
    <w:p w:rsidR="009E166E" w:rsidRDefault="009E166E" w:rsidP="0088341A">
      <w:pPr>
        <w:pStyle w:val="FootnoteText"/>
      </w:pPr>
      <w:r>
        <w:rPr>
          <w:rStyle w:val="FootnoteReference"/>
        </w:rPr>
        <w:footnoteRef/>
      </w:r>
      <w:r>
        <w:t xml:space="preserve"> </w:t>
      </w:r>
      <w:r>
        <w:tab/>
        <w:t>NER, clause 6A.6.6 (c).</w:t>
      </w:r>
    </w:p>
  </w:footnote>
  <w:footnote w:id="246">
    <w:p w:rsidR="009E166E" w:rsidRDefault="009E166E" w:rsidP="0088341A">
      <w:pPr>
        <w:pStyle w:val="FootnoteText"/>
      </w:pPr>
      <w:r>
        <w:rPr>
          <w:rStyle w:val="FootnoteReference"/>
        </w:rPr>
        <w:footnoteRef/>
      </w:r>
      <w:r>
        <w:t xml:space="preserve"> </w:t>
      </w:r>
      <w:r>
        <w:tab/>
        <w:t>NER, clause 6A.6.6(e)(1).</w:t>
      </w:r>
    </w:p>
  </w:footnote>
  <w:footnote w:id="247">
    <w:p w:rsidR="009E166E" w:rsidRDefault="009E166E" w:rsidP="0088341A">
      <w:pPr>
        <w:pStyle w:val="FootnoteText"/>
      </w:pPr>
      <w:r>
        <w:rPr>
          <w:rStyle w:val="FootnoteReference"/>
        </w:rPr>
        <w:footnoteRef/>
      </w:r>
      <w:r>
        <w:t xml:space="preserve"> </w:t>
      </w:r>
      <w:r>
        <w:tab/>
        <w:t>NER, clause 6A.6.6(e)(3) and (5).</w:t>
      </w:r>
    </w:p>
  </w:footnote>
  <w:footnote w:id="248">
    <w:p w:rsidR="009E166E" w:rsidRDefault="009E166E" w:rsidP="0088341A">
      <w:pPr>
        <w:pStyle w:val="FootnoteText"/>
      </w:pPr>
      <w:r>
        <w:rPr>
          <w:rStyle w:val="FootnoteReference"/>
        </w:rPr>
        <w:footnoteRef/>
      </w:r>
      <w:r>
        <w:t xml:space="preserve"> </w:t>
      </w:r>
      <w:r>
        <w:tab/>
        <w:t xml:space="preserve">SP AusNet proposed total opex of $657.6 million, which included an efficiency benefit payment of $47.1 million and asset works of $28.8 million (SP AusNet, </w:t>
      </w:r>
      <w:r w:rsidRPr="005802F3">
        <w:rPr>
          <w:i/>
        </w:rPr>
        <w:t>Revenue proposal</w:t>
      </w:r>
      <w:r>
        <w:t xml:space="preserve">, table 5.22, p.149). This information did not reconcile with other information. SP AusNet subsequently provided revised forecast [SP AusNet, </w:t>
      </w:r>
      <w:r w:rsidRPr="00EC76C1">
        <w:rPr>
          <w:rStyle w:val="AERtextitalic"/>
        </w:rPr>
        <w:t xml:space="preserve">Response to AER request </w:t>
      </w:r>
      <w:r>
        <w:rPr>
          <w:rStyle w:val="AERtextitalic"/>
        </w:rPr>
        <w:t xml:space="preserve">AER RP </w:t>
      </w:r>
      <w:r w:rsidRPr="00EC76C1">
        <w:rPr>
          <w:rStyle w:val="AERtextitalic"/>
        </w:rPr>
        <w:t>23</w:t>
      </w:r>
      <w:r>
        <w:t>, 17 May 2013].</w:t>
      </w:r>
    </w:p>
  </w:footnote>
  <w:footnote w:id="249">
    <w:p w:rsidR="009E166E" w:rsidRDefault="009E166E" w:rsidP="003354D5">
      <w:pPr>
        <w:pStyle w:val="FootnoteText"/>
      </w:pPr>
      <w:r>
        <w:rPr>
          <w:rStyle w:val="FootnoteReference"/>
        </w:rPr>
        <w:footnoteRef/>
      </w:r>
      <w:r>
        <w:t xml:space="preserve"> </w:t>
      </w:r>
      <w:r>
        <w:tab/>
        <w:t>Based on total opex excluding the land and easement tax.</w:t>
      </w:r>
    </w:p>
  </w:footnote>
  <w:footnote w:id="250">
    <w:p w:rsidR="009E166E" w:rsidRDefault="009E166E" w:rsidP="0088341A">
      <w:pPr>
        <w:pStyle w:val="FootnoteText"/>
      </w:pPr>
      <w:r>
        <w:rPr>
          <w:rStyle w:val="FootnoteReference"/>
        </w:rPr>
        <w:footnoteRef/>
      </w:r>
      <w:r>
        <w:t xml:space="preserve"> </w:t>
      </w:r>
      <w:r>
        <w:tab/>
        <w:t>Excludes equity raising costs.</w:t>
      </w:r>
    </w:p>
  </w:footnote>
  <w:footnote w:id="251">
    <w:p w:rsidR="009E166E" w:rsidRPr="00395A1F" w:rsidRDefault="009E166E" w:rsidP="0088341A">
      <w:pPr>
        <w:pStyle w:val="FootnoteText"/>
        <w:rPr>
          <w:lang w:val="en-US"/>
        </w:rPr>
      </w:pPr>
      <w:r>
        <w:rPr>
          <w:rStyle w:val="FootnoteReference"/>
        </w:rPr>
        <w:footnoteRef/>
      </w:r>
      <w:r>
        <w:t xml:space="preserve"> </w:t>
      </w:r>
      <w:r>
        <w:rPr>
          <w:lang w:val="en-US"/>
        </w:rPr>
        <w:tab/>
        <w:t>Excludes equity raising costs.</w:t>
      </w:r>
    </w:p>
  </w:footnote>
  <w:footnote w:id="252">
    <w:p w:rsidR="009E166E" w:rsidRDefault="009E166E" w:rsidP="0088341A">
      <w:pPr>
        <w:pStyle w:val="FootnoteText"/>
      </w:pPr>
      <w:r>
        <w:rPr>
          <w:rStyle w:val="FootnoteReference"/>
        </w:rPr>
        <w:footnoteRef/>
      </w:r>
      <w:r>
        <w:t xml:space="preserve"> </w:t>
      </w:r>
      <w:r>
        <w:tab/>
        <w:t xml:space="preserve">SP AusNet, </w:t>
      </w:r>
      <w:r w:rsidRPr="00CB2A8F">
        <w:rPr>
          <w:rStyle w:val="AERtextitalic"/>
        </w:rPr>
        <w:t>Revenue proposal</w:t>
      </w:r>
      <w:r>
        <w:t xml:space="preserve">, 28 February 2013, p.109. </w:t>
      </w:r>
    </w:p>
  </w:footnote>
  <w:footnote w:id="253">
    <w:p w:rsidR="009E166E" w:rsidRDefault="009E166E" w:rsidP="0088341A">
      <w:pPr>
        <w:pStyle w:val="FootnoteText"/>
      </w:pPr>
      <w:r>
        <w:rPr>
          <w:rStyle w:val="FootnoteReference"/>
        </w:rPr>
        <w:footnoteRef/>
      </w:r>
      <w:r>
        <w:t xml:space="preserve"> </w:t>
      </w:r>
      <w:r>
        <w:tab/>
        <w:t xml:space="preserve">SP AusNet refers to the bottom up forecasts as ‘zero based’ forecasts. We have used the term ‘bottom up’ forecast. </w:t>
      </w:r>
    </w:p>
  </w:footnote>
  <w:footnote w:id="254">
    <w:p w:rsidR="009E166E" w:rsidRDefault="009E166E" w:rsidP="0088341A">
      <w:pPr>
        <w:pStyle w:val="FootnoteText"/>
      </w:pPr>
      <w:r>
        <w:rPr>
          <w:rStyle w:val="FootnoteReference"/>
        </w:rPr>
        <w:footnoteRef/>
      </w:r>
      <w:r>
        <w:t xml:space="preserve"> </w:t>
      </w:r>
      <w:r>
        <w:tab/>
        <w:t>NER, clause 6A.6.6 (c).</w:t>
      </w:r>
    </w:p>
  </w:footnote>
  <w:footnote w:id="255">
    <w:p w:rsidR="009E166E" w:rsidRDefault="009E166E" w:rsidP="0088341A">
      <w:pPr>
        <w:pStyle w:val="FootnoteText"/>
      </w:pPr>
      <w:r>
        <w:rPr>
          <w:rStyle w:val="FootnoteReference"/>
        </w:rPr>
        <w:footnoteRef/>
      </w:r>
      <w:r>
        <w:t xml:space="preserve"> </w:t>
      </w:r>
      <w:r>
        <w:tab/>
        <w:t>NER, clauses 6A.6.6 (d), 6A.12.1(c) and 6A.14.1(3)(ii).</w:t>
      </w:r>
    </w:p>
  </w:footnote>
  <w:footnote w:id="256">
    <w:p w:rsidR="009E166E" w:rsidRDefault="009E166E" w:rsidP="0088341A">
      <w:pPr>
        <w:pStyle w:val="FootnoteText"/>
      </w:pPr>
      <w:r>
        <w:rPr>
          <w:rStyle w:val="FootnoteReference"/>
        </w:rPr>
        <w:footnoteRef/>
      </w:r>
      <w:r>
        <w:t xml:space="preserve"> </w:t>
      </w:r>
      <w:r>
        <w:tab/>
        <w:t>NER, clause 6A.6.6 (e).</w:t>
      </w:r>
    </w:p>
  </w:footnote>
  <w:footnote w:id="257">
    <w:p w:rsidR="009E166E" w:rsidRDefault="009E166E" w:rsidP="0088341A">
      <w:pPr>
        <w:pStyle w:val="FootnoteText"/>
      </w:pPr>
      <w:r>
        <w:rPr>
          <w:rStyle w:val="FootnoteReference"/>
        </w:rPr>
        <w:footnoteRef/>
      </w:r>
      <w:r>
        <w:t xml:space="preserve"> </w:t>
      </w:r>
      <w:r>
        <w:tab/>
        <w:t>This attachment refers to Energy Market Consulting Associates and Strata Energy Consultants collectively as EMCa.</w:t>
      </w:r>
    </w:p>
  </w:footnote>
  <w:footnote w:id="258">
    <w:p w:rsidR="009E166E" w:rsidRDefault="009E166E" w:rsidP="0088341A">
      <w:pPr>
        <w:pStyle w:val="FootnoteText"/>
      </w:pPr>
      <w:r>
        <w:rPr>
          <w:rStyle w:val="FootnoteReference"/>
        </w:rPr>
        <w:footnoteRef/>
      </w:r>
      <w:r>
        <w:t xml:space="preserve"> </w:t>
      </w:r>
      <w:r>
        <w:tab/>
        <w:t>NER, clause 6A.6.6 (e) and in particular, (e)(3).</w:t>
      </w:r>
    </w:p>
  </w:footnote>
  <w:footnote w:id="259">
    <w:p w:rsidR="009E166E" w:rsidRDefault="009E166E" w:rsidP="0088341A">
      <w:pPr>
        <w:pStyle w:val="FootnoteText"/>
      </w:pPr>
      <w:r>
        <w:rPr>
          <w:rStyle w:val="FootnoteReference"/>
        </w:rPr>
        <w:footnoteRef/>
      </w:r>
      <w:r>
        <w:t xml:space="preserve"> </w:t>
      </w:r>
      <w:r>
        <w:tab/>
      </w:r>
      <w:r w:rsidRPr="005B6353">
        <w:t xml:space="preserve">AM Actuaries, </w:t>
      </w:r>
      <w:r w:rsidRPr="005B6353">
        <w:rPr>
          <w:rStyle w:val="AERtextitalic"/>
        </w:rPr>
        <w:t>Review of SP AusNet (Transmiss</w:t>
      </w:r>
      <w:r>
        <w:rPr>
          <w:rStyle w:val="AERtextitalic"/>
        </w:rPr>
        <w:t>ion) insurance premiums and self</w:t>
      </w:r>
      <w:r w:rsidRPr="005B6353">
        <w:rPr>
          <w:rStyle w:val="AERtextitalic"/>
        </w:rPr>
        <w:t>-insurance - 2014–17</w:t>
      </w:r>
      <w:r w:rsidRPr="005B6353">
        <w:t xml:space="preserve">, </w:t>
      </w:r>
      <w:r>
        <w:t xml:space="preserve">[confidential], </w:t>
      </w:r>
      <w:r w:rsidRPr="005B6353">
        <w:t>July 2013</w:t>
      </w:r>
      <w:r>
        <w:t>.</w:t>
      </w:r>
    </w:p>
  </w:footnote>
  <w:footnote w:id="260">
    <w:p w:rsidR="009E166E" w:rsidRDefault="009E166E" w:rsidP="0088341A">
      <w:pPr>
        <w:pStyle w:val="FootnoteText"/>
      </w:pPr>
      <w:r>
        <w:rPr>
          <w:rStyle w:val="FootnoteReference"/>
        </w:rPr>
        <w:footnoteRef/>
      </w:r>
      <w:r>
        <w:t xml:space="preserve"> </w:t>
      </w:r>
      <w:r>
        <w:tab/>
        <w:t>NER, clause 6A.6.6 (e)</w:t>
      </w:r>
      <w:r w:rsidRPr="00A42D0D">
        <w:t xml:space="preserve"> </w:t>
      </w:r>
      <w:r>
        <w:t>and in particular, (e)(3) and (6)-(8).</w:t>
      </w:r>
    </w:p>
  </w:footnote>
  <w:footnote w:id="261">
    <w:p w:rsidR="009E166E" w:rsidRDefault="009E166E">
      <w:pPr>
        <w:pStyle w:val="FootnoteText"/>
      </w:pPr>
      <w:r>
        <w:rPr>
          <w:rStyle w:val="FootnoteReference"/>
        </w:rPr>
        <w:footnoteRef/>
      </w:r>
      <w:r>
        <w:t xml:space="preserve"> </w:t>
      </w:r>
      <w:r>
        <w:tab/>
        <w:t xml:space="preserve">McGrathNicol, </w:t>
      </w:r>
      <w:r>
        <w:rPr>
          <w:rStyle w:val="AERtextitalic"/>
        </w:rPr>
        <w:t>Review of SP AusNet Expenditure</w:t>
      </w:r>
      <w:r>
        <w:t>, [confidential], 19 August 2013.</w:t>
      </w:r>
    </w:p>
  </w:footnote>
  <w:footnote w:id="262">
    <w:p w:rsidR="009E166E" w:rsidRDefault="009E166E" w:rsidP="0088341A">
      <w:pPr>
        <w:pStyle w:val="FootnoteText"/>
      </w:pPr>
      <w:r>
        <w:rPr>
          <w:rStyle w:val="FootnoteReference"/>
        </w:rPr>
        <w:footnoteRef/>
      </w:r>
      <w:r>
        <w:t xml:space="preserve"> </w:t>
      </w:r>
      <w:r>
        <w:tab/>
        <w:t>NER, clause 6A.6.6 (e)(2).</w:t>
      </w:r>
    </w:p>
  </w:footnote>
  <w:footnote w:id="263">
    <w:p w:rsidR="009E166E" w:rsidRDefault="009E166E">
      <w:pPr>
        <w:pStyle w:val="FootnoteText"/>
      </w:pPr>
      <w:r>
        <w:rPr>
          <w:rStyle w:val="FootnoteReference"/>
        </w:rPr>
        <w:footnoteRef/>
      </w:r>
      <w:r>
        <w:t xml:space="preserve"> </w:t>
      </w:r>
      <w:r>
        <w:tab/>
        <w:t>NER, clauses 6A.6.6(e)(4) and (12).</w:t>
      </w:r>
    </w:p>
  </w:footnote>
  <w:footnote w:id="264">
    <w:p w:rsidR="009E166E" w:rsidRDefault="009E166E" w:rsidP="00066D27">
      <w:pPr>
        <w:pStyle w:val="FootnoteText"/>
      </w:pPr>
      <w:r>
        <w:rPr>
          <w:rStyle w:val="FootnoteReference"/>
        </w:rPr>
        <w:footnoteRef/>
      </w:r>
      <w:r>
        <w:t xml:space="preserve"> </w:t>
      </w:r>
      <w:r>
        <w:tab/>
        <w:t>NER, clauses 6A.6.6(c) and (e)(3).</w:t>
      </w:r>
    </w:p>
  </w:footnote>
  <w:footnote w:id="265">
    <w:p w:rsidR="009E166E" w:rsidRDefault="009E166E" w:rsidP="00066D27">
      <w:pPr>
        <w:pStyle w:val="FootnoteText"/>
      </w:pPr>
      <w:r>
        <w:rPr>
          <w:rStyle w:val="FootnoteReference"/>
        </w:rPr>
        <w:footnoteRef/>
      </w:r>
      <w:r>
        <w:t xml:space="preserve"> </w:t>
      </w:r>
      <w:r>
        <w:tab/>
        <w:t>NER, clause 6A.6.6(c).</w:t>
      </w:r>
    </w:p>
  </w:footnote>
  <w:footnote w:id="266">
    <w:p w:rsidR="009E166E" w:rsidRPr="005A216C" w:rsidRDefault="009E166E">
      <w:pPr>
        <w:pStyle w:val="FootnoteText"/>
        <w:rPr>
          <w:lang w:val="en-US"/>
        </w:rPr>
      </w:pPr>
      <w:r>
        <w:rPr>
          <w:rStyle w:val="FootnoteReference"/>
        </w:rPr>
        <w:footnoteRef/>
      </w:r>
      <w:r>
        <w:t xml:space="preserve"> </w:t>
      </w:r>
      <w:r>
        <w:tab/>
        <w:t xml:space="preserve">AER, </w:t>
      </w:r>
      <w:r w:rsidRPr="00B13A6E">
        <w:rPr>
          <w:rStyle w:val="AERtextitalic"/>
        </w:rPr>
        <w:t>Submission guidelines</w:t>
      </w:r>
      <w:r>
        <w:t xml:space="preserve">, </w:t>
      </w:r>
      <w:r w:rsidRPr="000D3BA7">
        <w:t>section 4.3.4(c)(3)</w:t>
      </w:r>
      <w:r>
        <w:t>.</w:t>
      </w:r>
    </w:p>
  </w:footnote>
  <w:footnote w:id="267">
    <w:p w:rsidR="009E166E" w:rsidRDefault="009E166E" w:rsidP="0088341A">
      <w:pPr>
        <w:pStyle w:val="FootnoteText"/>
      </w:pPr>
      <w:r>
        <w:rPr>
          <w:rStyle w:val="FootnoteReference"/>
        </w:rPr>
        <w:footnoteRef/>
      </w:r>
      <w:r>
        <w:t xml:space="preserve"> </w:t>
      </w:r>
      <w:r>
        <w:tab/>
        <w:t>We assessed non-controllable opex items using a bottom up review.</w:t>
      </w:r>
    </w:p>
  </w:footnote>
  <w:footnote w:id="268">
    <w:p w:rsidR="009E166E" w:rsidRDefault="009E166E" w:rsidP="0088341A">
      <w:pPr>
        <w:pStyle w:val="FootnoteText"/>
      </w:pPr>
      <w:r>
        <w:rPr>
          <w:rStyle w:val="FootnoteReference"/>
        </w:rPr>
        <w:footnoteRef/>
      </w:r>
      <w:r>
        <w:t xml:space="preserve"> </w:t>
      </w:r>
      <w:r>
        <w:tab/>
        <w:t>See also: AER, ‘</w:t>
      </w:r>
      <w:r w:rsidRPr="00805FDD">
        <w:t>Better regulation- expenditure forecast assessment guideline for electricity transmission</w:t>
      </w:r>
      <w:r>
        <w:t>’- issues paper,</w:t>
      </w:r>
      <w:r w:rsidRPr="00805FDD">
        <w:t xml:space="preserve"> </w:t>
      </w:r>
      <w:r>
        <w:t>December 2012.</w:t>
      </w:r>
    </w:p>
  </w:footnote>
  <w:footnote w:id="269">
    <w:p w:rsidR="009E166E" w:rsidRPr="005A216C" w:rsidRDefault="009E166E">
      <w:pPr>
        <w:pStyle w:val="FootnoteText"/>
        <w:rPr>
          <w:lang w:val="en-US"/>
        </w:rPr>
      </w:pPr>
      <w:r>
        <w:rPr>
          <w:rStyle w:val="FootnoteReference"/>
        </w:rPr>
        <w:footnoteRef/>
      </w:r>
      <w:r>
        <w:t xml:space="preserve"> </w:t>
      </w:r>
      <w:r>
        <w:rPr>
          <w:lang w:val="en-US"/>
        </w:rPr>
        <w:tab/>
        <w:t>AER, ‘</w:t>
      </w:r>
      <w:r>
        <w:rPr>
          <w:rStyle w:val="AERtextitalic"/>
        </w:rPr>
        <w:t>Better regulation-</w:t>
      </w:r>
      <w:r w:rsidRPr="00E8656D">
        <w:rPr>
          <w:rStyle w:val="AERtextitalic"/>
        </w:rPr>
        <w:t>Draft expenditure forecast assessment guideline for electricity transmission</w:t>
      </w:r>
      <w:r w:rsidRPr="002C6A79">
        <w:rPr>
          <w:lang w:val="en-US"/>
        </w:rPr>
        <w:t>’, August 2013</w:t>
      </w:r>
      <w:r>
        <w:rPr>
          <w:lang w:val="en-US"/>
        </w:rPr>
        <w:t xml:space="preserve">, pp.7-9. </w:t>
      </w:r>
    </w:p>
  </w:footnote>
  <w:footnote w:id="270">
    <w:p w:rsidR="009E166E" w:rsidRDefault="009E166E" w:rsidP="0088341A">
      <w:pPr>
        <w:pStyle w:val="FootnoteText"/>
      </w:pPr>
      <w:r>
        <w:rPr>
          <w:rStyle w:val="FootnoteReference"/>
        </w:rPr>
        <w:footnoteRef/>
      </w:r>
      <w:r>
        <w:t xml:space="preserve"> </w:t>
      </w:r>
      <w:r>
        <w:tab/>
        <w:t>This assumes adjacent regulatory control periods of equal length.</w:t>
      </w:r>
    </w:p>
  </w:footnote>
  <w:footnote w:id="271">
    <w:p w:rsidR="009E166E" w:rsidRDefault="009E166E" w:rsidP="0088341A">
      <w:pPr>
        <w:pStyle w:val="FootnoteText"/>
      </w:pPr>
      <w:r>
        <w:rPr>
          <w:rStyle w:val="FootnoteReference"/>
        </w:rPr>
        <w:footnoteRef/>
      </w:r>
      <w:r>
        <w:t xml:space="preserve"> </w:t>
      </w:r>
      <w:r>
        <w:tab/>
        <w:t>The mechanism differs for how the benefits are shared, depending on whether the underspend is a recurrent or non-recurrent efficiency – we show this in an example at the end of this attachment; assumes adjacent regulatory control periods of equal length.</w:t>
      </w:r>
    </w:p>
  </w:footnote>
  <w:footnote w:id="272">
    <w:p w:rsidR="009E166E" w:rsidRDefault="009E166E" w:rsidP="0088341A">
      <w:pPr>
        <w:pStyle w:val="FootnoteText"/>
      </w:pPr>
      <w:r>
        <w:rPr>
          <w:rStyle w:val="FootnoteReference"/>
        </w:rPr>
        <w:footnoteRef/>
      </w:r>
      <w:r>
        <w:t xml:space="preserve"> </w:t>
      </w:r>
      <w:r>
        <w:tab/>
        <w:t>NER, clause 6A.6.6(e).</w:t>
      </w:r>
    </w:p>
  </w:footnote>
  <w:footnote w:id="273">
    <w:p w:rsidR="009E166E" w:rsidRDefault="009E166E" w:rsidP="0088341A">
      <w:pPr>
        <w:pStyle w:val="FootnoteText"/>
      </w:pPr>
      <w:r>
        <w:rPr>
          <w:rStyle w:val="FootnoteReference"/>
        </w:rPr>
        <w:footnoteRef/>
      </w:r>
      <w:r>
        <w:t xml:space="preserve"> </w:t>
      </w:r>
      <w:r>
        <w:tab/>
        <w:t>NER, clause 6A.6.6(e)(1).</w:t>
      </w:r>
    </w:p>
  </w:footnote>
  <w:footnote w:id="274">
    <w:p w:rsidR="009E166E" w:rsidRDefault="009E166E" w:rsidP="0088341A">
      <w:pPr>
        <w:pStyle w:val="FootnoteText"/>
      </w:pPr>
      <w:r>
        <w:rPr>
          <w:rStyle w:val="FootnoteReference"/>
        </w:rPr>
        <w:footnoteRef/>
      </w:r>
      <w:r>
        <w:t xml:space="preserve"> </w:t>
      </w:r>
      <w:r>
        <w:tab/>
        <w:t>NER, clause 6A.6.6(e)(2).</w:t>
      </w:r>
    </w:p>
  </w:footnote>
  <w:footnote w:id="275">
    <w:p w:rsidR="009E166E" w:rsidRDefault="009E166E" w:rsidP="0088341A">
      <w:pPr>
        <w:pStyle w:val="FootnoteText"/>
      </w:pPr>
      <w:r>
        <w:rPr>
          <w:rStyle w:val="FootnoteReference"/>
        </w:rPr>
        <w:footnoteRef/>
      </w:r>
      <w:r>
        <w:t xml:space="preserve"> </w:t>
      </w:r>
      <w:r>
        <w:tab/>
        <w:t>NER, clause 6A.6.6(e)(3).</w:t>
      </w:r>
    </w:p>
  </w:footnote>
  <w:footnote w:id="276">
    <w:p w:rsidR="009E166E" w:rsidRDefault="009E166E" w:rsidP="0088341A">
      <w:pPr>
        <w:pStyle w:val="FootnoteText"/>
      </w:pPr>
      <w:r>
        <w:rPr>
          <w:rStyle w:val="FootnoteReference"/>
        </w:rPr>
        <w:footnoteRef/>
      </w:r>
      <w:r>
        <w:t xml:space="preserve"> </w:t>
      </w:r>
      <w:r>
        <w:tab/>
        <w:t>NER, clause 6A.6.6(e)(4).</w:t>
      </w:r>
    </w:p>
  </w:footnote>
  <w:footnote w:id="277">
    <w:p w:rsidR="009E166E" w:rsidRDefault="009E166E" w:rsidP="0088341A">
      <w:pPr>
        <w:pStyle w:val="FootnoteText"/>
      </w:pPr>
      <w:r>
        <w:rPr>
          <w:rStyle w:val="FootnoteReference"/>
        </w:rPr>
        <w:footnoteRef/>
      </w:r>
      <w:r>
        <w:t xml:space="preserve"> </w:t>
      </w:r>
      <w:r>
        <w:tab/>
        <w:t>NER, clause 6A.6.6(e)(5).</w:t>
      </w:r>
    </w:p>
  </w:footnote>
  <w:footnote w:id="278">
    <w:p w:rsidR="009E166E" w:rsidRDefault="009E166E" w:rsidP="0088341A">
      <w:pPr>
        <w:pStyle w:val="FootnoteText"/>
      </w:pPr>
      <w:r>
        <w:rPr>
          <w:rStyle w:val="FootnoteReference"/>
        </w:rPr>
        <w:footnoteRef/>
      </w:r>
      <w:r>
        <w:t xml:space="preserve"> </w:t>
      </w:r>
      <w:r>
        <w:tab/>
        <w:t>NER, clause 6A.6.6(e)(6).</w:t>
      </w:r>
    </w:p>
  </w:footnote>
  <w:footnote w:id="279">
    <w:p w:rsidR="009E166E" w:rsidRDefault="009E166E" w:rsidP="0088341A">
      <w:pPr>
        <w:pStyle w:val="FootnoteText"/>
      </w:pPr>
      <w:r>
        <w:rPr>
          <w:rStyle w:val="FootnoteReference"/>
        </w:rPr>
        <w:footnoteRef/>
      </w:r>
      <w:r>
        <w:t xml:space="preserve"> </w:t>
      </w:r>
      <w:r>
        <w:tab/>
        <w:t>NER, clause 6A.6.6(e)(7).</w:t>
      </w:r>
    </w:p>
  </w:footnote>
  <w:footnote w:id="280">
    <w:p w:rsidR="009E166E" w:rsidRDefault="009E166E">
      <w:pPr>
        <w:pStyle w:val="FootnoteText"/>
      </w:pPr>
      <w:r>
        <w:rPr>
          <w:rStyle w:val="FootnoteReference"/>
        </w:rPr>
        <w:footnoteRef/>
      </w:r>
      <w:r>
        <w:t xml:space="preserve"> </w:t>
      </w:r>
      <w:r>
        <w:tab/>
        <w:t>NER, clause 6A.6.6(c).</w:t>
      </w:r>
    </w:p>
  </w:footnote>
  <w:footnote w:id="281">
    <w:p w:rsidR="009E166E" w:rsidRDefault="009E166E">
      <w:pPr>
        <w:pStyle w:val="FootnoteText"/>
      </w:pPr>
      <w:r>
        <w:rPr>
          <w:rStyle w:val="FootnoteReference"/>
        </w:rPr>
        <w:footnoteRef/>
      </w:r>
      <w:r>
        <w:t xml:space="preserve"> </w:t>
      </w:r>
      <w:r>
        <w:tab/>
        <w:t>NER, clause 6A.6.6(e).</w:t>
      </w:r>
    </w:p>
  </w:footnote>
  <w:footnote w:id="282">
    <w:p w:rsidR="009E166E" w:rsidRDefault="009E166E">
      <w:pPr>
        <w:pStyle w:val="FootnoteText"/>
      </w:pPr>
      <w:r>
        <w:rPr>
          <w:rStyle w:val="FootnoteReference"/>
        </w:rPr>
        <w:footnoteRef/>
      </w:r>
      <w:r>
        <w:t xml:space="preserve"> </w:t>
      </w:r>
      <w:r>
        <w:tab/>
        <w:t xml:space="preserve">EMCa, </w:t>
      </w:r>
      <w:r w:rsidRPr="00AE649A">
        <w:rPr>
          <w:rStyle w:val="AERtextitalic"/>
        </w:rPr>
        <w:t>SP AusNet t</w:t>
      </w:r>
      <w:r w:rsidRPr="002D5AC6">
        <w:rPr>
          <w:rStyle w:val="AERtextitalic"/>
        </w:rPr>
        <w:t>echnical review</w:t>
      </w:r>
      <w:r>
        <w:t>, August 2013, p. 12, paragraph 19.</w:t>
      </w:r>
    </w:p>
  </w:footnote>
  <w:footnote w:id="283">
    <w:p w:rsidR="009E166E" w:rsidRDefault="009E166E" w:rsidP="005C7106">
      <w:pPr>
        <w:pStyle w:val="FootnoteText"/>
      </w:pPr>
      <w:r>
        <w:rPr>
          <w:rStyle w:val="FootnoteReference"/>
        </w:rPr>
        <w:footnoteRef/>
      </w:r>
      <w:r>
        <w:t xml:space="preserve"> </w:t>
      </w:r>
      <w:r>
        <w:tab/>
        <w:t>NER clause 6A.6.6(a).</w:t>
      </w:r>
    </w:p>
  </w:footnote>
  <w:footnote w:id="284">
    <w:p w:rsidR="009E166E" w:rsidRDefault="009E166E" w:rsidP="0088341A">
      <w:pPr>
        <w:pStyle w:val="FootnoteText"/>
      </w:pPr>
      <w:r>
        <w:rPr>
          <w:rStyle w:val="FootnoteReference"/>
        </w:rPr>
        <w:footnoteRef/>
      </w:r>
      <w:r>
        <w:t xml:space="preserve"> </w:t>
      </w:r>
      <w:r>
        <w:tab/>
        <w:t>NER, clause 6A.6.6(e)(5).</w:t>
      </w:r>
    </w:p>
  </w:footnote>
  <w:footnote w:id="285">
    <w:p w:rsidR="009E166E" w:rsidRDefault="009E166E" w:rsidP="00AE199A">
      <w:pPr>
        <w:pStyle w:val="FootnoteText"/>
      </w:pPr>
      <w:r>
        <w:rPr>
          <w:rStyle w:val="FootnoteReference"/>
        </w:rPr>
        <w:footnoteRef/>
      </w:r>
      <w:r>
        <w:t xml:space="preserve"> </w:t>
      </w:r>
      <w:r>
        <w:tab/>
        <w:t xml:space="preserve">EMCa, </w:t>
      </w:r>
      <w:r w:rsidRPr="00AE649A">
        <w:rPr>
          <w:rStyle w:val="AERtextitalic"/>
        </w:rPr>
        <w:t>SP AusNet t</w:t>
      </w:r>
      <w:r w:rsidRPr="002D5AC6">
        <w:rPr>
          <w:rStyle w:val="AERtextitalic"/>
        </w:rPr>
        <w:t>echnical review</w:t>
      </w:r>
      <w:r>
        <w:t>, August 2013, p. 48, paragraph128.</w:t>
      </w:r>
    </w:p>
  </w:footnote>
  <w:footnote w:id="286">
    <w:p w:rsidR="009E166E" w:rsidRDefault="009E166E">
      <w:pPr>
        <w:pStyle w:val="FootnoteText"/>
      </w:pPr>
      <w:r>
        <w:rPr>
          <w:rStyle w:val="FootnoteReference"/>
        </w:rPr>
        <w:footnoteRef/>
      </w:r>
      <w:r>
        <w:t xml:space="preserve"> </w:t>
      </w:r>
      <w:r>
        <w:tab/>
        <w:t xml:space="preserve">EMCa, </w:t>
      </w:r>
      <w:r w:rsidRPr="00AE649A">
        <w:rPr>
          <w:rStyle w:val="AERtextitalic"/>
        </w:rPr>
        <w:t>SP AusNet technical review</w:t>
      </w:r>
      <w:r>
        <w:t>, August 2013, p. 47, paragraph 126.</w:t>
      </w:r>
    </w:p>
  </w:footnote>
  <w:footnote w:id="287">
    <w:p w:rsidR="009E166E" w:rsidRDefault="009E166E">
      <w:pPr>
        <w:pStyle w:val="FootnoteText"/>
      </w:pPr>
      <w:r>
        <w:rPr>
          <w:rStyle w:val="FootnoteReference"/>
        </w:rPr>
        <w:footnoteRef/>
      </w:r>
      <w:r>
        <w:t xml:space="preserve"> </w:t>
      </w:r>
      <w:r>
        <w:tab/>
        <w:t xml:space="preserve">EMCa, </w:t>
      </w:r>
      <w:r w:rsidRPr="00AE649A">
        <w:rPr>
          <w:rStyle w:val="AERtextitalic"/>
        </w:rPr>
        <w:t>SP AusNet technical review</w:t>
      </w:r>
      <w:r>
        <w:t>, August 2013, p. 47, paragraph 126.</w:t>
      </w:r>
    </w:p>
  </w:footnote>
  <w:footnote w:id="288">
    <w:p w:rsidR="009E166E" w:rsidRDefault="009E166E" w:rsidP="00AE199A">
      <w:pPr>
        <w:pStyle w:val="FootnoteText"/>
      </w:pPr>
      <w:r>
        <w:rPr>
          <w:rStyle w:val="FootnoteReference"/>
        </w:rPr>
        <w:footnoteRef/>
      </w:r>
      <w:r>
        <w:t xml:space="preserve"> </w:t>
      </w:r>
      <w:r>
        <w:tab/>
        <w:t xml:space="preserve">EMCa, </w:t>
      </w:r>
      <w:r w:rsidRPr="00AE649A">
        <w:rPr>
          <w:rStyle w:val="AERtextitalic"/>
        </w:rPr>
        <w:t>SP AusNet technical review</w:t>
      </w:r>
      <w:r>
        <w:t>, August 2013, p. 48, paragraph 130.</w:t>
      </w:r>
    </w:p>
  </w:footnote>
  <w:footnote w:id="289">
    <w:p w:rsidR="009E166E" w:rsidRDefault="009E166E" w:rsidP="00AE199A">
      <w:pPr>
        <w:pStyle w:val="FootnoteText"/>
      </w:pPr>
      <w:r>
        <w:rPr>
          <w:rStyle w:val="FootnoteReference"/>
        </w:rPr>
        <w:footnoteRef/>
      </w:r>
      <w:r>
        <w:t xml:space="preserve"> </w:t>
      </w:r>
      <w:r>
        <w:tab/>
        <w:t xml:space="preserve">EMCa, </w:t>
      </w:r>
      <w:r w:rsidRPr="00AE649A">
        <w:rPr>
          <w:rStyle w:val="AERtextitalic"/>
        </w:rPr>
        <w:t>SP AusNet technical review</w:t>
      </w:r>
      <w:r>
        <w:t>, August 2013, p. 48, paragraph 132.</w:t>
      </w:r>
    </w:p>
  </w:footnote>
  <w:footnote w:id="290">
    <w:p w:rsidR="009E166E" w:rsidRDefault="009E166E">
      <w:pPr>
        <w:pStyle w:val="FootnoteText"/>
      </w:pPr>
      <w:r>
        <w:rPr>
          <w:rStyle w:val="FootnoteReference"/>
        </w:rPr>
        <w:footnoteRef/>
      </w:r>
      <w:r>
        <w:t xml:space="preserve"> </w:t>
      </w:r>
      <w:r>
        <w:tab/>
        <w:t>NER, clauses 6A.6.6(c)(1)–(3).</w:t>
      </w:r>
    </w:p>
  </w:footnote>
  <w:footnote w:id="291">
    <w:p w:rsidR="009E166E" w:rsidRDefault="009E166E" w:rsidP="00B812A9">
      <w:pPr>
        <w:pStyle w:val="FootnoteText"/>
      </w:pPr>
      <w:r>
        <w:rPr>
          <w:rStyle w:val="FootnoteReference"/>
        </w:rPr>
        <w:footnoteRef/>
      </w:r>
      <w:r>
        <w:t xml:space="preserve"> </w:t>
      </w:r>
      <w:r>
        <w:tab/>
      </w:r>
      <w:r w:rsidRPr="006A64F3">
        <w:t>SP AusNet,</w:t>
      </w:r>
      <w:r>
        <w:t xml:space="preserve"> </w:t>
      </w:r>
      <w:r w:rsidRPr="00A718B3">
        <w:rPr>
          <w:rStyle w:val="AERtextitalic"/>
        </w:rPr>
        <w:t>Revenue proposal</w:t>
      </w:r>
      <w:r>
        <w:t>, p. 59 and SP AusNet</w:t>
      </w:r>
      <w:r w:rsidRPr="006A64F3">
        <w:t xml:space="preserve">, </w:t>
      </w:r>
      <w:r w:rsidRPr="00A718B3">
        <w:rPr>
          <w:rStyle w:val="AERtextitalic"/>
        </w:rPr>
        <w:t>Response to information request EMCa 026</w:t>
      </w:r>
      <w:r w:rsidRPr="006A64F3">
        <w:t>, p. 2</w:t>
      </w:r>
      <w:r>
        <w:t xml:space="preserve">. </w:t>
      </w:r>
    </w:p>
  </w:footnote>
  <w:footnote w:id="292">
    <w:p w:rsidR="009E166E" w:rsidRPr="000040C1" w:rsidRDefault="009E166E" w:rsidP="00B812A9">
      <w:pPr>
        <w:pStyle w:val="FootnoteText"/>
      </w:pPr>
      <w:r>
        <w:rPr>
          <w:rStyle w:val="FootnoteReference"/>
        </w:rPr>
        <w:footnoteRef/>
      </w:r>
      <w:r>
        <w:t xml:space="preserve"> </w:t>
      </w:r>
      <w:r>
        <w:tab/>
        <w:t xml:space="preserve">SP AusNet, </w:t>
      </w:r>
      <w:r w:rsidRPr="000040C1">
        <w:rPr>
          <w:i/>
        </w:rPr>
        <w:t>Response to information request EMCa 026</w:t>
      </w:r>
      <w:r>
        <w:t xml:space="preserve">, 17 April 2013, p. 2; SP AusNet, </w:t>
      </w:r>
      <w:r w:rsidRPr="00755F35">
        <w:rPr>
          <w:i/>
        </w:rPr>
        <w:t xml:space="preserve">Response to information request AER </w:t>
      </w:r>
      <w:r>
        <w:rPr>
          <w:i/>
        </w:rPr>
        <w:t xml:space="preserve">RP </w:t>
      </w:r>
      <w:r w:rsidRPr="00755F35">
        <w:rPr>
          <w:i/>
        </w:rPr>
        <w:t>20</w:t>
      </w:r>
      <w:r>
        <w:t xml:space="preserve">, pp. 1–3. </w:t>
      </w:r>
    </w:p>
  </w:footnote>
  <w:footnote w:id="293">
    <w:p w:rsidR="009E166E" w:rsidRPr="000040C1" w:rsidRDefault="009E166E" w:rsidP="00B812A9">
      <w:pPr>
        <w:pStyle w:val="FootnoteText"/>
      </w:pPr>
      <w:r>
        <w:rPr>
          <w:rStyle w:val="FootnoteReference"/>
        </w:rPr>
        <w:footnoteRef/>
      </w:r>
      <w:r>
        <w:t xml:space="preserve"> </w:t>
      </w:r>
      <w:r>
        <w:tab/>
        <w:t xml:space="preserve">SP AusNet, </w:t>
      </w:r>
      <w:r w:rsidRPr="000040C1">
        <w:rPr>
          <w:i/>
        </w:rPr>
        <w:t>Revenue proposal</w:t>
      </w:r>
      <w:r>
        <w:t>, p. 59.</w:t>
      </w:r>
    </w:p>
  </w:footnote>
  <w:footnote w:id="294">
    <w:p w:rsidR="009E166E" w:rsidRPr="003E77B0" w:rsidRDefault="009E166E" w:rsidP="00E8656D">
      <w:pPr>
        <w:pStyle w:val="FootnoteText"/>
      </w:pPr>
      <w:r>
        <w:rPr>
          <w:rStyle w:val="FootnoteReference"/>
        </w:rPr>
        <w:footnoteRef/>
      </w:r>
      <w:r>
        <w:t xml:space="preserve"> </w:t>
      </w:r>
      <w:r>
        <w:tab/>
        <w:t xml:space="preserve">SP AusNet, </w:t>
      </w:r>
      <w:r w:rsidRPr="003E77B0">
        <w:rPr>
          <w:i/>
        </w:rPr>
        <w:t>Revenue proposal</w:t>
      </w:r>
      <w:r>
        <w:t>, p. 59.</w:t>
      </w:r>
    </w:p>
  </w:footnote>
  <w:footnote w:id="295">
    <w:p w:rsidR="009E166E" w:rsidRDefault="009E166E" w:rsidP="00B812A9">
      <w:pPr>
        <w:pStyle w:val="FootnoteText"/>
      </w:pPr>
      <w:r>
        <w:rPr>
          <w:rStyle w:val="FootnoteReference"/>
        </w:rPr>
        <w:footnoteRef/>
      </w:r>
      <w:r>
        <w:t xml:space="preserve"> </w:t>
      </w:r>
      <w:r>
        <w:tab/>
        <w:t>Actual expenditure 2008-08 to 2012-13 and SP AusNet’s proposed budget estimate in 2013-14.</w:t>
      </w:r>
    </w:p>
  </w:footnote>
  <w:footnote w:id="296">
    <w:p w:rsidR="009E166E" w:rsidRDefault="009E166E" w:rsidP="00AE199A">
      <w:pPr>
        <w:pStyle w:val="FootnoteText"/>
      </w:pPr>
      <w:r>
        <w:rPr>
          <w:rStyle w:val="FootnoteReference"/>
        </w:rPr>
        <w:footnoteRef/>
      </w:r>
      <w:r>
        <w:t xml:space="preserve"> </w:t>
      </w:r>
      <w:r>
        <w:tab/>
        <w:t xml:space="preserve">EMCa, </w:t>
      </w:r>
      <w:r w:rsidRPr="00AE649A">
        <w:rPr>
          <w:rStyle w:val="AERtextitalic"/>
        </w:rPr>
        <w:t>SP AusNet technical review</w:t>
      </w:r>
      <w:r>
        <w:t>, A</w:t>
      </w:r>
      <w:r w:rsidR="00972A85">
        <w:t>ugust 2013, p. 94, paragraph 329</w:t>
      </w:r>
      <w:r>
        <w:t>.</w:t>
      </w:r>
    </w:p>
  </w:footnote>
  <w:footnote w:id="297">
    <w:p w:rsidR="009E166E" w:rsidRDefault="009E166E" w:rsidP="0088341A">
      <w:pPr>
        <w:pStyle w:val="FootnoteText"/>
      </w:pPr>
      <w:r>
        <w:rPr>
          <w:rStyle w:val="FootnoteReference"/>
        </w:rPr>
        <w:footnoteRef/>
      </w:r>
      <w:r>
        <w:t xml:space="preserve"> </w:t>
      </w:r>
      <w:r>
        <w:tab/>
        <w:t>Machinery breakdown (below insurance deductible expenses), property damage for urgent maintenance.</w:t>
      </w:r>
    </w:p>
  </w:footnote>
  <w:footnote w:id="298">
    <w:p w:rsidR="009E166E" w:rsidRDefault="009E166E">
      <w:pPr>
        <w:pStyle w:val="FootnoteText"/>
      </w:pPr>
      <w:r>
        <w:rPr>
          <w:rStyle w:val="FootnoteReference"/>
        </w:rPr>
        <w:footnoteRef/>
      </w:r>
      <w:r>
        <w:t xml:space="preserve"> </w:t>
      </w:r>
      <w:r>
        <w:tab/>
        <w:t xml:space="preserve">EMCA, </w:t>
      </w:r>
      <w:r w:rsidRPr="00610949">
        <w:rPr>
          <w:rStyle w:val="AERtextitalic"/>
        </w:rPr>
        <w:t>SP AusNet technical review</w:t>
      </w:r>
      <w:r>
        <w:t>, A</w:t>
      </w:r>
      <w:r w:rsidR="00972A85">
        <w:t>ugust 2013, p. 82, paragraph 286</w:t>
      </w:r>
      <w:r>
        <w:t>.</w:t>
      </w:r>
    </w:p>
  </w:footnote>
  <w:footnote w:id="299">
    <w:p w:rsidR="009E166E" w:rsidRDefault="009E166E" w:rsidP="0088341A">
      <w:pPr>
        <w:pStyle w:val="FootnoteText"/>
      </w:pPr>
      <w:r>
        <w:rPr>
          <w:rStyle w:val="FootnoteReference"/>
        </w:rPr>
        <w:footnoteRef/>
      </w:r>
      <w:r w:rsidR="00972A85">
        <w:t xml:space="preserve"> </w:t>
      </w:r>
      <w:r w:rsidR="00972A85">
        <w:tab/>
        <w:t>SP AusNet</w:t>
      </w:r>
      <w:r>
        <w:t xml:space="preserve">, </w:t>
      </w:r>
      <w:r w:rsidR="00972A85" w:rsidRPr="00972A85">
        <w:rPr>
          <w:i/>
        </w:rPr>
        <w:t xml:space="preserve">Reponse to EMCa </w:t>
      </w:r>
      <w:r w:rsidRPr="00972A85">
        <w:rPr>
          <w:i/>
        </w:rPr>
        <w:t>027</w:t>
      </w:r>
      <w:r w:rsidR="00972A85">
        <w:t>, 23 April 2013</w:t>
      </w:r>
      <w:r>
        <w:t>.</w:t>
      </w:r>
    </w:p>
  </w:footnote>
  <w:footnote w:id="300">
    <w:p w:rsidR="009E166E" w:rsidRDefault="009E166E" w:rsidP="0088341A">
      <w:pPr>
        <w:pStyle w:val="FootnoteText"/>
      </w:pPr>
      <w:r>
        <w:rPr>
          <w:rStyle w:val="FootnoteReference"/>
        </w:rPr>
        <w:footnoteRef/>
      </w:r>
      <w:r>
        <w:t xml:space="preserve"> </w:t>
      </w:r>
      <w:r>
        <w:tab/>
        <w:t xml:space="preserve">EMCA, </w:t>
      </w:r>
      <w:r w:rsidRPr="00610949">
        <w:rPr>
          <w:rStyle w:val="AERtextitalic"/>
        </w:rPr>
        <w:t>SP AusNet technical review</w:t>
      </w:r>
      <w:r w:rsidR="00972A85">
        <w:t>, August 2013, p. 83</w:t>
      </w:r>
      <w:r>
        <w:t>, paragraph 287.</w:t>
      </w:r>
    </w:p>
  </w:footnote>
  <w:footnote w:id="301">
    <w:p w:rsidR="009E166E" w:rsidRDefault="009E166E">
      <w:pPr>
        <w:pStyle w:val="FootnoteText"/>
      </w:pPr>
      <w:r>
        <w:rPr>
          <w:rStyle w:val="FootnoteReference"/>
        </w:rPr>
        <w:footnoteRef/>
      </w:r>
      <w:r>
        <w:t xml:space="preserve"> </w:t>
      </w:r>
      <w:r>
        <w:tab/>
        <w:t xml:space="preserve">EMCA, </w:t>
      </w:r>
      <w:r w:rsidRPr="00610949">
        <w:rPr>
          <w:rStyle w:val="AERtextitalic"/>
        </w:rPr>
        <w:t>SP AusNet technical review</w:t>
      </w:r>
      <w:r>
        <w:t>, August 2013, p. 83, paragraph 288.</w:t>
      </w:r>
    </w:p>
  </w:footnote>
  <w:footnote w:id="302">
    <w:p w:rsidR="009E166E" w:rsidRDefault="009E166E">
      <w:pPr>
        <w:pStyle w:val="FootnoteText"/>
      </w:pPr>
      <w:r>
        <w:rPr>
          <w:rStyle w:val="FootnoteReference"/>
        </w:rPr>
        <w:footnoteRef/>
      </w:r>
      <w:r>
        <w:t xml:space="preserve"> </w:t>
      </w:r>
      <w:r>
        <w:tab/>
        <w:t xml:space="preserve">SP AusNet, </w:t>
      </w:r>
      <w:r w:rsidRPr="00972A85">
        <w:rPr>
          <w:i/>
        </w:rPr>
        <w:t>Response to EMCa 032</w:t>
      </w:r>
      <w:r>
        <w:t xml:space="preserve">, 22 May 2013; EMCA, </w:t>
      </w:r>
      <w:r w:rsidRPr="00610949">
        <w:rPr>
          <w:rStyle w:val="AERtextitalic"/>
        </w:rPr>
        <w:t>SP AusNet technical review</w:t>
      </w:r>
      <w:r>
        <w:t>, July 2013, p. 80,paragraph 280.</w:t>
      </w:r>
    </w:p>
  </w:footnote>
  <w:footnote w:id="303">
    <w:p w:rsidR="009E166E" w:rsidRDefault="009E166E">
      <w:pPr>
        <w:pStyle w:val="FootnoteText"/>
      </w:pPr>
      <w:r>
        <w:rPr>
          <w:rStyle w:val="FootnoteReference"/>
        </w:rPr>
        <w:footnoteRef/>
      </w:r>
      <w:r>
        <w:t xml:space="preserve"> </w:t>
      </w:r>
      <w:r>
        <w:tab/>
        <w:t xml:space="preserve">EMCA, </w:t>
      </w:r>
      <w:r w:rsidRPr="00610949">
        <w:rPr>
          <w:rStyle w:val="AERtextitalic"/>
        </w:rPr>
        <w:t>SP AusNet technical review</w:t>
      </w:r>
      <w:r>
        <w:t>, August 2013, p. 80, paragraph 280.</w:t>
      </w:r>
    </w:p>
  </w:footnote>
  <w:footnote w:id="304">
    <w:p w:rsidR="009E166E" w:rsidRDefault="009E166E">
      <w:pPr>
        <w:pStyle w:val="FootnoteText"/>
      </w:pPr>
      <w:r>
        <w:rPr>
          <w:rStyle w:val="FootnoteReference"/>
        </w:rPr>
        <w:footnoteRef/>
      </w:r>
      <w:r>
        <w:t xml:space="preserve"> </w:t>
      </w:r>
      <w:r>
        <w:tab/>
        <w:t xml:space="preserve">EMCA, </w:t>
      </w:r>
      <w:r w:rsidRPr="00610949">
        <w:rPr>
          <w:rStyle w:val="AERtextitalic"/>
        </w:rPr>
        <w:t>SP AusNet technical review</w:t>
      </w:r>
      <w:r>
        <w:t>, Augu</w:t>
      </w:r>
      <w:r w:rsidR="00972A85">
        <w:t>st 2013, p. 91,paragraph 317-319</w:t>
      </w:r>
      <w:r>
        <w:t>.</w:t>
      </w:r>
    </w:p>
  </w:footnote>
  <w:footnote w:id="305">
    <w:p w:rsidR="009E166E" w:rsidRDefault="009E166E" w:rsidP="005D76D8">
      <w:pPr>
        <w:pStyle w:val="FootnoteText"/>
      </w:pPr>
      <w:r>
        <w:rPr>
          <w:rStyle w:val="FootnoteReference"/>
        </w:rPr>
        <w:footnoteRef/>
      </w:r>
      <w:r>
        <w:t xml:space="preserve"> </w:t>
      </w:r>
      <w:r>
        <w:tab/>
        <w:t>NER, clause 6A.6.6(e)(2).</w:t>
      </w:r>
    </w:p>
  </w:footnote>
  <w:footnote w:id="306">
    <w:p w:rsidR="009E166E" w:rsidRDefault="009E166E" w:rsidP="0088341A">
      <w:pPr>
        <w:pStyle w:val="FootnoteText"/>
      </w:pPr>
      <w:r>
        <w:t xml:space="preserve">** </w:t>
      </w:r>
      <w:r>
        <w:tab/>
        <w:t>This does not include the network growth component.</w:t>
      </w:r>
    </w:p>
  </w:footnote>
  <w:footnote w:id="307">
    <w:p w:rsidR="009E166E" w:rsidRDefault="009E166E" w:rsidP="0088341A">
      <w:pPr>
        <w:pStyle w:val="FootnoteText"/>
      </w:pPr>
      <w:r>
        <w:rPr>
          <w:rStyle w:val="FootnoteReference"/>
        </w:rPr>
        <w:footnoteRef/>
      </w:r>
      <w:r>
        <w:t xml:space="preserve"> </w:t>
      </w:r>
      <w:r>
        <w:tab/>
        <w:t>NEL, ss. 7 and 7A.</w:t>
      </w:r>
    </w:p>
  </w:footnote>
  <w:footnote w:id="308">
    <w:p w:rsidR="009E166E" w:rsidRDefault="009E166E" w:rsidP="0088341A">
      <w:pPr>
        <w:pStyle w:val="FootnoteText"/>
      </w:pPr>
      <w:r>
        <w:rPr>
          <w:rStyle w:val="FootnoteReference"/>
        </w:rPr>
        <w:footnoteRef/>
      </w:r>
      <w:r>
        <w:t xml:space="preserve"> </w:t>
      </w:r>
      <w:r>
        <w:tab/>
        <w:t>NER, clause 6A.6.6(e)(5).</w:t>
      </w:r>
    </w:p>
  </w:footnote>
  <w:footnote w:id="309">
    <w:p w:rsidR="009E166E" w:rsidRDefault="009E166E" w:rsidP="0088341A">
      <w:pPr>
        <w:pStyle w:val="FootnoteText"/>
      </w:pPr>
      <w:r>
        <w:rPr>
          <w:rStyle w:val="FootnoteReference"/>
        </w:rPr>
        <w:footnoteRef/>
      </w:r>
      <w:r>
        <w:t xml:space="preserve"> </w:t>
      </w:r>
      <w:r>
        <w:tab/>
        <w:t>$32.5 million step changes for increases in opex (12 proposed step changes plus one proposed with no costs). Sp AusNet also proposed  a $0.8 million step change decrease (for IT efficiency gains). This is the escalated value of the step change. The value of the step changes for increased opex, without escalation, is $31.2 million.</w:t>
      </w:r>
    </w:p>
  </w:footnote>
  <w:footnote w:id="310">
    <w:p w:rsidR="009E166E" w:rsidRDefault="009E166E" w:rsidP="0088341A">
      <w:pPr>
        <w:pStyle w:val="FootnoteText"/>
      </w:pPr>
      <w:r>
        <w:rPr>
          <w:rStyle w:val="FootnoteReference"/>
        </w:rPr>
        <w:footnoteRef/>
      </w:r>
      <w:r>
        <w:t xml:space="preserve"> </w:t>
      </w:r>
      <w:r>
        <w:tab/>
        <w:t xml:space="preserve">Escalated value. </w:t>
      </w:r>
    </w:p>
  </w:footnote>
  <w:footnote w:id="311">
    <w:p w:rsidR="009E166E" w:rsidRDefault="009E166E" w:rsidP="0088341A">
      <w:pPr>
        <w:pStyle w:val="FootnoteText"/>
      </w:pPr>
      <w:r>
        <w:rPr>
          <w:rStyle w:val="FootnoteReference"/>
        </w:rPr>
        <w:footnoteRef/>
      </w:r>
      <w:r>
        <w:t xml:space="preserve"> </w:t>
      </w:r>
      <w:r>
        <w:tab/>
        <w:t>NER, clause 6A.6.6(e)(5).</w:t>
      </w:r>
    </w:p>
  </w:footnote>
  <w:footnote w:id="312">
    <w:p w:rsidR="009E166E" w:rsidRPr="00572C9B" w:rsidRDefault="009E166E">
      <w:pPr>
        <w:pStyle w:val="FootnoteText"/>
        <w:rPr>
          <w:lang w:val="en-US"/>
        </w:rPr>
      </w:pPr>
      <w:r>
        <w:rPr>
          <w:rStyle w:val="FootnoteReference"/>
        </w:rPr>
        <w:footnoteRef/>
      </w:r>
      <w:r>
        <w:t xml:space="preserve"> </w:t>
      </w:r>
      <w:r>
        <w:rPr>
          <w:lang w:val="en-US"/>
        </w:rPr>
        <w:tab/>
        <w:t xml:space="preserve">EUCV, </w:t>
      </w:r>
      <w:r w:rsidRPr="00572C9B">
        <w:rPr>
          <w:rStyle w:val="AERtextitalic"/>
        </w:rPr>
        <w:t>Response to 2013 AER review of Victorian electricity transmission</w:t>
      </w:r>
      <w:r>
        <w:rPr>
          <w:lang w:val="en-US"/>
        </w:rPr>
        <w:t>, May 2013, p.29</w:t>
      </w:r>
    </w:p>
  </w:footnote>
  <w:footnote w:id="313">
    <w:p w:rsidR="009E166E" w:rsidRDefault="009E166E" w:rsidP="0088341A">
      <w:pPr>
        <w:pStyle w:val="FootnoteText"/>
      </w:pPr>
      <w:r>
        <w:rPr>
          <w:rStyle w:val="FootnoteReference"/>
        </w:rPr>
        <w:footnoteRef/>
      </w:r>
      <w:r>
        <w:t xml:space="preserve"> </w:t>
      </w:r>
      <w:r>
        <w:tab/>
        <w:t>NER, clause 6A.6.6(e)(5).</w:t>
      </w:r>
    </w:p>
  </w:footnote>
  <w:footnote w:id="314">
    <w:p w:rsidR="009E166E" w:rsidRDefault="009E166E" w:rsidP="0088341A">
      <w:pPr>
        <w:pStyle w:val="FootnoteText"/>
      </w:pPr>
      <w:r>
        <w:rPr>
          <w:rStyle w:val="FootnoteReference"/>
        </w:rPr>
        <w:footnoteRef/>
      </w:r>
      <w:r>
        <w:t xml:space="preserve"> </w:t>
      </w:r>
      <w:r>
        <w:tab/>
        <w:t>NER, clause 6A.6.6(e)(5).</w:t>
      </w:r>
    </w:p>
  </w:footnote>
  <w:footnote w:id="315">
    <w:p w:rsidR="009E166E" w:rsidRDefault="009E166E" w:rsidP="0088341A">
      <w:pPr>
        <w:pStyle w:val="FootnoteText"/>
      </w:pPr>
      <w:r>
        <w:rPr>
          <w:rStyle w:val="FootnoteReference"/>
        </w:rPr>
        <w:footnoteRef/>
      </w:r>
      <w:r>
        <w:t xml:space="preserve"> </w:t>
      </w:r>
      <w:r>
        <w:tab/>
        <w:t>NER, clause 6A.6.6(e)(5).</w:t>
      </w:r>
    </w:p>
  </w:footnote>
  <w:footnote w:id="316">
    <w:p w:rsidR="009E166E" w:rsidRDefault="009E166E" w:rsidP="0088341A">
      <w:pPr>
        <w:pStyle w:val="FootnoteText"/>
      </w:pPr>
      <w:r>
        <w:rPr>
          <w:rStyle w:val="FootnoteReference"/>
        </w:rPr>
        <w:footnoteRef/>
      </w:r>
      <w:r>
        <w:t xml:space="preserve"> </w:t>
      </w:r>
      <w:r>
        <w:tab/>
        <w:t>NER, clause 6A.6.6(e)(5).</w:t>
      </w:r>
    </w:p>
  </w:footnote>
  <w:footnote w:id="317">
    <w:p w:rsidR="009E166E" w:rsidRDefault="009E166E" w:rsidP="0088341A">
      <w:pPr>
        <w:pStyle w:val="FootnoteText"/>
      </w:pPr>
      <w:r>
        <w:rPr>
          <w:rStyle w:val="FootnoteReference"/>
        </w:rPr>
        <w:footnoteRef/>
      </w:r>
      <w:r>
        <w:t xml:space="preserve"> </w:t>
      </w:r>
      <w:r>
        <w:tab/>
        <w:t>NER, clause 6A.6.6(e)(5).</w:t>
      </w:r>
    </w:p>
  </w:footnote>
  <w:footnote w:id="318">
    <w:p w:rsidR="009E166E" w:rsidRDefault="009E166E" w:rsidP="0088341A">
      <w:pPr>
        <w:pStyle w:val="FootnoteText"/>
      </w:pPr>
      <w:r>
        <w:rPr>
          <w:rStyle w:val="FootnoteReference"/>
        </w:rPr>
        <w:footnoteRef/>
      </w:r>
      <w:r>
        <w:t xml:space="preserve"> </w:t>
      </w:r>
      <w:r>
        <w:tab/>
        <w:t>NER, clause 6A.6.6(e)(5).</w:t>
      </w:r>
    </w:p>
  </w:footnote>
  <w:footnote w:id="319">
    <w:p w:rsidR="009E166E" w:rsidRDefault="009E166E" w:rsidP="0088341A">
      <w:pPr>
        <w:pStyle w:val="FootnoteText"/>
      </w:pPr>
      <w:r>
        <w:rPr>
          <w:rStyle w:val="FootnoteReference"/>
        </w:rPr>
        <w:footnoteRef/>
      </w:r>
      <w:r>
        <w:t xml:space="preserve"> </w:t>
      </w:r>
      <w:r>
        <w:tab/>
        <w:t>NER, clause 6A.6.6(e)(5).</w:t>
      </w:r>
    </w:p>
  </w:footnote>
  <w:footnote w:id="320">
    <w:p w:rsidR="009E166E" w:rsidRDefault="009E166E" w:rsidP="0088341A">
      <w:pPr>
        <w:pStyle w:val="FootnoteText"/>
      </w:pPr>
      <w:r>
        <w:rPr>
          <w:rStyle w:val="FootnoteReference"/>
        </w:rPr>
        <w:footnoteRef/>
      </w:r>
      <w:r>
        <w:t xml:space="preserve"> </w:t>
      </w:r>
      <w:r>
        <w:tab/>
        <w:t>NER, clause 6A.6.6(e)(6).</w:t>
      </w:r>
    </w:p>
  </w:footnote>
  <w:footnote w:id="321">
    <w:p w:rsidR="009E166E" w:rsidRDefault="009E166E" w:rsidP="0088341A">
      <w:pPr>
        <w:pStyle w:val="FootnoteText"/>
      </w:pPr>
      <w:r>
        <w:rPr>
          <w:rStyle w:val="FootnoteReference"/>
        </w:rPr>
        <w:footnoteRef/>
      </w:r>
      <w:r>
        <w:t xml:space="preserve"> </w:t>
      </w:r>
      <w:r>
        <w:tab/>
        <w:t>NER, clauses 6A.6.6(e)(6) and (8).</w:t>
      </w:r>
    </w:p>
  </w:footnote>
  <w:footnote w:id="322">
    <w:p w:rsidR="009E166E" w:rsidRDefault="009E166E" w:rsidP="0022395B">
      <w:pPr>
        <w:pStyle w:val="FootnoteText"/>
      </w:pPr>
      <w:r>
        <w:rPr>
          <w:rStyle w:val="FootnoteReference"/>
        </w:rPr>
        <w:footnoteRef/>
      </w:r>
      <w:r>
        <w:t xml:space="preserve"> </w:t>
      </w:r>
      <w:r>
        <w:tab/>
      </w:r>
      <w:r w:rsidRPr="00EE2907">
        <w:t>During a regulatory control period</w:t>
      </w:r>
      <w:r>
        <w:t>,</w:t>
      </w:r>
      <w:r w:rsidRPr="00EE2907">
        <w:t xml:space="preserve"> AEMO or a distribution business </w:t>
      </w:r>
      <w:r>
        <w:t>may</w:t>
      </w:r>
      <w:r w:rsidRPr="00EE2907">
        <w:t xml:space="preserve"> request </w:t>
      </w:r>
      <w:r>
        <w:t xml:space="preserve">SP AusNet to </w:t>
      </w:r>
      <w:r w:rsidRPr="00EE2907">
        <w:t>provide augmentations to the transmission network or distrib</w:t>
      </w:r>
      <w:r>
        <w:t xml:space="preserve">ution connection services. While the </w:t>
      </w:r>
      <w:r w:rsidRPr="00EE2907">
        <w:t>assets</w:t>
      </w:r>
      <w:r>
        <w:t xml:space="preserve"> constructed due to these requests </w:t>
      </w:r>
      <w:r w:rsidRPr="00EE2907">
        <w:t>provide prescribed transmission services</w:t>
      </w:r>
      <w:r>
        <w:t xml:space="preserve">, </w:t>
      </w:r>
      <w:r w:rsidRPr="00EE2907">
        <w:t xml:space="preserve">the forecast capex associated with </w:t>
      </w:r>
      <w:r>
        <w:t>these assets</w:t>
      </w:r>
      <w:r w:rsidRPr="00EE2907">
        <w:t xml:space="preserve"> sit outsi</w:t>
      </w:r>
      <w:r>
        <w:t xml:space="preserve">de of the revenue determination. This is </w:t>
      </w:r>
      <w:r w:rsidRPr="00EE2907">
        <w:t xml:space="preserve">because </w:t>
      </w:r>
      <w:r>
        <w:t xml:space="preserve">SP AusNet </w:t>
      </w:r>
      <w:r w:rsidRPr="00EE2907">
        <w:t xml:space="preserve">is not responsible for </w:t>
      </w:r>
      <w:r>
        <w:t>the</w:t>
      </w:r>
      <w:r w:rsidRPr="00EE2907">
        <w:t xml:space="preserve"> planning</w:t>
      </w:r>
      <w:r>
        <w:t xml:space="preserve"> of these capex.</w:t>
      </w:r>
      <w:r w:rsidRPr="00EE2907">
        <w:t xml:space="preserve"> </w:t>
      </w:r>
      <w:r>
        <w:t xml:space="preserve">SP AusNet </w:t>
      </w:r>
      <w:r w:rsidRPr="00EE2907">
        <w:t xml:space="preserve">refers to these services as </w:t>
      </w:r>
      <w:r>
        <w:t>‘excluded prescribed</w:t>
      </w:r>
      <w:r w:rsidRPr="00EE2907">
        <w:t xml:space="preserve"> services</w:t>
      </w:r>
      <w:r>
        <w:t>'</w:t>
      </w:r>
      <w:r w:rsidRPr="00EE2907">
        <w:t>, and the assets which p</w:t>
      </w:r>
      <w:r>
        <w:t>rovide these services are referred to as ‘</w:t>
      </w:r>
      <w:r w:rsidRPr="00EE2907">
        <w:t>Group 3</w:t>
      </w:r>
      <w:r>
        <w:t>’</w:t>
      </w:r>
      <w:r w:rsidRPr="00EE2907">
        <w:t xml:space="preserve"> assets. Group 3 assets sit outside of the </w:t>
      </w:r>
      <w:r>
        <w:t>RAB</w:t>
      </w:r>
      <w:r w:rsidRPr="00EE2907">
        <w:t xml:space="preserve"> and are governed by commercial contracts until such time as they are rolled into the </w:t>
      </w:r>
      <w:r>
        <w:t>RAB</w:t>
      </w:r>
      <w:r w:rsidRPr="00EE2907">
        <w:t>, usually at the next revenue reset.</w:t>
      </w:r>
      <w:r>
        <w:t xml:space="preserve"> (SP AusNet , </w:t>
      </w:r>
      <w:r w:rsidRPr="00263176">
        <w:rPr>
          <w:rStyle w:val="AERtextitalic"/>
        </w:rPr>
        <w:t>Revenue proposal</w:t>
      </w:r>
      <w:r>
        <w:t>, p.30.).</w:t>
      </w:r>
    </w:p>
  </w:footnote>
  <w:footnote w:id="323">
    <w:p w:rsidR="009E166E" w:rsidRDefault="009E166E" w:rsidP="0088341A">
      <w:pPr>
        <w:pStyle w:val="FootnoteText"/>
      </w:pPr>
      <w:r>
        <w:rPr>
          <w:rStyle w:val="FootnoteReference"/>
        </w:rPr>
        <w:footnoteRef/>
      </w:r>
      <w:r>
        <w:t xml:space="preserve"> </w:t>
      </w:r>
      <w:r>
        <w:tab/>
        <w:t>NER, clauses 6A.6.6(c)(2) and (e)(4).</w:t>
      </w:r>
    </w:p>
  </w:footnote>
  <w:footnote w:id="324">
    <w:p w:rsidR="009E166E" w:rsidRDefault="009E166E">
      <w:pPr>
        <w:pStyle w:val="FootnoteText"/>
      </w:pPr>
      <w:r>
        <w:rPr>
          <w:rStyle w:val="FootnoteReference"/>
        </w:rPr>
        <w:footnoteRef/>
      </w:r>
      <w:r>
        <w:t xml:space="preserve"> </w:t>
      </w:r>
      <w:r>
        <w:tab/>
        <w:t xml:space="preserve">SP AusNet, </w:t>
      </w:r>
      <w:r w:rsidRPr="005B580A">
        <w:rPr>
          <w:rStyle w:val="AERtextitalic"/>
        </w:rPr>
        <w:t>response to information request AER RP 54, Group 3 Asset opex escalator</w:t>
      </w:r>
      <w:r>
        <w:t>, 5 July 2013, p. 2.</w:t>
      </w:r>
    </w:p>
  </w:footnote>
  <w:footnote w:id="325">
    <w:p w:rsidR="009E166E" w:rsidRDefault="009E166E" w:rsidP="0088341A">
      <w:pPr>
        <w:pStyle w:val="FootnoteText"/>
      </w:pPr>
      <w:r>
        <w:rPr>
          <w:rStyle w:val="FootnoteReference"/>
        </w:rPr>
        <w:footnoteRef/>
      </w:r>
      <w:r>
        <w:t xml:space="preserve"> </w:t>
      </w:r>
      <w:r>
        <w:tab/>
        <w:t>NER, clause 6A.6.6(c)(3).</w:t>
      </w:r>
    </w:p>
  </w:footnote>
  <w:footnote w:id="326">
    <w:p w:rsidR="009E166E" w:rsidRDefault="009E166E" w:rsidP="00D77DC9">
      <w:pPr>
        <w:pStyle w:val="FootnoteText"/>
      </w:pPr>
      <w:r>
        <w:rPr>
          <w:rStyle w:val="FootnoteReference"/>
        </w:rPr>
        <w:footnoteRef/>
      </w:r>
      <w:r>
        <w:t xml:space="preserve"> </w:t>
      </w:r>
      <w:r>
        <w:tab/>
        <w:t>NER, clause 6A.6.6(e)(7).</w:t>
      </w:r>
    </w:p>
  </w:footnote>
  <w:footnote w:id="327">
    <w:p w:rsidR="009E166E" w:rsidRDefault="009E166E" w:rsidP="0088341A">
      <w:pPr>
        <w:pStyle w:val="FootnoteText"/>
      </w:pPr>
      <w:r>
        <w:rPr>
          <w:rStyle w:val="FootnoteReference"/>
        </w:rPr>
        <w:footnoteRef/>
      </w:r>
      <w:r>
        <w:t xml:space="preserve"> </w:t>
      </w:r>
      <w:r>
        <w:tab/>
        <w:t>Unless otherwise specified, in this chapter, all non-controllable and total opex numbers from SP AusNet's proposal were adjusted to exclude equity raising costs.</w:t>
      </w:r>
    </w:p>
  </w:footnote>
  <w:footnote w:id="328">
    <w:p w:rsidR="009E166E" w:rsidRDefault="009E166E" w:rsidP="0088341A">
      <w:pPr>
        <w:pStyle w:val="FootnoteText"/>
      </w:pPr>
      <w:r>
        <w:rPr>
          <w:rStyle w:val="FootnoteReference"/>
        </w:rPr>
        <w:footnoteRef/>
      </w:r>
      <w:r>
        <w:t xml:space="preserve"> </w:t>
      </w:r>
      <w:r>
        <w:tab/>
        <w:t xml:space="preserve">NER, clause 6A.6.7(a). </w:t>
      </w:r>
    </w:p>
  </w:footnote>
  <w:footnote w:id="329">
    <w:p w:rsidR="009E166E" w:rsidRDefault="009E166E" w:rsidP="0088341A">
      <w:pPr>
        <w:pStyle w:val="FootnoteText"/>
      </w:pPr>
      <w:r>
        <w:rPr>
          <w:rStyle w:val="FootnoteReference"/>
        </w:rPr>
        <w:footnoteRef/>
      </w:r>
      <w:r>
        <w:t xml:space="preserve"> </w:t>
      </w:r>
      <w:r>
        <w:tab/>
        <w:t xml:space="preserve">EMCa, </w:t>
      </w:r>
      <w:r>
        <w:rPr>
          <w:rStyle w:val="AERtextitalic"/>
        </w:rPr>
        <w:t xml:space="preserve">SP AusNet </w:t>
      </w:r>
      <w:r w:rsidRPr="00AC0F79">
        <w:rPr>
          <w:rStyle w:val="AERtextitalic"/>
        </w:rPr>
        <w:t>technical review</w:t>
      </w:r>
      <w:r>
        <w:t xml:space="preserve">, August 2013, p.84, paragraph 303. </w:t>
      </w:r>
    </w:p>
  </w:footnote>
  <w:footnote w:id="330">
    <w:p w:rsidR="009E166E" w:rsidRDefault="009E166E" w:rsidP="0088341A">
      <w:pPr>
        <w:pStyle w:val="FootnoteText"/>
      </w:pPr>
      <w:r>
        <w:rPr>
          <w:rStyle w:val="FootnoteReference"/>
        </w:rPr>
        <w:footnoteRef/>
      </w:r>
      <w:r>
        <w:t xml:space="preserve"> </w:t>
      </w:r>
      <w:r>
        <w:tab/>
        <w:t>NER, clause 6A.6.6(e)(6).</w:t>
      </w:r>
    </w:p>
  </w:footnote>
  <w:footnote w:id="331">
    <w:p w:rsidR="009E166E" w:rsidRDefault="009E166E" w:rsidP="0088341A">
      <w:pPr>
        <w:pStyle w:val="FootnoteText"/>
      </w:pPr>
      <w:r>
        <w:rPr>
          <w:rStyle w:val="FootnoteReference"/>
        </w:rPr>
        <w:footnoteRef/>
      </w:r>
      <w:r>
        <w:t xml:space="preserve"> </w:t>
      </w:r>
      <w:r>
        <w:tab/>
        <w:t xml:space="preserve">NER, clause 11.59.3, version 54. </w:t>
      </w:r>
    </w:p>
  </w:footnote>
  <w:footnote w:id="332">
    <w:p w:rsidR="009E166E" w:rsidRDefault="009E166E" w:rsidP="0088341A">
      <w:pPr>
        <w:pStyle w:val="FootnoteText"/>
      </w:pPr>
      <w:r>
        <w:rPr>
          <w:rStyle w:val="FootnoteReference"/>
        </w:rPr>
        <w:footnoteRef/>
      </w:r>
      <w:r>
        <w:t xml:space="preserve"> </w:t>
      </w:r>
      <w:r>
        <w:tab/>
        <w:t xml:space="preserve">EUAA, </w:t>
      </w:r>
      <w:r w:rsidRPr="00A96706">
        <w:rPr>
          <w:rStyle w:val="AERtextitalic"/>
        </w:rPr>
        <w:t xml:space="preserve">Submission on </w:t>
      </w:r>
      <w:r>
        <w:rPr>
          <w:rStyle w:val="AERtextitalic"/>
        </w:rPr>
        <w:t>SPI PowerNet Ltd Electricity Transmission Revenue Proposal for 2014–17</w:t>
      </w:r>
      <w:r>
        <w:t>, May 2013, p.14.</w:t>
      </w:r>
    </w:p>
  </w:footnote>
  <w:footnote w:id="333">
    <w:p w:rsidR="009E166E" w:rsidRDefault="009E166E" w:rsidP="0088341A">
      <w:pPr>
        <w:pStyle w:val="FootnoteText"/>
      </w:pPr>
      <w:r>
        <w:rPr>
          <w:rStyle w:val="FootnoteReference"/>
        </w:rPr>
        <w:footnoteRef/>
      </w:r>
      <w:r>
        <w:t xml:space="preserve"> </w:t>
      </w:r>
      <w:r>
        <w:tab/>
        <w:t xml:space="preserve">EMCa, </w:t>
      </w:r>
      <w:r w:rsidRPr="00911725">
        <w:rPr>
          <w:rStyle w:val="AERtextitalic"/>
        </w:rPr>
        <w:t xml:space="preserve">Technical review on </w:t>
      </w:r>
      <w:r>
        <w:rPr>
          <w:rStyle w:val="AERtextitalic"/>
        </w:rPr>
        <w:t>SP AusNet's</w:t>
      </w:r>
      <w:r w:rsidRPr="00911725">
        <w:rPr>
          <w:rStyle w:val="AERtextitalic"/>
        </w:rPr>
        <w:t xml:space="preserve"> revenue proposal</w:t>
      </w:r>
      <w:r w:rsidR="00972A85">
        <w:t>, August 2013, p. 97</w:t>
      </w:r>
      <w:r>
        <w:t xml:space="preserve">, paragraphs </w:t>
      </w:r>
      <w:r w:rsidR="00972A85">
        <w:t>340–1</w:t>
      </w:r>
      <w:r>
        <w:t>.</w:t>
      </w:r>
    </w:p>
  </w:footnote>
  <w:footnote w:id="334">
    <w:p w:rsidR="009E166E" w:rsidRDefault="009E166E" w:rsidP="0088341A">
      <w:pPr>
        <w:pStyle w:val="FootnoteText"/>
      </w:pPr>
      <w:r>
        <w:rPr>
          <w:rStyle w:val="FootnoteReference"/>
        </w:rPr>
        <w:footnoteRef/>
      </w:r>
      <w:r>
        <w:t xml:space="preserve"> </w:t>
      </w:r>
      <w:r>
        <w:tab/>
        <w:t>EMCa,</w:t>
      </w:r>
      <w:r w:rsidRPr="0080261E">
        <w:t xml:space="preserve"> </w:t>
      </w:r>
      <w:r w:rsidRPr="00911725">
        <w:rPr>
          <w:rStyle w:val="AERtextitalic"/>
        </w:rPr>
        <w:t xml:space="preserve">Technical review on </w:t>
      </w:r>
      <w:r>
        <w:rPr>
          <w:rStyle w:val="AERtextitalic"/>
        </w:rPr>
        <w:t>SP AusNet's</w:t>
      </w:r>
      <w:r w:rsidRPr="00911725">
        <w:rPr>
          <w:rStyle w:val="AERtextitalic"/>
        </w:rPr>
        <w:t xml:space="preserve"> revenue proposal</w:t>
      </w:r>
      <w:r>
        <w:t>, August 20</w:t>
      </w:r>
      <w:r w:rsidR="00972A85">
        <w:t>13, p. 94, paragraph 345</w:t>
      </w:r>
      <w:r>
        <w:t xml:space="preserve">. </w:t>
      </w:r>
    </w:p>
  </w:footnote>
  <w:footnote w:id="335">
    <w:p w:rsidR="009E166E" w:rsidRDefault="009E166E" w:rsidP="0088341A">
      <w:pPr>
        <w:pStyle w:val="FootnoteText"/>
      </w:pPr>
      <w:r>
        <w:rPr>
          <w:rStyle w:val="FootnoteReference"/>
        </w:rPr>
        <w:footnoteRef/>
      </w:r>
      <w:r>
        <w:t xml:space="preserve"> </w:t>
      </w:r>
      <w:r>
        <w:tab/>
        <w:t xml:space="preserve">EUAA, </w:t>
      </w:r>
      <w:r w:rsidRPr="00A96706">
        <w:rPr>
          <w:rStyle w:val="AERtextitalic"/>
        </w:rPr>
        <w:t xml:space="preserve">Submission on </w:t>
      </w:r>
      <w:r>
        <w:rPr>
          <w:rStyle w:val="AERtextitalic"/>
        </w:rPr>
        <w:t>SPI PowerNet Ltd Electricity Transmission Revenue Proposal for 2014–17</w:t>
      </w:r>
      <w:r>
        <w:t>, May 2013, p.14; NER, 6A.6.6(e)(2).</w:t>
      </w:r>
    </w:p>
  </w:footnote>
  <w:footnote w:id="336">
    <w:p w:rsidR="009E166E" w:rsidRDefault="009E166E" w:rsidP="0010542E">
      <w:pPr>
        <w:pStyle w:val="FootnoteText"/>
      </w:pPr>
      <w:r>
        <w:rPr>
          <w:rStyle w:val="FootnoteReference"/>
        </w:rPr>
        <w:footnoteRef/>
      </w:r>
      <w:r>
        <w:t xml:space="preserve"> </w:t>
      </w:r>
      <w:r>
        <w:tab/>
        <w:t>NER, clauses 6A.6.6(c)(2) and (e)(4).</w:t>
      </w:r>
    </w:p>
  </w:footnote>
  <w:footnote w:id="337">
    <w:p w:rsidR="009E166E" w:rsidRDefault="009E166E" w:rsidP="0010542E">
      <w:pPr>
        <w:pStyle w:val="FootnoteText"/>
      </w:pPr>
      <w:r>
        <w:rPr>
          <w:rStyle w:val="FootnoteReference"/>
        </w:rPr>
        <w:footnoteRef/>
      </w:r>
      <w:r>
        <w:t xml:space="preserve"> </w:t>
      </w:r>
      <w:r>
        <w:tab/>
      </w:r>
      <w:r w:rsidRPr="00944042">
        <w:t xml:space="preserve">AER, Final decision: Powerlink transmission determination 2012–17, April 2012, </w:t>
      </w:r>
      <w:r>
        <w:t>p.</w:t>
      </w:r>
      <w:r w:rsidRPr="00944042">
        <w:t xml:space="preserve">162; AER, Draft decision: TransGrid transmission determination 2009–10 to </w:t>
      </w:r>
      <w:r>
        <w:t>2013–14</w:t>
      </w:r>
      <w:r w:rsidRPr="00944042">
        <w:t>, October 2008, p</w:t>
      </w:r>
      <w:r>
        <w:t>p.</w:t>
      </w:r>
      <w:r w:rsidRPr="00944042">
        <w:t xml:space="preserve">128–129; ElectraNet, Revenue proposal 2013–18, May 2012, </w:t>
      </w:r>
      <w:r>
        <w:t>p.101; NER, clause 6A.6.6(e)(4).</w:t>
      </w:r>
    </w:p>
  </w:footnote>
  <w:footnote w:id="338">
    <w:p w:rsidR="009E166E" w:rsidRDefault="009E166E" w:rsidP="0010542E">
      <w:pPr>
        <w:pStyle w:val="FootnoteText"/>
      </w:pPr>
      <w:r>
        <w:rPr>
          <w:rStyle w:val="FootnoteReference"/>
        </w:rPr>
        <w:footnoteRef/>
      </w:r>
      <w:r>
        <w:t xml:space="preserve"> </w:t>
      </w:r>
      <w:r>
        <w:tab/>
        <w:t>NER, clauses 6A.6.6(c)(2) and (e)(4).</w:t>
      </w:r>
    </w:p>
  </w:footnote>
  <w:footnote w:id="339">
    <w:p w:rsidR="009E166E" w:rsidRDefault="009E166E" w:rsidP="0010542E">
      <w:pPr>
        <w:pStyle w:val="FootnoteText"/>
      </w:pPr>
      <w:r>
        <w:rPr>
          <w:rStyle w:val="FootnoteReference"/>
        </w:rPr>
        <w:footnoteRef/>
      </w:r>
      <w:r>
        <w:t xml:space="preserve"> </w:t>
      </w:r>
      <w:r>
        <w:tab/>
        <w:t xml:space="preserve">SP AusNet, </w:t>
      </w:r>
      <w:r>
        <w:rPr>
          <w:rStyle w:val="AERtextitalic"/>
        </w:rPr>
        <w:t>R</w:t>
      </w:r>
      <w:r w:rsidRPr="009D2689">
        <w:rPr>
          <w:rStyle w:val="AERtextitalic"/>
        </w:rPr>
        <w:t>esponse to information request AER RP 54, Group 3 Asset opex escalator</w:t>
      </w:r>
      <w:r>
        <w:t>, 5 July 2013, p. 2.</w:t>
      </w:r>
    </w:p>
  </w:footnote>
  <w:footnote w:id="340">
    <w:p w:rsidR="009E166E" w:rsidRDefault="009E166E" w:rsidP="0088341A">
      <w:pPr>
        <w:pStyle w:val="FootnoteText"/>
      </w:pPr>
      <w:r>
        <w:rPr>
          <w:rStyle w:val="FootnoteReference"/>
        </w:rPr>
        <w:footnoteRef/>
      </w:r>
      <w:r>
        <w:t xml:space="preserve"> </w:t>
      </w:r>
      <w:r>
        <w:tab/>
        <w:t xml:space="preserve">SP AusNet, </w:t>
      </w:r>
      <w:r w:rsidRPr="00B54D59">
        <w:rPr>
          <w:rStyle w:val="AERtextitalic"/>
        </w:rPr>
        <w:t>Revenue proposal</w:t>
      </w:r>
      <w:r>
        <w:t>, p.145.</w:t>
      </w:r>
    </w:p>
  </w:footnote>
  <w:footnote w:id="341">
    <w:p w:rsidR="009E166E" w:rsidRDefault="009E166E" w:rsidP="0088341A">
      <w:pPr>
        <w:pStyle w:val="FootnoteText"/>
      </w:pPr>
      <w:r>
        <w:rPr>
          <w:rStyle w:val="FootnoteReference"/>
        </w:rPr>
        <w:footnoteRef/>
      </w:r>
      <w:r>
        <w:t xml:space="preserve"> </w:t>
      </w:r>
      <w:r>
        <w:tab/>
        <w:t xml:space="preserve">Further details on our approach for calculating debt raising costs are outlined in our final decision for Powerlink. AER, </w:t>
      </w:r>
      <w:r w:rsidRPr="00B54D59">
        <w:rPr>
          <w:rStyle w:val="AERtextitalic"/>
        </w:rPr>
        <w:t>Final decision, Powerlink transmission determination 2012–13 to 2016–17</w:t>
      </w:r>
      <w:r>
        <w:t xml:space="preserve">, April 2012; </w:t>
      </w:r>
      <w:r w:rsidRPr="0018480C">
        <w:t>AER</w:t>
      </w:r>
      <w:r w:rsidRPr="0018480C">
        <w:rPr>
          <w:i/>
        </w:rPr>
        <w:t>,</w:t>
      </w:r>
      <w:r w:rsidRPr="00C86528">
        <w:rPr>
          <w:rStyle w:val="AERtextitalic"/>
        </w:rPr>
        <w:t xml:space="preserve"> Final decision, ElectraNet transmission determination </w:t>
      </w:r>
      <w:r>
        <w:rPr>
          <w:rStyle w:val="AERtextitalic"/>
        </w:rPr>
        <w:t xml:space="preserve">2013–14 </w:t>
      </w:r>
      <w:r w:rsidRPr="00C86528">
        <w:rPr>
          <w:rStyle w:val="AERtextitalic"/>
        </w:rPr>
        <w:t xml:space="preserve"> to 2017–18</w:t>
      </w:r>
      <w:r>
        <w:t xml:space="preserve">, April 2013; AER, </w:t>
      </w:r>
      <w:r w:rsidRPr="00C86528">
        <w:rPr>
          <w:rStyle w:val="AERtextitalic"/>
        </w:rPr>
        <w:t xml:space="preserve">Final decision, Murraylink transmission determination </w:t>
      </w:r>
      <w:r>
        <w:rPr>
          <w:rStyle w:val="AERtextitalic"/>
        </w:rPr>
        <w:t xml:space="preserve">2013–14 </w:t>
      </w:r>
      <w:r w:rsidRPr="00C86528">
        <w:rPr>
          <w:rStyle w:val="AERtextitalic"/>
        </w:rPr>
        <w:t xml:space="preserve"> to 2017–18</w:t>
      </w:r>
      <w:r>
        <w:t>, April 2013.</w:t>
      </w:r>
    </w:p>
  </w:footnote>
  <w:footnote w:id="342">
    <w:p w:rsidR="009E166E" w:rsidRDefault="009E166E" w:rsidP="0088341A">
      <w:pPr>
        <w:pStyle w:val="FootnoteText"/>
      </w:pPr>
      <w:r>
        <w:rPr>
          <w:rStyle w:val="FootnoteReference"/>
        </w:rPr>
        <w:footnoteRef/>
      </w:r>
      <w:r>
        <w:t xml:space="preserve"> </w:t>
      </w:r>
      <w:r>
        <w:tab/>
        <w:t xml:space="preserve">ACG, </w:t>
      </w:r>
      <w:r w:rsidRPr="0035709C">
        <w:rPr>
          <w:rStyle w:val="AERtextitalic"/>
        </w:rPr>
        <w:t>Debt and equity raising transaction costs—Final report</w:t>
      </w:r>
      <w:r>
        <w:t>, December 2004.</w:t>
      </w:r>
    </w:p>
  </w:footnote>
  <w:footnote w:id="343">
    <w:p w:rsidR="009E166E" w:rsidRDefault="009E166E" w:rsidP="0088341A">
      <w:pPr>
        <w:pStyle w:val="FootnoteText"/>
      </w:pPr>
      <w:r>
        <w:rPr>
          <w:rStyle w:val="FootnoteReference"/>
        </w:rPr>
        <w:footnoteRef/>
      </w:r>
      <w:r>
        <w:t xml:space="preserve"> </w:t>
      </w:r>
      <w:r>
        <w:tab/>
        <w:t>These transaction costs include gross underwriting fees; legal and roadshow costs; maintenance of  a company credit rating; establishment of an issuance credit rating; and registry fees (both at commencement and ongoing).</w:t>
      </w:r>
    </w:p>
  </w:footnote>
  <w:footnote w:id="344">
    <w:p w:rsidR="009E166E" w:rsidRDefault="009E166E" w:rsidP="0088341A">
      <w:pPr>
        <w:pStyle w:val="FootnoteText"/>
      </w:pPr>
      <w:r>
        <w:rPr>
          <w:rStyle w:val="FootnoteReference"/>
        </w:rPr>
        <w:footnoteRef/>
      </w:r>
      <w:r>
        <w:t xml:space="preserve"> </w:t>
      </w:r>
      <w:r>
        <w:tab/>
        <w:t>The ACG method considers transaction costs can be incurred up-front or annually, and per debt issuance or per company. We amortise up-front costs (for example, underwriting fees) using the relevant nominal vanilla weighted average cost of capital (WACC) over a 10 year amortisation period.</w:t>
      </w:r>
    </w:p>
  </w:footnote>
  <w:footnote w:id="345">
    <w:p w:rsidR="009E166E" w:rsidRDefault="009E166E" w:rsidP="0088341A">
      <w:pPr>
        <w:pStyle w:val="FootnoteText"/>
      </w:pPr>
      <w:r>
        <w:rPr>
          <w:rStyle w:val="FootnoteReference"/>
        </w:rPr>
        <w:footnoteRef/>
      </w:r>
      <w:r>
        <w:t xml:space="preserve"> </w:t>
      </w:r>
      <w:r>
        <w:tab/>
        <w:t>We assume that the size of a 'standard' bond issue is currently $250 million. The standard bond issue is relevant to transaction costs that are independent of the number of debt issuances (for example, maintaining a company credit rating). In particular, the benchmark unit rate is inversely related to the number of bond issuances required by a TNSP over the regulatory control period. That is, as the number of bond issuances increases, the benchmark unit rate (for debt raising costs) per issuance will decrease.</w:t>
      </w:r>
    </w:p>
  </w:footnote>
  <w:footnote w:id="346">
    <w:p w:rsidR="009E166E" w:rsidRDefault="009E166E" w:rsidP="0088341A">
      <w:pPr>
        <w:pStyle w:val="FootnoteText"/>
      </w:pPr>
      <w:r>
        <w:rPr>
          <w:rStyle w:val="FootnoteReference"/>
        </w:rPr>
        <w:footnoteRef/>
      </w:r>
      <w:r>
        <w:t xml:space="preserve"> </w:t>
      </w:r>
      <w:r>
        <w:tab/>
        <w:t>The debt portion of the TNSPs RAB is calculated based on the benchmark gearing ratio determined in the WACC review. That is, for the purpose of this draft decision, the debt component of the RAB is assumed to equal 60 per cent of the total RAB.</w:t>
      </w:r>
    </w:p>
  </w:footnote>
  <w:footnote w:id="347">
    <w:p w:rsidR="009E166E" w:rsidRDefault="009E166E" w:rsidP="0088341A">
      <w:pPr>
        <w:pStyle w:val="FootnoteText"/>
      </w:pPr>
      <w:r>
        <w:rPr>
          <w:rStyle w:val="FootnoteReference"/>
        </w:rPr>
        <w:footnoteRef/>
      </w:r>
      <w:r>
        <w:t xml:space="preserve"> </w:t>
      </w:r>
      <w:r>
        <w:tab/>
        <w:t xml:space="preserve">The revised transaction costs and standard bond size are consistent with those determined in our final decision for Powerlink. These updates reflect analysis undertaken by PwC, which was commissioned by Powerlink. PwC, </w:t>
      </w:r>
      <w:r w:rsidRPr="00A73195">
        <w:rPr>
          <w:rStyle w:val="AERtextitalic"/>
        </w:rPr>
        <w:t>Powerlink Queensland 2013–17 revenue proposal: Appendix K—Debt and equity raising costs</w:t>
      </w:r>
      <w:r>
        <w:t>, April 2011.</w:t>
      </w:r>
    </w:p>
  </w:footnote>
  <w:footnote w:id="348">
    <w:p w:rsidR="009E166E" w:rsidRDefault="009E166E" w:rsidP="0088341A">
      <w:pPr>
        <w:pStyle w:val="FootnoteText"/>
      </w:pPr>
      <w:r>
        <w:rPr>
          <w:rStyle w:val="FootnoteReference"/>
        </w:rPr>
        <w:footnoteRef/>
      </w:r>
      <w:r>
        <w:t xml:space="preserve"> </w:t>
      </w:r>
      <w:r>
        <w:tab/>
        <w:t xml:space="preserve">EUAA, </w:t>
      </w:r>
      <w:r w:rsidRPr="00A96706">
        <w:rPr>
          <w:rStyle w:val="AERtextitalic"/>
        </w:rPr>
        <w:t xml:space="preserve">Submission on </w:t>
      </w:r>
      <w:r>
        <w:rPr>
          <w:rStyle w:val="AERtextitalic"/>
        </w:rPr>
        <w:t>SPI PowerNet Ltd Electricity Transmission Revenue Proposal for 2014–17</w:t>
      </w:r>
      <w:r>
        <w:t>, May 2013. p.16; NER, clause 6A.6.6(e)(2).</w:t>
      </w:r>
    </w:p>
  </w:footnote>
  <w:footnote w:id="349">
    <w:p w:rsidR="009E166E" w:rsidRDefault="009E166E" w:rsidP="0088341A">
      <w:pPr>
        <w:pStyle w:val="FootnoteText"/>
      </w:pPr>
      <w:r>
        <w:rPr>
          <w:rStyle w:val="FootnoteReference"/>
        </w:rPr>
        <w:footnoteRef/>
      </w:r>
      <w:r>
        <w:t xml:space="preserve"> </w:t>
      </w:r>
      <w:r>
        <w:tab/>
        <w:t xml:space="preserve">SP AusNet, </w:t>
      </w:r>
      <w:r w:rsidRPr="00793131">
        <w:rPr>
          <w:rStyle w:val="AERtextitalic"/>
        </w:rPr>
        <w:t>Revenue proposal</w:t>
      </w:r>
      <w:r>
        <w:t xml:space="preserve">, p.164. </w:t>
      </w:r>
    </w:p>
  </w:footnote>
  <w:footnote w:id="350">
    <w:p w:rsidR="009E166E" w:rsidRDefault="009E166E" w:rsidP="0088341A">
      <w:pPr>
        <w:pStyle w:val="FootnoteText"/>
      </w:pPr>
      <w:r>
        <w:rPr>
          <w:rStyle w:val="FootnoteReference"/>
        </w:rPr>
        <w:footnoteRef/>
      </w:r>
      <w:r>
        <w:t xml:space="preserve"> </w:t>
      </w:r>
      <w:r>
        <w:tab/>
        <w:t xml:space="preserve">AEMO, </w:t>
      </w:r>
      <w:r w:rsidRPr="003B6E6E">
        <w:rPr>
          <w:rStyle w:val="AERtextitalic"/>
        </w:rPr>
        <w:t>response Re: AIS</w:t>
      </w:r>
      <w:r>
        <w:t xml:space="preserve">, 16 July 2013. </w:t>
      </w:r>
    </w:p>
  </w:footnote>
  <w:footnote w:id="351">
    <w:p w:rsidR="009E166E" w:rsidRDefault="009E166E" w:rsidP="0088341A">
      <w:pPr>
        <w:pStyle w:val="FootnoteText"/>
      </w:pPr>
      <w:r>
        <w:rPr>
          <w:rStyle w:val="FootnoteReference"/>
        </w:rPr>
        <w:footnoteRef/>
      </w:r>
      <w:r>
        <w:t xml:space="preserve"> </w:t>
      </w:r>
      <w:r>
        <w:tab/>
        <w:t>NER, clause 11.6.21 and NER, clause 6A.7.3</w:t>
      </w:r>
    </w:p>
  </w:footnote>
  <w:footnote w:id="352">
    <w:p w:rsidR="009E166E" w:rsidRDefault="009E166E" w:rsidP="0088341A">
      <w:pPr>
        <w:pStyle w:val="FootnoteText"/>
      </w:pPr>
      <w:r>
        <w:rPr>
          <w:rStyle w:val="FootnoteReference"/>
        </w:rPr>
        <w:footnoteRef/>
      </w:r>
      <w:r>
        <w:t xml:space="preserve"> </w:t>
      </w:r>
      <w:r>
        <w:tab/>
        <w:t>NER, definition of 'materially' in chapter 10.</w:t>
      </w:r>
    </w:p>
  </w:footnote>
  <w:footnote w:id="353">
    <w:p w:rsidR="009E166E" w:rsidRDefault="009E166E" w:rsidP="006A36B3">
      <w:pPr>
        <w:pStyle w:val="FootnoteText"/>
      </w:pPr>
      <w:r>
        <w:rPr>
          <w:rStyle w:val="FootnoteReference"/>
        </w:rPr>
        <w:footnoteRef/>
      </w:r>
      <w:r>
        <w:t xml:space="preserve"> </w:t>
      </w:r>
      <w:r>
        <w:tab/>
        <w:t xml:space="preserve">SP AusNet is subject to an EBSS since 2008. Previously, since 2002 it was subject to efficiency sharing schemes that were in operation under the regulatory framework applicable at that time —AER, </w:t>
      </w:r>
      <w:r w:rsidRPr="00783639">
        <w:rPr>
          <w:rStyle w:val="AERtextitalic"/>
        </w:rPr>
        <w:t>SP AusNet transmission determination 2008–09 to 2013–14,</w:t>
      </w:r>
      <w:r>
        <w:t xml:space="preserve"> January 2008, Table S.8, p.19.</w:t>
      </w:r>
    </w:p>
  </w:footnote>
  <w:footnote w:id="354">
    <w:p w:rsidR="009E166E" w:rsidRDefault="009E166E" w:rsidP="00A17DB2">
      <w:pPr>
        <w:pStyle w:val="FootnoteText"/>
      </w:pPr>
      <w:r>
        <w:rPr>
          <w:rStyle w:val="FootnoteReference"/>
        </w:rPr>
        <w:footnoteRef/>
      </w:r>
      <w:r>
        <w:t xml:space="preserve"> </w:t>
      </w:r>
      <w:r>
        <w:tab/>
        <w:t>National Electricity Objective, NEL clause 7.</w:t>
      </w:r>
    </w:p>
  </w:footnote>
  <w:footnote w:id="355">
    <w:p w:rsidR="009E166E" w:rsidRPr="000040C1" w:rsidRDefault="009E166E" w:rsidP="006A36B3">
      <w:pPr>
        <w:pStyle w:val="FootnoteText"/>
      </w:pPr>
      <w:r>
        <w:rPr>
          <w:rStyle w:val="FootnoteReference"/>
        </w:rPr>
        <w:footnoteRef/>
      </w:r>
      <w:r>
        <w:t xml:space="preserve"> </w:t>
      </w:r>
      <w:r>
        <w:tab/>
        <w:t xml:space="preserve">SP AusNet, </w:t>
      </w:r>
      <w:r w:rsidRPr="000040C1">
        <w:rPr>
          <w:i/>
        </w:rPr>
        <w:t>Response to information request EMCa 026</w:t>
      </w:r>
      <w:r>
        <w:t xml:space="preserve">, 17 April 2013, p. 2; SP AusNet, </w:t>
      </w:r>
      <w:r w:rsidRPr="00755F35">
        <w:rPr>
          <w:i/>
        </w:rPr>
        <w:t xml:space="preserve">Response to information request AER </w:t>
      </w:r>
      <w:r>
        <w:rPr>
          <w:i/>
        </w:rPr>
        <w:t xml:space="preserve">RP </w:t>
      </w:r>
      <w:r w:rsidRPr="00755F35">
        <w:rPr>
          <w:i/>
        </w:rPr>
        <w:t>20</w:t>
      </w:r>
      <w:r>
        <w:t xml:space="preserve">, p. 1–3. SP AusNet, </w:t>
      </w:r>
      <w:r w:rsidRPr="0073742D">
        <w:rPr>
          <w:i/>
        </w:rPr>
        <w:t>Revenue proposal</w:t>
      </w:r>
      <w:r>
        <w:t>, p. 59.</w:t>
      </w:r>
    </w:p>
  </w:footnote>
  <w:footnote w:id="356">
    <w:p w:rsidR="009E166E" w:rsidRDefault="009E166E" w:rsidP="006A36B3">
      <w:pPr>
        <w:pStyle w:val="FootnoteText"/>
      </w:pPr>
      <w:r>
        <w:rPr>
          <w:rStyle w:val="FootnoteReference"/>
        </w:rPr>
        <w:footnoteRef/>
      </w:r>
      <w:r>
        <w:t xml:space="preserve"> </w:t>
      </w:r>
      <w:r>
        <w:tab/>
        <w:t xml:space="preserve">SP AusNet, </w:t>
      </w:r>
      <w:r w:rsidRPr="001F649B">
        <w:rPr>
          <w:rStyle w:val="AERtextitalic"/>
        </w:rPr>
        <w:t>Response to EMCa/037, Asset Management Plan (March 2011)</w:t>
      </w:r>
      <w:r>
        <w:t>, 27 June 2013, p. 10.</w:t>
      </w:r>
    </w:p>
  </w:footnote>
  <w:footnote w:id="357">
    <w:p w:rsidR="009E166E" w:rsidRDefault="009E166E" w:rsidP="0088341A">
      <w:pPr>
        <w:pStyle w:val="FootnoteText"/>
      </w:pPr>
      <w:r>
        <w:rPr>
          <w:rStyle w:val="FootnoteReference"/>
        </w:rPr>
        <w:footnoteRef/>
      </w:r>
      <w:r>
        <w:t xml:space="preserve"> </w:t>
      </w:r>
      <w:r>
        <w:tab/>
        <w:t xml:space="preserve">AER, </w:t>
      </w:r>
      <w:r w:rsidRPr="00E26609">
        <w:rPr>
          <w:rStyle w:val="AERtextitalic"/>
        </w:rPr>
        <w:t>First proposed</w:t>
      </w:r>
      <w:r>
        <w:t xml:space="preserve"> </w:t>
      </w:r>
      <w:r>
        <w:rPr>
          <w:rStyle w:val="AERtextitalic"/>
        </w:rPr>
        <w:t>e</w:t>
      </w:r>
      <w:r w:rsidRPr="00E82A5E">
        <w:rPr>
          <w:rStyle w:val="AERtextitalic"/>
        </w:rPr>
        <w:t>lectricity transmission network service providers efficiency benefit sharing scheme</w:t>
      </w:r>
      <w:r>
        <w:t xml:space="preserve">, January 2007, p. 2; AER, </w:t>
      </w:r>
      <w:r w:rsidRPr="00E82A5E">
        <w:rPr>
          <w:rStyle w:val="AERtextitalic"/>
        </w:rPr>
        <w:t>Electricity transmission network service providers efficiency benefit sharing scheme</w:t>
      </w:r>
      <w:r>
        <w:t>, September 2007, p. 12.</w:t>
      </w:r>
    </w:p>
  </w:footnote>
  <w:footnote w:id="358">
    <w:p w:rsidR="009E166E" w:rsidRDefault="009E166E" w:rsidP="0088341A">
      <w:pPr>
        <w:pStyle w:val="FootnoteText"/>
      </w:pPr>
      <w:r>
        <w:rPr>
          <w:rStyle w:val="FootnoteReference"/>
        </w:rPr>
        <w:footnoteRef/>
      </w:r>
      <w:r>
        <w:t xml:space="preserve"> </w:t>
      </w:r>
      <w:r>
        <w:tab/>
      </w:r>
      <w:r w:rsidRPr="005A0911">
        <w:t>If opex allowances are forecast using a bottom up app</w:t>
      </w:r>
      <w:r>
        <w:t>roach SP AusNet will retain 100 per cent</w:t>
      </w:r>
      <w:r w:rsidRPr="005A0911">
        <w:t xml:space="preserve"> of all underspends, since actual expenditure does not influence the forecast in the following period. By adding carryovers on top of this (which have been calculated on the assumption revealed cost forecasts will be used) SP AusNet will retain more than 100% of the efficiency gain.</w:t>
      </w:r>
      <w:r>
        <w:t xml:space="preserve"> We estimate it will retain 140 per cent</w:t>
      </w:r>
      <w:r w:rsidRPr="005A0911">
        <w:t xml:space="preserve">. That is, the gain to SP AusNet (the underspend </w:t>
      </w:r>
      <w:r>
        <w:t xml:space="preserve">[$38 million] </w:t>
      </w:r>
      <w:r w:rsidRPr="005A0911">
        <w:t>plus the carryover amount</w:t>
      </w:r>
      <w:r>
        <w:t xml:space="preserve"> [$15 million] is $53 </w:t>
      </w:r>
      <w:r w:rsidRPr="005A0911">
        <w:t>m</w:t>
      </w:r>
      <w:r>
        <w:t>illion</w:t>
      </w:r>
      <w:r w:rsidRPr="005A0911">
        <w:t>) as a proportion of th</w:t>
      </w:r>
      <w:r>
        <w:t>e net social gain ($38m) is 140 per cent. T</w:t>
      </w:r>
      <w:r w:rsidRPr="005A0911">
        <w:t>he net social g</w:t>
      </w:r>
      <w:r>
        <w:t xml:space="preserve">ain is the gain to SP AusNet ($53 </w:t>
      </w:r>
      <w:r w:rsidRPr="005A0911">
        <w:t>m</w:t>
      </w:r>
      <w:r>
        <w:t>illion</w:t>
      </w:r>
      <w:r w:rsidRPr="005A0911">
        <w:t xml:space="preserve">) minus the cost to consumers of paying the carryover </w:t>
      </w:r>
      <w:r>
        <w:t>(–$15 </w:t>
      </w:r>
      <w:r w:rsidRPr="005A0911">
        <w:t>m</w:t>
      </w:r>
      <w:r>
        <w:t>illion</w:t>
      </w:r>
      <w:r w:rsidRPr="005A0911">
        <w:t>).</w:t>
      </w:r>
      <w:r>
        <w:t xml:space="preserve"> If we assume the expenditure is non-recurrent, then the social benefit is the underspend.</w:t>
      </w:r>
      <w:r w:rsidRPr="005A0911">
        <w:t xml:space="preserve"> Note:</w:t>
      </w:r>
      <w:r>
        <w:t xml:space="preserve"> we adjusted all</w:t>
      </w:r>
      <w:r w:rsidRPr="005A0911">
        <w:t xml:space="preserve"> numbers into net p</w:t>
      </w:r>
      <w:r>
        <w:t>resent value terms</w:t>
      </w:r>
      <w:r w:rsidRPr="005A0911">
        <w:t>.</w:t>
      </w:r>
    </w:p>
  </w:footnote>
  <w:footnote w:id="359">
    <w:p w:rsidR="009E166E" w:rsidRDefault="009E166E" w:rsidP="0088341A">
      <w:pPr>
        <w:pStyle w:val="FootnoteText"/>
      </w:pPr>
      <w:r>
        <w:rPr>
          <w:rStyle w:val="FootnoteReference"/>
        </w:rPr>
        <w:footnoteRef/>
      </w:r>
      <w:r>
        <w:t xml:space="preserve"> </w:t>
      </w:r>
      <w:r>
        <w:tab/>
        <w:t xml:space="preserve">EUAA, </w:t>
      </w:r>
      <w:r w:rsidRPr="00A96706">
        <w:rPr>
          <w:rStyle w:val="AERtextitalic"/>
        </w:rPr>
        <w:t xml:space="preserve">Submission on </w:t>
      </w:r>
      <w:r>
        <w:rPr>
          <w:rStyle w:val="AERtextitalic"/>
        </w:rPr>
        <w:t>SPI PowerNet Ltd Electricity Transmission Revenue Proposal for 2014–17</w:t>
      </w:r>
      <w:r>
        <w:t xml:space="preserve">, May 2013. p.14; NER, clause 6A.6.6(2). </w:t>
      </w:r>
    </w:p>
  </w:footnote>
  <w:footnote w:id="360">
    <w:p w:rsidR="009E166E" w:rsidRDefault="009E166E" w:rsidP="0088341A">
      <w:pPr>
        <w:pStyle w:val="FootnoteText"/>
      </w:pPr>
      <w:r>
        <w:rPr>
          <w:rStyle w:val="FootnoteReference"/>
        </w:rPr>
        <w:footnoteRef/>
      </w:r>
      <w:r>
        <w:t xml:space="preserve"> </w:t>
      </w:r>
      <w:r>
        <w:tab/>
        <w:t>NER, clause 6A.5.4(a)(2).</w:t>
      </w:r>
    </w:p>
  </w:footnote>
  <w:footnote w:id="361">
    <w:p w:rsidR="009E166E" w:rsidRDefault="009E166E" w:rsidP="0088341A">
      <w:pPr>
        <w:pStyle w:val="FootnoteText"/>
      </w:pPr>
      <w:r>
        <w:rPr>
          <w:rStyle w:val="FootnoteReference"/>
        </w:rPr>
        <w:footnoteRef/>
      </w:r>
      <w:r>
        <w:t xml:space="preserve"> </w:t>
      </w:r>
      <w:r>
        <w:tab/>
        <w:t>NER, clause 6A.6.2(b).</w:t>
      </w:r>
    </w:p>
  </w:footnote>
  <w:footnote w:id="362">
    <w:p w:rsidR="009E166E" w:rsidRDefault="009E166E" w:rsidP="0088341A">
      <w:pPr>
        <w:pStyle w:val="FootnoteText"/>
      </w:pPr>
      <w:r>
        <w:rPr>
          <w:rStyle w:val="FootnoteReference"/>
        </w:rPr>
        <w:footnoteRef/>
      </w:r>
      <w:r>
        <w:t xml:space="preserve"> </w:t>
      </w:r>
      <w:r>
        <w:tab/>
      </w:r>
      <w:r w:rsidRPr="00CC2459">
        <w:t xml:space="preserve">AER, </w:t>
      </w:r>
      <w:r w:rsidRPr="006460BC">
        <w:rPr>
          <w:i/>
        </w:rPr>
        <w:t>Consultation paper: Rate of return guidelines</w:t>
      </w:r>
      <w:r w:rsidRPr="00CC2459">
        <w:t>, May 2013, pp. 48–53.</w:t>
      </w:r>
    </w:p>
  </w:footnote>
  <w:footnote w:id="363">
    <w:p w:rsidR="009E166E" w:rsidRDefault="009E166E" w:rsidP="0088341A">
      <w:pPr>
        <w:pStyle w:val="FootnoteText"/>
      </w:pPr>
      <w:r>
        <w:rPr>
          <w:rStyle w:val="FootnoteReference"/>
        </w:rPr>
        <w:footnoteRef/>
      </w:r>
      <w:r>
        <w:t xml:space="preserve"> </w:t>
      </w:r>
      <w:r>
        <w:tab/>
        <w:t>Consistent with clause 6A.6.2(c)(2)(iii) of the NER, SP AusNet's</w:t>
      </w:r>
      <w:r w:rsidRPr="00A459E9">
        <w:t xml:space="preserve"> proposed averaging period</w:t>
      </w:r>
      <w:r>
        <w:t xml:space="preserve"> will remain confidential until the expiration of the agreed period.</w:t>
      </w:r>
    </w:p>
  </w:footnote>
  <w:footnote w:id="364">
    <w:p w:rsidR="009E166E" w:rsidRDefault="009E166E" w:rsidP="0088341A">
      <w:pPr>
        <w:pStyle w:val="FootnoteText"/>
      </w:pPr>
      <w:r>
        <w:rPr>
          <w:rStyle w:val="FootnoteReference"/>
        </w:rPr>
        <w:footnoteRef/>
      </w:r>
      <w:r>
        <w:t xml:space="preserve"> </w:t>
      </w:r>
      <w:r>
        <w:tab/>
        <w:t>Specifically, our draft decision is based on a 20 business day indicative averaging period, from 24 June 2013 to 19 July 2013.</w:t>
      </w:r>
    </w:p>
  </w:footnote>
  <w:footnote w:id="365">
    <w:p w:rsidR="009E166E" w:rsidRDefault="009E166E" w:rsidP="0088341A">
      <w:pPr>
        <w:pStyle w:val="FootnoteText"/>
      </w:pPr>
      <w:r>
        <w:rPr>
          <w:rStyle w:val="FootnoteReference"/>
        </w:rPr>
        <w:footnoteRef/>
      </w:r>
      <w:r>
        <w:t xml:space="preserve"> </w:t>
      </w:r>
      <w:r>
        <w:tab/>
        <w:t>Specifically, SP AusNet's proposed WACC reflects an indicative averaging period of 20 business days, from 12 November to 7 December 2012.</w:t>
      </w:r>
    </w:p>
  </w:footnote>
  <w:footnote w:id="366">
    <w:p w:rsidR="009E166E" w:rsidRDefault="009E166E" w:rsidP="0088341A">
      <w:pPr>
        <w:pStyle w:val="FootnoteText"/>
      </w:pPr>
      <w:r>
        <w:rPr>
          <w:rStyle w:val="FootnoteReference"/>
        </w:rPr>
        <w:footnoteRef/>
      </w:r>
      <w:r>
        <w:t xml:space="preserve"> </w:t>
      </w:r>
      <w:r>
        <w:tab/>
        <w:t xml:space="preserve">AER, </w:t>
      </w:r>
      <w:r w:rsidRPr="00C3318D">
        <w:rPr>
          <w:rStyle w:val="AERtextitalic"/>
        </w:rPr>
        <w:t>Electricity transmission and distri</w:t>
      </w:r>
      <w:r>
        <w:rPr>
          <w:rStyle w:val="AERtextitalic"/>
        </w:rPr>
        <w:t>bution network service providers,</w:t>
      </w:r>
      <w:r w:rsidRPr="00C3318D">
        <w:rPr>
          <w:rStyle w:val="AERtextitalic"/>
        </w:rPr>
        <w:t xml:space="preserve"> Statement of the revised WACC parameters (transmission)</w:t>
      </w:r>
      <w:r>
        <w:t>,</w:t>
      </w:r>
      <w:r w:rsidRPr="00713EB6">
        <w:t xml:space="preserve"> May</w:t>
      </w:r>
      <w:r>
        <w:t xml:space="preserve"> </w:t>
      </w:r>
      <w:r w:rsidRPr="00713EB6">
        <w:t>2009</w:t>
      </w:r>
      <w:r>
        <w:t xml:space="preserve">, p. 6. </w:t>
      </w:r>
    </w:p>
  </w:footnote>
  <w:footnote w:id="367">
    <w:p w:rsidR="009E166E" w:rsidRDefault="009E166E" w:rsidP="0088341A">
      <w:pPr>
        <w:pStyle w:val="FootnoteText"/>
      </w:pPr>
      <w:r>
        <w:rPr>
          <w:rStyle w:val="FootnoteReference"/>
        </w:rPr>
        <w:footnoteRef/>
      </w:r>
      <w:r>
        <w:t xml:space="preserve"> </w:t>
      </w:r>
      <w:r>
        <w:tab/>
      </w:r>
      <w:r w:rsidRPr="007371A3">
        <w:t xml:space="preserve">PwC, </w:t>
      </w:r>
      <w:r>
        <w:rPr>
          <w:rStyle w:val="AERtextitalic"/>
        </w:rPr>
        <w:t>SP Aus</w:t>
      </w:r>
      <w:r w:rsidRPr="007371A3">
        <w:rPr>
          <w:rStyle w:val="AERtextitalic"/>
        </w:rPr>
        <w:t>Net: debt risk premium</w:t>
      </w:r>
      <w:r>
        <w:rPr>
          <w:rStyle w:val="AERtextitalic"/>
        </w:rPr>
        <w:t xml:space="preserve"> for the 2013 Victorian transmission revenue review</w:t>
      </w:r>
      <w:r w:rsidRPr="007371A3">
        <w:t xml:space="preserve">, </w:t>
      </w:r>
      <w:r>
        <w:t>March 2013.</w:t>
      </w:r>
    </w:p>
  </w:footnote>
  <w:footnote w:id="368">
    <w:p w:rsidR="009E166E" w:rsidRDefault="009E166E" w:rsidP="0088341A">
      <w:pPr>
        <w:pStyle w:val="FootnoteText"/>
      </w:pPr>
      <w:r>
        <w:rPr>
          <w:rStyle w:val="FootnoteReference"/>
        </w:rPr>
        <w:footnoteRef/>
      </w:r>
      <w:r>
        <w:t xml:space="preserve"> </w:t>
      </w:r>
      <w:r>
        <w:tab/>
        <w:t xml:space="preserve">Specifically, </w:t>
      </w:r>
      <w:r w:rsidRPr="00940D7C">
        <w:t xml:space="preserve">the Bloomberg seven year BBB </w:t>
      </w:r>
      <w:r>
        <w:t>fair value curve</w:t>
      </w:r>
      <w:r w:rsidRPr="00940D7C">
        <w:t xml:space="preserve"> </w:t>
      </w:r>
      <w:r>
        <w:t xml:space="preserve">is extrapolated </w:t>
      </w:r>
      <w:r w:rsidRPr="00940D7C">
        <w:t>using the average annual increment</w:t>
      </w:r>
      <w:r>
        <w:t xml:space="preserve"> in the DRP</w:t>
      </w:r>
      <w:r w:rsidRPr="00940D7C">
        <w:t xml:space="preserve"> observed across pairs of bonds of differing maturities issued by the same company</w:t>
      </w:r>
      <w:r>
        <w:t xml:space="preserve">. </w:t>
      </w:r>
    </w:p>
  </w:footnote>
  <w:footnote w:id="369">
    <w:p w:rsidR="009E166E" w:rsidRDefault="009E166E" w:rsidP="0088341A">
      <w:pPr>
        <w:pStyle w:val="FootnoteText"/>
      </w:pPr>
      <w:r>
        <w:rPr>
          <w:rStyle w:val="FootnoteReference"/>
        </w:rPr>
        <w:footnoteRef/>
      </w:r>
      <w:r>
        <w:t xml:space="preserve"> </w:t>
      </w:r>
      <w:r>
        <w:tab/>
        <w:t xml:space="preserve">AER, </w:t>
      </w:r>
      <w:r w:rsidRPr="002B3DED">
        <w:rPr>
          <w:rStyle w:val="AERtextitalic"/>
        </w:rPr>
        <w:t xml:space="preserve">Final decision: </w:t>
      </w:r>
      <w:r>
        <w:rPr>
          <w:rStyle w:val="AERtextitalic"/>
        </w:rPr>
        <w:t>ElectraNet transmission determination 2013–14 to 2017–18</w:t>
      </w:r>
      <w:r w:rsidRPr="002B3DED">
        <w:rPr>
          <w:rStyle w:val="AERtextitalic"/>
        </w:rPr>
        <w:t>,</w:t>
      </w:r>
      <w:r>
        <w:t xml:space="preserve"> April 2013, p. 133. </w:t>
      </w:r>
    </w:p>
  </w:footnote>
  <w:footnote w:id="370">
    <w:p w:rsidR="009E166E" w:rsidRDefault="009E166E" w:rsidP="0088341A">
      <w:pPr>
        <w:pStyle w:val="FootnoteText"/>
      </w:pPr>
      <w:r>
        <w:rPr>
          <w:rStyle w:val="FootnoteReference"/>
        </w:rPr>
        <w:footnoteRef/>
      </w:r>
      <w:r>
        <w:t xml:space="preserve"> </w:t>
      </w:r>
      <w:r>
        <w:tab/>
        <w:t xml:space="preserve">SP AusNet, </w:t>
      </w:r>
      <w:r w:rsidRPr="00404939">
        <w:rPr>
          <w:rStyle w:val="AERtextitalic"/>
        </w:rPr>
        <w:t>Revenue proposal</w:t>
      </w:r>
      <w:r>
        <w:t>, February 2013, p. 174.</w:t>
      </w:r>
    </w:p>
  </w:footnote>
  <w:footnote w:id="371">
    <w:p w:rsidR="009E166E" w:rsidRDefault="009E166E" w:rsidP="0088341A">
      <w:pPr>
        <w:pStyle w:val="FootnoteText"/>
      </w:pPr>
      <w:r>
        <w:rPr>
          <w:rStyle w:val="FootnoteReference"/>
        </w:rPr>
        <w:footnoteRef/>
      </w:r>
      <w:r>
        <w:t xml:space="preserve"> </w:t>
      </w:r>
      <w:r>
        <w:tab/>
      </w:r>
      <w:r w:rsidRPr="00AF3C9D">
        <w:t>NER,</w:t>
      </w:r>
      <w:r>
        <w:t xml:space="preserve"> </w:t>
      </w:r>
      <w:r w:rsidRPr="00AF3C9D">
        <w:t>clause 6A.6.2(b).</w:t>
      </w:r>
    </w:p>
  </w:footnote>
  <w:footnote w:id="372">
    <w:p w:rsidR="009E166E" w:rsidRDefault="009E166E" w:rsidP="0088341A">
      <w:pPr>
        <w:pStyle w:val="FootnoteText"/>
      </w:pPr>
      <w:r>
        <w:rPr>
          <w:rStyle w:val="FootnoteReference"/>
        </w:rPr>
        <w:footnoteRef/>
      </w:r>
      <w:r>
        <w:t xml:space="preserve"> </w:t>
      </w:r>
      <w:r>
        <w:tab/>
      </w:r>
      <w:r w:rsidRPr="00AF3C9D">
        <w:t>The CAPM is a well known and widely used model. It specifies a relationship between the expected return of a risky asset (in terms of uncertainty over future outcomes) and the level of systematic (non-diversifiable) risk.</w:t>
      </w:r>
      <w:r>
        <w:t xml:space="preserve"> </w:t>
      </w:r>
    </w:p>
  </w:footnote>
  <w:footnote w:id="373">
    <w:p w:rsidR="009E166E" w:rsidRDefault="009E166E" w:rsidP="0088341A">
      <w:pPr>
        <w:pStyle w:val="FootnoteText"/>
      </w:pPr>
      <w:r>
        <w:rPr>
          <w:rStyle w:val="FootnoteReference"/>
        </w:rPr>
        <w:footnoteRef/>
      </w:r>
      <w:r>
        <w:t xml:space="preserve"> </w:t>
      </w:r>
      <w:r>
        <w:tab/>
        <w:t>NER, clause 6A.6.2(h).</w:t>
      </w:r>
    </w:p>
  </w:footnote>
  <w:footnote w:id="374">
    <w:p w:rsidR="009E166E" w:rsidRDefault="009E166E" w:rsidP="0088341A">
      <w:pPr>
        <w:pStyle w:val="FootnoteText"/>
      </w:pPr>
      <w:r>
        <w:rPr>
          <w:rStyle w:val="FootnoteReference"/>
        </w:rPr>
        <w:footnoteRef/>
      </w:r>
      <w:r>
        <w:t xml:space="preserve"> </w:t>
      </w:r>
      <w:r>
        <w:tab/>
      </w:r>
      <w:r w:rsidRPr="002B3DED">
        <w:t xml:space="preserve">AER, </w:t>
      </w:r>
      <w:r w:rsidRPr="002B3DED">
        <w:rPr>
          <w:rStyle w:val="AERtextitalic"/>
        </w:rPr>
        <w:t xml:space="preserve">Final decision: </w:t>
      </w:r>
      <w:r>
        <w:rPr>
          <w:rStyle w:val="AERtextitalic"/>
        </w:rPr>
        <w:t>ElectraNet transmission determination 2013–14 to 2017–18</w:t>
      </w:r>
      <w:r w:rsidRPr="002B3DED">
        <w:rPr>
          <w:rStyle w:val="AERtextitalic"/>
        </w:rPr>
        <w:t>,</w:t>
      </w:r>
      <w:r>
        <w:t xml:space="preserve"> April 2013, p. 133.</w:t>
      </w:r>
    </w:p>
  </w:footnote>
  <w:footnote w:id="375">
    <w:p w:rsidR="009E166E" w:rsidRDefault="009E166E" w:rsidP="0088341A">
      <w:pPr>
        <w:pStyle w:val="FootnoteText"/>
      </w:pPr>
      <w:r>
        <w:rPr>
          <w:rStyle w:val="FootnoteReference"/>
        </w:rPr>
        <w:footnoteRef/>
      </w:r>
      <w:r>
        <w:t xml:space="preserve"> </w:t>
      </w:r>
      <w:r>
        <w:tab/>
        <w:t>NER, clause 6A.6.2(e).</w:t>
      </w:r>
    </w:p>
  </w:footnote>
  <w:footnote w:id="376">
    <w:p w:rsidR="009E166E" w:rsidRDefault="009E166E" w:rsidP="0088341A">
      <w:pPr>
        <w:pStyle w:val="FootnoteText"/>
      </w:pPr>
      <w:r>
        <w:rPr>
          <w:rStyle w:val="FootnoteReference"/>
        </w:rPr>
        <w:footnoteRef/>
      </w:r>
      <w:r>
        <w:t xml:space="preserve"> </w:t>
      </w:r>
      <w:r>
        <w:tab/>
        <w:t>The WACC formulation is based on nominal parameters and does not incorporate an explicit inflation rate parameter.</w:t>
      </w:r>
    </w:p>
  </w:footnote>
  <w:footnote w:id="377">
    <w:p w:rsidR="009E166E" w:rsidRDefault="009E166E" w:rsidP="0088341A">
      <w:pPr>
        <w:pStyle w:val="FootnoteText"/>
      </w:pPr>
      <w:r>
        <w:rPr>
          <w:rStyle w:val="FootnoteReference"/>
        </w:rPr>
        <w:footnoteRef/>
      </w:r>
      <w:r>
        <w:t xml:space="preserve"> </w:t>
      </w:r>
      <w:r>
        <w:tab/>
        <w:t xml:space="preserve">For example, see: AER, </w:t>
      </w:r>
      <w:r w:rsidRPr="00932EA2">
        <w:rPr>
          <w:rStyle w:val="AERtextitalic"/>
        </w:rPr>
        <w:t>Final decision: ElectraNet transmission determination 2013–14 to 2017–18</w:t>
      </w:r>
      <w:r>
        <w:t xml:space="preserve">, April 2013, and AER, </w:t>
      </w:r>
      <w:r w:rsidRPr="00932EA2">
        <w:rPr>
          <w:rStyle w:val="AERtextitalic"/>
        </w:rPr>
        <w:t xml:space="preserve">Final decision: </w:t>
      </w:r>
      <w:r w:rsidRPr="00385102">
        <w:rPr>
          <w:rStyle w:val="AERtextitalic"/>
        </w:rPr>
        <w:t>APA GasNet Australia (Operations) Pty Ltd</w:t>
      </w:r>
      <w:r>
        <w:rPr>
          <w:rStyle w:val="AERtextitalic"/>
        </w:rPr>
        <w:t>,</w:t>
      </w:r>
      <w:r w:rsidRPr="008A30E4">
        <w:rPr>
          <w:rStyle w:val="AERtextitalic"/>
        </w:rPr>
        <w:t xml:space="preserve"> access arrangement</w:t>
      </w:r>
      <w:r>
        <w:rPr>
          <w:rStyle w:val="AERtextitalic"/>
        </w:rPr>
        <w:t xml:space="preserve"> final decision, </w:t>
      </w:r>
      <w:r w:rsidRPr="00932EA2">
        <w:rPr>
          <w:rStyle w:val="AERtextitalic"/>
          <w:i w:val="0"/>
        </w:rPr>
        <w:t>March 2013</w:t>
      </w:r>
      <w:r>
        <w:rPr>
          <w:rStyle w:val="AERtextitalic"/>
        </w:rPr>
        <w:t>.</w:t>
      </w:r>
      <w:r>
        <w:t xml:space="preserve"> </w:t>
      </w:r>
    </w:p>
  </w:footnote>
  <w:footnote w:id="378">
    <w:p w:rsidR="009E166E" w:rsidRDefault="009E166E" w:rsidP="0088341A">
      <w:pPr>
        <w:pStyle w:val="FootnoteText"/>
      </w:pPr>
      <w:r>
        <w:rPr>
          <w:rStyle w:val="FootnoteReference"/>
        </w:rPr>
        <w:footnoteRef/>
      </w:r>
      <w:r>
        <w:t xml:space="preserve"> </w:t>
      </w:r>
      <w:r>
        <w:tab/>
        <w:t>T</w:t>
      </w:r>
      <w:r w:rsidRPr="00BC27E3">
        <w:t>he assumed utilisation of imputation credits (gamma) affects the corporate income tax building block allowance</w:t>
      </w:r>
      <w:r>
        <w:t>. Although gamma is not directly included in the determination of the WACC, it was determined in the WACC review.</w:t>
      </w:r>
    </w:p>
  </w:footnote>
  <w:footnote w:id="379">
    <w:p w:rsidR="009E166E" w:rsidRDefault="009E166E" w:rsidP="0088341A">
      <w:pPr>
        <w:pStyle w:val="FootnoteText"/>
      </w:pPr>
      <w:r>
        <w:rPr>
          <w:rStyle w:val="FootnoteReference"/>
        </w:rPr>
        <w:footnoteRef/>
      </w:r>
      <w:r>
        <w:t xml:space="preserve"> </w:t>
      </w:r>
      <w:r>
        <w:tab/>
      </w:r>
      <w:r w:rsidRPr="00713EB6">
        <w:t xml:space="preserve">AER, </w:t>
      </w:r>
      <w:r w:rsidRPr="00C3318D">
        <w:rPr>
          <w:rStyle w:val="AERtextitalic"/>
        </w:rPr>
        <w:t>Statement of the revised WACC parameters (transmission)</w:t>
      </w:r>
      <w:r>
        <w:t>, May 2009, p. 6.</w:t>
      </w:r>
    </w:p>
  </w:footnote>
  <w:footnote w:id="380">
    <w:p w:rsidR="009E166E" w:rsidRDefault="009E166E" w:rsidP="0088341A">
      <w:pPr>
        <w:pStyle w:val="FootnoteText"/>
      </w:pPr>
      <w:r>
        <w:rPr>
          <w:rStyle w:val="FootnoteReference"/>
        </w:rPr>
        <w:footnoteRef/>
      </w:r>
      <w:r>
        <w:tab/>
        <w:t xml:space="preserve">SP AusNet, </w:t>
      </w:r>
      <w:r w:rsidRPr="007D035A">
        <w:rPr>
          <w:rStyle w:val="AERtextitalic"/>
        </w:rPr>
        <w:t>Revenue proposal</w:t>
      </w:r>
      <w:r>
        <w:t>, p. 174</w:t>
      </w:r>
      <w:r w:rsidRPr="005A3D8F">
        <w:t>.</w:t>
      </w:r>
    </w:p>
  </w:footnote>
  <w:footnote w:id="381">
    <w:p w:rsidR="009E166E" w:rsidRDefault="009E166E" w:rsidP="0088341A">
      <w:pPr>
        <w:pStyle w:val="FootnoteText"/>
      </w:pPr>
      <w:r>
        <w:rPr>
          <w:rStyle w:val="FootnoteReference"/>
        </w:rPr>
        <w:footnoteRef/>
      </w:r>
      <w:r>
        <w:t xml:space="preserve"> </w:t>
      </w:r>
      <w:r>
        <w:tab/>
        <w:t xml:space="preserve">For example, see: AER, </w:t>
      </w:r>
      <w:r w:rsidRPr="00671205">
        <w:rPr>
          <w:rStyle w:val="AERtextitalic"/>
        </w:rPr>
        <w:t>Final decision</w:t>
      </w:r>
      <w:r>
        <w:rPr>
          <w:rStyle w:val="AERtextitalic"/>
        </w:rPr>
        <w:t xml:space="preserve">: ElectraNet transmission determination 2013–14 to 2017–18, </w:t>
      </w:r>
      <w:r w:rsidRPr="00942D07">
        <w:rPr>
          <w:rStyle w:val="AERtextitalic"/>
          <w:i w:val="0"/>
        </w:rPr>
        <w:t>April 2013, and</w:t>
      </w:r>
      <w:r>
        <w:t xml:space="preserve"> </w:t>
      </w:r>
      <w:r w:rsidRPr="00671205">
        <w:t xml:space="preserve">AER, </w:t>
      </w:r>
      <w:r w:rsidRPr="00671205">
        <w:rPr>
          <w:rStyle w:val="AERtextitalic"/>
        </w:rPr>
        <w:t>Final decision</w:t>
      </w:r>
      <w:r>
        <w:rPr>
          <w:rStyle w:val="AERtextitalic"/>
        </w:rPr>
        <w:t>,</w:t>
      </w:r>
      <w:r w:rsidRPr="00671205">
        <w:rPr>
          <w:rStyle w:val="AERtextitalic"/>
        </w:rPr>
        <w:t xml:space="preserve"> Powerlink </w:t>
      </w:r>
      <w:r>
        <w:rPr>
          <w:rStyle w:val="AERtextitalic"/>
        </w:rPr>
        <w:t>t</w:t>
      </w:r>
      <w:r w:rsidRPr="00671205">
        <w:rPr>
          <w:rStyle w:val="AERtextitalic"/>
        </w:rPr>
        <w:t>ransmission determination 2012–13 to 2016–17</w:t>
      </w:r>
      <w:r w:rsidRPr="00671205">
        <w:t>, April 2012</w:t>
      </w:r>
      <w:r>
        <w:t>.</w:t>
      </w:r>
    </w:p>
  </w:footnote>
  <w:footnote w:id="382">
    <w:p w:rsidR="009E166E" w:rsidRDefault="009E166E" w:rsidP="0088341A">
      <w:pPr>
        <w:pStyle w:val="FootnoteText"/>
      </w:pPr>
      <w:r>
        <w:rPr>
          <w:rStyle w:val="FootnoteReference"/>
        </w:rPr>
        <w:footnoteRef/>
      </w:r>
      <w:r>
        <w:t xml:space="preserve"> </w:t>
      </w:r>
      <w:r>
        <w:tab/>
        <w:t>S</w:t>
      </w:r>
      <w:r w:rsidRPr="00413264">
        <w:t xml:space="preserve">even years is the maximum term currently published for the </w:t>
      </w:r>
      <w:r>
        <w:t xml:space="preserve">Bloomberg </w:t>
      </w:r>
      <w:r w:rsidRPr="00413264">
        <w:t xml:space="preserve">BBB </w:t>
      </w:r>
      <w:r>
        <w:t>fair value curve</w:t>
      </w:r>
      <w:r w:rsidRPr="00413264">
        <w:t>.</w:t>
      </w:r>
    </w:p>
  </w:footnote>
  <w:footnote w:id="383">
    <w:p w:rsidR="009E166E" w:rsidRDefault="009E166E" w:rsidP="0088341A">
      <w:pPr>
        <w:pStyle w:val="FootnoteText"/>
      </w:pPr>
      <w:r>
        <w:rPr>
          <w:rStyle w:val="FootnoteReference"/>
        </w:rPr>
        <w:footnoteRef/>
      </w:r>
      <w:r>
        <w:t xml:space="preserve"> </w:t>
      </w:r>
      <w:r>
        <w:tab/>
      </w:r>
      <w:r w:rsidRPr="002B3DED">
        <w:t xml:space="preserve">AER, </w:t>
      </w:r>
      <w:r w:rsidRPr="002B3DED">
        <w:rPr>
          <w:rStyle w:val="AERtextitalic"/>
        </w:rPr>
        <w:t xml:space="preserve">Final decision: </w:t>
      </w:r>
      <w:r>
        <w:rPr>
          <w:rStyle w:val="AERtextitalic"/>
        </w:rPr>
        <w:t>ElectraNet transmission determination 2013–14 to 2017–18</w:t>
      </w:r>
      <w:r w:rsidRPr="002B3DED">
        <w:rPr>
          <w:rStyle w:val="AERtextitalic"/>
        </w:rPr>
        <w:t>,</w:t>
      </w:r>
      <w:r>
        <w:t xml:space="preserve"> April 2013, p. 133. </w:t>
      </w:r>
    </w:p>
  </w:footnote>
  <w:footnote w:id="384">
    <w:p w:rsidR="009E166E" w:rsidRDefault="009E166E" w:rsidP="0088341A">
      <w:pPr>
        <w:pStyle w:val="FootnoteText"/>
      </w:pPr>
      <w:r>
        <w:rPr>
          <w:rStyle w:val="FootnoteReference"/>
        </w:rPr>
        <w:footnoteRef/>
      </w:r>
      <w:r>
        <w:t xml:space="preserve"> </w:t>
      </w:r>
      <w:r>
        <w:tab/>
        <w:t xml:space="preserve">EUCV, </w:t>
      </w:r>
      <w:r>
        <w:rPr>
          <w:rStyle w:val="AERtextitalic"/>
        </w:rPr>
        <w:t>Victorian Electricity Transmission Revenue R</w:t>
      </w:r>
      <w:r w:rsidRPr="001618CC">
        <w:rPr>
          <w:rStyle w:val="AERtextitalic"/>
        </w:rPr>
        <w:t xml:space="preserve">eset, </w:t>
      </w:r>
      <w:r>
        <w:rPr>
          <w:rStyle w:val="AERtextitalic"/>
        </w:rPr>
        <w:t>SP AusNet application</w:t>
      </w:r>
      <w:r w:rsidRPr="001618CC">
        <w:rPr>
          <w:rStyle w:val="AERtextitalic"/>
        </w:rPr>
        <w:t xml:space="preserve">, A response by </w:t>
      </w:r>
      <w:r>
        <w:rPr>
          <w:rStyle w:val="AERtextitalic"/>
        </w:rPr>
        <w:t>EUCV</w:t>
      </w:r>
      <w:r>
        <w:t xml:space="preserve">, May 2013. EUAA, </w:t>
      </w:r>
      <w:r w:rsidRPr="00A96706">
        <w:rPr>
          <w:rStyle w:val="AERtextitalic"/>
        </w:rPr>
        <w:t xml:space="preserve">Submission on </w:t>
      </w:r>
      <w:r>
        <w:rPr>
          <w:rStyle w:val="AERtextitalic"/>
        </w:rPr>
        <w:t>SPI PowerNet Ltd Electricity Transmission Revenue Proposal for 2014–17</w:t>
      </w:r>
      <w:r>
        <w:t>, May 2013.</w:t>
      </w:r>
    </w:p>
  </w:footnote>
  <w:footnote w:id="385">
    <w:p w:rsidR="009E166E" w:rsidRDefault="009E166E" w:rsidP="0088341A">
      <w:pPr>
        <w:pStyle w:val="FootnoteText"/>
      </w:pPr>
      <w:r>
        <w:rPr>
          <w:rStyle w:val="FootnoteReference"/>
        </w:rPr>
        <w:footnoteRef/>
      </w:r>
      <w:r>
        <w:t xml:space="preserve"> </w:t>
      </w:r>
      <w:r>
        <w:tab/>
      </w:r>
      <w:r w:rsidRPr="00390C9B">
        <w:t xml:space="preserve">Australian Competition Tribunal, </w:t>
      </w:r>
      <w:r w:rsidRPr="00E20B11">
        <w:rPr>
          <w:rStyle w:val="AERtextitalic"/>
        </w:rPr>
        <w:t>Application by Envestra Limited (No 2)</w:t>
      </w:r>
      <w:r w:rsidRPr="00390C9B">
        <w:t xml:space="preserve"> [2012] ACompT 3, 11 January 2012, paragraphs 95, 118, 120–1; see also Australian Competition Tribunal, </w:t>
      </w:r>
      <w:r w:rsidRPr="00E20B11">
        <w:rPr>
          <w:rStyle w:val="AERtextitalic"/>
        </w:rPr>
        <w:t>Application by APT Allgas Energy Ltd</w:t>
      </w:r>
      <w:r w:rsidRPr="00390C9B">
        <w:t xml:space="preserve"> [2012] ACompT 5, 11 January 2012.</w:t>
      </w:r>
    </w:p>
  </w:footnote>
  <w:footnote w:id="386">
    <w:p w:rsidR="009E166E" w:rsidRDefault="009E166E" w:rsidP="0088341A">
      <w:pPr>
        <w:pStyle w:val="FootnoteText"/>
      </w:pPr>
      <w:r>
        <w:rPr>
          <w:rStyle w:val="FootnoteReference"/>
        </w:rPr>
        <w:footnoteRef/>
      </w:r>
      <w:r>
        <w:t xml:space="preserve"> </w:t>
      </w:r>
      <w:r>
        <w:tab/>
      </w:r>
      <w:r w:rsidRPr="00407253">
        <w:t xml:space="preserve">AER, </w:t>
      </w:r>
      <w:r w:rsidRPr="00407253">
        <w:rPr>
          <w:rStyle w:val="AERtextitalic"/>
        </w:rPr>
        <w:t>Consultation paper: Rate of return guidelines</w:t>
      </w:r>
      <w:r w:rsidRPr="00407253">
        <w:t>, May 2013, pp. 48–53.</w:t>
      </w:r>
    </w:p>
  </w:footnote>
  <w:footnote w:id="387">
    <w:p w:rsidR="009E166E" w:rsidRDefault="009E166E" w:rsidP="0088341A">
      <w:pPr>
        <w:pStyle w:val="FootnoteText"/>
      </w:pPr>
      <w:r>
        <w:rPr>
          <w:rStyle w:val="FootnoteReference"/>
        </w:rPr>
        <w:footnoteRef/>
      </w:r>
      <w:r>
        <w:t xml:space="preserve"> </w:t>
      </w:r>
      <w:r>
        <w:tab/>
        <w:t>NER, clause </w:t>
      </w:r>
      <w:r w:rsidRPr="007100C0">
        <w:t>6A.6.2(c)(2)(iii)</w:t>
      </w:r>
      <w:r>
        <w:t>.</w:t>
      </w:r>
    </w:p>
  </w:footnote>
  <w:footnote w:id="388">
    <w:p w:rsidR="009E166E" w:rsidRDefault="009E166E" w:rsidP="0088341A">
      <w:pPr>
        <w:pStyle w:val="FootnoteText"/>
      </w:pPr>
      <w:r>
        <w:rPr>
          <w:rStyle w:val="FootnoteReference"/>
        </w:rPr>
        <w:footnoteRef/>
      </w:r>
      <w:r>
        <w:t xml:space="preserve"> </w:t>
      </w:r>
      <w:r>
        <w:tab/>
        <w:t xml:space="preserve">AER, </w:t>
      </w:r>
      <w:r w:rsidRPr="00C3318D">
        <w:rPr>
          <w:rStyle w:val="AERtextitalic"/>
        </w:rPr>
        <w:t>Statement of the revised WACC parameters (transmission)</w:t>
      </w:r>
      <w:r>
        <w:t>, p. 6.</w:t>
      </w:r>
    </w:p>
  </w:footnote>
  <w:footnote w:id="389">
    <w:p w:rsidR="009E166E" w:rsidRDefault="009E166E" w:rsidP="0088341A">
      <w:pPr>
        <w:pStyle w:val="FootnoteText"/>
      </w:pPr>
      <w:r>
        <w:rPr>
          <w:rStyle w:val="FootnoteReference"/>
        </w:rPr>
        <w:footnoteRef/>
      </w:r>
      <w:r>
        <w:t xml:space="preserve"> </w:t>
      </w:r>
      <w:r>
        <w:tab/>
        <w:t xml:space="preserve">AER, </w:t>
      </w:r>
      <w:r w:rsidRPr="00433881">
        <w:rPr>
          <w:i/>
        </w:rPr>
        <w:t>Final decision: Electricity transmission and distribution network service providers—review of the weighted average cost of capital (WACC) parameters</w:t>
      </w:r>
      <w:r>
        <w:t>, May 2009, p. 172.</w:t>
      </w:r>
    </w:p>
  </w:footnote>
  <w:footnote w:id="390">
    <w:p w:rsidR="009E166E" w:rsidRDefault="009E166E" w:rsidP="0088341A">
      <w:pPr>
        <w:pStyle w:val="FootnoteText"/>
      </w:pPr>
      <w:r>
        <w:rPr>
          <w:rStyle w:val="FootnoteReference"/>
        </w:rPr>
        <w:footnoteRef/>
      </w:r>
      <w:r>
        <w:t xml:space="preserve"> </w:t>
      </w:r>
      <w:r>
        <w:tab/>
        <w:t xml:space="preserve">AER, </w:t>
      </w:r>
      <w:r w:rsidRPr="003D7EA0">
        <w:rPr>
          <w:rStyle w:val="AERtextitalic"/>
        </w:rPr>
        <w:t>Final decision: ElectraNet transmission determination 2013–14 to 2017–18</w:t>
      </w:r>
      <w:r>
        <w:t xml:space="preserve">, April 2013. AER, </w:t>
      </w:r>
      <w:r w:rsidRPr="003D7EA0">
        <w:rPr>
          <w:rStyle w:val="AERtextitalic"/>
        </w:rPr>
        <w:t>Final decision: Murraylink transmission determination 2013–14 to 2017–18</w:t>
      </w:r>
      <w:r>
        <w:t>, April 2013.</w:t>
      </w:r>
    </w:p>
  </w:footnote>
  <w:footnote w:id="391">
    <w:p w:rsidR="009E166E" w:rsidRPr="008E359C" w:rsidRDefault="009E166E" w:rsidP="0088341A">
      <w:pPr>
        <w:pStyle w:val="FootnoteText"/>
      </w:pPr>
      <w:r>
        <w:rPr>
          <w:rStyle w:val="FootnoteReference"/>
        </w:rPr>
        <w:footnoteRef/>
      </w:r>
      <w:r>
        <w:t xml:space="preserve"> </w:t>
      </w:r>
      <w:r>
        <w:tab/>
        <w:t xml:space="preserve">CGS yields are sourced from the RBA: </w:t>
      </w:r>
      <w:hyperlink r:id="rId4" w:history="1">
        <w:r w:rsidRPr="004B0DF1">
          <w:rPr>
            <w:rStyle w:val="Hyperlink"/>
          </w:rPr>
          <w:t>www.rba.gov.au/statistics/tables/xls/f16.xls</w:t>
        </w:r>
      </w:hyperlink>
      <w:r>
        <w:t>.</w:t>
      </w:r>
    </w:p>
  </w:footnote>
  <w:footnote w:id="392">
    <w:p w:rsidR="009E166E" w:rsidRDefault="009E166E" w:rsidP="0088341A">
      <w:pPr>
        <w:pStyle w:val="FootnoteText"/>
      </w:pPr>
      <w:r>
        <w:rPr>
          <w:rStyle w:val="FootnoteReference"/>
        </w:rPr>
        <w:footnoteRef/>
      </w:r>
      <w:r>
        <w:t xml:space="preserve"> </w:t>
      </w:r>
      <w:r>
        <w:tab/>
        <w:t>We will use the same averaging period to calculate the DRP.</w:t>
      </w:r>
    </w:p>
  </w:footnote>
  <w:footnote w:id="393">
    <w:p w:rsidR="009E166E" w:rsidRDefault="009E166E" w:rsidP="0088341A">
      <w:pPr>
        <w:pStyle w:val="FootnoteText"/>
      </w:pPr>
      <w:r>
        <w:rPr>
          <w:rStyle w:val="FootnoteReference"/>
        </w:rPr>
        <w:footnoteRef/>
      </w:r>
      <w:r>
        <w:t xml:space="preserve"> </w:t>
      </w:r>
      <w:r>
        <w:tab/>
        <w:t xml:space="preserve">EUAA, </w:t>
      </w:r>
      <w:r w:rsidRPr="00A96706">
        <w:rPr>
          <w:rStyle w:val="AERtextitalic"/>
        </w:rPr>
        <w:t xml:space="preserve">Submission on </w:t>
      </w:r>
      <w:r>
        <w:rPr>
          <w:rStyle w:val="AERtextitalic"/>
        </w:rPr>
        <w:t>SPI PowerNet Ltd Electricity Transmission Revenue Proposal for 2014–17</w:t>
      </w:r>
      <w:r>
        <w:t>, May 2013.</w:t>
      </w:r>
    </w:p>
  </w:footnote>
  <w:footnote w:id="394">
    <w:p w:rsidR="009E166E" w:rsidRDefault="009E166E" w:rsidP="0088341A">
      <w:pPr>
        <w:pStyle w:val="FootnoteText"/>
      </w:pPr>
      <w:r>
        <w:rPr>
          <w:rStyle w:val="FootnoteReference"/>
        </w:rPr>
        <w:footnoteRef/>
      </w:r>
      <w:r>
        <w:t xml:space="preserve"> </w:t>
      </w:r>
      <w:r>
        <w:tab/>
        <w:t>NER, 6A.6.2(c)(iii).</w:t>
      </w:r>
    </w:p>
  </w:footnote>
  <w:footnote w:id="395">
    <w:p w:rsidR="009E166E" w:rsidRDefault="009E166E" w:rsidP="0088341A">
      <w:pPr>
        <w:pStyle w:val="FootnoteText"/>
      </w:pPr>
      <w:r>
        <w:rPr>
          <w:rStyle w:val="FootnoteReference"/>
        </w:rPr>
        <w:footnoteRef/>
      </w:r>
      <w:r>
        <w:t xml:space="preserve"> </w:t>
      </w:r>
      <w:r>
        <w:tab/>
        <w:t>For example, transactions entered into during the averaging period may better hedge the interest rate risk faced by SP AusNet for the regulatory control period. Accordingly, market practitioners could charge—and SP AusNet may be willing to pay—a premium for transactions during this period. This premium can be avoided by maintaining confidentiality of the period until it has elapsed.</w:t>
      </w:r>
    </w:p>
  </w:footnote>
  <w:footnote w:id="396">
    <w:p w:rsidR="009E166E" w:rsidRDefault="009E166E" w:rsidP="0088341A">
      <w:pPr>
        <w:pStyle w:val="FootnoteText"/>
      </w:pPr>
      <w:r>
        <w:rPr>
          <w:rStyle w:val="FootnoteReference"/>
        </w:rPr>
        <w:footnoteRef/>
      </w:r>
      <w:r>
        <w:t xml:space="preserve"> </w:t>
      </w:r>
      <w:r>
        <w:tab/>
        <w:t xml:space="preserve">This estimate is identical to that proposed by SP AusNet. </w:t>
      </w:r>
      <w:r w:rsidRPr="00F94DCB">
        <w:t xml:space="preserve">This </w:t>
      </w:r>
      <w:r>
        <w:t>is</w:t>
      </w:r>
      <w:r w:rsidRPr="00F94DCB">
        <w:t xml:space="preserve"> because the RBA</w:t>
      </w:r>
      <w:r>
        <w:t xml:space="preserve">’s inflation forecast for December 2014 has not changed </w:t>
      </w:r>
      <w:r w:rsidRPr="00F94DCB">
        <w:t xml:space="preserve">between its </w:t>
      </w:r>
      <w:r>
        <w:t>November 2012</w:t>
      </w:r>
      <w:r w:rsidRPr="00F94DCB">
        <w:t xml:space="preserve"> and </w:t>
      </w:r>
      <w:r>
        <w:t>May 2013</w:t>
      </w:r>
      <w:r w:rsidRPr="00F94DCB">
        <w:t xml:space="preserve"> monetary policy statements.</w:t>
      </w:r>
    </w:p>
  </w:footnote>
  <w:footnote w:id="397">
    <w:p w:rsidR="009E166E" w:rsidRDefault="009E166E" w:rsidP="0088341A">
      <w:pPr>
        <w:pStyle w:val="FootnoteText"/>
      </w:pPr>
      <w:r>
        <w:rPr>
          <w:rStyle w:val="FootnoteReference"/>
        </w:rPr>
        <w:footnoteRef/>
      </w:r>
      <w:r>
        <w:t xml:space="preserve"> </w:t>
      </w:r>
      <w:r>
        <w:tab/>
        <w:t>NER, clause 6A.6.1.</w:t>
      </w:r>
    </w:p>
  </w:footnote>
  <w:footnote w:id="398">
    <w:p w:rsidR="009E166E" w:rsidRDefault="009E166E" w:rsidP="0088341A">
      <w:pPr>
        <w:pStyle w:val="FootnoteText"/>
      </w:pPr>
      <w:r>
        <w:rPr>
          <w:rStyle w:val="FootnoteReference"/>
        </w:rPr>
        <w:footnoteRef/>
      </w:r>
      <w:r>
        <w:t xml:space="preserve"> </w:t>
      </w:r>
      <w:r>
        <w:tab/>
        <w:t xml:space="preserve">ACCC, </w:t>
      </w:r>
      <w:r w:rsidRPr="00412F57">
        <w:rPr>
          <w:rStyle w:val="AERtextitalic"/>
        </w:rPr>
        <w:t>Decision: Victorian transmission network revenue caps 2003-2008</w:t>
      </w:r>
      <w:r w:rsidRPr="00F64AB5">
        <w:t>, December 2002, p</w:t>
      </w:r>
      <w:r>
        <w:t>p. 86–87</w:t>
      </w:r>
      <w:r w:rsidRPr="00F64AB5">
        <w:t>.</w:t>
      </w:r>
      <w:r>
        <w:rPr>
          <w:rStyle w:val="AERtextitalic"/>
        </w:rPr>
        <w:t xml:space="preserve"> </w:t>
      </w:r>
    </w:p>
  </w:footnote>
  <w:footnote w:id="399">
    <w:p w:rsidR="009E166E" w:rsidRDefault="009E166E" w:rsidP="0088341A">
      <w:pPr>
        <w:pStyle w:val="FootnoteText"/>
      </w:pPr>
      <w:r>
        <w:rPr>
          <w:rStyle w:val="FootnoteReference"/>
        </w:rPr>
        <w:footnoteRef/>
      </w:r>
      <w:r>
        <w:t xml:space="preserve"> </w:t>
      </w:r>
      <w:r>
        <w:tab/>
      </w:r>
      <w:r w:rsidRPr="00EE2907">
        <w:t>During a regulatory control period</w:t>
      </w:r>
      <w:r>
        <w:t>,</w:t>
      </w:r>
      <w:r w:rsidRPr="00EE2907">
        <w:t xml:space="preserve"> AEMO or a distribution business </w:t>
      </w:r>
      <w:r>
        <w:t>may</w:t>
      </w:r>
      <w:r w:rsidRPr="00EE2907">
        <w:t xml:space="preserve"> request SP AusNet </w:t>
      </w:r>
      <w:r>
        <w:t xml:space="preserve">to </w:t>
      </w:r>
      <w:r w:rsidRPr="00EE2907">
        <w:t>provide augmentations to the transmission network or distrib</w:t>
      </w:r>
      <w:r>
        <w:t xml:space="preserve">ution connection services. While the </w:t>
      </w:r>
      <w:r w:rsidRPr="00EE2907">
        <w:t>assets</w:t>
      </w:r>
      <w:r>
        <w:t xml:space="preserve"> constructed due to these requests </w:t>
      </w:r>
      <w:r w:rsidRPr="00EE2907">
        <w:t>provide prescribed transmission services</w:t>
      </w:r>
      <w:r>
        <w:t xml:space="preserve">, </w:t>
      </w:r>
      <w:r w:rsidRPr="00EE2907">
        <w:t xml:space="preserve">the forecast capex associated with </w:t>
      </w:r>
      <w:r>
        <w:t>these assets</w:t>
      </w:r>
      <w:r w:rsidRPr="00EE2907">
        <w:t xml:space="preserve"> sit outsi</w:t>
      </w:r>
      <w:r>
        <w:t xml:space="preserve">de of the revenue determination. This is </w:t>
      </w:r>
      <w:r w:rsidRPr="00EE2907">
        <w:t xml:space="preserve">because SP AusNet is not responsible for </w:t>
      </w:r>
      <w:r>
        <w:t>the</w:t>
      </w:r>
      <w:r w:rsidRPr="00EE2907">
        <w:t xml:space="preserve"> planning</w:t>
      </w:r>
      <w:r>
        <w:t xml:space="preserve"> of these capex.</w:t>
      </w:r>
      <w:r w:rsidRPr="00EE2907">
        <w:t xml:space="preserve"> SP AusNet refers to these services as </w:t>
      </w:r>
      <w:r>
        <w:t>‘excluded prescribed</w:t>
      </w:r>
      <w:r w:rsidRPr="00EE2907">
        <w:t xml:space="preserve"> services</w:t>
      </w:r>
      <w:r>
        <w:t>'</w:t>
      </w:r>
      <w:r w:rsidRPr="00EE2907">
        <w:t>, and the assets which p</w:t>
      </w:r>
      <w:r>
        <w:t>rovide these services are referred to as ‘</w:t>
      </w:r>
      <w:r w:rsidRPr="00EE2907">
        <w:t>Group 3</w:t>
      </w:r>
      <w:r>
        <w:t>’</w:t>
      </w:r>
      <w:r w:rsidRPr="00EE2907">
        <w:t xml:space="preserve"> assets. Group 3 assets sit outside of the </w:t>
      </w:r>
      <w:r>
        <w:t>RAB</w:t>
      </w:r>
      <w:r w:rsidRPr="00EE2907">
        <w:t xml:space="preserve"> and are governed by commercial contracts until such time as they are rolled into the </w:t>
      </w:r>
      <w:r>
        <w:t>RAB</w:t>
      </w:r>
      <w:r w:rsidRPr="00EE2907">
        <w:t>, usually at the next revenue reset.</w:t>
      </w:r>
      <w:r>
        <w:t xml:space="preserve"> (SP AusNet, </w:t>
      </w:r>
      <w:r w:rsidRPr="00263176">
        <w:rPr>
          <w:rStyle w:val="AERtextitalic"/>
        </w:rPr>
        <w:t>Revenue proposal</w:t>
      </w:r>
      <w:r>
        <w:t>, p. 30.)</w:t>
      </w:r>
    </w:p>
  </w:footnote>
  <w:footnote w:id="400">
    <w:p w:rsidR="009E166E" w:rsidRDefault="009E166E" w:rsidP="0088341A">
      <w:pPr>
        <w:pStyle w:val="FootnoteText"/>
      </w:pPr>
      <w:r>
        <w:rPr>
          <w:rStyle w:val="FootnoteReference"/>
        </w:rPr>
        <w:footnoteRef/>
      </w:r>
      <w:r>
        <w:t xml:space="preserve"> </w:t>
      </w:r>
      <w:r>
        <w:tab/>
        <w:t xml:space="preserve">SP AusNet, </w:t>
      </w:r>
      <w:r w:rsidRPr="00F86888">
        <w:rPr>
          <w:rStyle w:val="AERtextitalic"/>
        </w:rPr>
        <w:t>Revenue proposal</w:t>
      </w:r>
      <w:r>
        <w:t>, p. 165.</w:t>
      </w:r>
    </w:p>
  </w:footnote>
  <w:footnote w:id="401">
    <w:p w:rsidR="009E166E" w:rsidRDefault="009E166E" w:rsidP="0088341A">
      <w:pPr>
        <w:pStyle w:val="FootnoteText"/>
      </w:pPr>
      <w:r>
        <w:rPr>
          <w:rStyle w:val="FootnoteReference"/>
        </w:rPr>
        <w:footnoteRef/>
      </w:r>
      <w:r>
        <w:t xml:space="preserve"> </w:t>
      </w:r>
      <w:r>
        <w:tab/>
        <w:t xml:space="preserve">SP AusNet, </w:t>
      </w:r>
      <w:r w:rsidRPr="00F86888">
        <w:rPr>
          <w:rStyle w:val="AERtextitalic"/>
        </w:rPr>
        <w:t>Revenue proposal</w:t>
      </w:r>
      <w:r>
        <w:t>, pp.166–167.</w:t>
      </w:r>
    </w:p>
  </w:footnote>
  <w:footnote w:id="402">
    <w:p w:rsidR="009E166E" w:rsidRDefault="009E166E" w:rsidP="0088341A">
      <w:pPr>
        <w:pStyle w:val="FootnoteText"/>
      </w:pPr>
      <w:r>
        <w:rPr>
          <w:rStyle w:val="FootnoteReference"/>
        </w:rPr>
        <w:footnoteRef/>
      </w:r>
      <w:r>
        <w:t xml:space="preserve"> </w:t>
      </w:r>
      <w:r>
        <w:tab/>
        <w:t xml:space="preserve">NER, clause </w:t>
      </w:r>
      <w:r w:rsidRPr="00E468A4">
        <w:t>S6A.2.1(f)</w:t>
      </w:r>
      <w:r>
        <w:t>.</w:t>
      </w:r>
    </w:p>
  </w:footnote>
  <w:footnote w:id="403">
    <w:p w:rsidR="009E166E" w:rsidRDefault="009E166E" w:rsidP="0088341A">
      <w:pPr>
        <w:pStyle w:val="FootnoteText"/>
      </w:pPr>
      <w:r>
        <w:rPr>
          <w:rStyle w:val="FootnoteReference"/>
        </w:rPr>
        <w:footnoteRef/>
      </w:r>
      <w:r>
        <w:t xml:space="preserve"> </w:t>
      </w:r>
      <w:r>
        <w:tab/>
        <w:t>NER, clause</w:t>
      </w:r>
      <w:r w:rsidRPr="007E45A1">
        <w:t xml:space="preserve"> </w:t>
      </w:r>
      <w:r w:rsidRPr="00E468A4">
        <w:t>S6A.2.1(f)</w:t>
      </w:r>
      <w:r>
        <w:t>(8).</w:t>
      </w:r>
    </w:p>
  </w:footnote>
  <w:footnote w:id="404">
    <w:p w:rsidR="009E166E" w:rsidRPr="00E0282D" w:rsidRDefault="009E166E" w:rsidP="0088341A">
      <w:pPr>
        <w:pStyle w:val="FootnoteText"/>
      </w:pPr>
      <w:r>
        <w:rPr>
          <w:rStyle w:val="FootnoteReference"/>
        </w:rPr>
        <w:footnoteRef/>
      </w:r>
      <w:r w:rsidRPr="00E0282D">
        <w:t xml:space="preserve"> </w:t>
      </w:r>
      <w:r w:rsidRPr="00E0282D">
        <w:tab/>
        <w:t>NER, clause 6A.6.1(b).</w:t>
      </w:r>
    </w:p>
  </w:footnote>
  <w:footnote w:id="405">
    <w:p w:rsidR="009E166E" w:rsidRPr="00E0282D" w:rsidRDefault="009E166E" w:rsidP="0088341A">
      <w:pPr>
        <w:pStyle w:val="FootnoteText"/>
      </w:pPr>
      <w:r>
        <w:rPr>
          <w:rStyle w:val="FootnoteReference"/>
        </w:rPr>
        <w:footnoteRef/>
      </w:r>
      <w:r w:rsidRPr="00E0282D">
        <w:t xml:space="preserve"> </w:t>
      </w:r>
      <w:r w:rsidRPr="00E0282D">
        <w:tab/>
        <w:t>NER, clause 6A.6.1(e)(3).</w:t>
      </w:r>
    </w:p>
  </w:footnote>
  <w:footnote w:id="406">
    <w:p w:rsidR="009E166E" w:rsidRDefault="009E166E" w:rsidP="0088341A">
      <w:pPr>
        <w:pStyle w:val="FootnoteText"/>
      </w:pPr>
      <w:r>
        <w:rPr>
          <w:rStyle w:val="FootnoteReference"/>
        </w:rPr>
        <w:footnoteRef/>
      </w:r>
      <w:r>
        <w:t xml:space="preserve"> </w:t>
      </w:r>
      <w:r>
        <w:tab/>
        <w:t>NER, clause</w:t>
      </w:r>
      <w:r w:rsidRPr="00963601">
        <w:t xml:space="preserve"> </w:t>
      </w:r>
      <w:r w:rsidRPr="00E468A4">
        <w:t>S6A.2.1(f)</w:t>
      </w:r>
      <w:r>
        <w:t>(4).</w:t>
      </w:r>
    </w:p>
  </w:footnote>
  <w:footnote w:id="407">
    <w:p w:rsidR="009E166E" w:rsidRDefault="009E166E" w:rsidP="0088341A">
      <w:pPr>
        <w:pStyle w:val="FootnoteText"/>
      </w:pPr>
      <w:r>
        <w:rPr>
          <w:rStyle w:val="FootnoteReference"/>
        </w:rPr>
        <w:footnoteRef/>
      </w:r>
      <w:r>
        <w:t xml:space="preserve"> </w:t>
      </w:r>
      <w:r>
        <w:tab/>
        <w:t>NER, clause</w:t>
      </w:r>
      <w:r w:rsidRPr="00963601">
        <w:t xml:space="preserve"> </w:t>
      </w:r>
      <w:r w:rsidRPr="00E468A4">
        <w:t>S6A.2.1(f)</w:t>
      </w:r>
      <w:r>
        <w:t xml:space="preserve">(5). </w:t>
      </w:r>
    </w:p>
  </w:footnote>
  <w:footnote w:id="408">
    <w:p w:rsidR="009E166E" w:rsidRDefault="009E166E" w:rsidP="0088341A">
      <w:pPr>
        <w:pStyle w:val="FootnoteText"/>
      </w:pPr>
      <w:r>
        <w:rPr>
          <w:rStyle w:val="FootnoteReference"/>
        </w:rPr>
        <w:footnoteRef/>
      </w:r>
      <w:r>
        <w:t xml:space="preserve"> </w:t>
      </w:r>
      <w:r>
        <w:tab/>
        <w:t>NER, clause</w:t>
      </w:r>
      <w:r w:rsidRPr="00963601">
        <w:t xml:space="preserve"> </w:t>
      </w:r>
      <w:r w:rsidRPr="00E468A4">
        <w:t>S6A.2.1(f)</w:t>
      </w:r>
      <w:r>
        <w:t>(6).</w:t>
      </w:r>
    </w:p>
  </w:footnote>
  <w:footnote w:id="409">
    <w:p w:rsidR="009E166E" w:rsidRDefault="009E166E" w:rsidP="0088341A">
      <w:pPr>
        <w:pStyle w:val="FootnoteText"/>
      </w:pPr>
      <w:r>
        <w:rPr>
          <w:rStyle w:val="FootnoteReference"/>
        </w:rPr>
        <w:footnoteRef/>
      </w:r>
      <w:r>
        <w:t xml:space="preserve"> </w:t>
      </w:r>
      <w:r>
        <w:tab/>
        <w:t>NER, clause 11.6.21(c).</w:t>
      </w:r>
    </w:p>
  </w:footnote>
  <w:footnote w:id="410">
    <w:p w:rsidR="009E166E" w:rsidRDefault="009E166E" w:rsidP="0088341A">
      <w:pPr>
        <w:pStyle w:val="FootnoteText"/>
      </w:pPr>
      <w:r>
        <w:rPr>
          <w:rStyle w:val="FootnoteReference"/>
        </w:rPr>
        <w:footnoteRef/>
      </w:r>
      <w:r>
        <w:t xml:space="preserve"> </w:t>
      </w:r>
      <w:r>
        <w:tab/>
        <w:t xml:space="preserve">AER, </w:t>
      </w:r>
      <w:r w:rsidRPr="008B6CF1">
        <w:rPr>
          <w:rStyle w:val="AERtextitalic"/>
        </w:rPr>
        <w:t>Final decision: SP AusNet transmission determination 2008–14</w:t>
      </w:r>
      <w:r>
        <w:t>, p. 42.</w:t>
      </w:r>
    </w:p>
  </w:footnote>
  <w:footnote w:id="411">
    <w:p w:rsidR="009E166E" w:rsidRDefault="009E166E" w:rsidP="0088341A">
      <w:pPr>
        <w:pStyle w:val="FootnoteText"/>
      </w:pPr>
      <w:r>
        <w:rPr>
          <w:rStyle w:val="FootnoteReference"/>
        </w:rPr>
        <w:footnoteRef/>
      </w:r>
      <w:r>
        <w:t xml:space="preserve"> </w:t>
      </w:r>
      <w:r>
        <w:tab/>
        <w:t xml:space="preserve">SP AusNet, </w:t>
      </w:r>
      <w:r>
        <w:rPr>
          <w:rStyle w:val="AERtextitalic"/>
        </w:rPr>
        <w:t>R</w:t>
      </w:r>
      <w:r w:rsidRPr="00BC6432">
        <w:rPr>
          <w:rStyle w:val="AERtextitalic"/>
        </w:rPr>
        <w:t>esponse to information request AER RP 37, 2007–08 forecast net capex input in the RFM</w:t>
      </w:r>
      <w:r>
        <w:t>, 14 June 2013.</w:t>
      </w:r>
    </w:p>
  </w:footnote>
  <w:footnote w:id="412">
    <w:p w:rsidR="009E166E" w:rsidRDefault="009E166E" w:rsidP="0088341A">
      <w:pPr>
        <w:pStyle w:val="FootnoteText"/>
      </w:pPr>
      <w:r>
        <w:rPr>
          <w:rStyle w:val="FootnoteReference"/>
        </w:rPr>
        <w:footnoteRef/>
      </w:r>
      <w:r>
        <w:t xml:space="preserve"> </w:t>
      </w:r>
      <w:r w:rsidRPr="009B1BAA">
        <w:tab/>
      </w:r>
      <w:r>
        <w:t>NER, clause S6A.2.1(f)(1).</w:t>
      </w:r>
    </w:p>
  </w:footnote>
  <w:footnote w:id="413">
    <w:p w:rsidR="009E166E" w:rsidRDefault="009E166E" w:rsidP="0088341A">
      <w:pPr>
        <w:pStyle w:val="FootnoteText"/>
      </w:pPr>
      <w:r>
        <w:rPr>
          <w:rStyle w:val="FootnoteReference"/>
        </w:rPr>
        <w:footnoteRef/>
      </w:r>
      <w:r>
        <w:t xml:space="preserve"> </w:t>
      </w:r>
      <w:r>
        <w:tab/>
      </w:r>
      <w:r w:rsidRPr="00541CB3">
        <w:rPr>
          <w:rStyle w:val="AERtextitalic"/>
        </w:rPr>
        <w:t>Income Tax Assessment Act 1997</w:t>
      </w:r>
      <w:r>
        <w:t>, s</w:t>
      </w:r>
      <w:r w:rsidRPr="00E22B43">
        <w:t>ection 26-10</w:t>
      </w:r>
      <w:r>
        <w:t>.</w:t>
      </w:r>
      <w:r w:rsidRPr="00E22B43">
        <w:t xml:space="preserve"> </w:t>
      </w:r>
    </w:p>
  </w:footnote>
  <w:footnote w:id="414">
    <w:p w:rsidR="009E166E" w:rsidRPr="00DC4686" w:rsidRDefault="009E166E" w:rsidP="0088341A">
      <w:pPr>
        <w:pStyle w:val="FootnoteText"/>
      </w:pPr>
      <w:r>
        <w:rPr>
          <w:rStyle w:val="FootnoteReference"/>
        </w:rPr>
        <w:footnoteRef/>
      </w:r>
      <w:r>
        <w:t xml:space="preserve">  </w:t>
      </w:r>
      <w:r>
        <w:tab/>
      </w:r>
      <w:r w:rsidRPr="004B15A7">
        <w:rPr>
          <w:rStyle w:val="AERtextitalic"/>
        </w:rPr>
        <w:t>Nilsen Development Laboratories Pty Ltd and Others v Federal Commissioner of Taxation (1981) 33 ALR 161 at 165–6</w:t>
      </w:r>
      <w:r>
        <w:rPr>
          <w:rStyle w:val="AERtextitalic"/>
        </w:rPr>
        <w:t>.</w:t>
      </w:r>
    </w:p>
  </w:footnote>
  <w:footnote w:id="415">
    <w:p w:rsidR="009E166E" w:rsidRDefault="009E166E" w:rsidP="0088341A">
      <w:pPr>
        <w:pStyle w:val="FootnoteText"/>
      </w:pPr>
      <w:r>
        <w:rPr>
          <w:rStyle w:val="FootnoteReference"/>
        </w:rPr>
        <w:footnoteRef/>
      </w:r>
      <w:r>
        <w:t xml:space="preserve"> </w:t>
      </w:r>
      <w:r>
        <w:tab/>
        <w:t>NER, clause S6A.2.1(f)(5).</w:t>
      </w:r>
    </w:p>
  </w:footnote>
  <w:footnote w:id="416">
    <w:p w:rsidR="009E166E" w:rsidRPr="000A6DB3" w:rsidRDefault="009E166E" w:rsidP="0088341A">
      <w:pPr>
        <w:pStyle w:val="FootnoteText"/>
      </w:pPr>
      <w:r>
        <w:rPr>
          <w:rStyle w:val="FootnoteReference"/>
        </w:rPr>
        <w:footnoteRef/>
      </w:r>
      <w:r>
        <w:t xml:space="preserve"> </w:t>
      </w:r>
      <w:r>
        <w:tab/>
      </w:r>
      <w:r w:rsidRPr="000A6DB3">
        <w:t xml:space="preserve">ACCC, </w:t>
      </w:r>
      <w:r w:rsidRPr="00433881">
        <w:rPr>
          <w:i/>
        </w:rPr>
        <w:t>Decision: Victorian transmission network revenue caps 2003-2008</w:t>
      </w:r>
      <w:r w:rsidRPr="000A6DB3">
        <w:t>, December 2002, p. ix.</w:t>
      </w:r>
    </w:p>
  </w:footnote>
  <w:footnote w:id="417">
    <w:p w:rsidR="009E166E" w:rsidRDefault="009E166E" w:rsidP="0088341A">
      <w:pPr>
        <w:pStyle w:val="FootnoteText"/>
      </w:pPr>
      <w:r>
        <w:rPr>
          <w:rStyle w:val="FootnoteReference"/>
        </w:rPr>
        <w:footnoteRef/>
      </w:r>
      <w:r>
        <w:t xml:space="preserve"> </w:t>
      </w:r>
      <w:r>
        <w:tab/>
      </w:r>
      <w:r w:rsidRPr="00F64AB5">
        <w:t xml:space="preserve">ACCC, </w:t>
      </w:r>
      <w:r w:rsidRPr="00412F57">
        <w:rPr>
          <w:rStyle w:val="AERtextitalic"/>
        </w:rPr>
        <w:t>Decision: Victorian transmission network revenue caps 2003-2008</w:t>
      </w:r>
      <w:r w:rsidRPr="00F64AB5">
        <w:t>, December 2002, p. ix.</w:t>
      </w:r>
    </w:p>
  </w:footnote>
  <w:footnote w:id="418">
    <w:p w:rsidR="009E166E" w:rsidRDefault="009E166E" w:rsidP="0088341A">
      <w:pPr>
        <w:pStyle w:val="FootnoteText"/>
      </w:pPr>
      <w:r>
        <w:rPr>
          <w:rStyle w:val="FootnoteReference"/>
        </w:rPr>
        <w:footnoteRef/>
      </w:r>
      <w:r>
        <w:t xml:space="preserve"> </w:t>
      </w:r>
      <w:r>
        <w:tab/>
        <w:t xml:space="preserve">ACCC, </w:t>
      </w:r>
      <w:r w:rsidRPr="00412F57">
        <w:rPr>
          <w:rStyle w:val="AERtextitalic"/>
        </w:rPr>
        <w:t>Decision: Victorian transmission network revenue caps 2003-2008</w:t>
      </w:r>
      <w:r w:rsidRPr="00F64AB5">
        <w:t>, December 2002, p</w:t>
      </w:r>
      <w:r>
        <w:t>p. 86–87</w:t>
      </w:r>
      <w:r w:rsidRPr="00F64AB5">
        <w:t>.</w:t>
      </w:r>
      <w:r>
        <w:rPr>
          <w:rStyle w:val="AERtextitalic"/>
        </w:rPr>
        <w:t xml:space="preserve"> </w:t>
      </w:r>
    </w:p>
  </w:footnote>
  <w:footnote w:id="419">
    <w:p w:rsidR="009E166E" w:rsidRDefault="009E166E" w:rsidP="0088341A">
      <w:pPr>
        <w:pStyle w:val="FootnoteText"/>
      </w:pPr>
      <w:r>
        <w:rPr>
          <w:rStyle w:val="FootnoteReference"/>
        </w:rPr>
        <w:footnoteRef/>
      </w:r>
      <w:r>
        <w:t xml:space="preserve"> </w:t>
      </w:r>
      <w:r>
        <w:tab/>
        <w:t xml:space="preserve">SP AusNet, </w:t>
      </w:r>
      <w:r w:rsidRPr="000C24E9">
        <w:rPr>
          <w:rStyle w:val="AERtextitalic"/>
        </w:rPr>
        <w:t>Revenue proposal</w:t>
      </w:r>
      <w:r>
        <w:t>, pp. 145–6.</w:t>
      </w:r>
    </w:p>
  </w:footnote>
  <w:footnote w:id="420">
    <w:p w:rsidR="009E166E" w:rsidRDefault="009E166E" w:rsidP="0088341A">
      <w:pPr>
        <w:pStyle w:val="FootnoteText"/>
      </w:pPr>
      <w:r>
        <w:rPr>
          <w:rStyle w:val="FootnoteReference"/>
        </w:rPr>
        <w:footnoteRef/>
      </w:r>
      <w:r>
        <w:t xml:space="preserve"> </w:t>
      </w:r>
      <w:r>
        <w:tab/>
        <w:t xml:space="preserve">AER, </w:t>
      </w:r>
      <w:r w:rsidRPr="00883046">
        <w:rPr>
          <w:rStyle w:val="AERtextitalic"/>
        </w:rPr>
        <w:t>Final decision, ElectraNet transmission determination 2008–09 to 2012–13</w:t>
      </w:r>
      <w:r>
        <w:t>, 11 April 2008, pp. 87–8.</w:t>
      </w:r>
    </w:p>
  </w:footnote>
  <w:footnote w:id="421">
    <w:p w:rsidR="009E166E" w:rsidRDefault="009E166E" w:rsidP="0088341A">
      <w:pPr>
        <w:pStyle w:val="FootnoteText"/>
      </w:pPr>
      <w:r>
        <w:rPr>
          <w:rStyle w:val="FootnoteReference"/>
        </w:rPr>
        <w:footnoteRef/>
      </w:r>
      <w:r>
        <w:t xml:space="preserve"> </w:t>
      </w:r>
      <w:r>
        <w:tab/>
        <w:t xml:space="preserve">SP AusNet, </w:t>
      </w:r>
      <w:r>
        <w:rPr>
          <w:rStyle w:val="AERtextitalic"/>
        </w:rPr>
        <w:t>R</w:t>
      </w:r>
      <w:r w:rsidRPr="00E02E87">
        <w:rPr>
          <w:rStyle w:val="AERtextitalic"/>
        </w:rPr>
        <w:t>esponse to information request AER RP 58, Capitalisation of equity raising costs</w:t>
      </w:r>
      <w:r>
        <w:t>, 16 July 2013.</w:t>
      </w:r>
    </w:p>
  </w:footnote>
  <w:footnote w:id="422">
    <w:p w:rsidR="009E166E" w:rsidRDefault="009E166E" w:rsidP="0088341A">
      <w:pPr>
        <w:pStyle w:val="FootnoteText"/>
      </w:pPr>
      <w:r>
        <w:rPr>
          <w:rStyle w:val="FootnoteReference"/>
        </w:rPr>
        <w:footnoteRef/>
      </w:r>
      <w:r>
        <w:t xml:space="preserve"> </w:t>
      </w:r>
      <w:r>
        <w:tab/>
        <w:t xml:space="preserve">As discussed in attachment 6, we determined a standard asset life of 28 years for amortisation purposes. </w:t>
      </w:r>
    </w:p>
  </w:footnote>
  <w:footnote w:id="423">
    <w:p w:rsidR="009E166E" w:rsidRDefault="009E166E" w:rsidP="0088341A">
      <w:pPr>
        <w:pStyle w:val="FootnoteText"/>
      </w:pPr>
      <w:r>
        <w:rPr>
          <w:rStyle w:val="FootnoteReference"/>
        </w:rPr>
        <w:footnoteRef/>
      </w:r>
      <w:r>
        <w:t xml:space="preserve"> </w:t>
      </w:r>
      <w:r>
        <w:tab/>
      </w:r>
      <w:r w:rsidRPr="001A494D">
        <w:t xml:space="preserve">At the next reset, the RAB roll forward for establishing </w:t>
      </w:r>
      <w:r>
        <w:t>SP AusNet'</w:t>
      </w:r>
      <w:r w:rsidRPr="001A494D">
        <w:t xml:space="preserve">s opening RAB value as at 1 </w:t>
      </w:r>
      <w:r>
        <w:t>April 2</w:t>
      </w:r>
      <w:r w:rsidRPr="001A494D">
        <w:t>01</w:t>
      </w:r>
      <w:r>
        <w:t>7</w:t>
      </w:r>
      <w:r w:rsidRPr="001A494D">
        <w:t xml:space="preserve"> will be based on</w:t>
      </w:r>
      <w:r>
        <w:t xml:space="preserve"> </w:t>
      </w:r>
      <w:r w:rsidRPr="001A494D">
        <w:t>actual capex during the 201</w:t>
      </w:r>
      <w:r>
        <w:t>4</w:t>
      </w:r>
      <w:r w:rsidRPr="001A494D">
        <w:t>–1</w:t>
      </w:r>
      <w:r>
        <w:t>7</w:t>
      </w:r>
      <w:r w:rsidRPr="001A494D">
        <w:t xml:space="preserve"> regulatory control period and actual depreciation values calculated for that period.</w:t>
      </w:r>
    </w:p>
  </w:footnote>
  <w:footnote w:id="424">
    <w:p w:rsidR="009E166E" w:rsidRPr="00875E28" w:rsidRDefault="009E166E" w:rsidP="0088341A">
      <w:pPr>
        <w:pStyle w:val="FootnoteText"/>
      </w:pPr>
      <w:r>
        <w:rPr>
          <w:rStyle w:val="FootnoteReference"/>
        </w:rPr>
        <w:footnoteRef/>
      </w:r>
      <w:r>
        <w:t xml:space="preserve"> </w:t>
      </w:r>
      <w:r>
        <w:tab/>
      </w:r>
      <w:r w:rsidRPr="00875E28">
        <w:t>NER, clause</w:t>
      </w:r>
      <w:r>
        <w:t>s</w:t>
      </w:r>
      <w:r w:rsidRPr="00875E28">
        <w:t xml:space="preserve"> 6A.5.4(a)</w:t>
      </w:r>
      <w:r>
        <w:t xml:space="preserve">(1) and </w:t>
      </w:r>
      <w:r w:rsidRPr="00875E28">
        <w:t>(3).</w:t>
      </w:r>
    </w:p>
  </w:footnote>
  <w:footnote w:id="425">
    <w:p w:rsidR="009E166E" w:rsidRDefault="009E166E" w:rsidP="0088341A">
      <w:pPr>
        <w:pStyle w:val="FootnoteText"/>
      </w:pPr>
      <w:r>
        <w:rPr>
          <w:rStyle w:val="FootnoteReference"/>
        </w:rPr>
        <w:footnoteRef/>
      </w:r>
      <w:r>
        <w:t xml:space="preserve"> </w:t>
      </w:r>
      <w:r>
        <w:tab/>
        <w:t xml:space="preserve">SP AusNet, </w:t>
      </w:r>
      <w:r w:rsidRPr="008C0B8D">
        <w:rPr>
          <w:rStyle w:val="AERtextitalic"/>
        </w:rPr>
        <w:t>Revenue proposal</w:t>
      </w:r>
      <w:r>
        <w:t>, p 24.</w:t>
      </w:r>
    </w:p>
  </w:footnote>
  <w:footnote w:id="426">
    <w:p w:rsidR="009E166E" w:rsidRDefault="009E166E" w:rsidP="0088341A">
      <w:pPr>
        <w:pStyle w:val="FootnoteText"/>
      </w:pPr>
      <w:r>
        <w:rPr>
          <w:rStyle w:val="FootnoteReference"/>
        </w:rPr>
        <w:footnoteRef/>
      </w:r>
      <w:r>
        <w:t xml:space="preserve"> </w:t>
      </w:r>
      <w:r>
        <w:tab/>
        <w:t>NER, clause 6A.6.3(a)(1).</w:t>
      </w:r>
    </w:p>
  </w:footnote>
  <w:footnote w:id="427">
    <w:p w:rsidR="009E166E" w:rsidRDefault="009E166E" w:rsidP="0088341A"/>
  </w:footnote>
  <w:footnote w:id="428">
    <w:p w:rsidR="009E166E" w:rsidRDefault="009E166E" w:rsidP="0088341A">
      <w:pPr>
        <w:pStyle w:val="FootnoteText"/>
      </w:pPr>
      <w:r>
        <w:rPr>
          <w:rStyle w:val="FootnoteReference"/>
        </w:rPr>
        <w:footnoteRef/>
      </w:r>
      <w:r>
        <w:t xml:space="preserve"> </w:t>
      </w:r>
      <w:r>
        <w:tab/>
        <w:t>NER, clause 6A.6.3(a)(1).</w:t>
      </w:r>
    </w:p>
    <w:p w:rsidR="009E166E" w:rsidRDefault="009E166E" w:rsidP="0088341A">
      <w:pPr>
        <w:pStyle w:val="FootnoteText"/>
      </w:pPr>
      <w:r>
        <w:rPr>
          <w:rStyle w:val="FootnoteReference"/>
        </w:rPr>
        <w:footnoteRef/>
      </w:r>
      <w:r>
        <w:t xml:space="preserve"> </w:t>
      </w:r>
      <w:r>
        <w:tab/>
        <w:t>NER, clause 6A.5.4(a)(3).</w:t>
      </w:r>
    </w:p>
  </w:footnote>
  <w:footnote w:id="429">
    <w:p w:rsidR="009E166E" w:rsidRDefault="009E166E" w:rsidP="0088341A">
      <w:pPr>
        <w:pStyle w:val="FootnoteText"/>
      </w:pPr>
      <w:r>
        <w:rPr>
          <w:rStyle w:val="FootnoteReference"/>
        </w:rPr>
        <w:footnoteRef/>
      </w:r>
      <w:r>
        <w:t xml:space="preserve"> </w:t>
      </w:r>
      <w:r>
        <w:tab/>
        <w:t>NER, clause 6A.6.3(b)(1).</w:t>
      </w:r>
    </w:p>
  </w:footnote>
  <w:footnote w:id="430">
    <w:p w:rsidR="009E166E" w:rsidRDefault="009E166E" w:rsidP="0088341A">
      <w:pPr>
        <w:pStyle w:val="FootnoteText"/>
      </w:pPr>
      <w:r>
        <w:rPr>
          <w:rStyle w:val="FootnoteReference"/>
        </w:rPr>
        <w:footnoteRef/>
      </w:r>
      <w:r>
        <w:t xml:space="preserve"> </w:t>
      </w:r>
      <w:r>
        <w:tab/>
        <w:t>NER, clause 6A.6.3(b)(1).</w:t>
      </w:r>
    </w:p>
  </w:footnote>
  <w:footnote w:id="431">
    <w:p w:rsidR="009E166E" w:rsidRDefault="009E166E" w:rsidP="0088341A">
      <w:pPr>
        <w:pStyle w:val="FootnoteText"/>
      </w:pPr>
      <w:r>
        <w:rPr>
          <w:rStyle w:val="FootnoteReference"/>
        </w:rPr>
        <w:footnoteRef/>
      </w:r>
      <w:r>
        <w:t xml:space="preserve"> </w:t>
      </w:r>
      <w:r>
        <w:tab/>
        <w:t>NER, clause 6A.6.3(b)(2).</w:t>
      </w:r>
    </w:p>
  </w:footnote>
  <w:footnote w:id="432">
    <w:p w:rsidR="009E166E" w:rsidRDefault="009E166E" w:rsidP="0088341A">
      <w:pPr>
        <w:pStyle w:val="FootnoteText"/>
      </w:pPr>
      <w:r>
        <w:rPr>
          <w:rStyle w:val="FootnoteReference"/>
        </w:rPr>
        <w:footnoteRef/>
      </w:r>
      <w:r>
        <w:t xml:space="preserve"> </w:t>
      </w:r>
      <w:r>
        <w:tab/>
        <w:t>NER, clause 6A.6.3(a)(2)(ii).</w:t>
      </w:r>
    </w:p>
  </w:footnote>
  <w:footnote w:id="433">
    <w:p w:rsidR="009E166E" w:rsidRDefault="009E166E" w:rsidP="0088341A">
      <w:pPr>
        <w:pStyle w:val="FootnoteText"/>
      </w:pPr>
      <w:r>
        <w:rPr>
          <w:rStyle w:val="FootnoteReference"/>
        </w:rPr>
        <w:footnoteRef/>
      </w:r>
      <w:r>
        <w:t xml:space="preserve"> </w:t>
      </w:r>
      <w:r>
        <w:tab/>
        <w:t>SP AusNet did not propose any remaining asset lives as at 1 April 2014 for its asset classes. As discussed in section</w:t>
      </w:r>
      <w:r w:rsidRPr="0011634E">
        <w:t xml:space="preserve"> </w:t>
      </w:r>
      <w:r>
        <w:t>6.4.2</w:t>
      </w:r>
      <w:r w:rsidRPr="0011634E">
        <w:t>, we accept SP AusNet's approach for determining the depreciation allowance for the 2014–17 regulatory control period</w:t>
      </w:r>
      <w:r>
        <w:t>.</w:t>
      </w:r>
    </w:p>
  </w:footnote>
  <w:footnote w:id="434">
    <w:p w:rsidR="009E166E" w:rsidRDefault="009E166E" w:rsidP="0088341A">
      <w:pPr>
        <w:pStyle w:val="FootnoteText"/>
      </w:pPr>
      <w:r>
        <w:rPr>
          <w:rStyle w:val="FootnoteReference"/>
        </w:rPr>
        <w:footnoteRef/>
      </w:r>
      <w:r>
        <w:t xml:space="preserve"> </w:t>
      </w:r>
      <w:r>
        <w:tab/>
        <w:t xml:space="preserve">EUCV, </w:t>
      </w:r>
      <w:r w:rsidRPr="00FF0CA8">
        <w:rPr>
          <w:rStyle w:val="AERtextitalic"/>
        </w:rPr>
        <w:t>Response to 2013 AER review of Victorian electricity transmission</w:t>
      </w:r>
      <w:r>
        <w:t>, 2013, p. 27.</w:t>
      </w:r>
    </w:p>
  </w:footnote>
  <w:footnote w:id="435">
    <w:p w:rsidR="009E166E" w:rsidRDefault="009E166E" w:rsidP="0088341A">
      <w:pPr>
        <w:pStyle w:val="FootnoteText"/>
      </w:pPr>
      <w:r>
        <w:rPr>
          <w:rStyle w:val="FootnoteReference"/>
        </w:rPr>
        <w:footnoteRef/>
      </w:r>
      <w:r>
        <w:t xml:space="preserve"> </w:t>
      </w:r>
      <w:r>
        <w:tab/>
        <w:t>NER, clause 6A.6.3(b).</w:t>
      </w:r>
    </w:p>
  </w:footnote>
  <w:footnote w:id="436">
    <w:p w:rsidR="009E166E" w:rsidRDefault="009E166E" w:rsidP="0088341A">
      <w:pPr>
        <w:pStyle w:val="FootnoteText"/>
      </w:pPr>
      <w:r>
        <w:rPr>
          <w:rStyle w:val="FootnoteReference"/>
        </w:rPr>
        <w:footnoteRef/>
      </w:r>
      <w:r>
        <w:t xml:space="preserve"> </w:t>
      </w:r>
      <w:r>
        <w:tab/>
        <w:t>NER, clause 6A.5.4(a)(4).</w:t>
      </w:r>
    </w:p>
  </w:footnote>
  <w:footnote w:id="437">
    <w:p w:rsidR="009E166E" w:rsidRDefault="009E166E" w:rsidP="0088341A">
      <w:pPr>
        <w:pStyle w:val="FootnoteText"/>
      </w:pPr>
      <w:r>
        <w:rPr>
          <w:rStyle w:val="FootnoteReference"/>
        </w:rPr>
        <w:footnoteRef/>
      </w:r>
      <w:r>
        <w:t xml:space="preserve"> </w:t>
      </w:r>
      <w:r>
        <w:tab/>
        <w:t>NER, clause 6A.6.4.</w:t>
      </w:r>
    </w:p>
  </w:footnote>
  <w:footnote w:id="438">
    <w:p w:rsidR="009E166E" w:rsidRDefault="009E166E" w:rsidP="0088341A">
      <w:pPr>
        <w:pStyle w:val="FootnoteText"/>
      </w:pPr>
      <w:r>
        <w:rPr>
          <w:rStyle w:val="FootnoteReference"/>
        </w:rPr>
        <w:footnoteRef/>
      </w:r>
      <w:r>
        <w:t xml:space="preserve"> </w:t>
      </w:r>
      <w:r>
        <w:tab/>
        <w:t xml:space="preserve">SP AusNet, </w:t>
      </w:r>
      <w:r w:rsidRPr="00EA74AC">
        <w:rPr>
          <w:rStyle w:val="AERtextitalic"/>
        </w:rPr>
        <w:t>Re</w:t>
      </w:r>
      <w:r>
        <w:rPr>
          <w:rStyle w:val="AERtextitalic"/>
        </w:rPr>
        <w:t>venue</w:t>
      </w:r>
      <w:r w:rsidRPr="00EA74AC">
        <w:rPr>
          <w:rStyle w:val="AERtextitalic"/>
        </w:rPr>
        <w:t xml:space="preserve"> proposal</w:t>
      </w:r>
      <w:r>
        <w:t>, 28 February 2013, p. 175.</w:t>
      </w:r>
    </w:p>
  </w:footnote>
  <w:footnote w:id="439">
    <w:p w:rsidR="009E166E" w:rsidRDefault="009E166E" w:rsidP="0088341A">
      <w:pPr>
        <w:pStyle w:val="FootnoteText"/>
      </w:pPr>
      <w:r>
        <w:rPr>
          <w:rStyle w:val="FootnoteReference"/>
        </w:rPr>
        <w:footnoteRef/>
      </w:r>
      <w:r>
        <w:t xml:space="preserve"> </w:t>
      </w:r>
      <w:r>
        <w:tab/>
        <w:t xml:space="preserve">SP AusNet, </w:t>
      </w:r>
      <w:r w:rsidRPr="00EB3C24">
        <w:rPr>
          <w:rStyle w:val="AERtextitalic"/>
        </w:rPr>
        <w:t>PTRM</w:t>
      </w:r>
      <w:r>
        <w:t>, February 2013.</w:t>
      </w:r>
    </w:p>
  </w:footnote>
  <w:footnote w:id="440">
    <w:p w:rsidR="009E166E" w:rsidRDefault="009E166E" w:rsidP="0088341A">
      <w:pPr>
        <w:pStyle w:val="FootnoteText"/>
      </w:pPr>
      <w:r>
        <w:rPr>
          <w:rStyle w:val="FootnoteReference"/>
        </w:rPr>
        <w:footnoteRef/>
      </w:r>
      <w:r>
        <w:t xml:space="preserve"> </w:t>
      </w:r>
      <w:r>
        <w:tab/>
        <w:t xml:space="preserve">SP AusNet, </w:t>
      </w:r>
      <w:r w:rsidRPr="00EB3C24">
        <w:rPr>
          <w:rStyle w:val="AERtextitalic"/>
        </w:rPr>
        <w:t>PTRM</w:t>
      </w:r>
      <w:r>
        <w:t>, February 2013.</w:t>
      </w:r>
    </w:p>
  </w:footnote>
  <w:footnote w:id="441">
    <w:p w:rsidR="009E166E" w:rsidRDefault="009E166E" w:rsidP="0088341A">
      <w:pPr>
        <w:pStyle w:val="FootnoteText"/>
      </w:pPr>
      <w:r>
        <w:rPr>
          <w:rStyle w:val="FootnoteReference"/>
        </w:rPr>
        <w:footnoteRef/>
      </w:r>
      <w:r>
        <w:t xml:space="preserve"> </w:t>
      </w:r>
      <w:r>
        <w:tab/>
        <w:t>NER, clause 6A.6.4(a)(2).</w:t>
      </w:r>
    </w:p>
  </w:footnote>
  <w:footnote w:id="442">
    <w:p w:rsidR="009E166E" w:rsidRDefault="009E166E" w:rsidP="0088341A">
      <w:pPr>
        <w:pStyle w:val="FootnoteText"/>
      </w:pPr>
      <w:r>
        <w:rPr>
          <w:rStyle w:val="FootnoteReference"/>
        </w:rPr>
        <w:footnoteRef/>
      </w:r>
      <w:r>
        <w:t xml:space="preserve"> </w:t>
      </w:r>
      <w:r>
        <w:tab/>
        <w:t>The weighted average method involves weighting the remaining life of each capital stream within an asset class (that is, the opening tax capital value and the capital expenditures for each year) by the closing tax capital value of that capital stream as a proportion of the total closing tax capital value of the asset class as a whole. The resulting individual values for each capital stream are then added together to obtain the overall weighted average remaining life of the asset class.</w:t>
      </w:r>
    </w:p>
  </w:footnote>
  <w:footnote w:id="443">
    <w:p w:rsidR="009E166E" w:rsidRDefault="009E166E" w:rsidP="0088341A">
      <w:pPr>
        <w:pStyle w:val="FootnoteText"/>
      </w:pPr>
      <w:r>
        <w:rPr>
          <w:rStyle w:val="FootnoteReference"/>
        </w:rPr>
        <w:footnoteRef/>
      </w:r>
      <w:r>
        <w:t xml:space="preserve"> </w:t>
      </w:r>
      <w:r>
        <w:tab/>
        <w:t xml:space="preserve">The value of gamma is also discussed in attachment </w:t>
      </w:r>
      <w:r w:rsidRPr="004C519C">
        <w:t>4</w:t>
      </w:r>
      <w:r>
        <w:t xml:space="preserve"> regarding the cost of capital.</w:t>
      </w:r>
    </w:p>
  </w:footnote>
  <w:footnote w:id="444">
    <w:p w:rsidR="009E166E" w:rsidRDefault="009E166E" w:rsidP="0088341A">
      <w:pPr>
        <w:pStyle w:val="FootnoteText"/>
      </w:pPr>
      <w:r>
        <w:rPr>
          <w:rStyle w:val="FootnoteReference"/>
        </w:rPr>
        <w:footnoteRef/>
      </w:r>
      <w:r>
        <w:t xml:space="preserve"> </w:t>
      </w:r>
      <w:r>
        <w:tab/>
        <w:t>NER, clause 6A.6.4.</w:t>
      </w:r>
    </w:p>
  </w:footnote>
  <w:footnote w:id="445">
    <w:p w:rsidR="009E166E" w:rsidRPr="005A115D" w:rsidRDefault="009E166E" w:rsidP="0088341A">
      <w:pPr>
        <w:pStyle w:val="FootnoteText"/>
      </w:pPr>
      <w:r>
        <w:rPr>
          <w:rStyle w:val="FootnoteReference"/>
        </w:rPr>
        <w:footnoteRef/>
      </w:r>
      <w:r>
        <w:t xml:space="preserve"> </w:t>
      </w:r>
      <w:r>
        <w:tab/>
      </w:r>
      <w:r w:rsidRPr="005A115D">
        <w:t xml:space="preserve">ATO, </w:t>
      </w:r>
      <w:r w:rsidRPr="00EA74AC">
        <w:rPr>
          <w:rStyle w:val="AERtextitalic"/>
        </w:rPr>
        <w:t>Guide to depreciating assets 2001-02: Business related costs</w:t>
      </w:r>
      <w:r>
        <w:rPr>
          <w:rStyle w:val="AERtextitalic"/>
        </w:rPr>
        <w:t>—</w:t>
      </w:r>
      <w:r w:rsidRPr="00EA74AC">
        <w:rPr>
          <w:rStyle w:val="AERtextitalic"/>
        </w:rPr>
        <w:t>section 40-880 deductions</w:t>
      </w:r>
      <w:r>
        <w:t xml:space="preserve">, ATO reference; NO NAT7170, p. 25. </w:t>
      </w:r>
    </w:p>
  </w:footnote>
  <w:footnote w:id="446">
    <w:p w:rsidR="009E166E" w:rsidRDefault="009E166E" w:rsidP="0088341A">
      <w:pPr>
        <w:pStyle w:val="FootnoteText"/>
      </w:pPr>
      <w:r>
        <w:rPr>
          <w:rStyle w:val="FootnoteReference"/>
        </w:rPr>
        <w:footnoteRef/>
      </w:r>
      <w:r>
        <w:t xml:space="preserve"> </w:t>
      </w:r>
      <w:r>
        <w:tab/>
        <w:t xml:space="preserve">AER, </w:t>
      </w:r>
      <w:r w:rsidRPr="00EB3C24">
        <w:rPr>
          <w:rStyle w:val="AERtextitalic"/>
        </w:rPr>
        <w:t>Draft decision: Powerlink transmission determination 2012–13 to 2016–17</w:t>
      </w:r>
      <w:r>
        <w:t>, November 2011, pp. 265–266.</w:t>
      </w:r>
    </w:p>
  </w:footnote>
  <w:footnote w:id="447">
    <w:p w:rsidR="009E166E" w:rsidRDefault="009E166E" w:rsidP="0088341A">
      <w:pPr>
        <w:pStyle w:val="FootnoteText"/>
      </w:pPr>
      <w:r>
        <w:rPr>
          <w:rStyle w:val="FootnoteReference"/>
        </w:rPr>
        <w:footnoteRef/>
      </w:r>
      <w:r>
        <w:t xml:space="preserve"> </w:t>
      </w:r>
      <w:r>
        <w:tab/>
        <w:t xml:space="preserve">NER, </w:t>
      </w:r>
      <w:r w:rsidRPr="00C66116">
        <w:t>clause 6</w:t>
      </w:r>
      <w:r>
        <w:t>A</w:t>
      </w:r>
      <w:r w:rsidRPr="00C66116">
        <w:t>.</w:t>
      </w:r>
      <w:r>
        <w:t>6</w:t>
      </w:r>
      <w:r w:rsidRPr="00C66116">
        <w:t>.</w:t>
      </w:r>
      <w:r>
        <w:t>4</w:t>
      </w:r>
      <w:r w:rsidRPr="00C66116">
        <w:t>(</w:t>
      </w:r>
      <w:r>
        <w:t>a</w:t>
      </w:r>
      <w:r w:rsidRPr="00C66116">
        <w:t>)(</w:t>
      </w:r>
      <w:r>
        <w:t>2</w:t>
      </w:r>
      <w:r w:rsidRPr="00C66116">
        <w:t>)</w:t>
      </w:r>
      <w:r>
        <w:t>.</w:t>
      </w:r>
    </w:p>
  </w:footnote>
  <w:footnote w:id="448">
    <w:p w:rsidR="009E166E" w:rsidRDefault="009E166E" w:rsidP="0088341A">
      <w:pPr>
        <w:pStyle w:val="FootnoteText"/>
      </w:pPr>
      <w:r>
        <w:rPr>
          <w:rStyle w:val="FootnoteReference"/>
        </w:rPr>
        <w:footnoteRef/>
      </w:r>
      <w:r>
        <w:t xml:space="preserve"> </w:t>
      </w:r>
      <w:r>
        <w:tab/>
      </w:r>
      <w:r w:rsidRPr="008914BF">
        <w:t>At the time of this draft decision</w:t>
      </w:r>
      <w:r>
        <w:t>,</w:t>
      </w:r>
      <w:r w:rsidRPr="008914BF">
        <w:t xml:space="preserve"> the roll forward of </w:t>
      </w:r>
      <w:r>
        <w:t>SP AusNet's TAB</w:t>
      </w:r>
      <w:r w:rsidRPr="008914BF">
        <w:t xml:space="preserve"> includes </w:t>
      </w:r>
      <w:r>
        <w:t>estimated</w:t>
      </w:r>
      <w:r w:rsidRPr="008914BF">
        <w:t xml:space="preserve"> capex</w:t>
      </w:r>
      <w:r>
        <w:t xml:space="preserve"> values</w:t>
      </w:r>
      <w:r w:rsidRPr="008914BF">
        <w:t xml:space="preserve"> for </w:t>
      </w:r>
      <w:r>
        <w:t>2012–13 and 2013–14. We will update the 2012–13 estimated capex value for our final decision with the actual value. We may update the 2013–14 capex value if SP AusNet's revised proposal includes a more up-to-date estimate. The 2012–13 and 2013–14</w:t>
      </w:r>
      <w:r w:rsidRPr="008914BF">
        <w:t xml:space="preserve"> capex </w:t>
      </w:r>
      <w:r>
        <w:t>values are</w:t>
      </w:r>
      <w:r w:rsidRPr="008914BF">
        <w:t xml:space="preserve"> used to calculate the weighted average remaining tax asset lives </w:t>
      </w:r>
      <w:r>
        <w:t>in the RFM</w:t>
      </w:r>
      <w:r w:rsidRPr="008914BF">
        <w:t xml:space="preserve">. Therefore, </w:t>
      </w:r>
      <w:r>
        <w:t>we</w:t>
      </w:r>
      <w:r w:rsidRPr="008914BF">
        <w:t xml:space="preserve"> </w:t>
      </w:r>
      <w:r>
        <w:t>will</w:t>
      </w:r>
      <w:r w:rsidRPr="008914BF">
        <w:t xml:space="preserve"> recalculate </w:t>
      </w:r>
      <w:r>
        <w:t>SP AusNet's</w:t>
      </w:r>
      <w:r w:rsidRPr="008914BF">
        <w:t xml:space="preserve"> remaining tax asset lives</w:t>
      </w:r>
      <w:r>
        <w:t xml:space="preserve"> as at 1 April 2014</w:t>
      </w:r>
      <w:r w:rsidRPr="008914BF">
        <w:t xml:space="preserve"> using the method approved in this draft decision to reflect the </w:t>
      </w:r>
      <w:r>
        <w:t>actual 2012–13</w:t>
      </w:r>
      <w:r w:rsidRPr="008914BF">
        <w:t xml:space="preserve"> capex </w:t>
      </w:r>
      <w:r>
        <w:t xml:space="preserve">(and the 2013–14 capex revised estimate where relevant) </w:t>
      </w:r>
      <w:r w:rsidRPr="008914BF">
        <w:t>for the final decision.</w:t>
      </w:r>
    </w:p>
  </w:footnote>
  <w:footnote w:id="449">
    <w:p w:rsidR="009E166E" w:rsidRDefault="009E166E" w:rsidP="0088341A">
      <w:pPr>
        <w:pStyle w:val="FootnoteText"/>
      </w:pPr>
      <w:r>
        <w:rPr>
          <w:rStyle w:val="FootnoteReference"/>
        </w:rPr>
        <w:footnoteRef/>
      </w:r>
      <w:r>
        <w:t xml:space="preserve"> </w:t>
      </w:r>
      <w:r>
        <w:tab/>
      </w:r>
      <w:r w:rsidRPr="000F0122">
        <w:t>NER, clause</w:t>
      </w:r>
      <w:r>
        <w:t>s</w:t>
      </w:r>
      <w:r w:rsidRPr="000F0122">
        <w:t xml:space="preserve"> 6A.4.2(a)(1)–(3) and 6A.6.8.</w:t>
      </w:r>
    </w:p>
  </w:footnote>
  <w:footnote w:id="450">
    <w:p w:rsidR="009E166E" w:rsidRDefault="009E166E" w:rsidP="0088341A">
      <w:pPr>
        <w:pStyle w:val="FootnoteText"/>
      </w:pPr>
      <w:r>
        <w:rPr>
          <w:rStyle w:val="FootnoteReference"/>
        </w:rPr>
        <w:footnoteRef/>
      </w:r>
      <w:r>
        <w:t xml:space="preserve"> </w:t>
      </w:r>
      <w:r>
        <w:tab/>
      </w:r>
      <w:r w:rsidRPr="00F270BE">
        <w:t xml:space="preserve">The estimated total revenue cap is equal to the total </w:t>
      </w:r>
      <w:r>
        <w:t xml:space="preserve">of the </w:t>
      </w:r>
      <w:r w:rsidRPr="00F270BE">
        <w:t>annual expected MAR</w:t>
      </w:r>
      <w:r>
        <w:t xml:space="preserve"> over the 2014–17 regulatory control period</w:t>
      </w:r>
      <w:r w:rsidRPr="00F270BE">
        <w:t>.</w:t>
      </w:r>
    </w:p>
  </w:footnote>
  <w:footnote w:id="451">
    <w:p w:rsidR="009E166E" w:rsidRDefault="009E166E" w:rsidP="0088341A">
      <w:pPr>
        <w:pStyle w:val="FootnoteText"/>
      </w:pPr>
      <w:r>
        <w:rPr>
          <w:rStyle w:val="FootnoteReference"/>
        </w:rPr>
        <w:footnoteRef/>
      </w:r>
      <w:r>
        <w:t xml:space="preserve"> </w:t>
      </w:r>
      <w:r>
        <w:tab/>
      </w:r>
      <w:r w:rsidRPr="00F270BE">
        <w:t xml:space="preserve">Consistent with </w:t>
      </w:r>
      <w:r>
        <w:t>SP AusNet's</w:t>
      </w:r>
      <w:r w:rsidRPr="00F270BE">
        <w:t xml:space="preserve"> proposal, </w:t>
      </w:r>
      <w:r>
        <w:t>we</w:t>
      </w:r>
      <w:r w:rsidRPr="00F270BE">
        <w:t xml:space="preserve"> ha</w:t>
      </w:r>
      <w:r>
        <w:t>ve</w:t>
      </w:r>
      <w:r w:rsidRPr="00F270BE">
        <w:t xml:space="preserve"> determined a constant X factor to apply over the </w:t>
      </w:r>
      <w:r>
        <w:t>2014–17</w:t>
      </w:r>
      <w:r w:rsidRPr="00F270BE">
        <w:t xml:space="preserve"> regulatory control period.</w:t>
      </w:r>
    </w:p>
  </w:footnote>
  <w:footnote w:id="452">
    <w:p w:rsidR="009E166E" w:rsidRDefault="009E166E" w:rsidP="0088341A">
      <w:pPr>
        <w:pStyle w:val="FootnoteText"/>
      </w:pPr>
      <w:r>
        <w:rPr>
          <w:rStyle w:val="FootnoteReference"/>
        </w:rPr>
        <w:footnoteRef/>
      </w:r>
      <w:r>
        <w:t xml:space="preserve"> </w:t>
      </w:r>
      <w:r>
        <w:tab/>
        <w:t>NER, clauses 6A.14.1(i)–(ii).</w:t>
      </w:r>
    </w:p>
  </w:footnote>
  <w:footnote w:id="453">
    <w:p w:rsidR="009E166E" w:rsidRDefault="009E166E" w:rsidP="0088341A">
      <w:pPr>
        <w:pStyle w:val="FootnoteText"/>
      </w:pPr>
      <w:r>
        <w:rPr>
          <w:rStyle w:val="FootnoteReference"/>
        </w:rPr>
        <w:footnoteRef/>
      </w:r>
      <w:r>
        <w:t xml:space="preserve"> </w:t>
      </w:r>
      <w:r>
        <w:tab/>
        <w:t>NER, clause 6A.5.4.</w:t>
      </w:r>
    </w:p>
  </w:footnote>
  <w:footnote w:id="454">
    <w:p w:rsidR="009E166E" w:rsidRDefault="009E166E" w:rsidP="0088341A">
      <w:pPr>
        <w:pStyle w:val="FootnoteText"/>
      </w:pPr>
      <w:r>
        <w:rPr>
          <w:rStyle w:val="FootnoteReference"/>
        </w:rPr>
        <w:footnoteRef/>
      </w:r>
      <w:r>
        <w:t xml:space="preserve"> </w:t>
      </w:r>
      <w:r>
        <w:tab/>
        <w:t xml:space="preserve">NER, clause 6A.5. </w:t>
      </w:r>
    </w:p>
  </w:footnote>
  <w:footnote w:id="455">
    <w:p w:rsidR="009E166E" w:rsidRDefault="009E166E" w:rsidP="0088341A">
      <w:pPr>
        <w:pStyle w:val="FootnoteText"/>
      </w:pPr>
      <w:r>
        <w:rPr>
          <w:rStyle w:val="FootnoteReference"/>
        </w:rPr>
        <w:footnoteRef/>
      </w:r>
      <w:r>
        <w:t xml:space="preserve"> </w:t>
      </w:r>
      <w:r>
        <w:tab/>
        <w:t>NER, clauses 6A.5.3 and 6A.6.8.</w:t>
      </w:r>
    </w:p>
  </w:footnote>
  <w:footnote w:id="456">
    <w:p w:rsidR="009E166E" w:rsidRDefault="009E166E" w:rsidP="0088341A">
      <w:pPr>
        <w:pStyle w:val="FootnoteText"/>
      </w:pPr>
      <w:r>
        <w:rPr>
          <w:rStyle w:val="FootnoteReference"/>
        </w:rPr>
        <w:footnoteRef/>
      </w:r>
      <w:r>
        <w:t xml:space="preserve"> </w:t>
      </w:r>
      <w:r>
        <w:tab/>
        <w:t>NER, clause 6A.5.1(a).</w:t>
      </w:r>
    </w:p>
  </w:footnote>
  <w:footnote w:id="457">
    <w:p w:rsidR="009E166E" w:rsidRDefault="009E166E" w:rsidP="0088341A">
      <w:pPr>
        <w:pStyle w:val="FootnoteText"/>
      </w:pPr>
      <w:r>
        <w:rPr>
          <w:rStyle w:val="FootnoteReference"/>
        </w:rPr>
        <w:footnoteRef/>
      </w:r>
      <w:r>
        <w:t xml:space="preserve"> </w:t>
      </w:r>
      <w:r>
        <w:tab/>
        <w:t>The MAR for year 1 of the next regulatory control period may include adjustment for the performance incentive that applied during the previous regulatory control period, and under or over recovery adjustments from previous regulatory years.</w:t>
      </w:r>
    </w:p>
  </w:footnote>
  <w:footnote w:id="458">
    <w:p w:rsidR="009E166E" w:rsidRDefault="009E166E" w:rsidP="0088341A">
      <w:pPr>
        <w:pStyle w:val="FootnoteText"/>
      </w:pPr>
      <w:r>
        <w:rPr>
          <w:rStyle w:val="FootnoteReference"/>
        </w:rPr>
        <w:footnoteRef/>
      </w:r>
      <w:r>
        <w:t xml:space="preserve"> </w:t>
      </w:r>
      <w:r>
        <w:tab/>
        <w:t>In the case of making the annual adjustment for year 2, the previous year's AR would be the same as the annual building block revenue requirement for year 1.</w:t>
      </w:r>
    </w:p>
  </w:footnote>
  <w:footnote w:id="459">
    <w:p w:rsidR="009E166E" w:rsidRDefault="009E166E" w:rsidP="0088341A">
      <w:pPr>
        <w:pStyle w:val="FootnoteText"/>
      </w:pPr>
      <w:r>
        <w:rPr>
          <w:rStyle w:val="FootnoteReference"/>
        </w:rPr>
        <w:footnoteRef/>
      </w:r>
      <w:r>
        <w:t xml:space="preserve"> </w:t>
      </w:r>
      <w:r>
        <w:tab/>
        <w:t>In the 2008–14 transmission determination, the CPI required for the annual MAR adjustment process reflects the December quarter CPI, which is typically published by the ABS in late January of the following year. For this transmission determination we require SP AusNet to use the September quarter CPI for the annual MAR adjustment for the 2014–17 regulatory control period. The same set of CPI will be used for the RAB roll forward at the next reset for SP AusNet</w:t>
      </w:r>
      <w:r w:rsidRPr="007E1FDA">
        <w:t xml:space="preserve"> (</w:t>
      </w:r>
      <w:r>
        <w:t xml:space="preserve">31 January </w:t>
      </w:r>
      <w:r w:rsidRPr="007E1FDA">
        <w:t>2017)</w:t>
      </w:r>
      <w:r>
        <w:t>. This change will ensure the release of the September quarter CPI is available (typically towards the end of October) for use well before the publication date of the AER's final decision at</w:t>
      </w:r>
      <w:r w:rsidRPr="007E1FDA">
        <w:t xml:space="preserve"> the next </w:t>
      </w:r>
      <w:r>
        <w:t>reset</w:t>
      </w:r>
      <w:r w:rsidRPr="007E1FDA">
        <w:t>.</w:t>
      </w:r>
    </w:p>
  </w:footnote>
  <w:footnote w:id="460">
    <w:p w:rsidR="009E166E" w:rsidRDefault="009E166E" w:rsidP="0088341A">
      <w:pPr>
        <w:pStyle w:val="FootnoteText"/>
      </w:pPr>
      <w:r>
        <w:rPr>
          <w:rStyle w:val="FootnoteReference"/>
        </w:rPr>
        <w:footnoteRef/>
      </w:r>
      <w:r>
        <w:t xml:space="preserve"> </w:t>
      </w:r>
      <w:r>
        <w:tab/>
        <w:t>NER, clauses 6A.7.4 and 6A.7.3.</w:t>
      </w:r>
    </w:p>
  </w:footnote>
  <w:footnote w:id="461">
    <w:p w:rsidR="009E166E" w:rsidRDefault="009E166E" w:rsidP="0088341A">
      <w:pPr>
        <w:pStyle w:val="FootnoteText"/>
      </w:pPr>
      <w:r>
        <w:rPr>
          <w:rStyle w:val="FootnoteReference"/>
        </w:rPr>
        <w:footnoteRef/>
      </w:r>
      <w:r>
        <w:t xml:space="preserve"> </w:t>
      </w:r>
      <w:r>
        <w:tab/>
        <w:t xml:space="preserve">NER, clauses 6A.7.2 and 6A.7.3. </w:t>
      </w:r>
    </w:p>
  </w:footnote>
  <w:footnote w:id="462">
    <w:p w:rsidR="009E166E" w:rsidRDefault="009E166E" w:rsidP="0088341A">
      <w:pPr>
        <w:pStyle w:val="FootnoteText"/>
      </w:pPr>
      <w:r>
        <w:rPr>
          <w:rStyle w:val="FootnoteReference"/>
        </w:rPr>
        <w:footnoteRef/>
      </w:r>
      <w:r>
        <w:t xml:space="preserve"> </w:t>
      </w:r>
      <w:r>
        <w:tab/>
        <w:t>NER, clauses 6A.23.3(c)(2)(iii) and 6A.24.4(c).</w:t>
      </w:r>
    </w:p>
  </w:footnote>
  <w:footnote w:id="463">
    <w:p w:rsidR="009E166E" w:rsidRDefault="009E166E" w:rsidP="0088341A">
      <w:pPr>
        <w:pStyle w:val="FootnoteText"/>
      </w:pPr>
      <w:r>
        <w:rPr>
          <w:rStyle w:val="FootnoteReference"/>
        </w:rPr>
        <w:footnoteRef/>
      </w:r>
      <w:r>
        <w:t xml:space="preserve"> </w:t>
      </w:r>
      <w:r>
        <w:tab/>
        <w:t>NER, clause 6A.24.1(d).</w:t>
      </w:r>
    </w:p>
  </w:footnote>
  <w:footnote w:id="464">
    <w:p w:rsidR="009E166E" w:rsidRDefault="009E166E" w:rsidP="0088341A">
      <w:pPr>
        <w:pStyle w:val="FootnoteText"/>
      </w:pPr>
      <w:r>
        <w:rPr>
          <w:rStyle w:val="FootnoteReference"/>
        </w:rPr>
        <w:footnoteRef/>
      </w:r>
      <w:r>
        <w:t xml:space="preserve"> </w:t>
      </w:r>
      <w:r>
        <w:tab/>
        <w:t xml:space="preserve">SP AusNet, </w:t>
      </w:r>
      <w:r>
        <w:rPr>
          <w:rStyle w:val="AERtextitalic"/>
        </w:rPr>
        <w:t>R</w:t>
      </w:r>
      <w:r w:rsidRPr="00B7484D">
        <w:rPr>
          <w:rStyle w:val="AERtextitalic"/>
        </w:rPr>
        <w:t>evenue proposal</w:t>
      </w:r>
      <w:r>
        <w:t>, p. 189.</w:t>
      </w:r>
    </w:p>
  </w:footnote>
  <w:footnote w:id="465">
    <w:p w:rsidR="009E166E" w:rsidRDefault="009E166E" w:rsidP="0088341A">
      <w:pPr>
        <w:pStyle w:val="FootnoteText"/>
      </w:pPr>
      <w:r>
        <w:rPr>
          <w:rStyle w:val="FootnoteReference"/>
        </w:rPr>
        <w:footnoteRef/>
      </w:r>
      <w:r>
        <w:t xml:space="preserve"> </w:t>
      </w:r>
      <w:r>
        <w:tab/>
        <w:t>NER, clause 6A.5.3(c)(2).</w:t>
      </w:r>
    </w:p>
  </w:footnote>
  <w:footnote w:id="466">
    <w:p w:rsidR="009E166E" w:rsidRDefault="009E166E" w:rsidP="0088341A">
      <w:pPr>
        <w:pStyle w:val="FootnoteText"/>
      </w:pPr>
      <w:r>
        <w:rPr>
          <w:rStyle w:val="FootnoteReference"/>
        </w:rPr>
        <w:footnoteRef/>
      </w:r>
      <w:r>
        <w:t xml:space="preserve"> </w:t>
      </w:r>
      <w:r>
        <w:tab/>
        <w:t>The MAR for the last year of the 2008–14 regulatory control period (2013–14) is approximately $546.2 million.</w:t>
      </w:r>
    </w:p>
  </w:footnote>
  <w:footnote w:id="467">
    <w:p w:rsidR="009E166E" w:rsidRDefault="009E166E" w:rsidP="0088341A">
      <w:pPr>
        <w:pStyle w:val="FootnoteText"/>
      </w:pPr>
      <w:r>
        <w:rPr>
          <w:rStyle w:val="FootnoteReference"/>
        </w:rPr>
        <w:footnoteRef/>
      </w:r>
      <w:r>
        <w:t xml:space="preserve"> </w:t>
      </w:r>
      <w:r>
        <w:tab/>
        <w:t>NER, clause 6A.5.3(c)(3).</w:t>
      </w:r>
    </w:p>
  </w:footnote>
  <w:footnote w:id="468">
    <w:p w:rsidR="009E166E" w:rsidRDefault="009E166E" w:rsidP="0088341A">
      <w:pPr>
        <w:pStyle w:val="FootnoteText"/>
      </w:pPr>
      <w:r>
        <w:rPr>
          <w:rStyle w:val="FootnoteReference"/>
        </w:rPr>
        <w:footnoteRef/>
      </w:r>
      <w:r>
        <w:t xml:space="preserve"> </w:t>
      </w:r>
      <w:r>
        <w:tab/>
        <w:t xml:space="preserve">NER, </w:t>
      </w:r>
      <w:r w:rsidRPr="00FC276A">
        <w:t>clause 6A.6.8(c)(2)</w:t>
      </w:r>
      <w:r>
        <w:t>.</w:t>
      </w:r>
    </w:p>
  </w:footnote>
  <w:footnote w:id="469">
    <w:p w:rsidR="009E166E" w:rsidRDefault="009E166E" w:rsidP="0088341A">
      <w:pPr>
        <w:pStyle w:val="FootnoteText"/>
      </w:pPr>
      <w:r>
        <w:rPr>
          <w:rStyle w:val="FootnoteReference"/>
        </w:rPr>
        <w:footnoteRef/>
      </w:r>
      <w:r>
        <w:t xml:space="preserve"> </w:t>
      </w:r>
      <w:r>
        <w:tab/>
        <w:t xml:space="preserve">EUCV, </w:t>
      </w:r>
      <w:r w:rsidRPr="00CB38CA">
        <w:rPr>
          <w:rStyle w:val="AERtextitalic"/>
        </w:rPr>
        <w:t>AER Victorian electricity transmission revenue reset SP AusNet application</w:t>
      </w:r>
      <w:r>
        <w:t xml:space="preserve">, May 2013, p. 3. EUAA, </w:t>
      </w:r>
      <w:r w:rsidRPr="00CB38CA">
        <w:rPr>
          <w:rStyle w:val="AERtextitalic"/>
        </w:rPr>
        <w:t>Submission to the AER on SPI PowerNet Pty Ltd electricity transmission revenue proposal 2014/15–2016/17</w:t>
      </w:r>
      <w:r>
        <w:t>, May 2013, p. 6.</w:t>
      </w:r>
    </w:p>
  </w:footnote>
  <w:footnote w:id="470">
    <w:p w:rsidR="009E166E" w:rsidRDefault="009E166E" w:rsidP="0088341A">
      <w:pPr>
        <w:pStyle w:val="FootnoteText"/>
      </w:pPr>
      <w:r>
        <w:rPr>
          <w:rStyle w:val="FootnoteReference"/>
        </w:rPr>
        <w:footnoteRef/>
      </w:r>
      <w:r>
        <w:t xml:space="preserve"> </w:t>
      </w:r>
      <w:r>
        <w:tab/>
      </w:r>
      <w:r w:rsidRPr="00FC276A">
        <w:t xml:space="preserve">In </w:t>
      </w:r>
      <w:r>
        <w:t>real dollar terms</w:t>
      </w:r>
      <w:r w:rsidRPr="00FC276A">
        <w:t>, t</w:t>
      </w:r>
      <w:r>
        <w:t>he average de</w:t>
      </w:r>
      <w:r w:rsidRPr="00FC276A">
        <w:t xml:space="preserve">crease </w:t>
      </w:r>
      <w:r>
        <w:t>in our approved expected MAR for SP AusNet</w:t>
      </w:r>
      <w:r w:rsidRPr="00FC276A">
        <w:t xml:space="preserve"> </w:t>
      </w:r>
      <w:r>
        <w:t>is</w:t>
      </w:r>
      <w:r w:rsidRPr="00FC276A">
        <w:t xml:space="preserve"> </w:t>
      </w:r>
      <w:r>
        <w:t xml:space="preserve">5.3 </w:t>
      </w:r>
      <w:r w:rsidRPr="00FC276A">
        <w:t>per cent per annum over the</w:t>
      </w:r>
      <w:r>
        <w:t xml:space="preserve"> 2013–18</w:t>
      </w:r>
      <w:r w:rsidRPr="00FC276A">
        <w:t xml:space="preserve"> regulatory control period</w:t>
      </w:r>
      <w:r>
        <w:t>. This</w:t>
      </w:r>
      <w:r w:rsidRPr="00FC276A">
        <w:t xml:space="preserve"> consists an initial decrease of </w:t>
      </w:r>
      <w:r>
        <w:t>7.3</w:t>
      </w:r>
      <w:r w:rsidRPr="00FC276A">
        <w:t xml:space="preserve"> per cent from 20</w:t>
      </w:r>
      <w:r>
        <w:t>13</w:t>
      </w:r>
      <w:r w:rsidRPr="00FC276A">
        <w:t>–</w:t>
      </w:r>
      <w:r>
        <w:t xml:space="preserve">14 </w:t>
      </w:r>
      <w:r w:rsidRPr="00FC276A">
        <w:t>to 20</w:t>
      </w:r>
      <w:r>
        <w:t>14</w:t>
      </w:r>
      <w:r w:rsidRPr="00FC276A">
        <w:t>–1</w:t>
      </w:r>
      <w:r>
        <w:t>5</w:t>
      </w:r>
      <w:r w:rsidRPr="00FC276A">
        <w:t xml:space="preserve"> an</w:t>
      </w:r>
      <w:r>
        <w:t>d a subsequent average annual de</w:t>
      </w:r>
      <w:r w:rsidRPr="00FC276A">
        <w:t xml:space="preserve">crease of </w:t>
      </w:r>
      <w:r>
        <w:t xml:space="preserve">4.3 </w:t>
      </w:r>
      <w:r w:rsidRPr="00FC276A">
        <w:t>per cent during the remainder</w:t>
      </w:r>
      <w:r>
        <w:t xml:space="preserve"> </w:t>
      </w:r>
      <w:r w:rsidRPr="00FC276A">
        <w:t xml:space="preserve">of the </w:t>
      </w:r>
      <w:r>
        <w:t>2014–17</w:t>
      </w:r>
      <w:r w:rsidRPr="00FC276A">
        <w:t xml:space="preserve"> regulatory control period.</w:t>
      </w:r>
    </w:p>
  </w:footnote>
  <w:footnote w:id="471">
    <w:p w:rsidR="009E166E" w:rsidRDefault="009E166E" w:rsidP="0088341A">
      <w:pPr>
        <w:pStyle w:val="FootnoteText"/>
      </w:pPr>
      <w:r>
        <w:rPr>
          <w:rStyle w:val="FootnoteReference"/>
        </w:rPr>
        <w:footnoteRef/>
      </w:r>
      <w:r>
        <w:t xml:space="preserve"> </w:t>
      </w:r>
      <w:r>
        <w:tab/>
        <w:t>Because the regulatory control periods compared are of different lengths, we calculated the annual average revenues for the relevant regulatory control periods for comparison.</w:t>
      </w:r>
    </w:p>
  </w:footnote>
  <w:footnote w:id="472">
    <w:p w:rsidR="009E166E" w:rsidRDefault="009E166E">
      <w:pPr>
        <w:pStyle w:val="FootnoteText"/>
      </w:pPr>
      <w:r>
        <w:rPr>
          <w:rStyle w:val="FootnoteReference"/>
        </w:rPr>
        <w:footnoteRef/>
      </w:r>
      <w:r>
        <w:t xml:space="preserve"> </w:t>
      </w:r>
      <w:r>
        <w:tab/>
        <w:t xml:space="preserve">Our draft decision WACC is 7.43 per cent and the approved WACC for 2008–14 is 9.76 per cent. </w:t>
      </w:r>
    </w:p>
  </w:footnote>
  <w:footnote w:id="473">
    <w:p w:rsidR="009E166E" w:rsidRDefault="009E166E" w:rsidP="0088341A">
      <w:pPr>
        <w:pStyle w:val="FootnoteText"/>
      </w:pPr>
      <w:r>
        <w:rPr>
          <w:rStyle w:val="FootnoteReference"/>
        </w:rPr>
        <w:footnoteRef/>
      </w:r>
      <w:r>
        <w:t xml:space="preserve"> </w:t>
      </w:r>
      <w:r>
        <w:tab/>
        <w:t xml:space="preserve">Murraylink, </w:t>
      </w:r>
      <w:r w:rsidRPr="00FD49AD">
        <w:rPr>
          <w:rStyle w:val="AERtextitalic"/>
        </w:rPr>
        <w:t>Pricing methodology</w:t>
      </w:r>
      <w:r>
        <w:t xml:space="preserve">, May 2012, p. 3. AER, </w:t>
      </w:r>
      <w:r w:rsidRPr="00E922B6">
        <w:rPr>
          <w:rStyle w:val="AERtextitalic"/>
        </w:rPr>
        <w:t>Murraylink transmission determination 2013–18</w:t>
      </w:r>
      <w:r>
        <w:t>, April 2013, p. 9. Murraylink is an interconnector that provides a path for the flow of electricity to the limit of its 220MW capacity, in both directions, between the South Australian and Victorian transmission networks. About 55 per cent of Murraylink's revenue is from its Victorian customers.</w:t>
      </w:r>
    </w:p>
  </w:footnote>
  <w:footnote w:id="474">
    <w:p w:rsidR="009E166E" w:rsidRDefault="009E166E" w:rsidP="0088341A">
      <w:pPr>
        <w:pStyle w:val="FootnoteText"/>
      </w:pPr>
      <w:r>
        <w:rPr>
          <w:rStyle w:val="FootnoteReference"/>
        </w:rPr>
        <w:footnoteRef/>
      </w:r>
      <w:r>
        <w:t xml:space="preserve"> </w:t>
      </w:r>
      <w:r>
        <w:tab/>
        <w:t>AEMO,</w:t>
      </w:r>
      <w:r w:rsidRPr="00424732">
        <w:t xml:space="preserve"> </w:t>
      </w:r>
      <w:r w:rsidRPr="00CC57BF">
        <w:rPr>
          <w:rStyle w:val="AERtextitalic"/>
        </w:rPr>
        <w:t>National electricity forecasting report</w:t>
      </w:r>
      <w:r w:rsidRPr="00424732">
        <w:t>, 201</w:t>
      </w:r>
      <w:r>
        <w:t>3, table 6-1, Medium.</w:t>
      </w:r>
    </w:p>
  </w:footnote>
  <w:footnote w:id="475">
    <w:p w:rsidR="009E166E" w:rsidRDefault="009E166E" w:rsidP="0088341A">
      <w:pPr>
        <w:pStyle w:val="FootnoteText"/>
      </w:pPr>
      <w:r>
        <w:rPr>
          <w:rStyle w:val="FootnoteReference"/>
        </w:rPr>
        <w:footnoteRef/>
      </w:r>
      <w:r>
        <w:t xml:space="preserve"> </w:t>
      </w:r>
      <w:r>
        <w:tab/>
        <w:t>T</w:t>
      </w:r>
      <w:r w:rsidRPr="00724E58">
        <w:t xml:space="preserve">he average </w:t>
      </w:r>
      <w:r>
        <w:t>decrease</w:t>
      </w:r>
      <w:r w:rsidRPr="00724E58">
        <w:t xml:space="preserve"> in </w:t>
      </w:r>
      <w:r>
        <w:t>our</w:t>
      </w:r>
      <w:r w:rsidRPr="00724E58">
        <w:t xml:space="preserve"> </w:t>
      </w:r>
      <w:r>
        <w:t>draft decision</w:t>
      </w:r>
      <w:r w:rsidRPr="00724E58">
        <w:t xml:space="preserve"> MAR </w:t>
      </w:r>
      <w:r>
        <w:t xml:space="preserve">($2013–14) </w:t>
      </w:r>
      <w:r w:rsidRPr="00724E58">
        <w:t xml:space="preserve">is </w:t>
      </w:r>
      <w:r>
        <w:t>5.2</w:t>
      </w:r>
      <w:r w:rsidRPr="00724E58">
        <w:t xml:space="preserve"> per cent per annum, whereas</w:t>
      </w:r>
      <w:r>
        <w:t xml:space="preserve"> </w:t>
      </w:r>
      <w:r w:rsidRPr="00724E58">
        <w:t xml:space="preserve">the average increase in the forecast energy delivered in </w:t>
      </w:r>
      <w:r>
        <w:t>Victoria</w:t>
      </w:r>
      <w:r w:rsidRPr="00724E58">
        <w:t xml:space="preserve"> is about </w:t>
      </w:r>
      <w:r>
        <w:t>1.5</w:t>
      </w:r>
      <w:r w:rsidRPr="00724E58">
        <w:t xml:space="preserve"> per cent per</w:t>
      </w:r>
      <w:r>
        <w:t xml:space="preserve"> </w:t>
      </w:r>
      <w:r w:rsidRPr="00724E58">
        <w:t xml:space="preserve">annum </w:t>
      </w:r>
      <w:r>
        <w:t>from 2013–14 to 2016–17</w:t>
      </w:r>
      <w:r w:rsidRPr="00724E58">
        <w:t>.</w:t>
      </w:r>
      <w:r>
        <w:t xml:space="preserve"> The reason for the transmission charge</w:t>
      </w:r>
      <w:r w:rsidRPr="00724E58">
        <w:t xml:space="preserve"> </w:t>
      </w:r>
      <w:r>
        <w:t>dec</w:t>
      </w:r>
      <w:r w:rsidRPr="00724E58">
        <w:t>rease</w:t>
      </w:r>
      <w:r>
        <w:t xml:space="preserve"> being larger than the revenue decrease is because</w:t>
      </w:r>
      <w:r w:rsidRPr="00724E58">
        <w:t xml:space="preserve"> </w:t>
      </w:r>
      <w:r>
        <w:t>our draft decision</w:t>
      </w:r>
      <w:r w:rsidRPr="00724E58">
        <w:t xml:space="preserve"> </w:t>
      </w:r>
      <w:r>
        <w:t xml:space="preserve">annual </w:t>
      </w:r>
      <w:r w:rsidRPr="00724E58">
        <w:t xml:space="preserve">MAR </w:t>
      </w:r>
      <w:r>
        <w:t xml:space="preserve">($2013–14) </w:t>
      </w:r>
      <w:r w:rsidRPr="00724E58">
        <w:t xml:space="preserve">is </w:t>
      </w:r>
      <w:r>
        <w:t xml:space="preserve">decreasing on average from 2013–14 to 2016–17 and </w:t>
      </w:r>
      <w:r w:rsidRPr="00724E58">
        <w:t xml:space="preserve">the </w:t>
      </w:r>
      <w:r>
        <w:t>annual</w:t>
      </w:r>
      <w:r w:rsidRPr="00724E58">
        <w:t xml:space="preserve"> forecast energy delivered </w:t>
      </w:r>
      <w:r>
        <w:t xml:space="preserve">in Victoria is increasing </w:t>
      </w:r>
      <w:r w:rsidRPr="00724E58">
        <w:t xml:space="preserve">over </w:t>
      </w:r>
      <w:r>
        <w:t xml:space="preserve">this </w:t>
      </w:r>
      <w:r w:rsidRPr="00724E58">
        <w:t xml:space="preserve">period. </w:t>
      </w:r>
      <w:r>
        <w:t xml:space="preserve">In nominal terms, this </w:t>
      </w:r>
      <w:r w:rsidRPr="00AF7BBB">
        <w:t>draft</w:t>
      </w:r>
      <w:r>
        <w:t xml:space="preserve"> decision will result in a de</w:t>
      </w:r>
      <w:r w:rsidRPr="00AF7BBB">
        <w:t>crease in average transmission</w:t>
      </w:r>
      <w:r>
        <w:t xml:space="preserve"> </w:t>
      </w:r>
      <w:r w:rsidRPr="00AF7BBB">
        <w:t xml:space="preserve">charges </w:t>
      </w:r>
      <w:r>
        <w:t>of 4.3</w:t>
      </w:r>
      <w:r w:rsidRPr="00AF7BBB">
        <w:t xml:space="preserve"> per cent per annum from 201</w:t>
      </w:r>
      <w:r>
        <w:t>3–14</w:t>
      </w:r>
      <w:r w:rsidRPr="00AF7BBB">
        <w:t xml:space="preserve"> to 201</w:t>
      </w:r>
      <w:r>
        <w:t>6–17</w:t>
      </w:r>
      <w:r w:rsidRPr="00AF7BBB">
        <w:t>.</w:t>
      </w:r>
      <w:r>
        <w:t xml:space="preserve"> </w:t>
      </w:r>
    </w:p>
  </w:footnote>
  <w:footnote w:id="476">
    <w:p w:rsidR="009E166E" w:rsidRDefault="009E166E" w:rsidP="0088341A">
      <w:pPr>
        <w:pStyle w:val="FootnoteText"/>
      </w:pPr>
      <w:r>
        <w:rPr>
          <w:rStyle w:val="FootnoteReference"/>
        </w:rPr>
        <w:footnoteRef/>
      </w:r>
      <w:r>
        <w:t xml:space="preserve"> </w:t>
      </w:r>
      <w:r>
        <w:tab/>
        <w:t xml:space="preserve">This is based on the average proportion of the transmission charges on a typical residential bill from 2001 to 2012. Oakley Greenwood, </w:t>
      </w:r>
      <w:r w:rsidRPr="002F21AC">
        <w:rPr>
          <w:rStyle w:val="AERtextitalic"/>
        </w:rPr>
        <w:t>Causes of residential electricity bill increases in Victoria, 2001 to 2012</w:t>
      </w:r>
      <w:r>
        <w:t>, 2013, p. 11.</w:t>
      </w:r>
    </w:p>
  </w:footnote>
  <w:footnote w:id="477">
    <w:p w:rsidR="009E166E" w:rsidRDefault="009E166E" w:rsidP="0088341A">
      <w:pPr>
        <w:pStyle w:val="FootnoteText"/>
      </w:pPr>
      <w:r>
        <w:rPr>
          <w:rStyle w:val="FootnoteReference"/>
        </w:rPr>
        <w:footnoteRef/>
      </w:r>
      <w:r>
        <w:t xml:space="preserve"> </w:t>
      </w:r>
      <w:r>
        <w:tab/>
        <w:t xml:space="preserve">AER, </w:t>
      </w:r>
      <w:r w:rsidRPr="001E7D29">
        <w:rPr>
          <w:rStyle w:val="AERtextitalic"/>
        </w:rPr>
        <w:t>Final – Electricity transmission netw</w:t>
      </w:r>
      <w:r>
        <w:rPr>
          <w:rStyle w:val="AERtextitalic"/>
        </w:rPr>
        <w:t>ork service providers, Service Target P</w:t>
      </w:r>
      <w:r w:rsidRPr="001E7D29">
        <w:rPr>
          <w:rStyle w:val="AERtextitalic"/>
        </w:rPr>
        <w:t>erforma</w:t>
      </w:r>
      <w:r>
        <w:rPr>
          <w:rStyle w:val="AERtextitalic"/>
        </w:rPr>
        <w:t xml:space="preserve">nce Incentive Scheme, </w:t>
      </w:r>
      <w:r w:rsidRPr="00E16B4E">
        <w:rPr>
          <w:rStyle w:val="AERtextitalic"/>
          <w:i w:val="0"/>
        </w:rPr>
        <w:t>December 2012</w:t>
      </w:r>
      <w:r w:rsidRPr="00E16B4E">
        <w:t>, clause 3.1.</w:t>
      </w:r>
      <w:r>
        <w:t xml:space="preserve"> </w:t>
      </w:r>
    </w:p>
  </w:footnote>
  <w:footnote w:id="478">
    <w:p w:rsidR="009E166E" w:rsidRDefault="009E166E" w:rsidP="0088341A">
      <w:pPr>
        <w:pStyle w:val="FootnoteText"/>
      </w:pPr>
      <w:r>
        <w:rPr>
          <w:rStyle w:val="FootnoteReference"/>
        </w:rPr>
        <w:footnoteRef/>
      </w:r>
      <w:r>
        <w:t xml:space="preserve"> </w:t>
      </w:r>
      <w:r>
        <w:tab/>
        <w:t xml:space="preserve">AER, </w:t>
      </w:r>
      <w:r w:rsidRPr="001E7D29">
        <w:rPr>
          <w:rStyle w:val="AERtextitalic"/>
        </w:rPr>
        <w:t>Final –</w:t>
      </w:r>
      <w:r>
        <w:rPr>
          <w:rStyle w:val="AERtextitalic"/>
        </w:rPr>
        <w:t xml:space="preserve"> Service Target P</w:t>
      </w:r>
      <w:r w:rsidRPr="001E7D29">
        <w:rPr>
          <w:rStyle w:val="AERtextitalic"/>
        </w:rPr>
        <w:t>erforma</w:t>
      </w:r>
      <w:r>
        <w:rPr>
          <w:rStyle w:val="AERtextitalic"/>
        </w:rPr>
        <w:t xml:space="preserve">nce Incentive Scheme, </w:t>
      </w:r>
      <w:r w:rsidRPr="00E16B4E">
        <w:rPr>
          <w:rStyle w:val="AERtextitalic"/>
          <w:i w:val="0"/>
        </w:rPr>
        <w:t>December 2012,</w:t>
      </w:r>
      <w:r>
        <w:rPr>
          <w:rStyle w:val="AERtextitalic"/>
        </w:rPr>
        <w:t xml:space="preserve"> </w:t>
      </w:r>
      <w:r>
        <w:rPr>
          <w:rStyle w:val="AERtextitalic"/>
          <w:i w:val="0"/>
        </w:rPr>
        <w:t>clause 3.</w:t>
      </w:r>
      <w:r>
        <w:rPr>
          <w:rStyle w:val="AERtextitalic"/>
        </w:rPr>
        <w:t>2</w:t>
      </w:r>
      <w:r w:rsidRPr="001E7D29">
        <w:rPr>
          <w:rStyle w:val="AERtextitalic"/>
          <w:i w:val="0"/>
        </w:rPr>
        <w:t>(a).</w:t>
      </w:r>
      <w:r>
        <w:rPr>
          <w:rStyle w:val="AERtextitalic"/>
        </w:rPr>
        <w:t xml:space="preserve"> </w:t>
      </w:r>
    </w:p>
  </w:footnote>
  <w:footnote w:id="479">
    <w:p w:rsidR="009E166E" w:rsidRPr="001E7D29" w:rsidRDefault="009E166E" w:rsidP="0088341A">
      <w:pPr>
        <w:pStyle w:val="FootnoteText"/>
      </w:pPr>
      <w:r>
        <w:rPr>
          <w:rStyle w:val="FootnoteReference"/>
        </w:rPr>
        <w:footnoteRef/>
      </w:r>
      <w:r>
        <w:t xml:space="preserve"> </w:t>
      </w:r>
      <w:r>
        <w:tab/>
        <w:t xml:space="preserve">AER, </w:t>
      </w:r>
      <w:r w:rsidRPr="001E7D29">
        <w:rPr>
          <w:rStyle w:val="AERtextitalic"/>
        </w:rPr>
        <w:t>Final –</w:t>
      </w:r>
      <w:r>
        <w:rPr>
          <w:rStyle w:val="AERtextitalic"/>
        </w:rPr>
        <w:t xml:space="preserve"> Service Target P</w:t>
      </w:r>
      <w:r w:rsidRPr="001E7D29">
        <w:rPr>
          <w:rStyle w:val="AERtextitalic"/>
        </w:rPr>
        <w:t>erforma</w:t>
      </w:r>
      <w:r>
        <w:rPr>
          <w:rStyle w:val="AERtextitalic"/>
        </w:rPr>
        <w:t>nce Incentive Scheme</w:t>
      </w:r>
      <w:r w:rsidRPr="001E7D29">
        <w:rPr>
          <w:rStyle w:val="AERtextitalic"/>
        </w:rPr>
        <w:t>,</w:t>
      </w:r>
      <w:r>
        <w:rPr>
          <w:rStyle w:val="AERtextitalic"/>
        </w:rPr>
        <w:t xml:space="preserve"> </w:t>
      </w:r>
      <w:r w:rsidRPr="00E16B4E">
        <w:rPr>
          <w:rStyle w:val="AERtextitalic"/>
          <w:i w:val="0"/>
        </w:rPr>
        <w:t>December 2012, clauses</w:t>
      </w:r>
      <w:r>
        <w:rPr>
          <w:rStyle w:val="AERtextitalic"/>
          <w:i w:val="0"/>
        </w:rPr>
        <w:t xml:space="preserve"> 3.</w:t>
      </w:r>
      <w:r>
        <w:rPr>
          <w:rStyle w:val="AERtextitalic"/>
        </w:rPr>
        <w:t>2</w:t>
      </w:r>
      <w:r>
        <w:rPr>
          <w:rStyle w:val="AERtextitalic"/>
          <w:i w:val="0"/>
        </w:rPr>
        <w:t>(m)</w:t>
      </w:r>
      <w:r>
        <w:rPr>
          <w:rStyle w:val="AERtextitalic"/>
        </w:rPr>
        <w:t xml:space="preserve">. </w:t>
      </w:r>
    </w:p>
  </w:footnote>
  <w:footnote w:id="480">
    <w:p w:rsidR="009E166E" w:rsidRDefault="009E166E" w:rsidP="0088341A">
      <w:pPr>
        <w:pStyle w:val="FootnoteText"/>
      </w:pPr>
      <w:r>
        <w:rPr>
          <w:rStyle w:val="FootnoteReference"/>
        </w:rPr>
        <w:footnoteRef/>
      </w:r>
      <w:r>
        <w:t xml:space="preserve"> </w:t>
      </w:r>
      <w:r>
        <w:tab/>
        <w:t xml:space="preserve">AER, </w:t>
      </w:r>
      <w:r w:rsidRPr="001E7D29">
        <w:rPr>
          <w:rStyle w:val="AERtextitalic"/>
        </w:rPr>
        <w:t>Final –</w:t>
      </w:r>
      <w:r>
        <w:rPr>
          <w:rStyle w:val="AERtextitalic"/>
        </w:rPr>
        <w:t xml:space="preserve"> Service Target P</w:t>
      </w:r>
      <w:r w:rsidRPr="001E7D29">
        <w:rPr>
          <w:rStyle w:val="AERtextitalic"/>
        </w:rPr>
        <w:t>erforma</w:t>
      </w:r>
      <w:r>
        <w:rPr>
          <w:rStyle w:val="AERtextitalic"/>
        </w:rPr>
        <w:t xml:space="preserve">nce Incentive Scheme, </w:t>
      </w:r>
      <w:r w:rsidRPr="003C1DD4">
        <w:rPr>
          <w:rStyle w:val="AERtextitalic"/>
          <w:i w:val="0"/>
        </w:rPr>
        <w:t>December 2012, Appendix E.</w:t>
      </w:r>
      <w:r>
        <w:rPr>
          <w:rStyle w:val="AERtextitalic"/>
        </w:rPr>
        <w:t xml:space="preserve"> </w:t>
      </w:r>
    </w:p>
  </w:footnote>
  <w:footnote w:id="481">
    <w:p w:rsidR="009E166E" w:rsidRDefault="009E166E" w:rsidP="0088341A">
      <w:pPr>
        <w:pStyle w:val="FootnoteText"/>
      </w:pPr>
      <w:r>
        <w:rPr>
          <w:rStyle w:val="FootnoteReference"/>
        </w:rPr>
        <w:footnoteRef/>
      </w:r>
      <w:r>
        <w:t xml:space="preserve"> </w:t>
      </w:r>
      <w:r>
        <w:tab/>
        <w:t xml:space="preserve">AER, </w:t>
      </w:r>
      <w:r w:rsidRPr="001E7D29">
        <w:rPr>
          <w:rStyle w:val="AERtextitalic"/>
        </w:rPr>
        <w:t>Final –</w:t>
      </w:r>
      <w:r>
        <w:rPr>
          <w:rStyle w:val="AERtextitalic"/>
        </w:rPr>
        <w:t xml:space="preserve"> Service Target P</w:t>
      </w:r>
      <w:r w:rsidRPr="001E7D29">
        <w:rPr>
          <w:rStyle w:val="AERtextitalic"/>
        </w:rPr>
        <w:t>erforma</w:t>
      </w:r>
      <w:r>
        <w:rPr>
          <w:rStyle w:val="AERtextitalic"/>
        </w:rPr>
        <w:t>nce Incentive Scheme</w:t>
      </w:r>
      <w:r w:rsidRPr="001E7D29">
        <w:rPr>
          <w:rStyle w:val="AERtextitalic"/>
        </w:rPr>
        <w:t>,</w:t>
      </w:r>
      <w:r>
        <w:rPr>
          <w:rStyle w:val="AERtextitalic"/>
        </w:rPr>
        <w:t xml:space="preserve"> </w:t>
      </w:r>
      <w:r w:rsidRPr="00E16B4E">
        <w:rPr>
          <w:rStyle w:val="AERtextitalic"/>
          <w:i w:val="0"/>
        </w:rPr>
        <w:t>December 2012, clauses</w:t>
      </w:r>
      <w:r w:rsidRPr="000135E9">
        <w:rPr>
          <w:rStyle w:val="AERtextitalic"/>
          <w:i w:val="0"/>
        </w:rPr>
        <w:t xml:space="preserve"> 5.2(b).</w:t>
      </w:r>
    </w:p>
  </w:footnote>
  <w:footnote w:id="482">
    <w:p w:rsidR="009E166E" w:rsidRDefault="009E166E" w:rsidP="0088341A">
      <w:pPr>
        <w:pStyle w:val="FootnoteText"/>
      </w:pPr>
      <w:r>
        <w:rPr>
          <w:rStyle w:val="FootnoteReference"/>
        </w:rPr>
        <w:footnoteRef/>
      </w:r>
      <w:r>
        <w:t xml:space="preserve"> </w:t>
      </w:r>
      <w:r>
        <w:tab/>
        <w:t xml:space="preserve">AER, </w:t>
      </w:r>
      <w:r w:rsidRPr="001E7D29">
        <w:rPr>
          <w:rStyle w:val="AERtextitalic"/>
        </w:rPr>
        <w:t>Final –</w:t>
      </w:r>
      <w:r>
        <w:rPr>
          <w:rStyle w:val="AERtextitalic"/>
        </w:rPr>
        <w:t xml:space="preserve"> Service Target P</w:t>
      </w:r>
      <w:r w:rsidRPr="001E7D29">
        <w:rPr>
          <w:rStyle w:val="AERtextitalic"/>
        </w:rPr>
        <w:t>erforma</w:t>
      </w:r>
      <w:r>
        <w:rPr>
          <w:rStyle w:val="AERtextitalic"/>
        </w:rPr>
        <w:t>nce Incentive Scheme</w:t>
      </w:r>
      <w:r w:rsidRPr="001E7D29">
        <w:rPr>
          <w:rStyle w:val="AERtextitalic"/>
        </w:rPr>
        <w:t>,</w:t>
      </w:r>
      <w:r>
        <w:rPr>
          <w:rStyle w:val="AERtextitalic"/>
        </w:rPr>
        <w:t xml:space="preserve"> </w:t>
      </w:r>
      <w:r w:rsidRPr="00E16B4E">
        <w:rPr>
          <w:rStyle w:val="AERtextitalic"/>
          <w:i w:val="0"/>
        </w:rPr>
        <w:t>December 2012, clauses</w:t>
      </w:r>
      <w:r w:rsidRPr="000135E9">
        <w:rPr>
          <w:rStyle w:val="AERtextitalic"/>
          <w:i w:val="0"/>
        </w:rPr>
        <w:t xml:space="preserve"> 5.2(b)(1).</w:t>
      </w:r>
      <w:r>
        <w:rPr>
          <w:rStyle w:val="AERtextitalic"/>
        </w:rPr>
        <w:t xml:space="preserve"> </w:t>
      </w:r>
    </w:p>
  </w:footnote>
  <w:footnote w:id="483">
    <w:p w:rsidR="009E166E" w:rsidRDefault="009E166E" w:rsidP="0088341A">
      <w:pPr>
        <w:pStyle w:val="FootnoteText"/>
      </w:pPr>
      <w:r>
        <w:rPr>
          <w:rStyle w:val="FootnoteReference"/>
        </w:rPr>
        <w:footnoteRef/>
      </w:r>
      <w:r>
        <w:t xml:space="preserve"> </w:t>
      </w:r>
      <w:r>
        <w:tab/>
        <w:t xml:space="preserve">AER, </w:t>
      </w:r>
      <w:r w:rsidRPr="001E7D29">
        <w:rPr>
          <w:rStyle w:val="AERtextitalic"/>
        </w:rPr>
        <w:t>Final –</w:t>
      </w:r>
      <w:r>
        <w:rPr>
          <w:rStyle w:val="AERtextitalic"/>
        </w:rPr>
        <w:t xml:space="preserve"> Service Target P</w:t>
      </w:r>
      <w:r w:rsidRPr="001E7D29">
        <w:rPr>
          <w:rStyle w:val="AERtextitalic"/>
        </w:rPr>
        <w:t>erforma</w:t>
      </w:r>
      <w:r>
        <w:rPr>
          <w:rStyle w:val="AERtextitalic"/>
        </w:rPr>
        <w:t>nce Incentive Scheme</w:t>
      </w:r>
      <w:r w:rsidRPr="001E7D29">
        <w:rPr>
          <w:rStyle w:val="AERtextitalic"/>
        </w:rPr>
        <w:t>,</w:t>
      </w:r>
      <w:r>
        <w:rPr>
          <w:rStyle w:val="AERtextitalic"/>
        </w:rPr>
        <w:t xml:space="preserve"> </w:t>
      </w:r>
      <w:r w:rsidRPr="00E16B4E">
        <w:rPr>
          <w:rStyle w:val="AERtextitalic"/>
          <w:i w:val="0"/>
        </w:rPr>
        <w:t>December 2012, clauses</w:t>
      </w:r>
      <w:r w:rsidRPr="000135E9">
        <w:rPr>
          <w:rStyle w:val="AERtextitalic"/>
          <w:i w:val="0"/>
        </w:rPr>
        <w:t xml:space="preserve"> </w:t>
      </w:r>
      <w:r>
        <w:rPr>
          <w:rStyle w:val="AERtextitalic"/>
          <w:i w:val="0"/>
        </w:rPr>
        <w:t>5.2(b)(</w:t>
      </w:r>
      <w:r>
        <w:rPr>
          <w:rStyle w:val="AERtextitalic"/>
        </w:rPr>
        <w:t>2</w:t>
      </w:r>
      <w:r w:rsidRPr="000135E9">
        <w:rPr>
          <w:rStyle w:val="AERtextitalic"/>
          <w:i w:val="0"/>
        </w:rPr>
        <w:t>).</w:t>
      </w:r>
    </w:p>
  </w:footnote>
  <w:footnote w:id="484">
    <w:p w:rsidR="009E166E" w:rsidRPr="000135E9" w:rsidRDefault="009E166E" w:rsidP="0088341A">
      <w:pPr>
        <w:pStyle w:val="FootnoteText"/>
      </w:pPr>
      <w:r>
        <w:rPr>
          <w:rStyle w:val="FootnoteReference"/>
        </w:rPr>
        <w:footnoteRef/>
      </w:r>
      <w:r>
        <w:t xml:space="preserve"> </w:t>
      </w:r>
      <w:r>
        <w:tab/>
        <w:t xml:space="preserve">AER, </w:t>
      </w:r>
      <w:r w:rsidRPr="001E7D29">
        <w:rPr>
          <w:rStyle w:val="AERtextitalic"/>
        </w:rPr>
        <w:t>Final –</w:t>
      </w:r>
      <w:r>
        <w:rPr>
          <w:rStyle w:val="AERtextitalic"/>
        </w:rPr>
        <w:t xml:space="preserve"> Service Target P</w:t>
      </w:r>
      <w:r w:rsidRPr="001E7D29">
        <w:rPr>
          <w:rStyle w:val="AERtextitalic"/>
        </w:rPr>
        <w:t>erforma</w:t>
      </w:r>
      <w:r>
        <w:rPr>
          <w:rStyle w:val="AERtextitalic"/>
        </w:rPr>
        <w:t>nce Incentive Scheme</w:t>
      </w:r>
      <w:r w:rsidRPr="001E7D29">
        <w:rPr>
          <w:rStyle w:val="AERtextitalic"/>
        </w:rPr>
        <w:t>,</w:t>
      </w:r>
      <w:r>
        <w:rPr>
          <w:rStyle w:val="AERtextitalic"/>
        </w:rPr>
        <w:t xml:space="preserve"> </w:t>
      </w:r>
      <w:r w:rsidRPr="00E16B4E">
        <w:rPr>
          <w:rStyle w:val="AERtextitalic"/>
          <w:i w:val="0"/>
        </w:rPr>
        <w:t>December 2012, clause</w:t>
      </w:r>
      <w:r w:rsidRPr="000135E9">
        <w:rPr>
          <w:rStyle w:val="AERtextitalic"/>
          <w:i w:val="0"/>
        </w:rPr>
        <w:t xml:space="preserve"> 5.2(k).</w:t>
      </w:r>
      <w:r>
        <w:rPr>
          <w:rStyle w:val="AERtextitalic"/>
        </w:rPr>
        <w:t xml:space="preserve"> </w:t>
      </w:r>
    </w:p>
  </w:footnote>
  <w:footnote w:id="485">
    <w:p w:rsidR="009E166E" w:rsidRDefault="009E166E" w:rsidP="0088341A">
      <w:pPr>
        <w:pStyle w:val="FootnoteText"/>
      </w:pPr>
      <w:r>
        <w:rPr>
          <w:rStyle w:val="FootnoteReference"/>
        </w:rPr>
        <w:footnoteRef/>
      </w:r>
      <w:r>
        <w:t xml:space="preserve"> </w:t>
      </w:r>
      <w:r>
        <w:tab/>
        <w:t xml:space="preserve">AER, </w:t>
      </w:r>
      <w:r w:rsidRPr="001E7D29">
        <w:rPr>
          <w:rStyle w:val="AERtextitalic"/>
        </w:rPr>
        <w:t>Final –</w:t>
      </w:r>
      <w:r>
        <w:rPr>
          <w:rStyle w:val="AERtextitalic"/>
        </w:rPr>
        <w:t xml:space="preserve"> Service Target P</w:t>
      </w:r>
      <w:r w:rsidRPr="001E7D29">
        <w:rPr>
          <w:rStyle w:val="AERtextitalic"/>
        </w:rPr>
        <w:t>erforma</w:t>
      </w:r>
      <w:r>
        <w:rPr>
          <w:rStyle w:val="AERtextitalic"/>
        </w:rPr>
        <w:t>nce Incentive Scheme</w:t>
      </w:r>
      <w:r w:rsidRPr="001E7D29">
        <w:rPr>
          <w:rStyle w:val="AERtextitalic"/>
        </w:rPr>
        <w:t>,</w:t>
      </w:r>
      <w:r>
        <w:rPr>
          <w:rStyle w:val="AERtextitalic"/>
        </w:rPr>
        <w:t xml:space="preserve"> </w:t>
      </w:r>
      <w:r w:rsidRPr="00E16B4E">
        <w:rPr>
          <w:rStyle w:val="AERtextitalic"/>
          <w:i w:val="0"/>
        </w:rPr>
        <w:t>December 2012, clause</w:t>
      </w:r>
      <w:r w:rsidRPr="00AE7F67">
        <w:rPr>
          <w:rStyle w:val="AERtextitalic"/>
          <w:i w:val="0"/>
        </w:rPr>
        <w:t xml:space="preserve"> 5.2(k)</w:t>
      </w:r>
    </w:p>
  </w:footnote>
  <w:footnote w:id="486">
    <w:p w:rsidR="009E166E" w:rsidRDefault="009E166E" w:rsidP="0088341A">
      <w:pPr>
        <w:pStyle w:val="FootnoteText"/>
      </w:pPr>
      <w:r>
        <w:rPr>
          <w:rStyle w:val="FootnoteReference"/>
        </w:rPr>
        <w:footnoteRef/>
      </w:r>
      <w:r>
        <w:t xml:space="preserve"> </w:t>
      </w:r>
      <w:r>
        <w:tab/>
        <w:t xml:space="preserve">AER, </w:t>
      </w:r>
      <w:r w:rsidRPr="001E7D29">
        <w:rPr>
          <w:rStyle w:val="AERtextitalic"/>
        </w:rPr>
        <w:t>Final –</w:t>
      </w:r>
      <w:r>
        <w:rPr>
          <w:rStyle w:val="AERtextitalic"/>
        </w:rPr>
        <w:t xml:space="preserve"> Service Target P</w:t>
      </w:r>
      <w:r w:rsidRPr="001E7D29">
        <w:rPr>
          <w:rStyle w:val="AERtextitalic"/>
        </w:rPr>
        <w:t>erforma</w:t>
      </w:r>
      <w:r>
        <w:rPr>
          <w:rStyle w:val="AERtextitalic"/>
        </w:rPr>
        <w:t xml:space="preserve">nce Incentive Scheme, </w:t>
      </w:r>
      <w:r w:rsidRPr="00E16B4E">
        <w:rPr>
          <w:rStyle w:val="AERtextitalic"/>
          <w:i w:val="0"/>
        </w:rPr>
        <w:t>December 2012, Appendix C.</w:t>
      </w:r>
      <w:r>
        <w:rPr>
          <w:rStyle w:val="AERtextitalic"/>
        </w:rPr>
        <w:t xml:space="preserve"> </w:t>
      </w:r>
    </w:p>
  </w:footnote>
  <w:footnote w:id="487">
    <w:p w:rsidR="009E166E" w:rsidRDefault="009E166E" w:rsidP="0088341A">
      <w:pPr>
        <w:pStyle w:val="FootnoteText"/>
      </w:pPr>
      <w:r>
        <w:rPr>
          <w:rStyle w:val="FootnoteReference"/>
        </w:rPr>
        <w:footnoteRef/>
      </w:r>
      <w:r>
        <w:t xml:space="preserve"> </w:t>
      </w:r>
      <w:r>
        <w:tab/>
        <w:t xml:space="preserve">AER, </w:t>
      </w:r>
      <w:r w:rsidRPr="001E7D29">
        <w:rPr>
          <w:rStyle w:val="AERtextitalic"/>
        </w:rPr>
        <w:t>Final –</w:t>
      </w:r>
      <w:r>
        <w:rPr>
          <w:rStyle w:val="AERtextitalic"/>
        </w:rPr>
        <w:t xml:space="preserve"> Service Target P</w:t>
      </w:r>
      <w:r w:rsidRPr="001E7D29">
        <w:rPr>
          <w:rStyle w:val="AERtextitalic"/>
        </w:rPr>
        <w:t>erforma</w:t>
      </w:r>
      <w:r>
        <w:rPr>
          <w:rStyle w:val="AERtextitalic"/>
        </w:rPr>
        <w:t xml:space="preserve">nce Incentive Scheme, </w:t>
      </w:r>
      <w:r>
        <w:rPr>
          <w:rStyle w:val="AERtextitalic"/>
          <w:i w:val="0"/>
        </w:rPr>
        <w:t>December 2012, clause</w:t>
      </w:r>
      <w:r w:rsidRPr="003C1DD4">
        <w:rPr>
          <w:rStyle w:val="AERtextitalic"/>
          <w:i w:val="0"/>
        </w:rPr>
        <w:t xml:space="preserve"> 4.2(d) and Appendix F.</w:t>
      </w:r>
      <w:r>
        <w:rPr>
          <w:rStyle w:val="AERtextitalic"/>
        </w:rPr>
        <w:t xml:space="preserve"> </w:t>
      </w:r>
    </w:p>
  </w:footnote>
  <w:footnote w:id="488">
    <w:p w:rsidR="009E166E" w:rsidRDefault="009E166E" w:rsidP="0088341A">
      <w:pPr>
        <w:pStyle w:val="FootnoteText"/>
      </w:pPr>
      <w:r>
        <w:rPr>
          <w:rStyle w:val="FootnoteReference"/>
        </w:rPr>
        <w:footnoteRef/>
      </w:r>
      <w:r>
        <w:t xml:space="preserve"> </w:t>
      </w:r>
      <w:r>
        <w:tab/>
        <w:t xml:space="preserve">The 2013 market impact component data will be submitted on 1 February 2014. </w:t>
      </w:r>
    </w:p>
  </w:footnote>
  <w:footnote w:id="489">
    <w:p w:rsidR="009E166E" w:rsidRDefault="009E166E" w:rsidP="0088341A">
      <w:pPr>
        <w:pStyle w:val="FootnoteText"/>
      </w:pPr>
      <w:r>
        <w:rPr>
          <w:rStyle w:val="FootnoteReference"/>
        </w:rPr>
        <w:footnoteRef/>
      </w:r>
      <w:r>
        <w:t xml:space="preserve"> </w:t>
      </w:r>
      <w:r>
        <w:tab/>
        <w:t xml:space="preserve">The data that was used to calculate the performance targets was 2008 to 2012. </w:t>
      </w:r>
    </w:p>
  </w:footnote>
  <w:footnote w:id="490">
    <w:p w:rsidR="009E166E" w:rsidRDefault="009E166E" w:rsidP="0088341A">
      <w:pPr>
        <w:pStyle w:val="FootnoteText"/>
      </w:pPr>
      <w:r>
        <w:rPr>
          <w:rStyle w:val="FootnoteReference"/>
        </w:rPr>
        <w:footnoteRef/>
      </w:r>
      <w:r>
        <w:t xml:space="preserve"> </w:t>
      </w:r>
      <w:r>
        <w:tab/>
        <w:t xml:space="preserve">AER, </w:t>
      </w:r>
      <w:r w:rsidRPr="001E7D29">
        <w:rPr>
          <w:rStyle w:val="AERtextitalic"/>
        </w:rPr>
        <w:t>Final –</w:t>
      </w:r>
      <w:r>
        <w:rPr>
          <w:rStyle w:val="AERtextitalic"/>
        </w:rPr>
        <w:t xml:space="preserve"> Service Target P</w:t>
      </w:r>
      <w:r w:rsidRPr="001E7D29">
        <w:rPr>
          <w:rStyle w:val="AERtextitalic"/>
        </w:rPr>
        <w:t>erforma</w:t>
      </w:r>
      <w:r>
        <w:rPr>
          <w:rStyle w:val="AERtextitalic"/>
        </w:rPr>
        <w:t xml:space="preserve">nce Incentive Scheme, </w:t>
      </w:r>
      <w:r>
        <w:rPr>
          <w:rStyle w:val="AERtextitalic"/>
          <w:i w:val="0"/>
        </w:rPr>
        <w:t xml:space="preserve">December 2012, clause 3.4. </w:t>
      </w:r>
    </w:p>
  </w:footnote>
  <w:footnote w:id="491">
    <w:p w:rsidR="009E166E" w:rsidRDefault="009E166E" w:rsidP="0088341A">
      <w:pPr>
        <w:pStyle w:val="FootnoteText"/>
      </w:pPr>
      <w:r>
        <w:rPr>
          <w:rStyle w:val="FootnoteReference"/>
        </w:rPr>
        <w:footnoteRef/>
      </w:r>
      <w:r>
        <w:t xml:space="preserve"> </w:t>
      </w:r>
      <w:r>
        <w:tab/>
        <w:t xml:space="preserve">SP AusNet, </w:t>
      </w:r>
      <w:r w:rsidRPr="00C8507F">
        <w:rPr>
          <w:rStyle w:val="AERtextitalic"/>
        </w:rPr>
        <w:t>Revenue proposal</w:t>
      </w:r>
      <w:r>
        <w:t xml:space="preserve">, pp. 162–4. </w:t>
      </w:r>
    </w:p>
  </w:footnote>
  <w:footnote w:id="492">
    <w:p w:rsidR="009E166E" w:rsidRDefault="009E166E" w:rsidP="0088341A">
      <w:pPr>
        <w:pStyle w:val="FootnoteText"/>
      </w:pPr>
      <w:r>
        <w:rPr>
          <w:rStyle w:val="FootnoteReference"/>
        </w:rPr>
        <w:footnoteRef/>
      </w:r>
      <w:r>
        <w:t xml:space="preserve"> </w:t>
      </w:r>
      <w:r>
        <w:tab/>
        <w:t xml:space="preserve">SP AusNet, </w:t>
      </w:r>
      <w:r>
        <w:rPr>
          <w:rStyle w:val="AERtextitalic"/>
        </w:rPr>
        <w:t>R</w:t>
      </w:r>
      <w:r w:rsidRPr="00E5007B">
        <w:rPr>
          <w:rStyle w:val="AERtextitalic"/>
        </w:rPr>
        <w:t xml:space="preserve">esponse </w:t>
      </w:r>
      <w:r>
        <w:rPr>
          <w:rStyle w:val="AERtextitalic"/>
        </w:rPr>
        <w:t>to information request</w:t>
      </w:r>
      <w:r w:rsidRPr="00E5007B">
        <w:rPr>
          <w:rStyle w:val="AERtextitalic"/>
        </w:rPr>
        <w:t xml:space="preserve"> AER </w:t>
      </w:r>
      <w:r>
        <w:rPr>
          <w:rStyle w:val="AERtextitalic"/>
        </w:rPr>
        <w:t xml:space="preserve">RP </w:t>
      </w:r>
      <w:r w:rsidRPr="00E5007B">
        <w:rPr>
          <w:rStyle w:val="AERtextitalic"/>
        </w:rPr>
        <w:t>28 – description of process followed to identify priority projects for NCIPAP</w:t>
      </w:r>
      <w:r>
        <w:t xml:space="preserve">, 19 July 2013. </w:t>
      </w:r>
    </w:p>
  </w:footnote>
  <w:footnote w:id="493">
    <w:p w:rsidR="009E166E" w:rsidRDefault="009E166E" w:rsidP="0088341A">
      <w:pPr>
        <w:pStyle w:val="FootnoteText"/>
      </w:pPr>
      <w:r>
        <w:rPr>
          <w:rStyle w:val="FootnoteReference"/>
        </w:rPr>
        <w:footnoteRef/>
      </w:r>
      <w:r>
        <w:t xml:space="preserve"> </w:t>
      </w:r>
      <w:r>
        <w:tab/>
        <w:t xml:space="preserve">SP AusNet, </w:t>
      </w:r>
      <w:r w:rsidRPr="00131B9A">
        <w:rPr>
          <w:rStyle w:val="AERtextitalic"/>
        </w:rPr>
        <w:t>Revenue proposal</w:t>
      </w:r>
      <w:r>
        <w:t>, p. 162.</w:t>
      </w:r>
    </w:p>
  </w:footnote>
  <w:footnote w:id="494">
    <w:p w:rsidR="009E166E" w:rsidRDefault="009E166E" w:rsidP="0088341A">
      <w:pPr>
        <w:pStyle w:val="FootnoteText"/>
      </w:pPr>
      <w:r>
        <w:rPr>
          <w:rStyle w:val="FootnoteReference"/>
        </w:rPr>
        <w:footnoteRef/>
      </w:r>
      <w:r>
        <w:t xml:space="preserve"> </w:t>
      </w:r>
      <w:r>
        <w:tab/>
        <w:t xml:space="preserve">AER, </w:t>
      </w:r>
      <w:r w:rsidRPr="001E7D29">
        <w:rPr>
          <w:rStyle w:val="AERtextitalic"/>
        </w:rPr>
        <w:t>Final –</w:t>
      </w:r>
      <w:r>
        <w:rPr>
          <w:rStyle w:val="AERtextitalic"/>
        </w:rPr>
        <w:t xml:space="preserve"> Service Target P</w:t>
      </w:r>
      <w:r w:rsidRPr="001E7D29">
        <w:rPr>
          <w:rStyle w:val="AERtextitalic"/>
        </w:rPr>
        <w:t>erforma</w:t>
      </w:r>
      <w:r>
        <w:rPr>
          <w:rStyle w:val="AERtextitalic"/>
        </w:rPr>
        <w:t>nce Incentive Scheme</w:t>
      </w:r>
      <w:r w:rsidRPr="001E7D29">
        <w:rPr>
          <w:rStyle w:val="AERtextitalic"/>
        </w:rPr>
        <w:t xml:space="preserve">, </w:t>
      </w:r>
      <w:r>
        <w:rPr>
          <w:rStyle w:val="AERtextitalic"/>
          <w:i w:val="0"/>
        </w:rPr>
        <w:t xml:space="preserve">December 2012, </w:t>
      </w:r>
      <w:r w:rsidRPr="00E16B4E">
        <w:rPr>
          <w:rStyle w:val="AERtextitalic"/>
          <w:i w:val="0"/>
        </w:rPr>
        <w:t>clause 3.2(d).</w:t>
      </w:r>
    </w:p>
  </w:footnote>
  <w:footnote w:id="495">
    <w:p w:rsidR="009E166E" w:rsidRDefault="009E166E" w:rsidP="0088341A">
      <w:pPr>
        <w:pStyle w:val="FootnoteText"/>
      </w:pPr>
      <w:r>
        <w:rPr>
          <w:rStyle w:val="FootnoteReference"/>
        </w:rPr>
        <w:footnoteRef/>
      </w:r>
      <w:r>
        <w:t xml:space="preserve"> </w:t>
      </w:r>
      <w:r>
        <w:tab/>
        <w:t xml:space="preserve">AER, </w:t>
      </w:r>
      <w:r w:rsidRPr="001E7D29">
        <w:rPr>
          <w:rStyle w:val="AERtextitalic"/>
        </w:rPr>
        <w:t>Final –</w:t>
      </w:r>
      <w:r>
        <w:rPr>
          <w:rStyle w:val="AERtextitalic"/>
        </w:rPr>
        <w:t xml:space="preserve"> Service Target P</w:t>
      </w:r>
      <w:r w:rsidRPr="001E7D29">
        <w:rPr>
          <w:rStyle w:val="AERtextitalic"/>
        </w:rPr>
        <w:t>erforma</w:t>
      </w:r>
      <w:r>
        <w:rPr>
          <w:rStyle w:val="AERtextitalic"/>
        </w:rPr>
        <w:t>nce Incentive Scheme</w:t>
      </w:r>
      <w:r w:rsidRPr="001E7D29">
        <w:rPr>
          <w:rStyle w:val="AERtextitalic"/>
        </w:rPr>
        <w:t xml:space="preserve">, </w:t>
      </w:r>
      <w:r w:rsidRPr="004652E5">
        <w:rPr>
          <w:rStyle w:val="AERtextitalic"/>
          <w:i w:val="0"/>
        </w:rPr>
        <w:t>December 2012, clause</w:t>
      </w:r>
      <w:r>
        <w:rPr>
          <w:rStyle w:val="AERtextitalic"/>
          <w:i w:val="0"/>
        </w:rPr>
        <w:t xml:space="preserve"> 3.2(</w:t>
      </w:r>
      <w:r>
        <w:rPr>
          <w:rStyle w:val="AERtextitalic"/>
        </w:rPr>
        <w:t>g</w:t>
      </w:r>
      <w:r w:rsidRPr="00B7114E">
        <w:rPr>
          <w:rStyle w:val="AERtextitalic"/>
          <w:i w:val="0"/>
        </w:rPr>
        <w:t>).</w:t>
      </w:r>
    </w:p>
  </w:footnote>
  <w:footnote w:id="496">
    <w:p w:rsidR="009E166E" w:rsidRDefault="009E166E" w:rsidP="0088341A">
      <w:pPr>
        <w:pStyle w:val="FootnoteText"/>
      </w:pPr>
      <w:r>
        <w:rPr>
          <w:rStyle w:val="FootnoteReference"/>
        </w:rPr>
        <w:footnoteRef/>
      </w:r>
      <w:r>
        <w:t xml:space="preserve"> </w:t>
      </w:r>
      <w:r>
        <w:tab/>
        <w:t xml:space="preserve">AER, </w:t>
      </w:r>
      <w:r w:rsidRPr="001E7D29">
        <w:rPr>
          <w:rStyle w:val="AERtextitalic"/>
        </w:rPr>
        <w:t>Final –</w:t>
      </w:r>
      <w:r>
        <w:rPr>
          <w:rStyle w:val="AERtextitalic"/>
        </w:rPr>
        <w:t xml:space="preserve"> Service Target P</w:t>
      </w:r>
      <w:r w:rsidRPr="001E7D29">
        <w:rPr>
          <w:rStyle w:val="AERtextitalic"/>
        </w:rPr>
        <w:t>erforma</w:t>
      </w:r>
      <w:r>
        <w:rPr>
          <w:rStyle w:val="AERtextitalic"/>
        </w:rPr>
        <w:t>nce Incentive Scheme</w:t>
      </w:r>
      <w:r w:rsidRPr="001E7D29">
        <w:rPr>
          <w:rStyle w:val="AERtextitalic"/>
        </w:rPr>
        <w:t xml:space="preserve">, </w:t>
      </w:r>
      <w:r w:rsidRPr="004652E5">
        <w:rPr>
          <w:rStyle w:val="AERtextitalic"/>
          <w:i w:val="0"/>
        </w:rPr>
        <w:t>December 2012, clause</w:t>
      </w:r>
      <w:r w:rsidRPr="00B7114E">
        <w:rPr>
          <w:rStyle w:val="AERtextitalic"/>
          <w:i w:val="0"/>
        </w:rPr>
        <w:t xml:space="preserve"> 3.2(k).</w:t>
      </w:r>
    </w:p>
  </w:footnote>
  <w:footnote w:id="497">
    <w:p w:rsidR="009E166E" w:rsidRDefault="009E166E" w:rsidP="0088341A">
      <w:pPr>
        <w:pStyle w:val="FootnoteText"/>
      </w:pPr>
      <w:r>
        <w:rPr>
          <w:rStyle w:val="FootnoteReference"/>
        </w:rPr>
        <w:footnoteRef/>
      </w:r>
      <w:r>
        <w:t xml:space="preserve"> </w:t>
      </w:r>
      <w:r>
        <w:tab/>
        <w:t xml:space="preserve">AER, </w:t>
      </w:r>
      <w:r w:rsidRPr="001E7D29">
        <w:rPr>
          <w:rStyle w:val="AERtextitalic"/>
        </w:rPr>
        <w:t>Final –</w:t>
      </w:r>
      <w:r>
        <w:rPr>
          <w:rStyle w:val="AERtextitalic"/>
        </w:rPr>
        <w:t xml:space="preserve"> Service Target P</w:t>
      </w:r>
      <w:r w:rsidRPr="001E7D29">
        <w:rPr>
          <w:rStyle w:val="AERtextitalic"/>
        </w:rPr>
        <w:t>erforma</w:t>
      </w:r>
      <w:r>
        <w:rPr>
          <w:rStyle w:val="AERtextitalic"/>
        </w:rPr>
        <w:t>nce Incentive Scheme</w:t>
      </w:r>
      <w:r w:rsidRPr="001E7D29">
        <w:rPr>
          <w:rStyle w:val="AERtextitalic"/>
        </w:rPr>
        <w:t xml:space="preserve">, </w:t>
      </w:r>
      <w:r w:rsidRPr="004652E5">
        <w:rPr>
          <w:rStyle w:val="AERtextitalic"/>
          <w:i w:val="0"/>
        </w:rPr>
        <w:t>December 2012, clause</w:t>
      </w:r>
      <w:r w:rsidRPr="00B7114E">
        <w:rPr>
          <w:rStyle w:val="AERtextitalic"/>
          <w:i w:val="0"/>
        </w:rPr>
        <w:t xml:space="preserve"> 3.2(e).</w:t>
      </w:r>
      <w:r>
        <w:rPr>
          <w:rStyle w:val="AERtextitalic"/>
        </w:rPr>
        <w:t xml:space="preserve"> </w:t>
      </w:r>
    </w:p>
  </w:footnote>
  <w:footnote w:id="498">
    <w:p w:rsidR="009E166E" w:rsidRDefault="009E166E" w:rsidP="0088341A">
      <w:pPr>
        <w:pStyle w:val="FootnoteText"/>
      </w:pPr>
      <w:r>
        <w:rPr>
          <w:rStyle w:val="FootnoteReference"/>
        </w:rPr>
        <w:footnoteRef/>
      </w:r>
      <w:r>
        <w:t xml:space="preserve"> </w:t>
      </w:r>
      <w:r>
        <w:tab/>
        <w:t xml:space="preserve">AER, </w:t>
      </w:r>
      <w:r w:rsidRPr="001E7D29">
        <w:rPr>
          <w:rStyle w:val="AERtextitalic"/>
        </w:rPr>
        <w:t>Final –</w:t>
      </w:r>
      <w:r>
        <w:rPr>
          <w:rStyle w:val="AERtextitalic"/>
        </w:rPr>
        <w:t xml:space="preserve"> Service Target P</w:t>
      </w:r>
      <w:r w:rsidRPr="001E7D29">
        <w:rPr>
          <w:rStyle w:val="AERtextitalic"/>
        </w:rPr>
        <w:t>erforma</w:t>
      </w:r>
      <w:r>
        <w:rPr>
          <w:rStyle w:val="AERtextitalic"/>
        </w:rPr>
        <w:t>nce Incentive Scheme</w:t>
      </w:r>
      <w:r w:rsidRPr="001E7D29">
        <w:rPr>
          <w:rStyle w:val="AERtextitalic"/>
        </w:rPr>
        <w:t xml:space="preserve">, </w:t>
      </w:r>
      <w:r w:rsidRPr="004652E5">
        <w:rPr>
          <w:rStyle w:val="AERtextitalic"/>
          <w:i w:val="0"/>
        </w:rPr>
        <w:t>December 2012, clause</w:t>
      </w:r>
      <w:r w:rsidRPr="00B7114E">
        <w:rPr>
          <w:rStyle w:val="AERtextitalic"/>
          <w:i w:val="0"/>
        </w:rPr>
        <w:t xml:space="preserve"> 3.2(e).</w:t>
      </w:r>
      <w:r>
        <w:rPr>
          <w:rStyle w:val="AERtextitalic"/>
        </w:rPr>
        <w:t xml:space="preserve"> </w:t>
      </w:r>
    </w:p>
  </w:footnote>
  <w:footnote w:id="499">
    <w:p w:rsidR="009E166E" w:rsidRDefault="009E166E" w:rsidP="0088341A">
      <w:pPr>
        <w:pStyle w:val="FootnoteText"/>
      </w:pPr>
      <w:r>
        <w:rPr>
          <w:rStyle w:val="FootnoteReference"/>
        </w:rPr>
        <w:footnoteRef/>
      </w:r>
      <w:r>
        <w:t xml:space="preserve"> </w:t>
      </w:r>
      <w:r>
        <w:tab/>
        <w:t xml:space="preserve">AER, </w:t>
      </w:r>
      <w:r w:rsidRPr="001E7D29">
        <w:rPr>
          <w:rStyle w:val="AERtextitalic"/>
        </w:rPr>
        <w:t>Final –</w:t>
      </w:r>
      <w:r>
        <w:rPr>
          <w:rStyle w:val="AERtextitalic"/>
        </w:rPr>
        <w:t xml:space="preserve"> Service Target P</w:t>
      </w:r>
      <w:r w:rsidRPr="001E7D29">
        <w:rPr>
          <w:rStyle w:val="AERtextitalic"/>
        </w:rPr>
        <w:t>erforma</w:t>
      </w:r>
      <w:r>
        <w:rPr>
          <w:rStyle w:val="AERtextitalic"/>
        </w:rPr>
        <w:t>nce Incentive Scheme</w:t>
      </w:r>
      <w:r w:rsidRPr="001E7D29">
        <w:rPr>
          <w:rStyle w:val="AERtextitalic"/>
        </w:rPr>
        <w:t xml:space="preserve">, </w:t>
      </w:r>
      <w:r w:rsidRPr="004652E5">
        <w:rPr>
          <w:rStyle w:val="AERtextitalic"/>
          <w:i w:val="0"/>
        </w:rPr>
        <w:t>December 2012, clause</w:t>
      </w:r>
      <w:r w:rsidRPr="00B7114E">
        <w:rPr>
          <w:rStyle w:val="AERtextitalic"/>
          <w:i w:val="0"/>
        </w:rPr>
        <w:t xml:space="preserve"> 3.2.</w:t>
      </w:r>
      <w:r>
        <w:rPr>
          <w:rStyle w:val="AERtextitalic"/>
        </w:rPr>
        <w:t xml:space="preserve"> </w:t>
      </w:r>
    </w:p>
  </w:footnote>
  <w:footnote w:id="500">
    <w:p w:rsidR="009E166E" w:rsidRDefault="009E166E" w:rsidP="0088341A">
      <w:pPr>
        <w:pStyle w:val="FootnoteText"/>
      </w:pPr>
      <w:r>
        <w:rPr>
          <w:rStyle w:val="FootnoteReference"/>
        </w:rPr>
        <w:footnoteRef/>
      </w:r>
      <w:r>
        <w:t xml:space="preserve"> </w:t>
      </w:r>
      <w:r>
        <w:tab/>
        <w:t xml:space="preserve">AER, </w:t>
      </w:r>
      <w:r w:rsidRPr="001E7D29">
        <w:rPr>
          <w:rStyle w:val="AERtextitalic"/>
        </w:rPr>
        <w:t>Final –</w:t>
      </w:r>
      <w:r>
        <w:rPr>
          <w:rStyle w:val="AERtextitalic"/>
        </w:rPr>
        <w:t xml:space="preserve"> Service Target P</w:t>
      </w:r>
      <w:r w:rsidRPr="001E7D29">
        <w:rPr>
          <w:rStyle w:val="AERtextitalic"/>
        </w:rPr>
        <w:t>erforma</w:t>
      </w:r>
      <w:r>
        <w:rPr>
          <w:rStyle w:val="AERtextitalic"/>
        </w:rPr>
        <w:t>nce Incentive Scheme</w:t>
      </w:r>
      <w:r w:rsidRPr="001E7D29">
        <w:rPr>
          <w:rStyle w:val="AERtextitalic"/>
        </w:rPr>
        <w:t xml:space="preserve">, </w:t>
      </w:r>
      <w:r w:rsidRPr="003C1DD4">
        <w:rPr>
          <w:rStyle w:val="AERtextitalic"/>
          <w:i w:val="0"/>
        </w:rPr>
        <w:t>December 2012, clauses</w:t>
      </w:r>
      <w:r>
        <w:rPr>
          <w:rStyle w:val="AERtextitalic"/>
          <w:i w:val="0"/>
        </w:rPr>
        <w:t xml:space="preserve"> 5.2(b</w:t>
      </w:r>
      <w:r w:rsidRPr="008457CA">
        <w:rPr>
          <w:rStyle w:val="AERtextitalic"/>
          <w:i w:val="0"/>
        </w:rPr>
        <w:t>)(1).</w:t>
      </w:r>
      <w:r>
        <w:rPr>
          <w:rStyle w:val="AERtextitalic"/>
        </w:rPr>
        <w:t xml:space="preserve"> </w:t>
      </w:r>
    </w:p>
  </w:footnote>
  <w:footnote w:id="501">
    <w:p w:rsidR="009E166E" w:rsidRDefault="009E166E" w:rsidP="0088341A">
      <w:pPr>
        <w:pStyle w:val="FootnoteText"/>
      </w:pPr>
      <w:r>
        <w:rPr>
          <w:rStyle w:val="FootnoteReference"/>
        </w:rPr>
        <w:footnoteRef/>
      </w:r>
      <w:r>
        <w:t xml:space="preserve"> </w:t>
      </w:r>
      <w:r>
        <w:tab/>
        <w:t xml:space="preserve">AER, </w:t>
      </w:r>
      <w:r w:rsidRPr="001E7D29">
        <w:rPr>
          <w:rStyle w:val="AERtextitalic"/>
        </w:rPr>
        <w:t>Final –</w:t>
      </w:r>
      <w:r>
        <w:rPr>
          <w:rStyle w:val="AERtextitalic"/>
        </w:rPr>
        <w:t xml:space="preserve"> Service Target P</w:t>
      </w:r>
      <w:r w:rsidRPr="001E7D29">
        <w:rPr>
          <w:rStyle w:val="AERtextitalic"/>
        </w:rPr>
        <w:t>erforma</w:t>
      </w:r>
      <w:r>
        <w:rPr>
          <w:rStyle w:val="AERtextitalic"/>
        </w:rPr>
        <w:t>nce Incentive Scheme</w:t>
      </w:r>
      <w:r w:rsidRPr="001E7D29">
        <w:rPr>
          <w:rStyle w:val="AERtextitalic"/>
        </w:rPr>
        <w:t xml:space="preserve">, </w:t>
      </w:r>
      <w:r w:rsidRPr="003C1DD4">
        <w:rPr>
          <w:rStyle w:val="AERtextitalic"/>
          <w:i w:val="0"/>
        </w:rPr>
        <w:t>December 2012, clauses</w:t>
      </w:r>
      <w:r>
        <w:rPr>
          <w:rStyle w:val="AERtextitalic"/>
          <w:i w:val="0"/>
        </w:rPr>
        <w:t xml:space="preserve"> 5.2(b)(</w:t>
      </w:r>
      <w:r w:rsidRPr="00FF7C7D">
        <w:rPr>
          <w:rStyle w:val="AERtextitalic"/>
          <w:i w:val="0"/>
        </w:rPr>
        <w:t>2).</w:t>
      </w:r>
      <w:r>
        <w:rPr>
          <w:rStyle w:val="AERtextitalic"/>
        </w:rPr>
        <w:t xml:space="preserve"> </w:t>
      </w:r>
    </w:p>
  </w:footnote>
  <w:footnote w:id="502">
    <w:p w:rsidR="009E166E" w:rsidRDefault="009E166E" w:rsidP="0088341A">
      <w:pPr>
        <w:pStyle w:val="FootnoteText"/>
      </w:pPr>
      <w:r>
        <w:rPr>
          <w:rStyle w:val="FootnoteReference"/>
        </w:rPr>
        <w:footnoteRef/>
      </w:r>
      <w:r>
        <w:t xml:space="preserve"> </w:t>
      </w:r>
      <w:r>
        <w:tab/>
        <w:t xml:space="preserve">AER, </w:t>
      </w:r>
      <w:r w:rsidRPr="001E7D29">
        <w:rPr>
          <w:rStyle w:val="AERtextitalic"/>
        </w:rPr>
        <w:t>Final –</w:t>
      </w:r>
      <w:r>
        <w:rPr>
          <w:rStyle w:val="AERtextitalic"/>
        </w:rPr>
        <w:t xml:space="preserve"> Service Target P</w:t>
      </w:r>
      <w:r w:rsidRPr="001E7D29">
        <w:rPr>
          <w:rStyle w:val="AERtextitalic"/>
        </w:rPr>
        <w:t>erforma</w:t>
      </w:r>
      <w:r>
        <w:rPr>
          <w:rStyle w:val="AERtextitalic"/>
        </w:rPr>
        <w:t>nce Incentive Scheme</w:t>
      </w:r>
      <w:r w:rsidRPr="001E7D29">
        <w:rPr>
          <w:rStyle w:val="AERtextitalic"/>
        </w:rPr>
        <w:t xml:space="preserve">, </w:t>
      </w:r>
      <w:r w:rsidRPr="003C1DD4">
        <w:rPr>
          <w:rStyle w:val="AERtextitalic"/>
          <w:i w:val="0"/>
        </w:rPr>
        <w:t>December 2012, clauses</w:t>
      </w:r>
      <w:r>
        <w:rPr>
          <w:rStyle w:val="AERtextitalic"/>
          <w:i w:val="0"/>
        </w:rPr>
        <w:t xml:space="preserve"> 5.2(b)(</w:t>
      </w:r>
      <w:r w:rsidRPr="00FF7C7D">
        <w:rPr>
          <w:rStyle w:val="AERtextitalic"/>
          <w:i w:val="0"/>
        </w:rPr>
        <w:t>2).</w:t>
      </w:r>
      <w:r>
        <w:rPr>
          <w:rStyle w:val="AERtextitalic"/>
        </w:rPr>
        <w:t xml:space="preserve"> </w:t>
      </w:r>
    </w:p>
  </w:footnote>
  <w:footnote w:id="503">
    <w:p w:rsidR="009E166E" w:rsidRDefault="009E166E" w:rsidP="0088341A">
      <w:pPr>
        <w:pStyle w:val="FootnoteText"/>
      </w:pPr>
      <w:r>
        <w:rPr>
          <w:rStyle w:val="FootnoteReference"/>
        </w:rPr>
        <w:footnoteRef/>
      </w:r>
      <w:r>
        <w:t xml:space="preserve"> </w:t>
      </w:r>
      <w:r>
        <w:tab/>
        <w:t xml:space="preserve">AER, </w:t>
      </w:r>
      <w:r w:rsidRPr="001E7D29">
        <w:rPr>
          <w:rStyle w:val="AERtextitalic"/>
        </w:rPr>
        <w:t>Final –</w:t>
      </w:r>
      <w:r>
        <w:rPr>
          <w:rStyle w:val="AERtextitalic"/>
        </w:rPr>
        <w:t xml:space="preserve"> Service Target P</w:t>
      </w:r>
      <w:r w:rsidRPr="001E7D29">
        <w:rPr>
          <w:rStyle w:val="AERtextitalic"/>
        </w:rPr>
        <w:t>erforma</w:t>
      </w:r>
      <w:r>
        <w:rPr>
          <w:rStyle w:val="AERtextitalic"/>
        </w:rPr>
        <w:t>nce Incentive Scheme</w:t>
      </w:r>
      <w:r w:rsidRPr="001E7D29">
        <w:rPr>
          <w:rStyle w:val="AERtextitalic"/>
        </w:rPr>
        <w:t xml:space="preserve">, </w:t>
      </w:r>
      <w:r w:rsidRPr="003C1DD4">
        <w:rPr>
          <w:rStyle w:val="AERtextitalic"/>
          <w:i w:val="0"/>
        </w:rPr>
        <w:t>December 2012, clauses</w:t>
      </w:r>
      <w:r>
        <w:rPr>
          <w:rStyle w:val="AERtextitalic"/>
          <w:i w:val="0"/>
        </w:rPr>
        <w:t xml:space="preserve"> 5.2(b)(</w:t>
      </w:r>
      <w:r w:rsidRPr="00FF7C7D">
        <w:rPr>
          <w:rStyle w:val="AERtextitalic"/>
          <w:i w:val="0"/>
        </w:rPr>
        <w:t>2).</w:t>
      </w:r>
      <w:r>
        <w:rPr>
          <w:rStyle w:val="AERtextitalic"/>
        </w:rPr>
        <w:t xml:space="preserve"> </w:t>
      </w:r>
    </w:p>
  </w:footnote>
  <w:footnote w:id="504">
    <w:p w:rsidR="009E166E" w:rsidRDefault="009E166E" w:rsidP="0088341A">
      <w:pPr>
        <w:pStyle w:val="FootnoteText"/>
      </w:pPr>
      <w:r>
        <w:rPr>
          <w:rStyle w:val="FootnoteReference"/>
        </w:rPr>
        <w:footnoteRef/>
      </w:r>
      <w:r>
        <w:t xml:space="preserve"> </w:t>
      </w:r>
      <w:r>
        <w:tab/>
        <w:t xml:space="preserve">AER, </w:t>
      </w:r>
      <w:r w:rsidRPr="001E7D29">
        <w:rPr>
          <w:rStyle w:val="AERtextitalic"/>
        </w:rPr>
        <w:t>Final –</w:t>
      </w:r>
      <w:r>
        <w:rPr>
          <w:rStyle w:val="AERtextitalic"/>
        </w:rPr>
        <w:t xml:space="preserve"> Service Target P</w:t>
      </w:r>
      <w:r w:rsidRPr="001E7D29">
        <w:rPr>
          <w:rStyle w:val="AERtextitalic"/>
        </w:rPr>
        <w:t>erforma</w:t>
      </w:r>
      <w:r>
        <w:rPr>
          <w:rStyle w:val="AERtextitalic"/>
        </w:rPr>
        <w:t>nce Incentive Scheme</w:t>
      </w:r>
      <w:r w:rsidRPr="001E7D29">
        <w:rPr>
          <w:rStyle w:val="AERtextitalic"/>
        </w:rPr>
        <w:t xml:space="preserve">, </w:t>
      </w:r>
      <w:r w:rsidRPr="003C1DD4">
        <w:rPr>
          <w:rStyle w:val="AERtextitalic"/>
          <w:i w:val="0"/>
        </w:rPr>
        <w:t>December 2012, clause</w:t>
      </w:r>
      <w:r w:rsidRPr="00FF7C7D">
        <w:rPr>
          <w:rStyle w:val="AERtextitalic"/>
          <w:i w:val="0"/>
        </w:rPr>
        <w:t xml:space="preserve"> 5.2(d).</w:t>
      </w:r>
      <w:r>
        <w:rPr>
          <w:rStyle w:val="AERtextitalic"/>
        </w:rPr>
        <w:t xml:space="preserve"> </w:t>
      </w:r>
    </w:p>
  </w:footnote>
  <w:footnote w:id="505">
    <w:p w:rsidR="009E166E" w:rsidRDefault="009E166E" w:rsidP="0088341A">
      <w:pPr>
        <w:pStyle w:val="FootnoteText"/>
      </w:pPr>
      <w:r>
        <w:rPr>
          <w:rStyle w:val="FootnoteReference"/>
        </w:rPr>
        <w:footnoteRef/>
      </w:r>
      <w:r>
        <w:t xml:space="preserve"> </w:t>
      </w:r>
      <w:r>
        <w:tab/>
        <w:t xml:space="preserve">AER, </w:t>
      </w:r>
      <w:r w:rsidRPr="001E7D29">
        <w:rPr>
          <w:rStyle w:val="AERtextitalic"/>
        </w:rPr>
        <w:t>Final –</w:t>
      </w:r>
      <w:r>
        <w:rPr>
          <w:rStyle w:val="AERtextitalic"/>
        </w:rPr>
        <w:t xml:space="preserve"> Service Target P</w:t>
      </w:r>
      <w:r w:rsidRPr="001E7D29">
        <w:rPr>
          <w:rStyle w:val="AERtextitalic"/>
        </w:rPr>
        <w:t>erforma</w:t>
      </w:r>
      <w:r>
        <w:rPr>
          <w:rStyle w:val="AERtextitalic"/>
        </w:rPr>
        <w:t>nce Incentive Scheme</w:t>
      </w:r>
      <w:r w:rsidRPr="001E7D29">
        <w:rPr>
          <w:rStyle w:val="AERtextitalic"/>
        </w:rPr>
        <w:t xml:space="preserve">, </w:t>
      </w:r>
      <w:r w:rsidRPr="003C1DD4">
        <w:rPr>
          <w:rStyle w:val="AERtextitalic"/>
          <w:i w:val="0"/>
        </w:rPr>
        <w:t>December 2012, clause</w:t>
      </w:r>
      <w:r w:rsidRPr="00FF7C7D">
        <w:rPr>
          <w:rStyle w:val="AERtextitalic"/>
          <w:i w:val="0"/>
        </w:rPr>
        <w:t xml:space="preserve"> 5.2(h).</w:t>
      </w:r>
      <w:r>
        <w:rPr>
          <w:rStyle w:val="AERtextitalic"/>
        </w:rPr>
        <w:t xml:space="preserve"> </w:t>
      </w:r>
    </w:p>
  </w:footnote>
  <w:footnote w:id="506">
    <w:p w:rsidR="009E166E" w:rsidRDefault="009E166E" w:rsidP="0088341A">
      <w:pPr>
        <w:pStyle w:val="FootnoteText"/>
      </w:pPr>
      <w:r>
        <w:rPr>
          <w:rStyle w:val="FootnoteReference"/>
        </w:rPr>
        <w:footnoteRef/>
      </w:r>
      <w:r>
        <w:t xml:space="preserve"> </w:t>
      </w:r>
      <w:r>
        <w:tab/>
        <w:t xml:space="preserve">AER, </w:t>
      </w:r>
      <w:r w:rsidRPr="001E7D29">
        <w:rPr>
          <w:rStyle w:val="AERtextitalic"/>
        </w:rPr>
        <w:t>Final –</w:t>
      </w:r>
      <w:r>
        <w:rPr>
          <w:rStyle w:val="AERtextitalic"/>
        </w:rPr>
        <w:t xml:space="preserve"> Service Target P</w:t>
      </w:r>
      <w:r w:rsidRPr="001E7D29">
        <w:rPr>
          <w:rStyle w:val="AERtextitalic"/>
        </w:rPr>
        <w:t>erforma</w:t>
      </w:r>
      <w:r>
        <w:rPr>
          <w:rStyle w:val="AERtextitalic"/>
        </w:rPr>
        <w:t>nce Incentive Scheme</w:t>
      </w:r>
      <w:r w:rsidRPr="001E7D29">
        <w:rPr>
          <w:rStyle w:val="AERtextitalic"/>
        </w:rPr>
        <w:t xml:space="preserve">, </w:t>
      </w:r>
      <w:r w:rsidRPr="003C1DD4">
        <w:rPr>
          <w:rStyle w:val="AERtextitalic"/>
          <w:i w:val="0"/>
        </w:rPr>
        <w:t>December 2012, clause</w:t>
      </w:r>
      <w:r>
        <w:rPr>
          <w:rStyle w:val="AERtextitalic"/>
          <w:i w:val="0"/>
        </w:rPr>
        <w:t xml:space="preserve"> 5.2(c). </w:t>
      </w:r>
    </w:p>
  </w:footnote>
  <w:footnote w:id="507">
    <w:p w:rsidR="009E166E" w:rsidRDefault="009E166E" w:rsidP="0088341A">
      <w:pPr>
        <w:pStyle w:val="FootnoteText"/>
      </w:pPr>
      <w:r>
        <w:rPr>
          <w:rStyle w:val="FootnoteReference"/>
        </w:rPr>
        <w:footnoteRef/>
      </w:r>
      <w:r>
        <w:t xml:space="preserve"> </w:t>
      </w:r>
      <w:r>
        <w:tab/>
        <w:t xml:space="preserve">AER, </w:t>
      </w:r>
      <w:r w:rsidRPr="001E7D29">
        <w:rPr>
          <w:rStyle w:val="AERtextitalic"/>
        </w:rPr>
        <w:t>Final –</w:t>
      </w:r>
      <w:r>
        <w:rPr>
          <w:rStyle w:val="AERtextitalic"/>
        </w:rPr>
        <w:t xml:space="preserve"> Service Target P</w:t>
      </w:r>
      <w:r w:rsidRPr="001E7D29">
        <w:rPr>
          <w:rStyle w:val="AERtextitalic"/>
        </w:rPr>
        <w:t>erforma</w:t>
      </w:r>
      <w:r>
        <w:rPr>
          <w:rStyle w:val="AERtextitalic"/>
        </w:rPr>
        <w:t>nce Incentive Scheme</w:t>
      </w:r>
      <w:r w:rsidRPr="001E7D29">
        <w:rPr>
          <w:rStyle w:val="AERtextitalic"/>
        </w:rPr>
        <w:t xml:space="preserve">, </w:t>
      </w:r>
      <w:r w:rsidRPr="004652E5">
        <w:rPr>
          <w:rStyle w:val="AERtextitalic"/>
          <w:i w:val="0"/>
        </w:rPr>
        <w:t>December 2012.</w:t>
      </w:r>
      <w:r>
        <w:rPr>
          <w:rStyle w:val="AERtextitalic"/>
        </w:rPr>
        <w:t xml:space="preserve"> </w:t>
      </w:r>
    </w:p>
  </w:footnote>
  <w:footnote w:id="508">
    <w:p w:rsidR="009E166E" w:rsidRDefault="009E166E" w:rsidP="0088341A">
      <w:pPr>
        <w:pStyle w:val="FootnoteText"/>
      </w:pPr>
      <w:r>
        <w:rPr>
          <w:rStyle w:val="FootnoteReference"/>
        </w:rPr>
        <w:footnoteRef/>
      </w:r>
      <w:r>
        <w:t xml:space="preserve"> </w:t>
      </w:r>
      <w:r>
        <w:tab/>
        <w:t xml:space="preserve">AER, </w:t>
      </w:r>
      <w:r w:rsidRPr="001E7D29">
        <w:rPr>
          <w:rStyle w:val="AERtextitalic"/>
        </w:rPr>
        <w:t>Final –</w:t>
      </w:r>
      <w:r>
        <w:rPr>
          <w:rStyle w:val="AERtextitalic"/>
        </w:rPr>
        <w:t xml:space="preserve"> Service Target P</w:t>
      </w:r>
      <w:r w:rsidRPr="001E7D29">
        <w:rPr>
          <w:rStyle w:val="AERtextitalic"/>
        </w:rPr>
        <w:t>erforma</w:t>
      </w:r>
      <w:r>
        <w:rPr>
          <w:rStyle w:val="AERtextitalic"/>
        </w:rPr>
        <w:t>nce Incentive Scheme</w:t>
      </w:r>
      <w:r w:rsidRPr="001E7D29">
        <w:rPr>
          <w:rStyle w:val="AERtextitalic"/>
        </w:rPr>
        <w:t xml:space="preserve">, </w:t>
      </w:r>
      <w:r w:rsidRPr="001F299A">
        <w:rPr>
          <w:rStyle w:val="AERtextitalic"/>
          <w:i w:val="0"/>
        </w:rPr>
        <w:t>December 2012, Appendix A, p. 25.</w:t>
      </w:r>
      <w:r>
        <w:rPr>
          <w:rStyle w:val="AERtextitalic"/>
        </w:rPr>
        <w:t xml:space="preserve"> </w:t>
      </w:r>
    </w:p>
  </w:footnote>
  <w:footnote w:id="509">
    <w:p w:rsidR="009E166E" w:rsidRDefault="009E166E" w:rsidP="0088341A">
      <w:pPr>
        <w:pStyle w:val="FootnoteText"/>
      </w:pPr>
      <w:r>
        <w:rPr>
          <w:rStyle w:val="FootnoteReference"/>
        </w:rPr>
        <w:footnoteRef/>
      </w:r>
      <w:r>
        <w:t xml:space="preserve"> </w:t>
      </w:r>
      <w:r>
        <w:tab/>
        <w:t xml:space="preserve">NEL, s7. </w:t>
      </w:r>
    </w:p>
  </w:footnote>
  <w:footnote w:id="510">
    <w:p w:rsidR="009E166E" w:rsidRDefault="009E166E" w:rsidP="0088341A">
      <w:pPr>
        <w:pStyle w:val="FootnoteText"/>
      </w:pPr>
      <w:r>
        <w:rPr>
          <w:rStyle w:val="FootnoteReference"/>
        </w:rPr>
        <w:footnoteRef/>
      </w:r>
      <w:r>
        <w:t xml:space="preserve"> </w:t>
      </w:r>
      <w:r>
        <w:tab/>
        <w:t xml:space="preserve">NER, clause 6A.7.4. </w:t>
      </w:r>
    </w:p>
  </w:footnote>
  <w:footnote w:id="511">
    <w:p w:rsidR="009E166E" w:rsidRDefault="009E166E" w:rsidP="0088341A">
      <w:pPr>
        <w:pStyle w:val="FootnoteText"/>
      </w:pPr>
      <w:r>
        <w:rPr>
          <w:rStyle w:val="FootnoteReference"/>
        </w:rPr>
        <w:footnoteRef/>
      </w:r>
      <w:r>
        <w:t xml:space="preserve"> </w:t>
      </w:r>
      <w:r>
        <w:tab/>
        <w:t xml:space="preserve">AER, </w:t>
      </w:r>
      <w:r w:rsidRPr="001E7D29">
        <w:rPr>
          <w:rStyle w:val="AERtextitalic"/>
        </w:rPr>
        <w:t>Final –</w:t>
      </w:r>
      <w:r>
        <w:rPr>
          <w:rStyle w:val="AERtextitalic"/>
        </w:rPr>
        <w:t xml:space="preserve"> Service Target P</w:t>
      </w:r>
      <w:r w:rsidRPr="001E7D29">
        <w:rPr>
          <w:rStyle w:val="AERtextitalic"/>
        </w:rPr>
        <w:t>erforma</w:t>
      </w:r>
      <w:r>
        <w:rPr>
          <w:rStyle w:val="AERtextitalic"/>
        </w:rPr>
        <w:t>nce Incentive Scheme</w:t>
      </w:r>
      <w:r w:rsidRPr="001E7D29">
        <w:rPr>
          <w:rStyle w:val="AERtextitalic"/>
        </w:rPr>
        <w:t xml:space="preserve">, </w:t>
      </w:r>
      <w:r w:rsidRPr="00C9508E">
        <w:rPr>
          <w:rStyle w:val="AERtextitalic"/>
          <w:i w:val="0"/>
        </w:rPr>
        <w:t xml:space="preserve">December 2012, </w:t>
      </w:r>
      <w:r>
        <w:rPr>
          <w:rStyle w:val="AERtextitalic"/>
          <w:i w:val="0"/>
        </w:rPr>
        <w:t xml:space="preserve">clause </w:t>
      </w:r>
      <w:r w:rsidRPr="00C9508E">
        <w:rPr>
          <w:rStyle w:val="AERtextitalic"/>
          <w:i w:val="0"/>
        </w:rPr>
        <w:t>1.4.</w:t>
      </w:r>
    </w:p>
  </w:footnote>
  <w:footnote w:id="512">
    <w:p w:rsidR="009E166E" w:rsidRDefault="009E166E" w:rsidP="0088341A">
      <w:pPr>
        <w:pStyle w:val="FootnoteText"/>
      </w:pPr>
      <w:r>
        <w:rPr>
          <w:rStyle w:val="FootnoteReference"/>
        </w:rPr>
        <w:footnoteRef/>
      </w:r>
      <w:r>
        <w:t xml:space="preserve"> </w:t>
      </w:r>
      <w:r>
        <w:tab/>
        <w:t xml:space="preserve">AER, </w:t>
      </w:r>
      <w:r w:rsidRPr="001E7D29">
        <w:rPr>
          <w:rStyle w:val="AERtextitalic"/>
        </w:rPr>
        <w:t>Final –</w:t>
      </w:r>
      <w:r>
        <w:rPr>
          <w:rStyle w:val="AERtextitalic"/>
        </w:rPr>
        <w:t xml:space="preserve"> Service Target P</w:t>
      </w:r>
      <w:r w:rsidRPr="001E7D29">
        <w:rPr>
          <w:rStyle w:val="AERtextitalic"/>
        </w:rPr>
        <w:t>erforma</w:t>
      </w:r>
      <w:r>
        <w:rPr>
          <w:rStyle w:val="AERtextitalic"/>
        </w:rPr>
        <w:t>nce Incentive Scheme</w:t>
      </w:r>
      <w:r w:rsidRPr="001E7D29">
        <w:rPr>
          <w:rStyle w:val="AERtextitalic"/>
        </w:rPr>
        <w:t xml:space="preserve">, </w:t>
      </w:r>
      <w:r w:rsidRPr="00C9508E">
        <w:rPr>
          <w:rStyle w:val="AERtextitalic"/>
          <w:i w:val="0"/>
        </w:rPr>
        <w:t>December 2012, clause 3.2(k)(2).</w:t>
      </w:r>
    </w:p>
  </w:footnote>
  <w:footnote w:id="513">
    <w:p w:rsidR="009E166E" w:rsidRDefault="009E166E" w:rsidP="0088341A">
      <w:pPr>
        <w:pStyle w:val="FootnoteText"/>
      </w:pPr>
      <w:r>
        <w:rPr>
          <w:rStyle w:val="FootnoteReference"/>
        </w:rPr>
        <w:footnoteRef/>
      </w:r>
      <w:r>
        <w:t xml:space="preserve"> </w:t>
      </w:r>
      <w:r>
        <w:tab/>
        <w:t xml:space="preserve">SP AusNet, </w:t>
      </w:r>
      <w:r w:rsidRPr="001B7BF7">
        <w:rPr>
          <w:rStyle w:val="AERtextitalic"/>
        </w:rPr>
        <w:t>Revenue proposal</w:t>
      </w:r>
      <w:r>
        <w:t xml:space="preserve">, pp. 153–156. </w:t>
      </w:r>
    </w:p>
  </w:footnote>
  <w:footnote w:id="514">
    <w:p w:rsidR="009E166E" w:rsidRDefault="009E166E" w:rsidP="0088341A">
      <w:pPr>
        <w:pStyle w:val="FootnoteText"/>
      </w:pPr>
      <w:r>
        <w:rPr>
          <w:rStyle w:val="FootnoteReference"/>
        </w:rPr>
        <w:footnoteRef/>
      </w:r>
      <w:r>
        <w:t xml:space="preserve"> </w:t>
      </w:r>
      <w:r>
        <w:tab/>
        <w:t xml:space="preserve">AER, </w:t>
      </w:r>
      <w:r w:rsidRPr="009B3A06">
        <w:rPr>
          <w:rStyle w:val="AERtextitalic"/>
        </w:rPr>
        <w:t>Draft decision, TransGrid transmission determination 2009–10 to 2013–14</w:t>
      </w:r>
      <w:r>
        <w:t xml:space="preserve">, October 2008, p. 170; AER, </w:t>
      </w:r>
      <w:r w:rsidRPr="009B3A06">
        <w:rPr>
          <w:rStyle w:val="AERtextitalic"/>
        </w:rPr>
        <w:t>Draft decision, Powerlink transmission determination 2012–13 to 2016–17</w:t>
      </w:r>
      <w:r>
        <w:t xml:space="preserve">, November 2011, pp. 288–289. </w:t>
      </w:r>
    </w:p>
  </w:footnote>
  <w:footnote w:id="515">
    <w:p w:rsidR="009E166E" w:rsidRDefault="009E166E" w:rsidP="0088341A">
      <w:pPr>
        <w:pStyle w:val="FootnoteText"/>
      </w:pPr>
      <w:r>
        <w:rPr>
          <w:rStyle w:val="FootnoteReference"/>
        </w:rPr>
        <w:footnoteRef/>
      </w:r>
      <w:r>
        <w:t xml:space="preserve"> </w:t>
      </w:r>
      <w:r>
        <w:tab/>
        <w:t xml:space="preserve">SP AusNet, </w:t>
      </w:r>
      <w:r w:rsidRPr="003A7F47">
        <w:rPr>
          <w:rStyle w:val="AERtextitalic"/>
        </w:rPr>
        <w:t>Revenue proposal</w:t>
      </w:r>
      <w:r>
        <w:t xml:space="preserve">, pp. 153–4. </w:t>
      </w:r>
    </w:p>
  </w:footnote>
  <w:footnote w:id="516">
    <w:p w:rsidR="009E166E" w:rsidRDefault="009E166E" w:rsidP="0088341A">
      <w:pPr>
        <w:pStyle w:val="FootnoteText"/>
      </w:pPr>
      <w:r>
        <w:rPr>
          <w:rStyle w:val="FootnoteReference"/>
        </w:rPr>
        <w:footnoteRef/>
      </w:r>
      <w:r>
        <w:t xml:space="preserve"> </w:t>
      </w:r>
      <w:r>
        <w:tab/>
        <w:t xml:space="preserve">SP AusNet, </w:t>
      </w:r>
      <w:r w:rsidRPr="00491733">
        <w:rPr>
          <w:rStyle w:val="AERtextitalic"/>
        </w:rPr>
        <w:t>Revenue proposal</w:t>
      </w:r>
      <w:r>
        <w:t xml:space="preserve">, p. 154. </w:t>
      </w:r>
    </w:p>
  </w:footnote>
  <w:footnote w:id="517">
    <w:p w:rsidR="009E166E" w:rsidRDefault="009E166E" w:rsidP="0088341A">
      <w:pPr>
        <w:pStyle w:val="FootnoteText"/>
      </w:pPr>
      <w:r>
        <w:rPr>
          <w:rStyle w:val="FootnoteReference"/>
        </w:rPr>
        <w:footnoteRef/>
      </w:r>
      <w:r>
        <w:t xml:space="preserve"> </w:t>
      </w:r>
      <w:r>
        <w:tab/>
        <w:t xml:space="preserve">SP AusNet, </w:t>
      </w:r>
      <w:r w:rsidRPr="00F91E1B">
        <w:rPr>
          <w:rStyle w:val="AERtextitalic"/>
        </w:rPr>
        <w:t>Revenue proposal</w:t>
      </w:r>
      <w:r>
        <w:t xml:space="preserve">, p. 154. </w:t>
      </w:r>
    </w:p>
  </w:footnote>
  <w:footnote w:id="518">
    <w:p w:rsidR="009E166E" w:rsidRDefault="009E166E" w:rsidP="0088341A">
      <w:pPr>
        <w:pStyle w:val="FootnoteText"/>
      </w:pPr>
      <w:r>
        <w:rPr>
          <w:rStyle w:val="FootnoteReference"/>
        </w:rPr>
        <w:footnoteRef/>
      </w:r>
      <w:r>
        <w:t xml:space="preserve"> </w:t>
      </w:r>
      <w:r>
        <w:tab/>
        <w:t xml:space="preserve">SP AusNet, </w:t>
      </w:r>
      <w:r w:rsidRPr="00F91E1B">
        <w:rPr>
          <w:rStyle w:val="AERtextitalic"/>
        </w:rPr>
        <w:t>Revenue proposal</w:t>
      </w:r>
      <w:r>
        <w:t xml:space="preserve">, p. 154. </w:t>
      </w:r>
    </w:p>
  </w:footnote>
  <w:footnote w:id="519">
    <w:p w:rsidR="009E166E" w:rsidRDefault="009E166E" w:rsidP="0088341A">
      <w:pPr>
        <w:pStyle w:val="FootnoteText"/>
      </w:pPr>
      <w:r>
        <w:rPr>
          <w:rStyle w:val="FootnoteReference"/>
        </w:rPr>
        <w:footnoteRef/>
      </w:r>
      <w:r>
        <w:t xml:space="preserve"> </w:t>
      </w:r>
      <w:r>
        <w:tab/>
        <w:t xml:space="preserve">EMCa, </w:t>
      </w:r>
      <w:r w:rsidRPr="00690957">
        <w:rPr>
          <w:rStyle w:val="AERtextitalic"/>
        </w:rPr>
        <w:t>SP AusNet technical review</w:t>
      </w:r>
      <w:r>
        <w:t xml:space="preserve">, August 2013, p. 106, paragraph 388–91. </w:t>
      </w:r>
    </w:p>
  </w:footnote>
  <w:footnote w:id="520">
    <w:p w:rsidR="009E166E" w:rsidRDefault="009E166E" w:rsidP="0088341A">
      <w:pPr>
        <w:pStyle w:val="FootnoteText"/>
      </w:pPr>
      <w:r>
        <w:rPr>
          <w:rStyle w:val="FootnoteReference"/>
        </w:rPr>
        <w:footnoteRef/>
      </w:r>
      <w:r>
        <w:t xml:space="preserve"> </w:t>
      </w:r>
      <w:r>
        <w:tab/>
        <w:t xml:space="preserve">AER, </w:t>
      </w:r>
      <w:r w:rsidRPr="001E7D29">
        <w:rPr>
          <w:rStyle w:val="AERtextitalic"/>
        </w:rPr>
        <w:t>Final –</w:t>
      </w:r>
      <w:r>
        <w:rPr>
          <w:rStyle w:val="AERtextitalic"/>
        </w:rPr>
        <w:t xml:space="preserve"> Service Target P</w:t>
      </w:r>
      <w:r w:rsidRPr="001E7D29">
        <w:rPr>
          <w:rStyle w:val="AERtextitalic"/>
        </w:rPr>
        <w:t>erforma</w:t>
      </w:r>
      <w:r>
        <w:rPr>
          <w:rStyle w:val="AERtextitalic"/>
        </w:rPr>
        <w:t>nce Incentive Scheme</w:t>
      </w:r>
      <w:r w:rsidRPr="001E7D29">
        <w:rPr>
          <w:rStyle w:val="AERtextitalic"/>
        </w:rPr>
        <w:t xml:space="preserve">, </w:t>
      </w:r>
      <w:r w:rsidRPr="00D00637">
        <w:rPr>
          <w:rStyle w:val="AERtextitalic"/>
          <w:i w:val="0"/>
        </w:rPr>
        <w:t>December 2012, clause 3.2(e).</w:t>
      </w:r>
      <w:r>
        <w:rPr>
          <w:rStyle w:val="AERtextitalic"/>
        </w:rPr>
        <w:t xml:space="preserve"> </w:t>
      </w:r>
    </w:p>
  </w:footnote>
  <w:footnote w:id="521">
    <w:p w:rsidR="009E166E" w:rsidRDefault="009E166E" w:rsidP="0088341A">
      <w:pPr>
        <w:pStyle w:val="FootnoteText"/>
      </w:pPr>
      <w:r>
        <w:rPr>
          <w:rStyle w:val="FootnoteReference"/>
        </w:rPr>
        <w:footnoteRef/>
      </w:r>
      <w:r>
        <w:t xml:space="preserve"> </w:t>
      </w:r>
      <w:r>
        <w:tab/>
        <w:t xml:space="preserve">AER, </w:t>
      </w:r>
      <w:r w:rsidRPr="001E7D29">
        <w:rPr>
          <w:rStyle w:val="AERtextitalic"/>
        </w:rPr>
        <w:t>Final –</w:t>
      </w:r>
      <w:r>
        <w:rPr>
          <w:rStyle w:val="AERtextitalic"/>
        </w:rPr>
        <w:t xml:space="preserve"> Service Target P</w:t>
      </w:r>
      <w:r w:rsidRPr="001E7D29">
        <w:rPr>
          <w:rStyle w:val="AERtextitalic"/>
        </w:rPr>
        <w:t>erforma</w:t>
      </w:r>
      <w:r>
        <w:rPr>
          <w:rStyle w:val="AERtextitalic"/>
        </w:rPr>
        <w:t>nce Incentive Scheme</w:t>
      </w:r>
      <w:r w:rsidRPr="001E7D29">
        <w:rPr>
          <w:rStyle w:val="AERtextitalic"/>
        </w:rPr>
        <w:t xml:space="preserve">, </w:t>
      </w:r>
      <w:r w:rsidRPr="003C1DD4">
        <w:rPr>
          <w:rStyle w:val="AERtextitalic"/>
          <w:i w:val="0"/>
        </w:rPr>
        <w:t>December 2012, clause 3.2(f).</w:t>
      </w:r>
      <w:r>
        <w:rPr>
          <w:rStyle w:val="AERtextitalic"/>
        </w:rPr>
        <w:t xml:space="preserve"> </w:t>
      </w:r>
    </w:p>
  </w:footnote>
  <w:footnote w:id="522">
    <w:p w:rsidR="009E166E" w:rsidRDefault="009E166E" w:rsidP="0088341A">
      <w:pPr>
        <w:pStyle w:val="FootnoteText"/>
      </w:pPr>
      <w:r>
        <w:rPr>
          <w:rStyle w:val="FootnoteReference"/>
        </w:rPr>
        <w:footnoteRef/>
      </w:r>
      <w:r>
        <w:t xml:space="preserve"> </w:t>
      </w:r>
      <w:r>
        <w:tab/>
        <w:t xml:space="preserve">EMCa, </w:t>
      </w:r>
      <w:r w:rsidRPr="00D66427">
        <w:rPr>
          <w:rStyle w:val="AERtextitalic"/>
        </w:rPr>
        <w:t>SP AusNet technical review</w:t>
      </w:r>
      <w:r>
        <w:t xml:space="preserve">, August 2013, p. 107, paragraph 396–8. </w:t>
      </w:r>
    </w:p>
  </w:footnote>
  <w:footnote w:id="523">
    <w:p w:rsidR="009E166E" w:rsidRDefault="009E166E" w:rsidP="0088341A">
      <w:pPr>
        <w:pStyle w:val="FootnoteText"/>
      </w:pPr>
      <w:r>
        <w:rPr>
          <w:rStyle w:val="FootnoteReference"/>
        </w:rPr>
        <w:footnoteRef/>
      </w:r>
      <w:r>
        <w:t xml:space="preserve"> </w:t>
      </w:r>
      <w:r>
        <w:tab/>
        <w:t xml:space="preserve">EMCa, </w:t>
      </w:r>
      <w:r w:rsidRPr="00EB6138">
        <w:rPr>
          <w:rStyle w:val="AERtextitalic"/>
        </w:rPr>
        <w:t>SP AusNet technical review</w:t>
      </w:r>
      <w:r>
        <w:t xml:space="preserve">, August 2013, p. 111 paragraph 415. </w:t>
      </w:r>
    </w:p>
  </w:footnote>
  <w:footnote w:id="524">
    <w:p w:rsidR="009E166E" w:rsidRDefault="009E166E" w:rsidP="0088341A">
      <w:pPr>
        <w:pStyle w:val="FootnoteText"/>
      </w:pPr>
      <w:r>
        <w:rPr>
          <w:rStyle w:val="FootnoteReference"/>
        </w:rPr>
        <w:footnoteRef/>
      </w:r>
      <w:r>
        <w:t xml:space="preserve"> </w:t>
      </w:r>
      <w:r>
        <w:tab/>
        <w:t xml:space="preserve">AER, </w:t>
      </w:r>
      <w:r w:rsidRPr="001E7D29">
        <w:rPr>
          <w:rStyle w:val="AERtextitalic"/>
        </w:rPr>
        <w:t>Final –</w:t>
      </w:r>
      <w:r>
        <w:rPr>
          <w:rStyle w:val="AERtextitalic"/>
        </w:rPr>
        <w:t xml:space="preserve"> Service Target P</w:t>
      </w:r>
      <w:r w:rsidRPr="001E7D29">
        <w:rPr>
          <w:rStyle w:val="AERtextitalic"/>
        </w:rPr>
        <w:t>erforma</w:t>
      </w:r>
      <w:r>
        <w:rPr>
          <w:rStyle w:val="AERtextitalic"/>
        </w:rPr>
        <w:t>nce Incentive Scheme</w:t>
      </w:r>
      <w:r w:rsidRPr="001E7D29">
        <w:rPr>
          <w:rStyle w:val="AERtextitalic"/>
        </w:rPr>
        <w:t xml:space="preserve">, </w:t>
      </w:r>
      <w:r w:rsidRPr="00EB6138">
        <w:rPr>
          <w:rStyle w:val="AERtextitalic"/>
          <w:i w:val="0"/>
        </w:rPr>
        <w:t>December 2012,</w:t>
      </w:r>
      <w:r>
        <w:rPr>
          <w:rStyle w:val="AERtextitalic"/>
        </w:rPr>
        <w:t xml:space="preserve"> </w:t>
      </w:r>
      <w:r w:rsidRPr="00EB6138">
        <w:rPr>
          <w:rStyle w:val="AERtextitalic"/>
          <w:i w:val="0"/>
        </w:rPr>
        <w:t>clause 3.2(g).</w:t>
      </w:r>
      <w:r>
        <w:rPr>
          <w:rStyle w:val="AERtextitalic"/>
        </w:rPr>
        <w:t xml:space="preserve"> </w:t>
      </w:r>
    </w:p>
  </w:footnote>
  <w:footnote w:id="525">
    <w:p w:rsidR="009E166E" w:rsidRDefault="009E166E" w:rsidP="0088341A">
      <w:pPr>
        <w:pStyle w:val="FootnoteText"/>
      </w:pPr>
      <w:r>
        <w:rPr>
          <w:rStyle w:val="FootnoteReference"/>
        </w:rPr>
        <w:footnoteRef/>
      </w:r>
      <w:r>
        <w:t xml:space="preserve"> </w:t>
      </w:r>
      <w:r>
        <w:tab/>
        <w:t xml:space="preserve">EUCV, </w:t>
      </w:r>
      <w:r>
        <w:rPr>
          <w:rStyle w:val="AERtextitalic"/>
        </w:rPr>
        <w:t>Response to 2013 AER review of Victorian electricity transmission</w:t>
      </w:r>
      <w:r>
        <w:t xml:space="preserve">, May 2013, p. 50. </w:t>
      </w:r>
    </w:p>
  </w:footnote>
  <w:footnote w:id="526">
    <w:p w:rsidR="009E166E" w:rsidRDefault="009E166E" w:rsidP="0088341A">
      <w:pPr>
        <w:pStyle w:val="FootnoteText"/>
      </w:pPr>
      <w:r>
        <w:rPr>
          <w:rStyle w:val="FootnoteReference"/>
        </w:rPr>
        <w:footnoteRef/>
      </w:r>
      <w:r>
        <w:t xml:space="preserve"> </w:t>
      </w:r>
      <w:r>
        <w:tab/>
        <w:t xml:space="preserve">AER, </w:t>
      </w:r>
      <w:r>
        <w:rPr>
          <w:rStyle w:val="AERtextitalic"/>
        </w:rPr>
        <w:t xml:space="preserve">Final – Service target performance incentive scheme, </w:t>
      </w:r>
      <w:r>
        <w:rPr>
          <w:rStyle w:val="AERtextitalic"/>
          <w:i w:val="0"/>
        </w:rPr>
        <w:t>December 2012, clause 3.2.</w:t>
      </w:r>
    </w:p>
  </w:footnote>
  <w:footnote w:id="527">
    <w:p w:rsidR="009E166E" w:rsidRDefault="009E166E" w:rsidP="0088341A">
      <w:pPr>
        <w:pStyle w:val="FootnoteText"/>
      </w:pPr>
      <w:r>
        <w:rPr>
          <w:rStyle w:val="FootnoteReference"/>
        </w:rPr>
        <w:footnoteRef/>
      </w:r>
      <w:r>
        <w:t xml:space="preserve"> </w:t>
      </w:r>
      <w:r>
        <w:tab/>
        <w:t xml:space="preserve">EUCV, </w:t>
      </w:r>
      <w:r>
        <w:rPr>
          <w:rStyle w:val="AERtextitalic"/>
        </w:rPr>
        <w:t>Response to 2013 AER review of Victorian electricity transmission</w:t>
      </w:r>
      <w:r>
        <w:t>, May 2013, p. 50.</w:t>
      </w:r>
    </w:p>
  </w:footnote>
  <w:footnote w:id="528">
    <w:p w:rsidR="009E166E" w:rsidRDefault="009E166E" w:rsidP="0088341A">
      <w:pPr>
        <w:pStyle w:val="FootnoteText"/>
      </w:pPr>
      <w:r>
        <w:rPr>
          <w:rStyle w:val="FootnoteReference"/>
        </w:rPr>
        <w:footnoteRef/>
      </w:r>
      <w:r>
        <w:t xml:space="preserve"> </w:t>
      </w:r>
      <w:r>
        <w:tab/>
        <w:t xml:space="preserve">SP AusNet, </w:t>
      </w:r>
      <w:r>
        <w:rPr>
          <w:rStyle w:val="AERtextitalic"/>
        </w:rPr>
        <w:t>Response to AER 55</w:t>
      </w:r>
      <w:r>
        <w:t xml:space="preserve">, 3 July 2013. </w:t>
      </w:r>
    </w:p>
  </w:footnote>
  <w:footnote w:id="529">
    <w:p w:rsidR="009E166E" w:rsidRDefault="009E166E" w:rsidP="0088341A">
      <w:pPr>
        <w:pStyle w:val="FootnoteText"/>
      </w:pPr>
      <w:r>
        <w:rPr>
          <w:rStyle w:val="FootnoteReference"/>
        </w:rPr>
        <w:footnoteRef/>
      </w:r>
      <w:r>
        <w:t xml:space="preserve"> </w:t>
      </w:r>
      <w:r>
        <w:tab/>
        <w:t xml:space="preserve">AER, </w:t>
      </w:r>
      <w:r w:rsidRPr="001E7D29">
        <w:rPr>
          <w:rStyle w:val="AERtextitalic"/>
        </w:rPr>
        <w:t>Final –</w:t>
      </w:r>
      <w:r>
        <w:rPr>
          <w:rStyle w:val="AERtextitalic"/>
        </w:rPr>
        <w:t xml:space="preserve"> Service Target P</w:t>
      </w:r>
      <w:r w:rsidRPr="001E7D29">
        <w:rPr>
          <w:rStyle w:val="AERtextitalic"/>
        </w:rPr>
        <w:t>erforma</w:t>
      </w:r>
      <w:r>
        <w:rPr>
          <w:rStyle w:val="AERtextitalic"/>
        </w:rPr>
        <w:t>nce Incentive S</w:t>
      </w:r>
      <w:r w:rsidRPr="001E7D29">
        <w:rPr>
          <w:rStyle w:val="AERtextitalic"/>
        </w:rPr>
        <w:t xml:space="preserve">cheme, </w:t>
      </w:r>
      <w:r w:rsidRPr="00637E97">
        <w:rPr>
          <w:rStyle w:val="AERtextitalic"/>
          <w:i w:val="0"/>
        </w:rPr>
        <w:t>December 2012, clause 5.2.</w:t>
      </w:r>
      <w:r>
        <w:rPr>
          <w:rStyle w:val="AERtextitalic"/>
        </w:rPr>
        <w:t xml:space="preserve"> </w:t>
      </w:r>
    </w:p>
  </w:footnote>
  <w:footnote w:id="530">
    <w:p w:rsidR="009E166E" w:rsidRDefault="009E166E" w:rsidP="0088341A">
      <w:pPr>
        <w:pStyle w:val="FootnoteText"/>
      </w:pPr>
      <w:r>
        <w:rPr>
          <w:rStyle w:val="FootnoteReference"/>
        </w:rPr>
        <w:footnoteRef/>
      </w:r>
      <w:r>
        <w:t xml:space="preserve"> </w:t>
      </w:r>
      <w:r>
        <w:tab/>
        <w:t xml:space="preserve">AER, </w:t>
      </w:r>
      <w:r w:rsidRPr="001E7D29">
        <w:rPr>
          <w:rStyle w:val="AERtextitalic"/>
        </w:rPr>
        <w:t>Final –</w:t>
      </w:r>
      <w:r>
        <w:rPr>
          <w:rStyle w:val="AERtextitalic"/>
        </w:rPr>
        <w:t xml:space="preserve"> Service Target P</w:t>
      </w:r>
      <w:r w:rsidRPr="001E7D29">
        <w:rPr>
          <w:rStyle w:val="AERtextitalic"/>
        </w:rPr>
        <w:t>erforma</w:t>
      </w:r>
      <w:r>
        <w:rPr>
          <w:rStyle w:val="AERtextitalic"/>
        </w:rPr>
        <w:t>nce Incentive Scheme</w:t>
      </w:r>
      <w:r w:rsidRPr="001E7D29">
        <w:rPr>
          <w:rStyle w:val="AERtextitalic"/>
        </w:rPr>
        <w:t xml:space="preserve">, </w:t>
      </w:r>
      <w:r w:rsidRPr="00EB6138">
        <w:rPr>
          <w:rStyle w:val="AERtextitalic"/>
          <w:i w:val="0"/>
        </w:rPr>
        <w:t>December 2012,</w:t>
      </w:r>
      <w:r>
        <w:rPr>
          <w:rStyle w:val="AERtextitalic"/>
          <w:i w:val="0"/>
        </w:rPr>
        <w:t xml:space="preserve"> </w:t>
      </w:r>
      <w:r w:rsidRPr="00E125DD">
        <w:t>Appendix C, exclusion clause 3.</w:t>
      </w:r>
      <w:r>
        <w:rPr>
          <w:rStyle w:val="AERtextitalic"/>
        </w:rPr>
        <w:t xml:space="preserve"> </w:t>
      </w:r>
    </w:p>
  </w:footnote>
  <w:footnote w:id="531">
    <w:p w:rsidR="009E166E" w:rsidRDefault="009E166E" w:rsidP="0088341A">
      <w:pPr>
        <w:pStyle w:val="FootnoteText"/>
      </w:pPr>
      <w:r>
        <w:rPr>
          <w:rStyle w:val="FootnoteReference"/>
        </w:rPr>
        <w:footnoteRef/>
      </w:r>
      <w:r>
        <w:t xml:space="preserve"> </w:t>
      </w:r>
      <w:r>
        <w:tab/>
        <w:t xml:space="preserve">AER, </w:t>
      </w:r>
      <w:r w:rsidRPr="00E26609">
        <w:rPr>
          <w:rStyle w:val="AERtextitalic"/>
        </w:rPr>
        <w:t>First proposed</w:t>
      </w:r>
      <w:r>
        <w:t xml:space="preserve"> </w:t>
      </w:r>
      <w:r>
        <w:rPr>
          <w:rStyle w:val="AERtextitalic"/>
        </w:rPr>
        <w:t>e</w:t>
      </w:r>
      <w:r w:rsidRPr="00E82A5E">
        <w:rPr>
          <w:rStyle w:val="AERtextitalic"/>
        </w:rPr>
        <w:t>lectricity transmission network service providers efficiency benefit sharing scheme</w:t>
      </w:r>
      <w:r>
        <w:t>, January 2007. The NER (clauses 11.6.17 and 11.6.18) required us to apply the first proposed EBSS to SP AusNet for the 2008 determination, but not for subsequent determinations.</w:t>
      </w:r>
    </w:p>
  </w:footnote>
  <w:footnote w:id="532">
    <w:p w:rsidR="009E166E" w:rsidRDefault="009E166E" w:rsidP="0088341A">
      <w:pPr>
        <w:pStyle w:val="FootnoteText"/>
      </w:pPr>
      <w:r>
        <w:rPr>
          <w:rStyle w:val="FootnoteReference"/>
        </w:rPr>
        <w:footnoteRef/>
      </w:r>
      <w:r>
        <w:t xml:space="preserve"> </w:t>
      </w:r>
      <w:r>
        <w:tab/>
        <w:t xml:space="preserve">AER, </w:t>
      </w:r>
      <w:r w:rsidRPr="00E82A5E">
        <w:rPr>
          <w:rStyle w:val="AERtextitalic"/>
        </w:rPr>
        <w:t>Electricity transmission network service providers efficiency benefit sharing scheme</w:t>
      </w:r>
      <w:r>
        <w:t>, September 2007.</w:t>
      </w:r>
    </w:p>
  </w:footnote>
  <w:footnote w:id="533">
    <w:p w:rsidR="009E166E" w:rsidRDefault="009E166E" w:rsidP="0088341A">
      <w:pPr>
        <w:pStyle w:val="FootnoteText"/>
      </w:pPr>
      <w:r>
        <w:rPr>
          <w:rStyle w:val="FootnoteReference"/>
        </w:rPr>
        <w:footnoteRef/>
      </w:r>
      <w:r>
        <w:t xml:space="preserve"> </w:t>
      </w:r>
      <w:r>
        <w:tab/>
      </w:r>
      <w:r w:rsidRPr="005252A4">
        <w:t>NER, clauses 6A.4.2(a)(6) and 6A.14.1(1)(iv).</w:t>
      </w:r>
    </w:p>
  </w:footnote>
  <w:footnote w:id="534">
    <w:p w:rsidR="009E166E" w:rsidRDefault="009E166E">
      <w:pPr>
        <w:pStyle w:val="FootnoteText"/>
      </w:pPr>
      <w:r>
        <w:rPr>
          <w:rStyle w:val="FootnoteReference"/>
        </w:rPr>
        <w:footnoteRef/>
      </w:r>
      <w:r>
        <w:t xml:space="preserve"> </w:t>
      </w:r>
      <w:r>
        <w:tab/>
        <w:t xml:space="preserve">SP AusNet, </w:t>
      </w:r>
      <w:r w:rsidRPr="00AD7993">
        <w:rPr>
          <w:rStyle w:val="AERtextitalic"/>
        </w:rPr>
        <w:t>Revenue proposal</w:t>
      </w:r>
      <w:r>
        <w:t>, p. 177.</w:t>
      </w:r>
    </w:p>
  </w:footnote>
  <w:footnote w:id="535">
    <w:p w:rsidR="009E166E" w:rsidRDefault="009E166E">
      <w:pPr>
        <w:pStyle w:val="FootnoteText"/>
      </w:pPr>
      <w:r>
        <w:rPr>
          <w:rStyle w:val="FootnoteReference"/>
        </w:rPr>
        <w:footnoteRef/>
      </w:r>
      <w:r>
        <w:t xml:space="preserve"> </w:t>
      </w:r>
      <w:r>
        <w:tab/>
        <w:t xml:space="preserve">SP AusNet, </w:t>
      </w:r>
      <w:r w:rsidRPr="00AD7993">
        <w:rPr>
          <w:rStyle w:val="AERtextitalic"/>
        </w:rPr>
        <w:t>Revenue proposal</w:t>
      </w:r>
      <w:r>
        <w:t>, p. 178.</w:t>
      </w:r>
    </w:p>
  </w:footnote>
  <w:footnote w:id="536">
    <w:p w:rsidR="009E166E" w:rsidRDefault="009E166E" w:rsidP="0088341A">
      <w:pPr>
        <w:pStyle w:val="FootnoteText"/>
      </w:pPr>
      <w:r>
        <w:rPr>
          <w:rStyle w:val="FootnoteReference"/>
        </w:rPr>
        <w:footnoteRef/>
      </w:r>
      <w:r>
        <w:t xml:space="preserve"> </w:t>
      </w:r>
      <w:r>
        <w:tab/>
        <w:t>NER, clause 6A.6.5(b).</w:t>
      </w:r>
    </w:p>
  </w:footnote>
  <w:footnote w:id="537">
    <w:p w:rsidR="009E166E" w:rsidRDefault="009E166E" w:rsidP="0088341A">
      <w:pPr>
        <w:pStyle w:val="FootnoteText"/>
      </w:pPr>
      <w:r>
        <w:rPr>
          <w:rStyle w:val="FootnoteReference"/>
        </w:rPr>
        <w:footnoteRef/>
      </w:r>
      <w:r>
        <w:t xml:space="preserve"> </w:t>
      </w:r>
      <w:r>
        <w:tab/>
        <w:t xml:space="preserve">AER, </w:t>
      </w:r>
      <w:r w:rsidRPr="00E82A5E">
        <w:rPr>
          <w:rStyle w:val="AERtextitalic"/>
        </w:rPr>
        <w:t>Electricity transmission network service providers efficiency benefit sharing scheme</w:t>
      </w:r>
      <w:r>
        <w:t>, September 2007.</w:t>
      </w:r>
    </w:p>
  </w:footnote>
  <w:footnote w:id="538">
    <w:p w:rsidR="009E166E" w:rsidRDefault="009E166E" w:rsidP="00775BB9">
      <w:pPr>
        <w:pStyle w:val="FootnoteText"/>
      </w:pPr>
      <w:r>
        <w:rPr>
          <w:rStyle w:val="FootnoteReference"/>
        </w:rPr>
        <w:footnoteRef/>
      </w:r>
      <w:r>
        <w:t xml:space="preserve"> </w:t>
      </w:r>
      <w:r>
        <w:tab/>
        <w:t xml:space="preserve">AER, </w:t>
      </w:r>
      <w:r w:rsidRPr="00D0324D">
        <w:rPr>
          <w:rStyle w:val="AERtextitalic"/>
        </w:rPr>
        <w:t>First proposed electricity</w:t>
      </w:r>
      <w:r w:rsidRPr="00E82A5E">
        <w:rPr>
          <w:rStyle w:val="AERtextitalic"/>
        </w:rPr>
        <w:t xml:space="preserve"> transmission network service providers efficiency benefit sharing scheme</w:t>
      </w:r>
      <w:r>
        <w:t>, January 2007, p. 2.</w:t>
      </w:r>
    </w:p>
  </w:footnote>
  <w:footnote w:id="539">
    <w:p w:rsidR="009E166E" w:rsidRDefault="009E166E" w:rsidP="0088341A">
      <w:pPr>
        <w:pStyle w:val="FootnoteText"/>
      </w:pPr>
      <w:r>
        <w:rPr>
          <w:rStyle w:val="FootnoteReference"/>
        </w:rPr>
        <w:footnoteRef/>
      </w:r>
      <w:r>
        <w:t xml:space="preserve"> </w:t>
      </w:r>
      <w:r>
        <w:tab/>
        <w:t xml:space="preserve">AER, </w:t>
      </w:r>
      <w:r w:rsidRPr="00D0324D">
        <w:rPr>
          <w:rStyle w:val="AERtextitalic"/>
        </w:rPr>
        <w:t>First proposed electricity</w:t>
      </w:r>
      <w:r w:rsidRPr="00E82A5E">
        <w:rPr>
          <w:rStyle w:val="AERtextitalic"/>
        </w:rPr>
        <w:t xml:space="preserve"> transmission network service providers efficiency benefit sharing scheme</w:t>
      </w:r>
      <w:r>
        <w:t>, January 2007, p. 3.</w:t>
      </w:r>
    </w:p>
  </w:footnote>
  <w:footnote w:id="540">
    <w:p w:rsidR="009E166E" w:rsidRDefault="009E166E" w:rsidP="0088341A">
      <w:pPr>
        <w:pStyle w:val="FootnoteText"/>
      </w:pPr>
      <w:r>
        <w:rPr>
          <w:rStyle w:val="FootnoteReference"/>
        </w:rPr>
        <w:footnoteRef/>
      </w:r>
      <w:r>
        <w:t xml:space="preserve"> </w:t>
      </w:r>
      <w:r>
        <w:tab/>
        <w:t xml:space="preserve">AER, </w:t>
      </w:r>
      <w:r w:rsidRPr="00551967">
        <w:rPr>
          <w:rStyle w:val="AERtextitalic"/>
        </w:rPr>
        <w:t xml:space="preserve">Final decision: </w:t>
      </w:r>
      <w:r>
        <w:rPr>
          <w:rStyle w:val="AERtextitalic"/>
        </w:rPr>
        <w:t>SP AusNet</w:t>
      </w:r>
      <w:r w:rsidRPr="00715917">
        <w:rPr>
          <w:rStyle w:val="AERtextitalic"/>
        </w:rPr>
        <w:t xml:space="preserve"> transmission determination</w:t>
      </w:r>
      <w:r>
        <w:rPr>
          <w:rStyle w:val="AERtextitalic"/>
        </w:rPr>
        <w:t xml:space="preserve"> 2008–14</w:t>
      </w:r>
      <w:r>
        <w:t>, January 2008, pp. 108-136.</w:t>
      </w:r>
    </w:p>
  </w:footnote>
  <w:footnote w:id="541">
    <w:p w:rsidR="009E166E" w:rsidRDefault="009E166E" w:rsidP="0088341A">
      <w:pPr>
        <w:pStyle w:val="FootnoteText"/>
      </w:pPr>
      <w:r>
        <w:rPr>
          <w:rStyle w:val="FootnoteReference"/>
        </w:rPr>
        <w:footnoteRef/>
      </w:r>
      <w:r>
        <w:t xml:space="preserve"> </w:t>
      </w:r>
      <w:r>
        <w:tab/>
      </w:r>
      <w:r>
        <w:rPr>
          <w:rFonts w:ascii="Arial" w:hAnsi="Arial" w:cs="Arial"/>
          <w:szCs w:val="16"/>
          <w:lang w:eastAsia="en-AU"/>
        </w:rPr>
        <w:t xml:space="preserve">AER, </w:t>
      </w:r>
      <w:r>
        <w:rPr>
          <w:rFonts w:ascii="Arial" w:hAnsi="Arial" w:cs="Arial"/>
          <w:i/>
          <w:iCs/>
          <w:szCs w:val="16"/>
          <w:lang w:eastAsia="en-AU"/>
        </w:rPr>
        <w:t>Final electricity transmission network service providers efficiency benefit sharing scheme</w:t>
      </w:r>
      <w:r>
        <w:rPr>
          <w:rFonts w:ascii="Arial" w:hAnsi="Arial" w:cs="Arial"/>
          <w:szCs w:val="16"/>
          <w:lang w:eastAsia="en-AU"/>
        </w:rPr>
        <w:t>, September 2007, p. 7.</w:t>
      </w:r>
    </w:p>
  </w:footnote>
  <w:footnote w:id="542">
    <w:p w:rsidR="009E166E" w:rsidRDefault="009E166E" w:rsidP="0088341A">
      <w:pPr>
        <w:pStyle w:val="FootnoteText"/>
      </w:pPr>
      <w:r>
        <w:rPr>
          <w:rStyle w:val="FootnoteReference"/>
        </w:rPr>
        <w:footnoteRef/>
      </w:r>
      <w:r>
        <w:t xml:space="preserve"> </w:t>
      </w:r>
      <w:r>
        <w:tab/>
        <w:t>Adjusted opex is total opex less the excluded cost categories.</w:t>
      </w:r>
    </w:p>
  </w:footnote>
  <w:footnote w:id="543">
    <w:p w:rsidR="009E166E" w:rsidRPr="008D7D17" w:rsidRDefault="009E166E" w:rsidP="0088341A">
      <w:pPr>
        <w:pStyle w:val="FootnoteText"/>
      </w:pPr>
      <w:r>
        <w:rPr>
          <w:rStyle w:val="FootnoteReference"/>
        </w:rPr>
        <w:footnoteRef/>
      </w:r>
      <w:r>
        <w:t xml:space="preserve"> </w:t>
      </w:r>
      <w:r>
        <w:tab/>
      </w:r>
      <w:r w:rsidRPr="008D7D17">
        <w:t xml:space="preserve">The first proposed EBSS </w:t>
      </w:r>
      <w:r>
        <w:t xml:space="preserve">noted </w:t>
      </w:r>
      <w:r w:rsidRPr="008D7D17">
        <w:t>the AER will estimate the actual opex for the final year.</w:t>
      </w:r>
      <w:r>
        <w:t xml:space="preserve"> It</w:t>
      </w:r>
      <w:r w:rsidRPr="008D7D17">
        <w:t xml:space="preserve"> </w:t>
      </w:r>
      <w:r>
        <w:t>did</w:t>
      </w:r>
      <w:r w:rsidRPr="008D7D17">
        <w:t xml:space="preserve"> not provide a formula to estimate the actual opex in the final year. </w:t>
      </w:r>
      <w:r>
        <w:t>So</w:t>
      </w:r>
      <w:r w:rsidRPr="008D7D17">
        <w:t xml:space="preserve"> </w:t>
      </w:r>
      <w:r>
        <w:t>we</w:t>
      </w:r>
      <w:r w:rsidRPr="008D7D17">
        <w:t xml:space="preserve"> used the formula from the distribution network service providers EBSS to estimate the actual expenditu</w:t>
      </w:r>
      <w:r>
        <w:t>re for 2013–14 (adjusted for a six</w:t>
      </w:r>
      <w:r w:rsidRPr="008D7D17">
        <w:t xml:space="preserve"> year </w:t>
      </w:r>
      <w:r>
        <w:t>regulatory control</w:t>
      </w:r>
      <w:r w:rsidRPr="008D7D17">
        <w:t xml:space="preserve"> period):</w:t>
      </w:r>
    </w:p>
    <w:p w:rsidR="009E166E" w:rsidRPr="008D7D17" w:rsidRDefault="009E166E" w:rsidP="0088341A">
      <w:pPr>
        <w:pStyle w:val="FootnoteText"/>
        <w:rPr>
          <w:rStyle w:val="AERtextbold"/>
        </w:rPr>
      </w:pPr>
      <w:r>
        <w:rPr>
          <w:rStyle w:val="AERtextbold"/>
        </w:rPr>
        <w:tab/>
      </w:r>
      <w:r>
        <w:rPr>
          <w:rStyle w:val="AERtextbold"/>
        </w:rPr>
        <w:tab/>
      </w:r>
      <w:r w:rsidRPr="008D7D17">
        <w:rPr>
          <w:rStyle w:val="AERtextbold"/>
        </w:rPr>
        <w:t>A</w:t>
      </w:r>
      <w:r w:rsidRPr="008D7D17">
        <w:rPr>
          <w:rStyle w:val="AERsubscript"/>
        </w:rPr>
        <w:t>6</w:t>
      </w:r>
      <w:r w:rsidRPr="008D7D17">
        <w:rPr>
          <w:rStyle w:val="AERtextbold"/>
        </w:rPr>
        <w:t>* = F</w:t>
      </w:r>
      <w:r w:rsidRPr="008D7D17">
        <w:rPr>
          <w:rStyle w:val="AERsubscript"/>
        </w:rPr>
        <w:t>6</w:t>
      </w:r>
      <w:r>
        <w:rPr>
          <w:rStyle w:val="AERtextbold"/>
        </w:rPr>
        <w:t xml:space="preserve"> –</w:t>
      </w:r>
      <w:r w:rsidRPr="008D7D17">
        <w:rPr>
          <w:rStyle w:val="AERtextbold"/>
        </w:rPr>
        <w:t xml:space="preserve"> (F</w:t>
      </w:r>
      <w:r w:rsidRPr="008D7D17">
        <w:rPr>
          <w:rStyle w:val="AERsubscript"/>
        </w:rPr>
        <w:t>3</w:t>
      </w:r>
      <w:r>
        <w:rPr>
          <w:rStyle w:val="AERtextbold"/>
        </w:rPr>
        <w:t xml:space="preserve"> –</w:t>
      </w:r>
      <w:r w:rsidRPr="008D7D17">
        <w:rPr>
          <w:rStyle w:val="AERtextbold"/>
        </w:rPr>
        <w:t xml:space="preserve"> A</w:t>
      </w:r>
      <w:r w:rsidRPr="008D7D17">
        <w:rPr>
          <w:rStyle w:val="AERsubscript"/>
        </w:rPr>
        <w:t>3</w:t>
      </w:r>
      <w:r w:rsidRPr="008D7D17">
        <w:rPr>
          <w:rStyle w:val="AERtextbold"/>
        </w:rPr>
        <w:t>)</w:t>
      </w:r>
    </w:p>
    <w:p w:rsidR="009E166E" w:rsidRPr="008D7D17" w:rsidRDefault="009E166E" w:rsidP="0088341A">
      <w:pPr>
        <w:pStyle w:val="FootnoteText"/>
      </w:pPr>
      <w:r>
        <w:tab/>
      </w:r>
      <w:r>
        <w:tab/>
      </w:r>
      <w:r w:rsidRPr="008D7D17">
        <w:t>where:</w:t>
      </w:r>
    </w:p>
    <w:p w:rsidR="009E166E" w:rsidRPr="008D7D17" w:rsidRDefault="009E166E" w:rsidP="0088341A">
      <w:pPr>
        <w:pStyle w:val="FootnoteText"/>
      </w:pPr>
      <w:r>
        <w:tab/>
      </w:r>
      <w:r>
        <w:tab/>
      </w:r>
      <w:r w:rsidRPr="008D7D17">
        <w:t>A</w:t>
      </w:r>
      <w:r w:rsidRPr="008D7D17">
        <w:rPr>
          <w:rStyle w:val="AERsubscript"/>
        </w:rPr>
        <w:t>6</w:t>
      </w:r>
      <w:r w:rsidRPr="008D7D17">
        <w:rPr>
          <w:rStyle w:val="AERbody"/>
        </w:rPr>
        <w:t>*</w:t>
      </w:r>
      <w:r w:rsidRPr="008D7D17">
        <w:t xml:space="preserve"> is the estimate </w:t>
      </w:r>
      <w:r>
        <w:t xml:space="preserve">of </w:t>
      </w:r>
      <w:r w:rsidRPr="008D7D17">
        <w:t>actual opex required to calculate the efficiency gain or loss for the final year</w:t>
      </w:r>
    </w:p>
    <w:p w:rsidR="009E166E" w:rsidRDefault="009E166E" w:rsidP="0088341A">
      <w:pPr>
        <w:pStyle w:val="FootnoteText"/>
      </w:pPr>
      <w:r>
        <w:tab/>
      </w:r>
      <w:r>
        <w:tab/>
      </w:r>
      <w:r w:rsidRPr="008D7D17">
        <w:t>F</w:t>
      </w:r>
      <w:r w:rsidRPr="008D7D17">
        <w:rPr>
          <w:rStyle w:val="AERsubscript"/>
        </w:rPr>
        <w:t>3</w:t>
      </w:r>
      <w:r w:rsidRPr="008D7D17">
        <w:t xml:space="preserve"> and A</w:t>
      </w:r>
      <w:r w:rsidRPr="008D7D17">
        <w:rPr>
          <w:rStyle w:val="AERsubscript"/>
        </w:rPr>
        <w:t>3</w:t>
      </w:r>
      <w:r w:rsidRPr="008D7D17">
        <w:t xml:space="preserve"> are the forecast and actual opex figures respectively in the base year (year 3). </w:t>
      </w:r>
    </w:p>
  </w:footnote>
  <w:footnote w:id="544">
    <w:p w:rsidR="009E166E" w:rsidRDefault="009E166E">
      <w:pPr>
        <w:pStyle w:val="FootnoteText"/>
      </w:pPr>
      <w:r>
        <w:rPr>
          <w:rStyle w:val="FootnoteReference"/>
        </w:rPr>
        <w:footnoteRef/>
      </w:r>
      <w:r>
        <w:t xml:space="preserve"> </w:t>
      </w:r>
      <w:r>
        <w:tab/>
        <w:t xml:space="preserve">EUCV, </w:t>
      </w:r>
      <w:r>
        <w:rPr>
          <w:rStyle w:val="AERtextitalic"/>
        </w:rPr>
        <w:t>Victorian Electricity Transmission Revenue R</w:t>
      </w:r>
      <w:r w:rsidRPr="001618CC">
        <w:rPr>
          <w:rStyle w:val="AERtextitalic"/>
        </w:rPr>
        <w:t xml:space="preserve">eset, </w:t>
      </w:r>
      <w:r>
        <w:rPr>
          <w:rStyle w:val="AERtextitalic"/>
        </w:rPr>
        <w:t>SP AusNet application</w:t>
      </w:r>
      <w:r w:rsidRPr="001618CC">
        <w:rPr>
          <w:rStyle w:val="AERtextitalic"/>
        </w:rPr>
        <w:t xml:space="preserve">, A response by </w:t>
      </w:r>
      <w:r>
        <w:rPr>
          <w:rStyle w:val="AERtextitalic"/>
        </w:rPr>
        <w:t>EUCV</w:t>
      </w:r>
      <w:r>
        <w:t xml:space="preserve">, May 2013, pp. 47-8; EUAA, </w:t>
      </w:r>
      <w:r w:rsidRPr="00A96706">
        <w:rPr>
          <w:rStyle w:val="AERtextitalic"/>
        </w:rPr>
        <w:t xml:space="preserve">Submission on </w:t>
      </w:r>
      <w:r>
        <w:rPr>
          <w:rStyle w:val="AERtextitalic"/>
        </w:rPr>
        <w:t>SPI PowerNet Ltd Electricity Transmission Revenue Proposal for 2014–17</w:t>
      </w:r>
      <w:r>
        <w:t>, May 2013, p. 15.</w:t>
      </w:r>
    </w:p>
  </w:footnote>
  <w:footnote w:id="545">
    <w:p w:rsidR="009E166E" w:rsidRDefault="009E166E" w:rsidP="0088341A">
      <w:pPr>
        <w:pStyle w:val="FootnoteText"/>
      </w:pPr>
      <w:r>
        <w:rPr>
          <w:rStyle w:val="FootnoteReference"/>
        </w:rPr>
        <w:footnoteRef/>
      </w:r>
      <w:r>
        <w:t xml:space="preserve"> </w:t>
      </w:r>
      <w:r>
        <w:tab/>
        <w:t xml:space="preserve">AER, </w:t>
      </w:r>
      <w:r>
        <w:rPr>
          <w:rStyle w:val="AERtextitalic"/>
        </w:rPr>
        <w:t>Draft d</w:t>
      </w:r>
      <w:r w:rsidRPr="00B14D33">
        <w:rPr>
          <w:rStyle w:val="AERtextitalic"/>
        </w:rPr>
        <w:t>ecision, Powerlink transmission determination 2012-17</w:t>
      </w:r>
      <w:r>
        <w:t xml:space="preserve">, November 2011, p. 306; AER, </w:t>
      </w:r>
      <w:r w:rsidRPr="00B14D33">
        <w:rPr>
          <w:rStyle w:val="AERtextitalic"/>
        </w:rPr>
        <w:t>Final decision, ElectraNet transmission determination 2013–18</w:t>
      </w:r>
      <w:r>
        <w:t>, April, 2013, p. 175.</w:t>
      </w:r>
    </w:p>
  </w:footnote>
  <w:footnote w:id="546">
    <w:p w:rsidR="009E166E" w:rsidRDefault="009E166E" w:rsidP="0088341A">
      <w:pPr>
        <w:pStyle w:val="FootnoteText"/>
      </w:pPr>
      <w:r>
        <w:rPr>
          <w:rStyle w:val="FootnoteReference"/>
        </w:rPr>
        <w:footnoteRef/>
      </w:r>
      <w:r>
        <w:t xml:space="preserve"> </w:t>
      </w:r>
      <w:r>
        <w:tab/>
        <w:t xml:space="preserve">AER, </w:t>
      </w:r>
      <w:r w:rsidRPr="002B1B28">
        <w:rPr>
          <w:rStyle w:val="AERtextitalic"/>
        </w:rPr>
        <w:t>Final decision,</w:t>
      </w:r>
      <w:r>
        <w:t xml:space="preserve"> </w:t>
      </w:r>
      <w:r w:rsidRPr="002B1B28">
        <w:rPr>
          <w:rStyle w:val="AERtextitalic"/>
        </w:rPr>
        <w:t>Electricity transmission network service providers efficiency benefit sharing scheme</w:t>
      </w:r>
      <w:r>
        <w:t>, September 2007, p. 12.</w:t>
      </w:r>
    </w:p>
  </w:footnote>
  <w:footnote w:id="547">
    <w:p w:rsidR="009E166E" w:rsidRDefault="009E166E" w:rsidP="0088341A">
      <w:pPr>
        <w:pStyle w:val="FootnoteText"/>
      </w:pPr>
      <w:r>
        <w:rPr>
          <w:rStyle w:val="FootnoteReference"/>
        </w:rPr>
        <w:footnoteRef/>
      </w:r>
      <w:r>
        <w:t xml:space="preserve"> </w:t>
      </w:r>
      <w:r>
        <w:tab/>
        <w:t xml:space="preserve">This approach is consistent with the EBSS considerations in the NER, clause 6A.6.5(b). </w:t>
      </w:r>
    </w:p>
  </w:footnote>
  <w:footnote w:id="548">
    <w:p w:rsidR="009E166E" w:rsidRDefault="009E166E" w:rsidP="0088341A">
      <w:pPr>
        <w:pStyle w:val="FootnoteText"/>
      </w:pPr>
      <w:r>
        <w:rPr>
          <w:rStyle w:val="FootnoteReference"/>
        </w:rPr>
        <w:footnoteRef/>
      </w:r>
      <w:r>
        <w:t xml:space="preserve"> </w:t>
      </w:r>
      <w:r>
        <w:tab/>
        <w:t>This is also consistent with our opex forecasting model.</w:t>
      </w:r>
    </w:p>
  </w:footnote>
  <w:footnote w:id="549">
    <w:p w:rsidR="009E166E" w:rsidRDefault="009E166E" w:rsidP="0088341A">
      <w:pPr>
        <w:pStyle w:val="FootnoteText"/>
      </w:pPr>
      <w:r>
        <w:rPr>
          <w:rStyle w:val="FootnoteReference"/>
        </w:rPr>
        <w:footnoteRef/>
      </w:r>
      <w:r>
        <w:t xml:space="preserve"> </w:t>
      </w:r>
      <w:r>
        <w:tab/>
        <w:t xml:space="preserve">AER, </w:t>
      </w:r>
      <w:r w:rsidRPr="002B1B28">
        <w:rPr>
          <w:rStyle w:val="AERtextitalic"/>
        </w:rPr>
        <w:t>Final decision,</w:t>
      </w:r>
      <w:r>
        <w:t xml:space="preserve"> </w:t>
      </w:r>
      <w:r>
        <w:rPr>
          <w:rStyle w:val="AERtextitalic"/>
        </w:rPr>
        <w:t>E</w:t>
      </w:r>
      <w:r w:rsidRPr="005A6867">
        <w:rPr>
          <w:rStyle w:val="AERtextitalic"/>
        </w:rPr>
        <w:t>lectricity transmission network service providers efficiency benefit sharing scheme</w:t>
      </w:r>
      <w:r>
        <w:t>, September 2007, p. 6. We amended the formula in the guidelines to reflect that the base year used to forecast opex is year 3 not year 4. We did so to be consistent with the NER requirements in clause 6A.6.5(b) whereby we must have regard to certain factors when we implement the EBSS.</w:t>
      </w:r>
    </w:p>
  </w:footnote>
  <w:footnote w:id="550">
    <w:p w:rsidR="009E166E" w:rsidRDefault="009E166E" w:rsidP="0088341A">
      <w:pPr>
        <w:pStyle w:val="FootnoteText"/>
      </w:pPr>
      <w:r>
        <w:rPr>
          <w:rStyle w:val="FootnoteReference"/>
        </w:rPr>
        <w:footnoteRef/>
      </w:r>
      <w:r>
        <w:t xml:space="preserve"> </w:t>
      </w:r>
      <w:r>
        <w:tab/>
        <w:t>NER, clause 6A.8.1(c)(5).</w:t>
      </w:r>
    </w:p>
  </w:footnote>
  <w:footnote w:id="551">
    <w:p w:rsidR="009E166E" w:rsidRDefault="009E166E" w:rsidP="0088341A">
      <w:pPr>
        <w:pStyle w:val="FootnoteText"/>
      </w:pPr>
      <w:r>
        <w:rPr>
          <w:rStyle w:val="FootnoteReference"/>
        </w:rPr>
        <w:footnoteRef/>
      </w:r>
      <w:r>
        <w:t xml:space="preserve"> </w:t>
      </w:r>
      <w:r>
        <w:tab/>
        <w:t>NER, clause 6A.8.1(c)(5)(i).</w:t>
      </w:r>
    </w:p>
  </w:footnote>
  <w:footnote w:id="552">
    <w:p w:rsidR="009E166E" w:rsidRDefault="009E166E" w:rsidP="0088341A">
      <w:pPr>
        <w:pStyle w:val="FootnoteText"/>
      </w:pPr>
      <w:r>
        <w:rPr>
          <w:rStyle w:val="FootnoteReference"/>
        </w:rPr>
        <w:footnoteRef/>
      </w:r>
      <w:r>
        <w:t xml:space="preserve"> </w:t>
      </w:r>
      <w:r>
        <w:tab/>
        <w:t>NER, clause 6A.8.2.</w:t>
      </w:r>
    </w:p>
  </w:footnote>
  <w:footnote w:id="553">
    <w:p w:rsidR="009E166E" w:rsidRDefault="009E166E" w:rsidP="0088341A">
      <w:pPr>
        <w:pStyle w:val="FootnoteText"/>
      </w:pPr>
      <w:r>
        <w:rPr>
          <w:rStyle w:val="FootnoteReference"/>
        </w:rPr>
        <w:footnoteRef/>
      </w:r>
      <w:r>
        <w:t xml:space="preserve"> </w:t>
      </w:r>
      <w:r>
        <w:tab/>
        <w:t>NER, clause 6A.8.1(c)(4); 6A.8.2.</w:t>
      </w:r>
    </w:p>
  </w:footnote>
  <w:footnote w:id="554">
    <w:p w:rsidR="009E166E" w:rsidRDefault="009E166E" w:rsidP="0088341A">
      <w:pPr>
        <w:pStyle w:val="FootnoteText"/>
      </w:pPr>
      <w:r>
        <w:rPr>
          <w:rStyle w:val="FootnoteReference"/>
        </w:rPr>
        <w:footnoteRef/>
      </w:r>
      <w:r>
        <w:t xml:space="preserve"> </w:t>
      </w:r>
      <w:r>
        <w:tab/>
        <w:t>NER, clause 6A.8.1(b)(2)(ii).</w:t>
      </w:r>
    </w:p>
  </w:footnote>
  <w:footnote w:id="555">
    <w:p w:rsidR="009E166E" w:rsidRDefault="009E166E" w:rsidP="0088341A">
      <w:pPr>
        <w:pStyle w:val="FootnoteText"/>
      </w:pPr>
      <w:r>
        <w:rPr>
          <w:rStyle w:val="FootnoteReference"/>
        </w:rPr>
        <w:footnoteRef/>
      </w:r>
      <w:r>
        <w:t xml:space="preserve"> </w:t>
      </w:r>
      <w:r>
        <w:tab/>
        <w:t>NER, clause 6A.8.1(b).</w:t>
      </w:r>
    </w:p>
  </w:footnote>
  <w:footnote w:id="556">
    <w:p w:rsidR="009E166E" w:rsidRDefault="009E166E" w:rsidP="0088341A">
      <w:pPr>
        <w:pStyle w:val="FootnoteText"/>
      </w:pPr>
      <w:r>
        <w:rPr>
          <w:rStyle w:val="FootnoteReference"/>
        </w:rPr>
        <w:footnoteRef/>
      </w:r>
      <w:r>
        <w:t xml:space="preserve"> </w:t>
      </w:r>
      <w:r>
        <w:tab/>
        <w:t>NER, clause 6A.8.1.</w:t>
      </w:r>
    </w:p>
  </w:footnote>
  <w:footnote w:id="557">
    <w:p w:rsidR="009E166E" w:rsidRDefault="009E166E" w:rsidP="0088341A">
      <w:pPr>
        <w:pStyle w:val="FootnoteText"/>
      </w:pPr>
      <w:r>
        <w:rPr>
          <w:rStyle w:val="FootnoteReference"/>
        </w:rPr>
        <w:footnoteRef/>
      </w:r>
      <w:r>
        <w:t xml:space="preserve"> </w:t>
      </w:r>
      <w:r>
        <w:tab/>
        <w:t>NER, clause 6A.8.1(b)(2)(ii)</w:t>
      </w:r>
    </w:p>
  </w:footnote>
  <w:footnote w:id="558">
    <w:p w:rsidR="009E166E" w:rsidRDefault="009E166E" w:rsidP="0088341A">
      <w:pPr>
        <w:pStyle w:val="FootnoteText"/>
      </w:pPr>
      <w:r>
        <w:rPr>
          <w:rStyle w:val="FootnoteReference"/>
        </w:rPr>
        <w:footnoteRef/>
      </w:r>
      <w:r>
        <w:t xml:space="preserve"> </w:t>
      </w:r>
      <w:r>
        <w:tab/>
        <w:t>NER, clause 6A.8.1(b)(1).</w:t>
      </w:r>
    </w:p>
  </w:footnote>
  <w:footnote w:id="559">
    <w:p w:rsidR="009E166E" w:rsidRDefault="009E166E" w:rsidP="0088341A">
      <w:pPr>
        <w:pStyle w:val="FootnoteText"/>
      </w:pPr>
      <w:r>
        <w:rPr>
          <w:rStyle w:val="FootnoteReference"/>
        </w:rPr>
        <w:footnoteRef/>
      </w:r>
      <w:r>
        <w:t xml:space="preserve"> </w:t>
      </w:r>
      <w:r>
        <w:tab/>
        <w:t>NER, clause 6A.8.1(b)(4).</w:t>
      </w:r>
    </w:p>
  </w:footnote>
  <w:footnote w:id="560">
    <w:p w:rsidR="009E166E" w:rsidRDefault="009E166E" w:rsidP="0088341A">
      <w:pPr>
        <w:pStyle w:val="FootnoteText"/>
      </w:pPr>
      <w:r>
        <w:rPr>
          <w:rStyle w:val="FootnoteReference"/>
        </w:rPr>
        <w:footnoteRef/>
      </w:r>
      <w:r>
        <w:t xml:space="preserve"> </w:t>
      </w:r>
      <w:r>
        <w:tab/>
        <w:t>NER, clauses 6A.8.1(c)(1),(2) and (4)</w:t>
      </w:r>
    </w:p>
  </w:footnote>
  <w:footnote w:id="561">
    <w:p w:rsidR="009E166E" w:rsidRDefault="009E166E" w:rsidP="0088341A">
      <w:pPr>
        <w:pStyle w:val="FootnoteText"/>
      </w:pPr>
      <w:r>
        <w:rPr>
          <w:rStyle w:val="FootnoteReference"/>
        </w:rPr>
        <w:footnoteRef/>
      </w:r>
      <w:r>
        <w:t xml:space="preserve"> </w:t>
      </w:r>
      <w:r>
        <w:tab/>
        <w:t xml:space="preserve">NER, clauses 6A.8.1(c)(3) and (5) </w:t>
      </w:r>
    </w:p>
  </w:footnote>
  <w:footnote w:id="562">
    <w:p w:rsidR="009E166E" w:rsidRDefault="009E166E" w:rsidP="0088341A">
      <w:pPr>
        <w:pStyle w:val="FootnoteText"/>
      </w:pPr>
      <w:r>
        <w:rPr>
          <w:rStyle w:val="FootnoteReference"/>
        </w:rPr>
        <w:footnoteRef/>
      </w:r>
      <w:r>
        <w:t xml:space="preserve"> </w:t>
      </w:r>
      <w:r>
        <w:tab/>
        <w:t>NER, clause 6A.8.1(b)(2)(ii).</w:t>
      </w:r>
    </w:p>
  </w:footnote>
  <w:footnote w:id="563">
    <w:p w:rsidR="009E166E" w:rsidRDefault="009E166E" w:rsidP="0088341A">
      <w:pPr>
        <w:pStyle w:val="FootnoteText"/>
      </w:pPr>
      <w:r>
        <w:rPr>
          <w:rStyle w:val="FootnoteReference"/>
        </w:rPr>
        <w:footnoteRef/>
      </w:r>
      <w:r>
        <w:t xml:space="preserve"> </w:t>
      </w:r>
      <w:r>
        <w:tab/>
        <w:t>NER, clauses 6A.6.7(c)(1) and (2).</w:t>
      </w:r>
    </w:p>
  </w:footnote>
  <w:footnote w:id="564">
    <w:p w:rsidR="009E166E" w:rsidRDefault="009E166E" w:rsidP="0088341A">
      <w:pPr>
        <w:pStyle w:val="FootnoteText"/>
      </w:pPr>
      <w:r>
        <w:rPr>
          <w:rStyle w:val="FootnoteReference"/>
        </w:rPr>
        <w:footnoteRef/>
      </w:r>
      <w:r>
        <w:t xml:space="preserve"> </w:t>
      </w:r>
      <w:r>
        <w:tab/>
        <w:t>NER, clause 6A.8.1(b)(2)(i).</w:t>
      </w:r>
    </w:p>
  </w:footnote>
  <w:footnote w:id="565">
    <w:p w:rsidR="009E166E" w:rsidRDefault="009E166E" w:rsidP="0088341A">
      <w:pPr>
        <w:pStyle w:val="FootnoteText"/>
      </w:pPr>
      <w:r>
        <w:rPr>
          <w:rStyle w:val="FootnoteReference"/>
        </w:rPr>
        <w:footnoteRef/>
      </w:r>
      <w:r>
        <w:t xml:space="preserve"> </w:t>
      </w:r>
      <w:r>
        <w:tab/>
        <w:t>NER, clause 6A.8.1(b).</w:t>
      </w:r>
    </w:p>
  </w:footnote>
  <w:footnote w:id="566">
    <w:p w:rsidR="009E166E" w:rsidRDefault="009E166E" w:rsidP="0088341A">
      <w:pPr>
        <w:pStyle w:val="FootnoteText"/>
      </w:pPr>
      <w:r>
        <w:rPr>
          <w:rStyle w:val="FootnoteReference"/>
        </w:rPr>
        <w:footnoteRef/>
      </w:r>
      <w:r>
        <w:t xml:space="preserve"> </w:t>
      </w:r>
      <w:r>
        <w:tab/>
        <w:t>NER, clause 6A.8.1(b)(1).</w:t>
      </w:r>
    </w:p>
  </w:footnote>
  <w:footnote w:id="567">
    <w:p w:rsidR="009E166E" w:rsidRDefault="009E166E" w:rsidP="0088341A">
      <w:pPr>
        <w:pStyle w:val="FootnoteText"/>
      </w:pPr>
      <w:r>
        <w:rPr>
          <w:rStyle w:val="FootnoteReference"/>
        </w:rPr>
        <w:footnoteRef/>
      </w:r>
      <w:r>
        <w:t xml:space="preserve"> </w:t>
      </w:r>
      <w:r>
        <w:tab/>
        <w:t>NER, clause 6A.8.1(b)(1).</w:t>
      </w:r>
    </w:p>
  </w:footnote>
  <w:footnote w:id="568">
    <w:p w:rsidR="009E166E" w:rsidRDefault="009E166E" w:rsidP="0088341A">
      <w:pPr>
        <w:pStyle w:val="FootnoteText"/>
      </w:pPr>
      <w:r>
        <w:rPr>
          <w:rStyle w:val="FootnoteReference"/>
        </w:rPr>
        <w:footnoteRef/>
      </w:r>
      <w:r>
        <w:t xml:space="preserve"> </w:t>
      </w:r>
      <w:r>
        <w:tab/>
        <w:t>NER, clause 6A.8.1(b)(5).</w:t>
      </w:r>
    </w:p>
  </w:footnote>
  <w:footnote w:id="569">
    <w:p w:rsidR="009E166E" w:rsidRDefault="009E166E" w:rsidP="0088341A">
      <w:pPr>
        <w:pStyle w:val="FootnoteText"/>
      </w:pPr>
      <w:r>
        <w:rPr>
          <w:rStyle w:val="FootnoteReference"/>
        </w:rPr>
        <w:footnoteRef/>
      </w:r>
      <w:r>
        <w:t xml:space="preserve"> </w:t>
      </w:r>
      <w:r>
        <w:tab/>
      </w:r>
      <w:r w:rsidRPr="004F5961">
        <w:t xml:space="preserve">SP AusNet, </w:t>
      </w:r>
      <w:r w:rsidRPr="00A12502">
        <w:rPr>
          <w:rStyle w:val="AERtextitalic"/>
        </w:rPr>
        <w:t>Revenue proposal for the 2014–17 regulatory control period</w:t>
      </w:r>
      <w:r>
        <w:t xml:space="preserve">, </w:t>
      </w:r>
      <w:r w:rsidRPr="004F5961">
        <w:t>Appendix G</w:t>
      </w:r>
      <w:r>
        <w:t>:</w:t>
      </w:r>
      <w:r w:rsidRPr="004F5961">
        <w:t xml:space="preserve"> Proposed contingent projects for the 2014–17 regulatory contro</w:t>
      </w:r>
      <w:r>
        <w:t>l period, 28 February 2013, p. 5.</w:t>
      </w:r>
    </w:p>
  </w:footnote>
  <w:footnote w:id="570">
    <w:p w:rsidR="009E166E" w:rsidRDefault="009E166E" w:rsidP="0088341A">
      <w:pPr>
        <w:pStyle w:val="FootnoteText"/>
      </w:pPr>
      <w:r>
        <w:rPr>
          <w:rStyle w:val="FootnoteReference"/>
        </w:rPr>
        <w:footnoteRef/>
      </w:r>
      <w:r>
        <w:t xml:space="preserve"> </w:t>
      </w:r>
      <w:r>
        <w:tab/>
      </w:r>
      <w:r w:rsidRPr="004F5961">
        <w:t xml:space="preserve">SP AusNet, </w:t>
      </w:r>
      <w:r w:rsidRPr="00A12502">
        <w:rPr>
          <w:rStyle w:val="AERtextitalic"/>
        </w:rPr>
        <w:t>Revenue proposal for the 2014–17 regulatory control period</w:t>
      </w:r>
      <w:r>
        <w:t xml:space="preserve">, </w:t>
      </w:r>
      <w:r w:rsidRPr="004F5961">
        <w:t>Appendix G</w:t>
      </w:r>
      <w:r>
        <w:t>:</w:t>
      </w:r>
      <w:r w:rsidRPr="004F5961">
        <w:t xml:space="preserve"> Proposed contingent projects for the 2014–17 regulatory contro</w:t>
      </w:r>
      <w:r>
        <w:t>l period, 28 February 2013, p. 7.</w:t>
      </w:r>
    </w:p>
  </w:footnote>
  <w:footnote w:id="571">
    <w:p w:rsidR="009E166E" w:rsidRDefault="009E166E" w:rsidP="0088341A">
      <w:pPr>
        <w:pStyle w:val="FootnoteText"/>
      </w:pPr>
      <w:r>
        <w:rPr>
          <w:rStyle w:val="FootnoteReference"/>
        </w:rPr>
        <w:footnoteRef/>
      </w:r>
      <w:r>
        <w:t xml:space="preserve"> </w:t>
      </w:r>
      <w:r>
        <w:tab/>
        <w:t xml:space="preserve">EMCa, </w:t>
      </w:r>
      <w:r w:rsidRPr="00AE649A">
        <w:rPr>
          <w:rStyle w:val="AERtextitalic"/>
        </w:rPr>
        <w:t>SP AusNet t</w:t>
      </w:r>
      <w:r w:rsidRPr="002D5AC6">
        <w:rPr>
          <w:rStyle w:val="AERtextitalic"/>
        </w:rPr>
        <w:t>echnical review</w:t>
      </w:r>
      <w:r>
        <w:t>, August 2013, p. 101, paragraph 357.</w:t>
      </w:r>
    </w:p>
  </w:footnote>
  <w:footnote w:id="572">
    <w:p w:rsidR="009E166E" w:rsidRDefault="009E166E" w:rsidP="0088341A">
      <w:pPr>
        <w:pStyle w:val="FootnoteText"/>
      </w:pPr>
      <w:r>
        <w:rPr>
          <w:rStyle w:val="FootnoteReference"/>
        </w:rPr>
        <w:footnoteRef/>
      </w:r>
      <w:r>
        <w:t xml:space="preserve"> </w:t>
      </w:r>
      <w:r>
        <w:tab/>
      </w:r>
      <w:r w:rsidRPr="004F5961">
        <w:t xml:space="preserve">SP AusNet, </w:t>
      </w:r>
      <w:r w:rsidRPr="00A12502">
        <w:rPr>
          <w:rStyle w:val="AERtextitalic"/>
        </w:rPr>
        <w:t>Revenue proposal for the 2014–17 regulatory control period</w:t>
      </w:r>
      <w:r>
        <w:t xml:space="preserve">, </w:t>
      </w:r>
      <w:r w:rsidRPr="004F5961">
        <w:t>Appendix G</w:t>
      </w:r>
      <w:r>
        <w:t>:</w:t>
      </w:r>
      <w:r w:rsidRPr="004F5961">
        <w:t xml:space="preserve"> Proposed contingent projects for the 2014–17 regulatory contro</w:t>
      </w:r>
      <w:r>
        <w:t>l period, 28 February 2013, p. 5.</w:t>
      </w:r>
    </w:p>
  </w:footnote>
  <w:footnote w:id="573">
    <w:p w:rsidR="009E166E" w:rsidRDefault="009E166E" w:rsidP="0088341A">
      <w:pPr>
        <w:pStyle w:val="FootnoteText"/>
      </w:pPr>
      <w:r>
        <w:rPr>
          <w:rStyle w:val="FootnoteReference"/>
        </w:rPr>
        <w:footnoteRef/>
      </w:r>
      <w:r>
        <w:t xml:space="preserve"> </w:t>
      </w:r>
      <w:r>
        <w:tab/>
        <w:t xml:space="preserve">EMCa, </w:t>
      </w:r>
      <w:r w:rsidRPr="00AE649A">
        <w:rPr>
          <w:rStyle w:val="AERtextitalic"/>
        </w:rPr>
        <w:t>SP AusNet t</w:t>
      </w:r>
      <w:r w:rsidRPr="002D5AC6">
        <w:rPr>
          <w:rStyle w:val="AERtextitalic"/>
        </w:rPr>
        <w:t>echnical review</w:t>
      </w:r>
      <w:r>
        <w:t xml:space="preserve">, August 2013, p. 100, paragraph 355. </w:t>
      </w:r>
    </w:p>
  </w:footnote>
  <w:footnote w:id="574">
    <w:p w:rsidR="009E166E" w:rsidRDefault="009E166E" w:rsidP="0088341A">
      <w:pPr>
        <w:pStyle w:val="FootnoteText"/>
      </w:pPr>
      <w:r>
        <w:rPr>
          <w:rStyle w:val="FootnoteReference"/>
        </w:rPr>
        <w:footnoteRef/>
      </w:r>
      <w:r>
        <w:t xml:space="preserve"> </w:t>
      </w:r>
      <w:r>
        <w:tab/>
        <w:t xml:space="preserve">EMCa, </w:t>
      </w:r>
      <w:r w:rsidRPr="00AE649A">
        <w:rPr>
          <w:rStyle w:val="AERtextitalic"/>
        </w:rPr>
        <w:t>SP AusNet t</w:t>
      </w:r>
      <w:r w:rsidRPr="002D5AC6">
        <w:rPr>
          <w:rStyle w:val="AERtextitalic"/>
        </w:rPr>
        <w:t>echnical review</w:t>
      </w:r>
      <w:r>
        <w:t>, August 2013, p. 101, paragraph 357</w:t>
      </w:r>
      <w:r w:rsidR="00853520">
        <w:t>.</w:t>
      </w:r>
    </w:p>
  </w:footnote>
  <w:footnote w:id="575">
    <w:p w:rsidR="009E166E" w:rsidRDefault="009E166E" w:rsidP="0088341A">
      <w:pPr>
        <w:pStyle w:val="FootnoteText"/>
      </w:pPr>
      <w:r>
        <w:rPr>
          <w:rStyle w:val="FootnoteReference"/>
        </w:rPr>
        <w:footnoteRef/>
      </w:r>
      <w:r>
        <w:t xml:space="preserve"> </w:t>
      </w:r>
      <w:r>
        <w:tab/>
        <w:t xml:space="preserve">EMCa, </w:t>
      </w:r>
      <w:r w:rsidRPr="00AE649A">
        <w:rPr>
          <w:rStyle w:val="AERtextitalic"/>
        </w:rPr>
        <w:t>SP AusNet t</w:t>
      </w:r>
      <w:r w:rsidRPr="002D5AC6">
        <w:rPr>
          <w:rStyle w:val="AERtextitalic"/>
        </w:rPr>
        <w:t>echnical review</w:t>
      </w:r>
      <w:r>
        <w:t>, August 2013, p. 101, paragraph 357</w:t>
      </w:r>
      <w:r w:rsidR="00853520">
        <w:t>.</w:t>
      </w:r>
    </w:p>
  </w:footnote>
  <w:footnote w:id="576">
    <w:p w:rsidR="009E166E" w:rsidRDefault="009E166E" w:rsidP="0088341A">
      <w:pPr>
        <w:pStyle w:val="FootnoteText"/>
      </w:pPr>
      <w:r>
        <w:rPr>
          <w:rStyle w:val="FootnoteReference"/>
        </w:rPr>
        <w:footnoteRef/>
      </w:r>
      <w:r>
        <w:t xml:space="preserve"> </w:t>
      </w:r>
      <w:r>
        <w:tab/>
      </w:r>
      <w:r w:rsidRPr="004F5961">
        <w:t xml:space="preserve">SP AusNet, </w:t>
      </w:r>
      <w:r w:rsidRPr="00A12502">
        <w:rPr>
          <w:rStyle w:val="AERtextitalic"/>
        </w:rPr>
        <w:t>Revenue proposal for the 2014–17 regulatory control period</w:t>
      </w:r>
      <w:r>
        <w:t xml:space="preserve">, </w:t>
      </w:r>
      <w:r w:rsidRPr="004F5961">
        <w:t>Appendix G</w:t>
      </w:r>
      <w:r>
        <w:t>:</w:t>
      </w:r>
      <w:r w:rsidRPr="004F5961">
        <w:t xml:space="preserve"> Proposed contingent projects for the 2014–17 regulatory contro</w:t>
      </w:r>
      <w:r>
        <w:t>l period, 28 February 2013, p. 7.</w:t>
      </w:r>
    </w:p>
  </w:footnote>
  <w:footnote w:id="577">
    <w:p w:rsidR="009E166E" w:rsidRDefault="009E166E" w:rsidP="0088341A">
      <w:pPr>
        <w:pStyle w:val="FootnoteText"/>
      </w:pPr>
      <w:r>
        <w:rPr>
          <w:rStyle w:val="FootnoteReference"/>
        </w:rPr>
        <w:footnoteRef/>
      </w:r>
      <w:r>
        <w:t xml:space="preserve"> </w:t>
      </w:r>
      <w:r>
        <w:tab/>
        <w:t>NER, clause 6A.6.7(c)</w:t>
      </w:r>
      <w:r w:rsidR="00853520">
        <w:t>.</w:t>
      </w:r>
    </w:p>
  </w:footnote>
  <w:footnote w:id="578">
    <w:p w:rsidR="009E166E" w:rsidRDefault="009E166E" w:rsidP="0088341A">
      <w:pPr>
        <w:pStyle w:val="FootnoteText"/>
      </w:pPr>
      <w:r>
        <w:rPr>
          <w:rStyle w:val="FootnoteReference"/>
        </w:rPr>
        <w:footnoteRef/>
      </w:r>
      <w:r>
        <w:t xml:space="preserve"> </w:t>
      </w:r>
      <w:r>
        <w:tab/>
        <w:t>NER, clause 6A.6.7(c)(i)–(ii)</w:t>
      </w:r>
      <w:r w:rsidR="00853520">
        <w:t>.</w:t>
      </w:r>
    </w:p>
  </w:footnote>
  <w:footnote w:id="579">
    <w:p w:rsidR="009E166E" w:rsidRDefault="009E166E" w:rsidP="0088341A">
      <w:pPr>
        <w:pStyle w:val="FootnoteText"/>
      </w:pPr>
      <w:r>
        <w:rPr>
          <w:rStyle w:val="FootnoteReference"/>
        </w:rPr>
        <w:footnoteRef/>
      </w:r>
      <w:r>
        <w:t xml:space="preserve"> </w:t>
      </w:r>
      <w:r>
        <w:tab/>
      </w:r>
      <w:r w:rsidRPr="004F5961">
        <w:t xml:space="preserve">SP AusNet, </w:t>
      </w:r>
      <w:r w:rsidRPr="00A12502">
        <w:rPr>
          <w:rStyle w:val="AERtextitalic"/>
        </w:rPr>
        <w:t>Revenue proposal for the 2014–17 regulatory control period</w:t>
      </w:r>
      <w:r>
        <w:t xml:space="preserve">, </w:t>
      </w:r>
      <w:r w:rsidRPr="004F5961">
        <w:t>Appendix G</w:t>
      </w:r>
      <w:r>
        <w:t>:</w:t>
      </w:r>
      <w:r w:rsidRPr="004F5961">
        <w:t xml:space="preserve"> Proposed contingent projects for the 2014–17 regulatory contro</w:t>
      </w:r>
      <w:r>
        <w:t>l period, 28 February 2013, p. 5.</w:t>
      </w:r>
    </w:p>
  </w:footnote>
  <w:footnote w:id="580">
    <w:p w:rsidR="009E166E" w:rsidRDefault="009E166E" w:rsidP="0088341A">
      <w:pPr>
        <w:pStyle w:val="FootnoteText"/>
      </w:pPr>
      <w:r>
        <w:rPr>
          <w:rStyle w:val="FootnoteReference"/>
        </w:rPr>
        <w:footnoteRef/>
      </w:r>
      <w:r>
        <w:t xml:space="preserve"> </w:t>
      </w:r>
      <w:r>
        <w:tab/>
        <w:t>NER, clause 6A.8.1(c)(5)</w:t>
      </w:r>
      <w:r w:rsidR="00853520">
        <w:t>.</w:t>
      </w:r>
    </w:p>
  </w:footnote>
  <w:footnote w:id="581">
    <w:p w:rsidR="009E166E" w:rsidRDefault="009E166E" w:rsidP="0088341A">
      <w:pPr>
        <w:pStyle w:val="FootnoteText"/>
      </w:pPr>
      <w:r>
        <w:rPr>
          <w:rStyle w:val="FootnoteReference"/>
        </w:rPr>
        <w:footnoteRef/>
      </w:r>
      <w:r>
        <w:t xml:space="preserve"> </w:t>
      </w:r>
      <w:r>
        <w:tab/>
        <w:t>NER, clause 6A.8.1(c)(3)</w:t>
      </w:r>
      <w:r w:rsidR="00853520">
        <w:t>.</w:t>
      </w:r>
    </w:p>
  </w:footnote>
  <w:footnote w:id="582">
    <w:p w:rsidR="009E166E" w:rsidRDefault="009E166E" w:rsidP="0088341A">
      <w:pPr>
        <w:pStyle w:val="FootnoteText"/>
      </w:pPr>
      <w:r>
        <w:rPr>
          <w:rStyle w:val="FootnoteReference"/>
        </w:rPr>
        <w:footnoteRef/>
      </w:r>
      <w:r>
        <w:t xml:space="preserve"> </w:t>
      </w:r>
      <w:r>
        <w:tab/>
        <w:t xml:space="preserve">EMCa, </w:t>
      </w:r>
      <w:r w:rsidRPr="00AE649A">
        <w:rPr>
          <w:rStyle w:val="AERtextitalic"/>
        </w:rPr>
        <w:t>SP AusNet t</w:t>
      </w:r>
      <w:r w:rsidRPr="002D5AC6">
        <w:rPr>
          <w:rStyle w:val="AERtextitalic"/>
        </w:rPr>
        <w:t>echnical review</w:t>
      </w:r>
      <w:r>
        <w:t>, August 2013, p 101, paragraph 357</w:t>
      </w:r>
      <w:r w:rsidR="00853520">
        <w:t xml:space="preserve">. </w:t>
      </w:r>
    </w:p>
  </w:footnote>
  <w:footnote w:id="583">
    <w:p w:rsidR="009E166E" w:rsidRDefault="009E166E" w:rsidP="0088341A">
      <w:pPr>
        <w:pStyle w:val="FootnoteText"/>
      </w:pPr>
      <w:r>
        <w:rPr>
          <w:rStyle w:val="FootnoteReference"/>
        </w:rPr>
        <w:footnoteRef/>
      </w:r>
      <w:r>
        <w:t xml:space="preserve"> </w:t>
      </w:r>
      <w:r>
        <w:tab/>
        <w:t>NER, clause 6A.8.1(c)(3).</w:t>
      </w:r>
    </w:p>
  </w:footnote>
  <w:footnote w:id="584">
    <w:p w:rsidR="009E166E" w:rsidRDefault="009E166E" w:rsidP="0088341A">
      <w:pPr>
        <w:pStyle w:val="FootnoteText"/>
      </w:pPr>
      <w:r>
        <w:rPr>
          <w:rStyle w:val="FootnoteReference"/>
        </w:rPr>
        <w:footnoteRef/>
      </w:r>
      <w:r>
        <w:t xml:space="preserve"> </w:t>
      </w:r>
      <w:r>
        <w:tab/>
        <w:t>NER, clause 6A.2.2(4).</w:t>
      </w:r>
    </w:p>
  </w:footnote>
  <w:footnote w:id="585">
    <w:p w:rsidR="009E166E" w:rsidRDefault="009E166E" w:rsidP="0088341A">
      <w:pPr>
        <w:pStyle w:val="FootnoteText"/>
      </w:pPr>
      <w:r>
        <w:rPr>
          <w:rStyle w:val="FootnoteReference"/>
        </w:rPr>
        <w:footnoteRef/>
      </w:r>
      <w:r>
        <w:t xml:space="preserve"> </w:t>
      </w:r>
      <w:r>
        <w:tab/>
        <w:t>NER, clause 6A.24.1(b)(1) and (2).</w:t>
      </w:r>
    </w:p>
  </w:footnote>
  <w:footnote w:id="586">
    <w:p w:rsidR="009E166E" w:rsidRDefault="009E166E" w:rsidP="0088341A">
      <w:pPr>
        <w:pStyle w:val="FootnoteText"/>
      </w:pPr>
      <w:r>
        <w:rPr>
          <w:rStyle w:val="FootnoteReference"/>
        </w:rPr>
        <w:footnoteRef/>
      </w:r>
      <w:r>
        <w:t xml:space="preserve"> </w:t>
      </w:r>
      <w:r>
        <w:tab/>
        <w:t xml:space="preserve">SP AusNet, </w:t>
      </w:r>
      <w:r w:rsidRPr="00160486">
        <w:rPr>
          <w:rStyle w:val="AERtextitalic"/>
        </w:rPr>
        <w:t>Revenue proposal</w:t>
      </w:r>
      <w:r>
        <w:t xml:space="preserve">, Appendix 13A: Pricing methodology, p. 4. </w:t>
      </w:r>
    </w:p>
  </w:footnote>
  <w:footnote w:id="587">
    <w:p w:rsidR="009E166E" w:rsidRDefault="009E166E" w:rsidP="0088341A">
      <w:pPr>
        <w:pStyle w:val="FootnoteText"/>
      </w:pPr>
      <w:r>
        <w:rPr>
          <w:rStyle w:val="FootnoteReference"/>
        </w:rPr>
        <w:footnoteRef/>
      </w:r>
      <w:r>
        <w:t xml:space="preserve"> </w:t>
      </w:r>
      <w:r>
        <w:tab/>
        <w:t xml:space="preserve">SP AusNet, </w:t>
      </w:r>
      <w:r w:rsidRPr="00D0340A">
        <w:rPr>
          <w:rStyle w:val="AERtextitalic"/>
        </w:rPr>
        <w:t xml:space="preserve">Revenue proposal, </w:t>
      </w:r>
      <w:r>
        <w:t>Appendix 13A: Pricing methodology, p. 4.</w:t>
      </w:r>
    </w:p>
  </w:footnote>
  <w:footnote w:id="588">
    <w:p w:rsidR="009E166E" w:rsidRDefault="009E166E" w:rsidP="0088341A">
      <w:pPr>
        <w:pStyle w:val="FootnoteText"/>
      </w:pPr>
      <w:r>
        <w:rPr>
          <w:rStyle w:val="FootnoteReference"/>
        </w:rPr>
        <w:footnoteRef/>
      </w:r>
      <w:r>
        <w:t xml:space="preserve"> </w:t>
      </w:r>
      <w:r>
        <w:tab/>
        <w:t>NER, clause 6A.29.1.</w:t>
      </w:r>
    </w:p>
  </w:footnote>
  <w:footnote w:id="589">
    <w:p w:rsidR="009E166E" w:rsidRDefault="009E166E" w:rsidP="0088341A">
      <w:pPr>
        <w:pStyle w:val="FootnoteText"/>
      </w:pPr>
      <w:r>
        <w:rPr>
          <w:rStyle w:val="FootnoteReference"/>
        </w:rPr>
        <w:footnoteRef/>
      </w:r>
      <w:r>
        <w:t xml:space="preserve"> </w:t>
      </w:r>
      <w:r>
        <w:tab/>
        <w:t>NER, clause 6A.24.1(c).</w:t>
      </w:r>
    </w:p>
  </w:footnote>
  <w:footnote w:id="590">
    <w:p w:rsidR="009E166E" w:rsidRDefault="009E166E" w:rsidP="0088341A">
      <w:pPr>
        <w:pStyle w:val="FootnoteText"/>
      </w:pPr>
      <w:r>
        <w:rPr>
          <w:rStyle w:val="FootnoteReference"/>
        </w:rPr>
        <w:footnoteRef/>
      </w:r>
      <w:r>
        <w:t xml:space="preserve"> </w:t>
      </w:r>
      <w:r>
        <w:tab/>
        <w:t xml:space="preserve">SP AusNet, </w:t>
      </w:r>
      <w:r w:rsidRPr="00160486">
        <w:rPr>
          <w:rStyle w:val="AERtextitalic"/>
        </w:rPr>
        <w:t>Revenue proposal</w:t>
      </w:r>
      <w:r>
        <w:t xml:space="preserve">, Appendix 13A: </w:t>
      </w:r>
      <w:r w:rsidRPr="000A3D03">
        <w:rPr>
          <w:i/>
        </w:rPr>
        <w:t>Pricing methodology</w:t>
      </w:r>
      <w:r>
        <w:t>, p. 4.</w:t>
      </w:r>
    </w:p>
  </w:footnote>
  <w:footnote w:id="591">
    <w:p w:rsidR="009E166E" w:rsidRDefault="009E166E" w:rsidP="0088341A">
      <w:pPr>
        <w:pStyle w:val="FootnoteText"/>
      </w:pPr>
      <w:r>
        <w:rPr>
          <w:rStyle w:val="FootnoteReference"/>
        </w:rPr>
        <w:footnoteRef/>
      </w:r>
      <w:r>
        <w:t xml:space="preserve"> </w:t>
      </w:r>
      <w:r>
        <w:tab/>
        <w:t>NER, clause 6A.14.3(g)(1).</w:t>
      </w:r>
    </w:p>
  </w:footnote>
  <w:footnote w:id="592">
    <w:p w:rsidR="009E166E" w:rsidRDefault="009E166E" w:rsidP="0088341A">
      <w:pPr>
        <w:pStyle w:val="FootnoteText"/>
      </w:pPr>
      <w:r>
        <w:rPr>
          <w:rStyle w:val="FootnoteReference"/>
        </w:rPr>
        <w:footnoteRef/>
      </w:r>
      <w:r>
        <w:t xml:space="preserve"> </w:t>
      </w:r>
      <w:r>
        <w:tab/>
        <w:t>NER, clause 6A.14.3(g)(2).</w:t>
      </w:r>
    </w:p>
  </w:footnote>
  <w:footnote w:id="593">
    <w:p w:rsidR="009E166E" w:rsidRDefault="009E166E" w:rsidP="0088341A">
      <w:pPr>
        <w:pStyle w:val="FootnoteText"/>
      </w:pPr>
      <w:r>
        <w:rPr>
          <w:rStyle w:val="FootnoteReference"/>
        </w:rPr>
        <w:footnoteRef/>
      </w:r>
      <w:r>
        <w:t xml:space="preserve"> </w:t>
      </w:r>
      <w:r>
        <w:tab/>
        <w:t>AEMO operates on a cost recovery basis as a corporate entity limited by guarantee under the Corporations Act. AEMO fully recovers its operating costs through fees paid by market participants. AEMO’s ownership structure is split between government and industry representatives across the eastern states of Australia with membership comprising 60% Commonwealth and state government and 40% industry including generators, transmission companies, distribution businesses, resource companies and investment companies.</w:t>
      </w:r>
    </w:p>
  </w:footnote>
  <w:footnote w:id="594">
    <w:p w:rsidR="009E166E" w:rsidRDefault="009E166E" w:rsidP="0088341A">
      <w:pPr>
        <w:pStyle w:val="FootnoteText"/>
      </w:pPr>
      <w:r>
        <w:rPr>
          <w:rStyle w:val="FootnoteReference"/>
        </w:rPr>
        <w:footnoteRef/>
      </w:r>
      <w:r>
        <w:t xml:space="preserve"> </w:t>
      </w:r>
      <w:r>
        <w:tab/>
        <w:t>National Electricity Law, section 50F.</w:t>
      </w:r>
    </w:p>
  </w:footnote>
  <w:footnote w:id="595">
    <w:p w:rsidR="009E166E" w:rsidRDefault="009E166E" w:rsidP="0088341A">
      <w:pPr>
        <w:pStyle w:val="FootnoteText"/>
      </w:pPr>
      <w:r>
        <w:rPr>
          <w:rStyle w:val="FootnoteReference"/>
        </w:rPr>
        <w:footnoteRef/>
      </w:r>
      <w:r>
        <w:t xml:space="preserve"> </w:t>
      </w:r>
      <w:r>
        <w:tab/>
        <w:t>NER, Chapter 10.</w:t>
      </w:r>
    </w:p>
  </w:footnote>
  <w:footnote w:id="596">
    <w:p w:rsidR="009E166E" w:rsidRDefault="009E166E" w:rsidP="0088341A">
      <w:pPr>
        <w:pStyle w:val="FootnoteText"/>
      </w:pPr>
      <w:r>
        <w:rPr>
          <w:rStyle w:val="FootnoteReference"/>
        </w:rPr>
        <w:footnoteRef/>
      </w:r>
      <w:r>
        <w:t xml:space="preserve"> </w:t>
      </w:r>
      <w:r>
        <w:tab/>
        <w:t>NER, Chapter 10.</w:t>
      </w:r>
    </w:p>
  </w:footnote>
  <w:footnote w:id="597">
    <w:p w:rsidR="009E166E" w:rsidRDefault="009E166E" w:rsidP="0088341A">
      <w:pPr>
        <w:pStyle w:val="FootnoteText"/>
      </w:pPr>
      <w:r>
        <w:rPr>
          <w:rStyle w:val="FootnoteReference"/>
        </w:rPr>
        <w:footnoteRef/>
      </w:r>
      <w:r>
        <w:t xml:space="preserve"> </w:t>
      </w:r>
      <w:r>
        <w:tab/>
        <w:t xml:space="preserve">Productivity Commission, Electricity network regulatory frameworks, October 2012 p 502 available at: </w:t>
      </w:r>
      <w:hyperlink r:id="rId5" w:history="1">
        <w:r w:rsidRPr="00F23AE6">
          <w:rPr>
            <w:rStyle w:val="Hyperlink"/>
          </w:rPr>
          <w:t>http://www.pc.gov.au/projects/inquiry/electricity/draft</w:t>
        </w:r>
      </w:hyperlink>
      <w:r>
        <w:t xml:space="preserve">.  </w:t>
      </w:r>
    </w:p>
  </w:footnote>
  <w:footnote w:id="598">
    <w:p w:rsidR="009E166E" w:rsidRDefault="009E166E" w:rsidP="0088341A">
      <w:pPr>
        <w:pStyle w:val="FootnoteText"/>
      </w:pPr>
      <w:r>
        <w:rPr>
          <w:rStyle w:val="FootnoteReference"/>
        </w:rPr>
        <w:footnoteRef/>
      </w:r>
      <w:r>
        <w:t xml:space="preserve"> </w:t>
      </w:r>
      <w:r>
        <w:tab/>
        <w:t>AER, Letter to AEMO, 7 June 2013.</w:t>
      </w:r>
    </w:p>
  </w:footnote>
  <w:footnote w:id="599">
    <w:p w:rsidR="009E166E" w:rsidRDefault="009E166E" w:rsidP="0088341A">
      <w:pPr>
        <w:pStyle w:val="FootnoteText"/>
      </w:pPr>
      <w:r>
        <w:rPr>
          <w:rStyle w:val="FootnoteReference"/>
        </w:rPr>
        <w:footnoteRef/>
      </w:r>
      <w:r>
        <w:t xml:space="preserve"> </w:t>
      </w:r>
      <w:r>
        <w:tab/>
        <w:t xml:space="preserve">AEMC, </w:t>
      </w:r>
      <w:r w:rsidRPr="006F6072">
        <w:rPr>
          <w:rStyle w:val="AERtextitalic"/>
        </w:rPr>
        <w:t>Rule Determination: National Electricity Amendment (Pricing of Prescribed Transmission Services) Rule 2006 No. 22</w:t>
      </w:r>
      <w:r>
        <w:t>, 21 December 2006, pp. 27–8.</w:t>
      </w:r>
    </w:p>
  </w:footnote>
  <w:footnote w:id="600">
    <w:p w:rsidR="009E166E" w:rsidRDefault="009E166E" w:rsidP="0088341A">
      <w:pPr>
        <w:pStyle w:val="FootnoteText"/>
      </w:pPr>
      <w:r>
        <w:rPr>
          <w:rStyle w:val="FootnoteReference"/>
        </w:rPr>
        <w:footnoteRef/>
      </w:r>
      <w:r>
        <w:t xml:space="preserve"> </w:t>
      </w:r>
      <w:r>
        <w:tab/>
        <w:t>NER, clause 6A.22.3.</w:t>
      </w:r>
    </w:p>
  </w:footnote>
  <w:footnote w:id="601">
    <w:p w:rsidR="009E166E" w:rsidRDefault="009E166E" w:rsidP="0088341A">
      <w:pPr>
        <w:pStyle w:val="FootnoteText"/>
      </w:pPr>
      <w:r>
        <w:rPr>
          <w:rStyle w:val="FootnoteReference"/>
        </w:rPr>
        <w:footnoteRef/>
      </w:r>
      <w:r>
        <w:t xml:space="preserve"> </w:t>
      </w:r>
      <w:r>
        <w:tab/>
        <w:t xml:space="preserve">SP AusNet, </w:t>
      </w:r>
      <w:r w:rsidRPr="00160486">
        <w:rPr>
          <w:rStyle w:val="AERtextitalic"/>
        </w:rPr>
        <w:t>Revenue proposal</w:t>
      </w:r>
      <w:r>
        <w:t>, Appendix 13A: Pricing methodology, clause 1.</w:t>
      </w:r>
    </w:p>
  </w:footnote>
  <w:footnote w:id="602">
    <w:p w:rsidR="009E166E" w:rsidRDefault="009E166E" w:rsidP="0088341A">
      <w:pPr>
        <w:pStyle w:val="FootnoteText"/>
      </w:pPr>
      <w:r>
        <w:rPr>
          <w:rStyle w:val="FootnoteReference"/>
        </w:rPr>
        <w:footnoteRef/>
      </w:r>
      <w:r>
        <w:t xml:space="preserve"> </w:t>
      </w:r>
      <w:r>
        <w:tab/>
        <w:t xml:space="preserve">SP AusNet, </w:t>
      </w:r>
      <w:r w:rsidRPr="00160486">
        <w:rPr>
          <w:rStyle w:val="AERtextitalic"/>
        </w:rPr>
        <w:t>Revenue proposal</w:t>
      </w:r>
      <w:r>
        <w:t>, Appendix 13A: Pricing methodology, clause 4.1.</w:t>
      </w:r>
    </w:p>
  </w:footnote>
  <w:footnote w:id="603">
    <w:p w:rsidR="009E166E" w:rsidRDefault="009E166E" w:rsidP="0088341A">
      <w:pPr>
        <w:pStyle w:val="FootnoteText"/>
      </w:pPr>
      <w:r>
        <w:rPr>
          <w:rStyle w:val="FootnoteReference"/>
        </w:rPr>
        <w:footnoteRef/>
      </w:r>
      <w:r>
        <w:t xml:space="preserve"> </w:t>
      </w:r>
      <w:r>
        <w:tab/>
        <w:t xml:space="preserve">SP AusNet, </w:t>
      </w:r>
      <w:r w:rsidRPr="00160486">
        <w:rPr>
          <w:rStyle w:val="AERtextitalic"/>
        </w:rPr>
        <w:t>Revenue proposal</w:t>
      </w:r>
      <w:r>
        <w:t>, Appendix 13A: Pricing methodology, clause 5.</w:t>
      </w:r>
    </w:p>
  </w:footnote>
  <w:footnote w:id="604">
    <w:p w:rsidR="009E166E" w:rsidRDefault="009E166E" w:rsidP="0088341A">
      <w:pPr>
        <w:pStyle w:val="FootnoteText"/>
      </w:pPr>
      <w:r>
        <w:rPr>
          <w:rStyle w:val="FootnoteReference"/>
        </w:rPr>
        <w:footnoteRef/>
      </w:r>
      <w:r>
        <w:t xml:space="preserve"> </w:t>
      </w:r>
      <w:r>
        <w:tab/>
        <w:t xml:space="preserve">SP AusNet, </w:t>
      </w:r>
      <w:r w:rsidRPr="00160486">
        <w:rPr>
          <w:rStyle w:val="AERtextitalic"/>
        </w:rPr>
        <w:t>Revenue proposal</w:t>
      </w:r>
      <w:r>
        <w:t>, Appendix 13A: Pricing methodology, clause 7.</w:t>
      </w:r>
    </w:p>
  </w:footnote>
  <w:footnote w:id="605">
    <w:p w:rsidR="009E166E" w:rsidRDefault="009E166E" w:rsidP="0088341A">
      <w:pPr>
        <w:pStyle w:val="FootnoteText"/>
      </w:pPr>
      <w:r>
        <w:rPr>
          <w:rStyle w:val="FootnoteReference"/>
        </w:rPr>
        <w:footnoteRef/>
      </w:r>
      <w:r>
        <w:t xml:space="preserve"> </w:t>
      </w:r>
      <w:r>
        <w:tab/>
        <w:t xml:space="preserve">SP AusNet, </w:t>
      </w:r>
      <w:r w:rsidRPr="00160486">
        <w:rPr>
          <w:rStyle w:val="AERtextitalic"/>
        </w:rPr>
        <w:t>Revenue proposal</w:t>
      </w:r>
      <w:r>
        <w:t>, Appendix 13A: Pricing methodology, clause 8.</w:t>
      </w:r>
    </w:p>
  </w:footnote>
  <w:footnote w:id="606">
    <w:p w:rsidR="009E166E" w:rsidRDefault="009E166E" w:rsidP="0088341A">
      <w:pPr>
        <w:pStyle w:val="FootnoteText"/>
      </w:pPr>
      <w:r>
        <w:rPr>
          <w:rStyle w:val="FootnoteReference"/>
        </w:rPr>
        <w:footnoteRef/>
      </w:r>
      <w:r>
        <w:t xml:space="preserve"> </w:t>
      </w:r>
      <w:r>
        <w:tab/>
        <w:t xml:space="preserve">SP AusNet, </w:t>
      </w:r>
      <w:r w:rsidRPr="00160486">
        <w:rPr>
          <w:rStyle w:val="AERtextitalic"/>
        </w:rPr>
        <w:t>Revenue proposal</w:t>
      </w:r>
      <w:r>
        <w:t>, Appendix 13A: Pricing methodology, Appendix B.</w:t>
      </w:r>
    </w:p>
  </w:footnote>
  <w:footnote w:id="607">
    <w:p w:rsidR="009E166E" w:rsidRDefault="009E166E" w:rsidP="0088341A">
      <w:pPr>
        <w:pStyle w:val="FootnoteText"/>
      </w:pPr>
      <w:r>
        <w:rPr>
          <w:rStyle w:val="FootnoteReference"/>
        </w:rPr>
        <w:footnoteRef/>
      </w:r>
      <w:r>
        <w:t xml:space="preserve"> </w:t>
      </w:r>
      <w:r>
        <w:tab/>
        <w:t xml:space="preserve">SP AusNet, </w:t>
      </w:r>
      <w:r w:rsidRPr="00160486">
        <w:rPr>
          <w:rStyle w:val="AERtextitalic"/>
        </w:rPr>
        <w:t>Revenue proposal</w:t>
      </w:r>
      <w:r>
        <w:t>, Appendix 13A: Pricing methodology, clause 7.1.</w:t>
      </w:r>
    </w:p>
  </w:footnote>
  <w:footnote w:id="608">
    <w:p w:rsidR="009E166E" w:rsidRDefault="009E166E" w:rsidP="0088341A">
      <w:pPr>
        <w:pStyle w:val="FootnoteText"/>
      </w:pPr>
      <w:r>
        <w:rPr>
          <w:rStyle w:val="FootnoteReference"/>
        </w:rPr>
        <w:footnoteRef/>
      </w:r>
      <w:r>
        <w:t xml:space="preserve"> </w:t>
      </w:r>
      <w:r>
        <w:tab/>
        <w:t>NER, clause 6A.9.5(c).</w:t>
      </w:r>
    </w:p>
  </w:footnote>
  <w:footnote w:id="609">
    <w:p w:rsidR="009E166E" w:rsidRDefault="009E166E" w:rsidP="0088341A">
      <w:pPr>
        <w:pStyle w:val="FootnoteText"/>
      </w:pPr>
      <w:r>
        <w:rPr>
          <w:rStyle w:val="FootnoteReference"/>
        </w:rPr>
        <w:footnoteRef/>
      </w:r>
      <w:r>
        <w:t xml:space="preserve"> </w:t>
      </w:r>
      <w:r>
        <w:tab/>
        <w:t>NER, clause 6A.9.1.</w:t>
      </w:r>
    </w:p>
  </w:footnote>
  <w:footnote w:id="610">
    <w:p w:rsidR="009E166E" w:rsidRDefault="009E166E" w:rsidP="0088341A">
      <w:pPr>
        <w:pStyle w:val="FootnoteText"/>
      </w:pPr>
      <w:r>
        <w:rPr>
          <w:rStyle w:val="FootnoteReference"/>
        </w:rPr>
        <w:footnoteRef/>
      </w:r>
      <w:r>
        <w:t xml:space="preserve"> </w:t>
      </w:r>
      <w:r>
        <w:tab/>
        <w:t xml:space="preserve">SP AusNet, </w:t>
      </w:r>
      <w:r w:rsidRPr="00A92CBF">
        <w:rPr>
          <w:rStyle w:val="AERtextitalic"/>
        </w:rPr>
        <w:t>Proposed negotiating framework for 1 April 2014 to 31 March 2017</w:t>
      </w:r>
      <w:r>
        <w:t>, May 2012, p. 4.</w:t>
      </w:r>
    </w:p>
  </w:footnote>
  <w:footnote w:id="611">
    <w:p w:rsidR="009E166E" w:rsidRDefault="009E166E" w:rsidP="0088341A">
      <w:pPr>
        <w:pStyle w:val="FootnoteText"/>
      </w:pPr>
      <w:r>
        <w:rPr>
          <w:rStyle w:val="FootnoteReference"/>
        </w:rPr>
        <w:footnoteRef/>
      </w:r>
      <w:r>
        <w:t xml:space="preserve"> </w:t>
      </w:r>
      <w:r>
        <w:tab/>
        <w:t xml:space="preserve">AEMO operates on a cost recovery basis as a corporate entity limited by guarantee under the </w:t>
      </w:r>
      <w:r w:rsidRPr="00A92CBF">
        <w:rPr>
          <w:rStyle w:val="AERtextitalic"/>
        </w:rPr>
        <w:t>Corporations Act 2001</w:t>
      </w:r>
      <w:r>
        <w:t xml:space="preserve"> (Cth). It fully recovers its operating costs through fees paid by market participants. AEMO’s ownership is split between government and industry representatives across the eastern states of Australia, with membership comprising 60 per cent Australian and state government and 40 per cent industry (including generators, transmission companies, distribution businesses, resource companies and investment companies).</w:t>
      </w:r>
    </w:p>
  </w:footnote>
  <w:footnote w:id="612">
    <w:p w:rsidR="009E166E" w:rsidRDefault="009E166E" w:rsidP="0088341A">
      <w:pPr>
        <w:pStyle w:val="FootnoteText"/>
      </w:pPr>
      <w:r>
        <w:rPr>
          <w:rStyle w:val="FootnoteReference"/>
        </w:rPr>
        <w:footnoteRef/>
      </w:r>
      <w:r>
        <w:t xml:space="preserve"> </w:t>
      </w:r>
      <w:r>
        <w:tab/>
        <w:t>NER, Chapter 10.</w:t>
      </w:r>
    </w:p>
  </w:footnote>
  <w:footnote w:id="613">
    <w:p w:rsidR="009E166E" w:rsidRDefault="009E166E" w:rsidP="0088341A">
      <w:pPr>
        <w:pStyle w:val="FootnoteText"/>
      </w:pPr>
      <w:r>
        <w:rPr>
          <w:rStyle w:val="FootnoteReference"/>
        </w:rPr>
        <w:footnoteRef/>
      </w:r>
      <w:r>
        <w:t xml:space="preserve"> </w:t>
      </w:r>
      <w:r>
        <w:tab/>
        <w:t>NER, Chapter 10.</w:t>
      </w:r>
    </w:p>
  </w:footnote>
  <w:footnote w:id="614">
    <w:p w:rsidR="009E166E" w:rsidRDefault="009E166E" w:rsidP="0088341A">
      <w:pPr>
        <w:pStyle w:val="FootnoteText"/>
      </w:pPr>
      <w:r>
        <w:rPr>
          <w:rStyle w:val="FootnoteReference"/>
        </w:rPr>
        <w:footnoteRef/>
      </w:r>
      <w:r>
        <w:t xml:space="preserve"> </w:t>
      </w:r>
      <w:r>
        <w:tab/>
        <w:t xml:space="preserve">SP AusNet, </w:t>
      </w:r>
      <w:r w:rsidRPr="007C75C6">
        <w:rPr>
          <w:rStyle w:val="AERtextitalic"/>
        </w:rPr>
        <w:t>Revenue Proposal</w:t>
      </w:r>
      <w:r>
        <w:rPr>
          <w:rStyle w:val="AERtextitalic"/>
        </w:rPr>
        <w:t xml:space="preserve">, </w:t>
      </w:r>
      <w:r w:rsidRPr="0088083C">
        <w:rPr>
          <w:i/>
        </w:rPr>
        <w:t>Appendix 14A: Victorian negotiating framework</w:t>
      </w:r>
      <w:r>
        <w:t>, 1 April 2014–31 March 2017, p.4</w:t>
      </w:r>
    </w:p>
  </w:footnote>
  <w:footnote w:id="615">
    <w:p w:rsidR="009E166E" w:rsidRDefault="009E166E" w:rsidP="0088341A">
      <w:pPr>
        <w:pStyle w:val="FootnoteText"/>
      </w:pPr>
      <w:r>
        <w:rPr>
          <w:rStyle w:val="FootnoteReference"/>
        </w:rPr>
        <w:footnoteRef/>
      </w:r>
      <w:r>
        <w:t xml:space="preserve"> </w:t>
      </w:r>
      <w:r>
        <w:tab/>
        <w:t>NER, clause 6A.9.5(c).</w:t>
      </w:r>
    </w:p>
  </w:footnote>
  <w:footnote w:id="616">
    <w:p w:rsidR="009E166E" w:rsidRDefault="009E166E" w:rsidP="0088341A">
      <w:pPr>
        <w:pStyle w:val="FootnoteText"/>
      </w:pPr>
      <w:r>
        <w:rPr>
          <w:rStyle w:val="FootnoteReference"/>
        </w:rPr>
        <w:footnoteRef/>
      </w:r>
      <w:r>
        <w:t xml:space="preserve"> </w:t>
      </w:r>
      <w:r>
        <w:tab/>
        <w:t>AER, Letter to AEMO, 7 June 2013.</w:t>
      </w:r>
    </w:p>
  </w:footnote>
  <w:footnote w:id="617">
    <w:p w:rsidR="009E166E" w:rsidRDefault="009E166E" w:rsidP="0088341A">
      <w:pPr>
        <w:pStyle w:val="FootnoteText"/>
      </w:pPr>
      <w:r>
        <w:rPr>
          <w:rStyle w:val="FootnoteReference"/>
        </w:rPr>
        <w:footnoteRef/>
      </w:r>
      <w:r>
        <w:t xml:space="preserve"> </w:t>
      </w:r>
      <w:r>
        <w:tab/>
        <w:t>The relevant provisions for dispute resolution are set out in part K of chapter 6A of the NER.</w:t>
      </w:r>
    </w:p>
  </w:footnote>
  <w:footnote w:id="618">
    <w:p w:rsidR="009E166E" w:rsidRDefault="009E166E" w:rsidP="0088341A">
      <w:pPr>
        <w:pStyle w:val="FootnoteText"/>
      </w:pPr>
      <w:r>
        <w:rPr>
          <w:rStyle w:val="FootnoteReference"/>
        </w:rPr>
        <w:footnoteRef/>
      </w:r>
      <w:r>
        <w:t xml:space="preserve"> </w:t>
      </w:r>
      <w:r>
        <w:tab/>
        <w:t>NER, clause 6A.7.3.</w:t>
      </w:r>
    </w:p>
  </w:footnote>
  <w:footnote w:id="619">
    <w:p w:rsidR="009E166E" w:rsidRDefault="009E166E" w:rsidP="0088341A">
      <w:pPr>
        <w:pStyle w:val="FootnoteText"/>
      </w:pPr>
      <w:r>
        <w:rPr>
          <w:rStyle w:val="FootnoteReference"/>
        </w:rPr>
        <w:footnoteRef/>
      </w:r>
      <w:r>
        <w:t xml:space="preserve"> </w:t>
      </w:r>
      <w:r>
        <w:tab/>
        <w:t xml:space="preserve">SP AusNet, </w:t>
      </w:r>
      <w:r w:rsidRPr="00042EEA">
        <w:rPr>
          <w:rStyle w:val="AERtextitalic"/>
        </w:rPr>
        <w:t>Revenue proposal</w:t>
      </w:r>
      <w:r>
        <w:t>, p. 180.</w:t>
      </w:r>
    </w:p>
  </w:footnote>
  <w:footnote w:id="620">
    <w:p w:rsidR="009E166E" w:rsidRDefault="009E166E" w:rsidP="0088341A">
      <w:pPr>
        <w:pStyle w:val="FootnoteText"/>
      </w:pPr>
      <w:r>
        <w:rPr>
          <w:rStyle w:val="FootnoteReference"/>
        </w:rPr>
        <w:footnoteRef/>
      </w:r>
      <w:r>
        <w:t xml:space="preserve"> </w:t>
      </w:r>
      <w:r>
        <w:tab/>
        <w:t xml:space="preserve">SP AusNet, </w:t>
      </w:r>
      <w:r w:rsidRPr="008E78F9">
        <w:rPr>
          <w:rStyle w:val="AERtextitalic"/>
        </w:rPr>
        <w:t>Response to information request AER RP 32, Nominated terrorism pass through event</w:t>
      </w:r>
      <w:r>
        <w:t>, 4 June 2013.</w:t>
      </w:r>
    </w:p>
  </w:footnote>
  <w:footnote w:id="621">
    <w:p w:rsidR="009E166E" w:rsidRDefault="009E166E" w:rsidP="0088341A">
      <w:pPr>
        <w:pStyle w:val="FootnoteText"/>
      </w:pPr>
      <w:r>
        <w:rPr>
          <w:rStyle w:val="FootnoteReference"/>
        </w:rPr>
        <w:footnoteRef/>
      </w:r>
      <w:r>
        <w:t xml:space="preserve"> </w:t>
      </w:r>
      <w:r>
        <w:tab/>
        <w:t xml:space="preserve">NER, definition of </w:t>
      </w:r>
      <w:r>
        <w:rPr>
          <w:rStyle w:val="AERtextitalic"/>
        </w:rPr>
        <w:t>n</w:t>
      </w:r>
      <w:r w:rsidRPr="00B21932">
        <w:rPr>
          <w:rStyle w:val="AERtextitalic"/>
        </w:rPr>
        <w:t>ominated event pass through considerations</w:t>
      </w:r>
      <w:r w:rsidRPr="000E1267">
        <w:rPr>
          <w:rStyle w:val="AERtextitalic"/>
          <w:i w:val="0"/>
        </w:rPr>
        <w:t>,</w:t>
      </w:r>
      <w:r w:rsidRPr="004B5AEC">
        <w:t xml:space="preserve"> chapter 10</w:t>
      </w:r>
      <w:r>
        <w:t>.</w:t>
      </w:r>
    </w:p>
  </w:footnote>
  <w:footnote w:id="622">
    <w:p w:rsidR="009E166E" w:rsidRDefault="009E166E" w:rsidP="0088341A">
      <w:pPr>
        <w:pStyle w:val="FootnoteText"/>
      </w:pPr>
      <w:r>
        <w:rPr>
          <w:rStyle w:val="FootnoteReference"/>
        </w:rPr>
        <w:footnoteRef/>
      </w:r>
      <w:r>
        <w:t xml:space="preserve"> </w:t>
      </w:r>
      <w:r>
        <w:tab/>
        <w:t xml:space="preserve">NER, definition of </w:t>
      </w:r>
      <w:r>
        <w:rPr>
          <w:rStyle w:val="AERtextitalic"/>
        </w:rPr>
        <w:t>n</w:t>
      </w:r>
      <w:r w:rsidRPr="00B21932">
        <w:rPr>
          <w:rStyle w:val="AERtextitalic"/>
        </w:rPr>
        <w:t>ominated pass through event considerations</w:t>
      </w:r>
      <w:r w:rsidRPr="000E1267">
        <w:rPr>
          <w:rStyle w:val="AERtextitalic"/>
        </w:rPr>
        <w:t>,</w:t>
      </w:r>
      <w:r w:rsidRPr="004B5AEC">
        <w:t xml:space="preserve"> chapter 10</w:t>
      </w:r>
      <w:r>
        <w:t>.</w:t>
      </w:r>
    </w:p>
  </w:footnote>
  <w:footnote w:id="623">
    <w:p w:rsidR="009E166E" w:rsidRDefault="009E166E" w:rsidP="0088341A">
      <w:pPr>
        <w:pStyle w:val="FootnoteText"/>
      </w:pPr>
      <w:r>
        <w:rPr>
          <w:rStyle w:val="FootnoteReference"/>
        </w:rPr>
        <w:footnoteRef/>
      </w:r>
      <w:r>
        <w:t xml:space="preserve"> </w:t>
      </w:r>
      <w:r>
        <w:tab/>
        <w:t>NER, clause 6A.6.9(b).</w:t>
      </w:r>
    </w:p>
  </w:footnote>
  <w:footnote w:id="624">
    <w:p w:rsidR="009E166E" w:rsidRDefault="009E166E" w:rsidP="0088341A">
      <w:pPr>
        <w:pStyle w:val="FootnoteText"/>
      </w:pPr>
      <w:r>
        <w:rPr>
          <w:rStyle w:val="FootnoteReference"/>
        </w:rPr>
        <w:footnoteRef/>
      </w:r>
      <w:r>
        <w:t xml:space="preserve"> </w:t>
      </w:r>
      <w:r>
        <w:tab/>
        <w:t>Since the AEMC revised the NER to include nominated pass through events for TNPS in August 2012, we have made determinations approving nominated pass through events for Powerlink and ElectraNet.</w:t>
      </w:r>
      <w:r>
        <w:rPr>
          <w:rStyle w:val="FootnoteReference"/>
        </w:rPr>
        <w:footnoteRef/>
      </w:r>
      <w:r>
        <w:t xml:space="preserve"> When the AER is not satisfied that SP AusNet’s proposal meets the requirements of the NER but that an amendment is possible that would make the proposal acceptable, the AER has given weight to achieving definitions that are consistent across transmission determinations.</w:t>
      </w:r>
    </w:p>
  </w:footnote>
  <w:footnote w:id="625">
    <w:p w:rsidR="009E166E" w:rsidRDefault="009E166E" w:rsidP="0088341A">
      <w:pPr>
        <w:pStyle w:val="FootnoteText"/>
      </w:pPr>
      <w:r>
        <w:rPr>
          <w:rStyle w:val="FootnoteReference"/>
        </w:rPr>
        <w:footnoteRef/>
      </w:r>
      <w:r>
        <w:t xml:space="preserve"> </w:t>
      </w:r>
      <w:r>
        <w:tab/>
        <w:t xml:space="preserve">NER, clause 6A.6.9. </w:t>
      </w:r>
    </w:p>
  </w:footnote>
  <w:footnote w:id="626">
    <w:p w:rsidR="009E166E" w:rsidRDefault="009E166E" w:rsidP="0088341A">
      <w:pPr>
        <w:pStyle w:val="FootnoteText"/>
      </w:pPr>
      <w:r>
        <w:rPr>
          <w:rStyle w:val="FootnoteReference"/>
        </w:rPr>
        <w:footnoteRef/>
      </w:r>
      <w:r>
        <w:t xml:space="preserve"> </w:t>
      </w:r>
      <w:r>
        <w:tab/>
        <w:t xml:space="preserve">NER, definition of </w:t>
      </w:r>
      <w:r>
        <w:rPr>
          <w:rStyle w:val="AERtextitalic"/>
        </w:rPr>
        <w:t>n</w:t>
      </w:r>
      <w:r w:rsidRPr="00B21932">
        <w:rPr>
          <w:rStyle w:val="AERtextitalic"/>
        </w:rPr>
        <w:t>ominated pass through event considerations</w:t>
      </w:r>
      <w:r w:rsidRPr="000E1267">
        <w:rPr>
          <w:rStyle w:val="AERtextitalic"/>
        </w:rPr>
        <w:t>,</w:t>
      </w:r>
      <w:r w:rsidRPr="004B5AEC">
        <w:t xml:space="preserve"> chapter 10</w:t>
      </w:r>
      <w:r>
        <w:t>, subclauses (d)(1), (d)(2) and (e).</w:t>
      </w:r>
    </w:p>
  </w:footnote>
  <w:footnote w:id="627">
    <w:p w:rsidR="009E166E" w:rsidRDefault="009E166E" w:rsidP="0088341A">
      <w:pPr>
        <w:pStyle w:val="FootnoteText"/>
      </w:pPr>
      <w:r>
        <w:rPr>
          <w:rStyle w:val="FootnoteReference"/>
        </w:rPr>
        <w:footnoteRef/>
      </w:r>
      <w:r>
        <w:t xml:space="preserve"> </w:t>
      </w:r>
      <w:r>
        <w:tab/>
        <w:t xml:space="preserve">Marsh, </w:t>
      </w:r>
      <w:r w:rsidRPr="00D77317">
        <w:rPr>
          <w:rStyle w:val="AERtextitalic"/>
        </w:rPr>
        <w:t>Quantification of the cost of specific low probability, high impact events and associated availability of commercial insurance</w:t>
      </w:r>
      <w:r>
        <w:t xml:space="preserve">, 16 September 2011, p. 2; referenced in: Grid Australia, </w:t>
      </w:r>
      <w:r>
        <w:rPr>
          <w:rStyle w:val="AERtextitalic"/>
        </w:rPr>
        <w:t xml:space="preserve">Rule change proposal: Cost pass </w:t>
      </w:r>
      <w:r w:rsidRPr="00C53939">
        <w:rPr>
          <w:rStyle w:val="AERtextitalic"/>
        </w:rPr>
        <w:t>through</w:t>
      </w:r>
      <w:r>
        <w:t>, October 2011 p. 7, submitted to the Australian Energy Market Commission (AEMC).</w:t>
      </w:r>
    </w:p>
  </w:footnote>
  <w:footnote w:id="628">
    <w:p w:rsidR="009E166E" w:rsidRDefault="009E166E" w:rsidP="0088341A">
      <w:pPr>
        <w:pStyle w:val="FootnoteText"/>
      </w:pPr>
      <w:r>
        <w:rPr>
          <w:rStyle w:val="FootnoteReference"/>
        </w:rPr>
        <w:footnoteRef/>
      </w:r>
      <w:r>
        <w:t xml:space="preserve"> </w:t>
      </w:r>
      <w:r>
        <w:tab/>
        <w:t>Powerlink is the transmission network service provider in Queensland.</w:t>
      </w:r>
    </w:p>
  </w:footnote>
  <w:footnote w:id="629">
    <w:p w:rsidR="009E166E" w:rsidRDefault="009E166E" w:rsidP="0088341A">
      <w:pPr>
        <w:pStyle w:val="FootnoteText"/>
      </w:pPr>
      <w:r>
        <w:rPr>
          <w:rStyle w:val="FootnoteReference"/>
        </w:rPr>
        <w:footnoteRef/>
      </w:r>
      <w:r>
        <w:t xml:space="preserve"> </w:t>
      </w:r>
      <w:r>
        <w:tab/>
        <w:t xml:space="preserve">AER, </w:t>
      </w:r>
      <w:r w:rsidRPr="00EC3700">
        <w:rPr>
          <w:rStyle w:val="AERtextitalic"/>
        </w:rPr>
        <w:t>Draft decision, Powerlink transmission determination 2012–17</w:t>
      </w:r>
      <w:r>
        <w:t>, November 2011, p. 196.</w:t>
      </w:r>
    </w:p>
  </w:footnote>
  <w:footnote w:id="630">
    <w:p w:rsidR="009E166E" w:rsidRDefault="009E166E" w:rsidP="0088341A">
      <w:pPr>
        <w:pStyle w:val="FootnoteText"/>
      </w:pPr>
      <w:r>
        <w:rPr>
          <w:rStyle w:val="FootnoteReference"/>
        </w:rPr>
        <w:footnoteRef/>
      </w:r>
      <w:r>
        <w:t xml:space="preserve"> </w:t>
      </w:r>
      <w:r>
        <w:tab/>
        <w:t>NER clause 6A.7.3(a).</w:t>
      </w:r>
    </w:p>
  </w:footnote>
  <w:footnote w:id="631">
    <w:p w:rsidR="009E166E" w:rsidRDefault="009E166E" w:rsidP="0088341A">
      <w:pPr>
        <w:pStyle w:val="FootnoteText"/>
      </w:pPr>
      <w:r>
        <w:rPr>
          <w:rStyle w:val="FootnoteReference"/>
        </w:rPr>
        <w:footnoteRef/>
      </w:r>
      <w:r>
        <w:t xml:space="preserve"> </w:t>
      </w:r>
      <w:r>
        <w:tab/>
        <w:t xml:space="preserve">SP AusNet, </w:t>
      </w:r>
      <w:r w:rsidRPr="008E78F9">
        <w:rPr>
          <w:rStyle w:val="AERtextitalic"/>
        </w:rPr>
        <w:t>Response to information request AER RP 32, Nominated terrorism pass through event</w:t>
      </w:r>
      <w:r>
        <w:t>, 4 June 2013.</w:t>
      </w:r>
    </w:p>
  </w:footnote>
  <w:footnote w:id="632">
    <w:p w:rsidR="009E166E" w:rsidRDefault="009E166E" w:rsidP="0088341A">
      <w:pPr>
        <w:pStyle w:val="FootnoteText"/>
      </w:pPr>
      <w:r>
        <w:rPr>
          <w:rStyle w:val="FootnoteReference"/>
        </w:rPr>
        <w:footnoteRef/>
      </w:r>
      <w:r>
        <w:t xml:space="preserve"> </w:t>
      </w:r>
      <w:r>
        <w:tab/>
        <w:t xml:space="preserve">SP AusNet, </w:t>
      </w:r>
      <w:r>
        <w:rPr>
          <w:rStyle w:val="AERtextitalic"/>
        </w:rPr>
        <w:t>R</w:t>
      </w:r>
      <w:r w:rsidRPr="00A34020">
        <w:rPr>
          <w:rStyle w:val="AERtextitalic"/>
        </w:rPr>
        <w:t>evenue proposal</w:t>
      </w:r>
      <w:r>
        <w:t>, p. 184.</w:t>
      </w:r>
    </w:p>
  </w:footnote>
  <w:footnote w:id="633">
    <w:p w:rsidR="009E166E" w:rsidRDefault="009E166E" w:rsidP="0088341A">
      <w:pPr>
        <w:pStyle w:val="FootnoteText"/>
      </w:pPr>
      <w:r>
        <w:rPr>
          <w:rStyle w:val="FootnoteReference"/>
        </w:rPr>
        <w:footnoteRef/>
      </w:r>
      <w:r>
        <w:t xml:space="preserve"> </w:t>
      </w:r>
      <w:r>
        <w:tab/>
        <w:t>NER, chapter 10, definition of '</w:t>
      </w:r>
      <w:r>
        <w:rPr>
          <w:rStyle w:val="AERtextitalic"/>
        </w:rPr>
        <w:t>n</w:t>
      </w:r>
      <w:r w:rsidRPr="00B21932">
        <w:rPr>
          <w:rStyle w:val="AERtextitalic"/>
        </w:rPr>
        <w:t xml:space="preserve">ominated pass through </w:t>
      </w:r>
      <w:r>
        <w:rPr>
          <w:rStyle w:val="AERtextitalic"/>
        </w:rPr>
        <w:t xml:space="preserve">event </w:t>
      </w:r>
      <w:r w:rsidRPr="00B21932">
        <w:rPr>
          <w:rStyle w:val="AERtextitalic"/>
        </w:rPr>
        <w:t>considerations</w:t>
      </w:r>
      <w:r>
        <w:rPr>
          <w:rStyle w:val="AERtextitalic"/>
        </w:rPr>
        <w:t>'</w:t>
      </w:r>
      <w:r>
        <w:t xml:space="preserve">, subclause (e). </w:t>
      </w:r>
    </w:p>
  </w:footnote>
  <w:footnote w:id="634">
    <w:p w:rsidR="009E166E" w:rsidRDefault="009E166E" w:rsidP="0088341A">
      <w:pPr>
        <w:pStyle w:val="FootnoteText"/>
      </w:pPr>
      <w:r>
        <w:rPr>
          <w:rStyle w:val="FootnoteReference"/>
        </w:rPr>
        <w:footnoteRef/>
      </w:r>
      <w:r>
        <w:t xml:space="preserve"> </w:t>
      </w:r>
      <w:r>
        <w:tab/>
        <w:t xml:space="preserve">AER, </w:t>
      </w:r>
      <w:r w:rsidRPr="003B20DE">
        <w:rPr>
          <w:rStyle w:val="AERtextitalic"/>
        </w:rPr>
        <w:t>ElectraNet transmission determination 2013–18, final decision</w:t>
      </w:r>
      <w:r>
        <w:rPr>
          <w:rStyle w:val="AERtextitalic"/>
        </w:rPr>
        <w:t xml:space="preserve">, </w:t>
      </w:r>
      <w:r w:rsidRPr="003B20DE">
        <w:rPr>
          <w:rStyle w:val="AERtextitalic"/>
          <w:i w:val="0"/>
        </w:rPr>
        <w:t>30 April 2013</w:t>
      </w:r>
      <w:r>
        <w:rPr>
          <w:rStyle w:val="AERtextitalic"/>
        </w:rPr>
        <w:t xml:space="preserve">, </w:t>
      </w:r>
      <w:r w:rsidRPr="00853520">
        <w:t>p. 188.</w:t>
      </w:r>
    </w:p>
  </w:footnote>
  <w:footnote w:id="635">
    <w:p w:rsidR="009E166E" w:rsidRDefault="009E166E" w:rsidP="0088341A">
      <w:pPr>
        <w:pStyle w:val="FootnoteText"/>
      </w:pPr>
      <w:r>
        <w:rPr>
          <w:rStyle w:val="FootnoteReference"/>
        </w:rPr>
        <w:footnoteRef/>
      </w:r>
      <w:r>
        <w:t xml:space="preserve"> </w:t>
      </w:r>
      <w:r>
        <w:tab/>
        <w:t xml:space="preserve">SP AusNet, </w:t>
      </w:r>
      <w:r w:rsidRPr="008329A8">
        <w:rPr>
          <w:rStyle w:val="AERtextitalic"/>
        </w:rPr>
        <w:t>Revenue proposal</w:t>
      </w:r>
      <w:r>
        <w:t xml:space="preserve">, pp. 126–136. SP AusNet applied escalators to its step changes in its opex model. The escalated value of all step changes was $32.5 million. SP AusNet’s unescalated step change value was $31.2 million. </w:t>
      </w:r>
    </w:p>
  </w:footnote>
  <w:footnote w:id="636">
    <w:p w:rsidR="009E166E" w:rsidRDefault="009E166E" w:rsidP="0088341A">
      <w:pPr>
        <w:pStyle w:val="FootnoteText"/>
      </w:pPr>
      <w:r>
        <w:rPr>
          <w:rStyle w:val="FootnoteReference"/>
        </w:rPr>
        <w:footnoteRef/>
      </w:r>
      <w:r>
        <w:t xml:space="preserve"> </w:t>
      </w:r>
      <w:r>
        <w:tab/>
        <w:t xml:space="preserve">NER, clause 6A.6.6(c). </w:t>
      </w:r>
    </w:p>
  </w:footnote>
  <w:footnote w:id="637">
    <w:p w:rsidR="009E166E" w:rsidRDefault="009E166E" w:rsidP="0088341A">
      <w:pPr>
        <w:pStyle w:val="FootnoteText"/>
      </w:pPr>
      <w:r>
        <w:rPr>
          <w:rStyle w:val="FootnoteReference"/>
        </w:rPr>
        <w:footnoteRef/>
      </w:r>
      <w:r>
        <w:t xml:space="preserve"> </w:t>
      </w:r>
      <w:r>
        <w:tab/>
        <w:t xml:space="preserve">This value is unescalated. SP AusNet applied escalators to its step changes in its opex model. The escalated value of all step changes is $32.5 million. </w:t>
      </w:r>
    </w:p>
  </w:footnote>
  <w:footnote w:id="638">
    <w:p w:rsidR="009E166E" w:rsidRDefault="009E166E" w:rsidP="0088341A">
      <w:pPr>
        <w:pStyle w:val="FootnoteText"/>
      </w:pPr>
      <w:r>
        <w:rPr>
          <w:rStyle w:val="FootnoteReference"/>
        </w:rPr>
        <w:footnoteRef/>
      </w:r>
      <w:r>
        <w:t xml:space="preserve"> </w:t>
      </w:r>
      <w:r>
        <w:tab/>
        <w:t xml:space="preserve">NER, clause 6A.6.7(a). </w:t>
      </w:r>
    </w:p>
  </w:footnote>
  <w:footnote w:id="639">
    <w:p w:rsidR="009E166E" w:rsidRDefault="009E166E" w:rsidP="0088341A">
      <w:pPr>
        <w:pStyle w:val="FootnoteText"/>
      </w:pPr>
      <w:r>
        <w:rPr>
          <w:rStyle w:val="FootnoteReference"/>
        </w:rPr>
        <w:footnoteRef/>
      </w:r>
      <w:r>
        <w:t xml:space="preserve"> </w:t>
      </w:r>
      <w:r>
        <w:tab/>
        <w:t xml:space="preserve">EMCa, </w:t>
      </w:r>
      <w:r w:rsidRPr="00AC0F79">
        <w:rPr>
          <w:rStyle w:val="AERtextitalic"/>
        </w:rPr>
        <w:t>SP AusNet technical review</w:t>
      </w:r>
      <w:r>
        <w:t xml:space="preserve">, August 2013, p. 86, paragraph 304. </w:t>
      </w:r>
    </w:p>
  </w:footnote>
  <w:footnote w:id="640">
    <w:p w:rsidR="009E166E" w:rsidRDefault="009E166E" w:rsidP="0088341A">
      <w:pPr>
        <w:pStyle w:val="FootnoteText"/>
      </w:pPr>
      <w:r>
        <w:rPr>
          <w:rStyle w:val="FootnoteReference"/>
        </w:rPr>
        <w:footnoteRef/>
      </w:r>
      <w:r>
        <w:t xml:space="preserve"> </w:t>
      </w:r>
      <w:r>
        <w:tab/>
        <w:t xml:space="preserve">SP AusNet called the ‘corrosion risk mitigation’ step change (2014–17 proposal) ‘tower corrosion – tower painting’ asset works during 2008–14 and it included the ‘overhead lines condition assessment’ step change (2014–17 proposal) within ‘condition monitoring’ asset works during 2008–17. SP AusNet included the ‘communications infrastructure’ step change (2014–17 proposal) within ‘miscellaneous asset works’ during 2008–14. SP AusNet, </w:t>
      </w:r>
      <w:r w:rsidRPr="00062E3B">
        <w:rPr>
          <w:rStyle w:val="AERtextitalic"/>
        </w:rPr>
        <w:t>Response to EMCa021, attachment EMCa021A</w:t>
      </w:r>
      <w:r>
        <w:t>, 18 April 2013.</w:t>
      </w:r>
    </w:p>
  </w:footnote>
  <w:footnote w:id="641">
    <w:p w:rsidR="009E166E" w:rsidRDefault="009E166E" w:rsidP="0088341A">
      <w:pPr>
        <w:pStyle w:val="FootnoteText"/>
      </w:pPr>
      <w:r>
        <w:rPr>
          <w:rStyle w:val="FootnoteReference"/>
        </w:rPr>
        <w:footnoteRef/>
      </w:r>
      <w:r>
        <w:t xml:space="preserve"> </w:t>
      </w:r>
      <w:r>
        <w:tab/>
        <w:t xml:space="preserve">SP AusNet, </w:t>
      </w:r>
      <w:r w:rsidRPr="001F649B">
        <w:rPr>
          <w:rStyle w:val="AERtextitalic"/>
        </w:rPr>
        <w:t>Revenue proposal, Appendix 5E, Proposed opex step changes 2014–17</w:t>
      </w:r>
      <w:r>
        <w:t xml:space="preserve">, p. 14 and Attachment 1. </w:t>
      </w:r>
    </w:p>
  </w:footnote>
  <w:footnote w:id="642">
    <w:p w:rsidR="009E166E" w:rsidRDefault="009E166E" w:rsidP="0088341A">
      <w:pPr>
        <w:pStyle w:val="FootnoteText"/>
      </w:pPr>
      <w:r>
        <w:rPr>
          <w:rStyle w:val="FootnoteReference"/>
        </w:rPr>
        <w:footnoteRef/>
      </w:r>
      <w:r>
        <w:t xml:space="preserve"> </w:t>
      </w:r>
      <w:r>
        <w:tab/>
        <w:t xml:space="preserve">SP AusNet, </w:t>
      </w:r>
      <w:r w:rsidRPr="001F649B">
        <w:rPr>
          <w:rStyle w:val="AERtextitalic"/>
        </w:rPr>
        <w:t>Revenue proposal, Appendix 5E, Proposed opex step changes 2014–17</w:t>
      </w:r>
      <w:r>
        <w:t xml:space="preserve">, p. 15. </w:t>
      </w:r>
    </w:p>
  </w:footnote>
  <w:footnote w:id="643">
    <w:p w:rsidR="00A437BE" w:rsidRDefault="00A437BE" w:rsidP="00A437BE">
      <w:pPr>
        <w:pStyle w:val="FootnoteText"/>
      </w:pPr>
      <w:r>
        <w:rPr>
          <w:rStyle w:val="FootnoteReference"/>
        </w:rPr>
        <w:footnoteRef/>
      </w:r>
      <w:r>
        <w:t xml:space="preserve"> </w:t>
      </w:r>
      <w:r>
        <w:tab/>
        <w:t xml:space="preserve">EMCa, </w:t>
      </w:r>
      <w:r w:rsidRPr="008310F1">
        <w:rPr>
          <w:rStyle w:val="AERtextitalic"/>
        </w:rPr>
        <w:t>SP AusNet technical review</w:t>
      </w:r>
      <w:r>
        <w:t xml:space="preserve">, August 2013, p. 85, paragraph 294. </w:t>
      </w:r>
    </w:p>
  </w:footnote>
  <w:footnote w:id="644">
    <w:p w:rsidR="009E166E" w:rsidRDefault="009E166E" w:rsidP="0088341A">
      <w:pPr>
        <w:pStyle w:val="FootnoteText"/>
      </w:pPr>
      <w:r>
        <w:rPr>
          <w:rStyle w:val="FootnoteReference"/>
        </w:rPr>
        <w:footnoteRef/>
      </w:r>
      <w:r>
        <w:t xml:space="preserve"> </w:t>
      </w:r>
      <w:r>
        <w:tab/>
        <w:t xml:space="preserve">NER, clause 11.30.2. </w:t>
      </w:r>
    </w:p>
  </w:footnote>
  <w:footnote w:id="645">
    <w:p w:rsidR="009E166E" w:rsidRDefault="009E166E" w:rsidP="0088341A">
      <w:pPr>
        <w:pStyle w:val="FootnoteText"/>
      </w:pPr>
      <w:r>
        <w:rPr>
          <w:rStyle w:val="FootnoteReference"/>
        </w:rPr>
        <w:footnoteRef/>
      </w:r>
      <w:r>
        <w:t xml:space="preserve"> </w:t>
      </w:r>
      <w:r>
        <w:tab/>
        <w:t xml:space="preserve">AEMO, </w:t>
      </w:r>
      <w:r w:rsidRPr="001F649B">
        <w:rPr>
          <w:rStyle w:val="AERtextitalic"/>
        </w:rPr>
        <w:t>NEM – Market information on planned electricity network outages</w:t>
      </w:r>
      <w:r>
        <w:t xml:space="preserve">, Communication No. 1274, 12 December 2012. </w:t>
      </w:r>
    </w:p>
  </w:footnote>
  <w:footnote w:id="646">
    <w:p w:rsidR="009E166E" w:rsidRDefault="009E166E" w:rsidP="0088341A">
      <w:pPr>
        <w:pStyle w:val="FootnoteText"/>
      </w:pPr>
      <w:r>
        <w:rPr>
          <w:rStyle w:val="FootnoteReference"/>
        </w:rPr>
        <w:footnoteRef/>
      </w:r>
      <w:r>
        <w:t xml:space="preserve"> </w:t>
      </w:r>
      <w:r>
        <w:tab/>
        <w:t xml:space="preserve">SP AusNet, </w:t>
      </w:r>
      <w:r w:rsidRPr="001F649B">
        <w:rPr>
          <w:rStyle w:val="AERtextitalic"/>
        </w:rPr>
        <w:t>Revenue proposal</w:t>
      </w:r>
      <w:r>
        <w:t>, p. 129.</w:t>
      </w:r>
    </w:p>
  </w:footnote>
  <w:footnote w:id="647">
    <w:p w:rsidR="009E166E" w:rsidRDefault="009E166E" w:rsidP="0088341A">
      <w:pPr>
        <w:pStyle w:val="FootnoteText"/>
      </w:pPr>
      <w:r>
        <w:rPr>
          <w:rStyle w:val="FootnoteReference"/>
        </w:rPr>
        <w:footnoteRef/>
      </w:r>
      <w:r>
        <w:t xml:space="preserve"> </w:t>
      </w:r>
      <w:r>
        <w:tab/>
        <w:t xml:space="preserve">SP AusNet, </w:t>
      </w:r>
      <w:r w:rsidRPr="0019226F">
        <w:rPr>
          <w:rStyle w:val="AERtextitalic"/>
        </w:rPr>
        <w:t>Revenue proposal</w:t>
      </w:r>
      <w:r>
        <w:t xml:space="preserve">, </w:t>
      </w:r>
      <w:r w:rsidRPr="001F649B">
        <w:rPr>
          <w:rStyle w:val="AERtextitalic"/>
        </w:rPr>
        <w:t>Appendix 5E, Proposed opex step changes 2014–17</w:t>
      </w:r>
      <w:r>
        <w:t xml:space="preserve">, pp. 15–16. </w:t>
      </w:r>
    </w:p>
  </w:footnote>
  <w:footnote w:id="648">
    <w:p w:rsidR="009E166E" w:rsidRDefault="009E166E" w:rsidP="0088341A">
      <w:pPr>
        <w:pStyle w:val="FootnoteText"/>
      </w:pPr>
      <w:r>
        <w:rPr>
          <w:rStyle w:val="FootnoteReference"/>
        </w:rPr>
        <w:footnoteRef/>
      </w:r>
      <w:r>
        <w:t xml:space="preserve"> </w:t>
      </w:r>
      <w:r>
        <w:tab/>
        <w:t xml:space="preserve">SP AusNet, </w:t>
      </w:r>
      <w:r w:rsidRPr="00127490">
        <w:rPr>
          <w:rStyle w:val="AERtextitalic"/>
        </w:rPr>
        <w:t>Response to EMCa031</w:t>
      </w:r>
      <w:r>
        <w:t xml:space="preserve">, 22 May 2013. </w:t>
      </w:r>
    </w:p>
  </w:footnote>
  <w:footnote w:id="649">
    <w:p w:rsidR="009E166E" w:rsidRDefault="009E166E" w:rsidP="0088341A">
      <w:pPr>
        <w:pStyle w:val="FootnoteText"/>
      </w:pPr>
      <w:r>
        <w:rPr>
          <w:rStyle w:val="FootnoteReference"/>
        </w:rPr>
        <w:footnoteRef/>
      </w:r>
      <w:r>
        <w:t xml:space="preserve"> </w:t>
      </w:r>
      <w:r>
        <w:tab/>
        <w:t xml:space="preserve">SP AusNet stated that this activity was driven by obligations under the </w:t>
      </w:r>
      <w:r w:rsidRPr="003871AE">
        <w:rPr>
          <w:rStyle w:val="AERtextitalic"/>
        </w:rPr>
        <w:t>Private Security Act 2004</w:t>
      </w:r>
      <w:r>
        <w:t xml:space="preserve"> (Vic). SP AusNet, </w:t>
      </w:r>
      <w:r w:rsidRPr="003871AE">
        <w:rPr>
          <w:rStyle w:val="AERtextitalic"/>
        </w:rPr>
        <w:t>Response to AER56</w:t>
      </w:r>
      <w:r>
        <w:t xml:space="preserve">, 19 July 2013, p. 3.  </w:t>
      </w:r>
    </w:p>
  </w:footnote>
  <w:footnote w:id="650">
    <w:p w:rsidR="009E166E" w:rsidRDefault="009E166E" w:rsidP="0088341A">
      <w:pPr>
        <w:pStyle w:val="FootnoteText"/>
      </w:pPr>
      <w:r>
        <w:rPr>
          <w:rStyle w:val="FootnoteReference"/>
        </w:rPr>
        <w:footnoteRef/>
      </w:r>
      <w:r>
        <w:t xml:space="preserve"> </w:t>
      </w:r>
      <w:r>
        <w:tab/>
        <w:t xml:space="preserve">SP AusNet, </w:t>
      </w:r>
      <w:r w:rsidRPr="00127490">
        <w:rPr>
          <w:rStyle w:val="AERtextitalic"/>
        </w:rPr>
        <w:t>Revenue proposal, Appendix 5E, Proposed opex step changes 2014–17</w:t>
      </w:r>
      <w:r>
        <w:t xml:space="preserve">, p. 15. </w:t>
      </w:r>
    </w:p>
  </w:footnote>
  <w:footnote w:id="651">
    <w:p w:rsidR="009E166E" w:rsidRDefault="009E166E" w:rsidP="0088341A">
      <w:pPr>
        <w:pStyle w:val="FootnoteText"/>
      </w:pPr>
      <w:r>
        <w:rPr>
          <w:rStyle w:val="FootnoteReference"/>
        </w:rPr>
        <w:footnoteRef/>
      </w:r>
      <w:r>
        <w:t xml:space="preserve"> </w:t>
      </w:r>
      <w:r>
        <w:tab/>
        <w:t xml:space="preserve">SP AusNet, </w:t>
      </w:r>
      <w:r w:rsidRPr="00127490">
        <w:rPr>
          <w:rStyle w:val="AERtextitalic"/>
        </w:rPr>
        <w:t>Revenue proposal, Appendix 5E, Proposed opex step changes 2014–17</w:t>
      </w:r>
      <w:r>
        <w:t>, p. 15.</w:t>
      </w:r>
    </w:p>
  </w:footnote>
  <w:footnote w:id="652">
    <w:p w:rsidR="009E166E" w:rsidRDefault="009E166E" w:rsidP="0088341A">
      <w:pPr>
        <w:pStyle w:val="FootnoteText"/>
      </w:pPr>
      <w:r>
        <w:rPr>
          <w:rStyle w:val="FootnoteReference"/>
        </w:rPr>
        <w:footnoteRef/>
      </w:r>
      <w:r>
        <w:t xml:space="preserve"> </w:t>
      </w:r>
      <w:r>
        <w:tab/>
        <w:t xml:space="preserve">SP AusNet, </w:t>
      </w:r>
      <w:r w:rsidRPr="00882717">
        <w:rPr>
          <w:rStyle w:val="AERtextitalic"/>
        </w:rPr>
        <w:t>Response to EMCa031</w:t>
      </w:r>
      <w:r>
        <w:t>, 22 May 2013.</w:t>
      </w:r>
    </w:p>
  </w:footnote>
  <w:footnote w:id="653">
    <w:p w:rsidR="009E166E" w:rsidRDefault="009E166E" w:rsidP="0088341A">
      <w:pPr>
        <w:pStyle w:val="FootnoteText"/>
      </w:pPr>
      <w:r>
        <w:rPr>
          <w:rStyle w:val="FootnoteReference"/>
        </w:rPr>
        <w:footnoteRef/>
      </w:r>
      <w:r>
        <w:t xml:space="preserve"> </w:t>
      </w:r>
      <w:r>
        <w:tab/>
        <w:t xml:space="preserve">Victorian Department of Premier and Cabinet, </w:t>
      </w:r>
      <w:r w:rsidRPr="007C3A37">
        <w:rPr>
          <w:rStyle w:val="AERtextitalic"/>
        </w:rPr>
        <w:t>Victorian Emergency Management Reform – White Paper</w:t>
      </w:r>
      <w:r>
        <w:t xml:space="preserve">, December 2012, p. 11 and </w:t>
      </w:r>
      <w:r w:rsidRPr="00D04A42">
        <w:rPr>
          <w:rStyle w:val="AERtextitalic"/>
        </w:rPr>
        <w:t>Terrorism (Community Protection) Act 2003</w:t>
      </w:r>
      <w:r>
        <w:t xml:space="preserve"> (Vic). </w:t>
      </w:r>
    </w:p>
  </w:footnote>
  <w:footnote w:id="654">
    <w:p w:rsidR="009E166E" w:rsidRDefault="009E166E" w:rsidP="0088341A">
      <w:pPr>
        <w:pStyle w:val="FootnoteText"/>
      </w:pPr>
      <w:r>
        <w:rPr>
          <w:rStyle w:val="FootnoteReference"/>
        </w:rPr>
        <w:footnoteRef/>
      </w:r>
      <w:r>
        <w:t xml:space="preserve"> </w:t>
      </w:r>
      <w:r>
        <w:tab/>
        <w:t xml:space="preserve">EMCa, </w:t>
      </w:r>
      <w:r w:rsidRPr="00AC0F79">
        <w:rPr>
          <w:rStyle w:val="AERtextitalic"/>
        </w:rPr>
        <w:t>SP AusNet technical review</w:t>
      </w:r>
      <w:r>
        <w:t xml:space="preserve">, August 2013, p. 85, paragraph 295. </w:t>
      </w:r>
    </w:p>
  </w:footnote>
  <w:footnote w:id="655">
    <w:p w:rsidR="009E166E" w:rsidRDefault="009E166E" w:rsidP="0088341A">
      <w:pPr>
        <w:pStyle w:val="FootnoteText"/>
      </w:pPr>
      <w:r>
        <w:rPr>
          <w:rStyle w:val="FootnoteReference"/>
        </w:rPr>
        <w:footnoteRef/>
      </w:r>
      <w:r>
        <w:t xml:space="preserve"> </w:t>
      </w:r>
      <w:r>
        <w:tab/>
        <w:t xml:space="preserve">SP AusNet, </w:t>
      </w:r>
      <w:r w:rsidRPr="008F2423">
        <w:rPr>
          <w:rStyle w:val="AERtextitalic"/>
        </w:rPr>
        <w:t>Revenue proposal</w:t>
      </w:r>
      <w:r>
        <w:t xml:space="preserve">, </w:t>
      </w:r>
      <w:r w:rsidRPr="008F2423">
        <w:rPr>
          <w:rStyle w:val="AERtextitalic"/>
        </w:rPr>
        <w:t>Appendix 5E</w:t>
      </w:r>
      <w:r>
        <w:t xml:space="preserve">, p. 17. </w:t>
      </w:r>
    </w:p>
  </w:footnote>
  <w:footnote w:id="656">
    <w:p w:rsidR="009E166E" w:rsidRDefault="009E166E" w:rsidP="0088341A">
      <w:pPr>
        <w:pStyle w:val="FootnoteText"/>
      </w:pPr>
      <w:r>
        <w:rPr>
          <w:rStyle w:val="FootnoteReference"/>
        </w:rPr>
        <w:footnoteRef/>
      </w:r>
      <w:r>
        <w:t xml:space="preserve"> </w:t>
      </w:r>
      <w:r>
        <w:tab/>
        <w:t xml:space="preserve">SP AusNet, </w:t>
      </w:r>
      <w:r w:rsidRPr="008F2423">
        <w:rPr>
          <w:rStyle w:val="AERtextitalic"/>
        </w:rPr>
        <w:t>Revenue proposal</w:t>
      </w:r>
      <w:r>
        <w:t xml:space="preserve">, </w:t>
      </w:r>
      <w:r w:rsidRPr="008F2423">
        <w:rPr>
          <w:rStyle w:val="AERtextitalic"/>
        </w:rPr>
        <w:t>Appendix 2A, Asset Management Strategy</w:t>
      </w:r>
      <w:r>
        <w:t xml:space="preserve">, p. 39. </w:t>
      </w:r>
    </w:p>
  </w:footnote>
  <w:footnote w:id="657">
    <w:p w:rsidR="009E166E" w:rsidRDefault="009E166E" w:rsidP="0088341A">
      <w:pPr>
        <w:pStyle w:val="FootnoteText"/>
      </w:pPr>
      <w:r>
        <w:rPr>
          <w:rStyle w:val="FootnoteReference"/>
        </w:rPr>
        <w:footnoteRef/>
      </w:r>
      <w:r>
        <w:t xml:space="preserve"> </w:t>
      </w:r>
      <w:r>
        <w:tab/>
        <w:t xml:space="preserve">SP AusNet, </w:t>
      </w:r>
      <w:r w:rsidRPr="001F649B">
        <w:rPr>
          <w:rStyle w:val="AERtextitalic"/>
        </w:rPr>
        <w:t>Revenue proposal, Appendix 5E, Proposed opex step changes 2014–17</w:t>
      </w:r>
      <w:r>
        <w:t xml:space="preserve">, p. 17. </w:t>
      </w:r>
    </w:p>
  </w:footnote>
  <w:footnote w:id="658">
    <w:p w:rsidR="009E166E" w:rsidRDefault="009E166E" w:rsidP="0088341A">
      <w:pPr>
        <w:pStyle w:val="FootnoteText"/>
      </w:pPr>
      <w:r>
        <w:rPr>
          <w:rStyle w:val="FootnoteReference"/>
        </w:rPr>
        <w:footnoteRef/>
      </w:r>
      <w:r>
        <w:t xml:space="preserve"> </w:t>
      </w:r>
      <w:r>
        <w:tab/>
        <w:t xml:space="preserve">The Australian Government the Treasury, </w:t>
      </w:r>
      <w:r w:rsidRPr="003B55D5">
        <w:rPr>
          <w:i/>
        </w:rPr>
        <w:t>Budget paper No. 1: 2013–14</w:t>
      </w:r>
      <w:r>
        <w:t xml:space="preserve">, 14 May 2013, 2–48. </w:t>
      </w:r>
    </w:p>
  </w:footnote>
  <w:footnote w:id="659">
    <w:p w:rsidR="00A437BE" w:rsidRDefault="00A437BE" w:rsidP="00A437BE">
      <w:pPr>
        <w:pStyle w:val="FootnoteText"/>
      </w:pPr>
      <w:r>
        <w:rPr>
          <w:rStyle w:val="FootnoteReference"/>
        </w:rPr>
        <w:footnoteRef/>
      </w:r>
      <w:r>
        <w:t xml:space="preserve"> </w:t>
      </w:r>
      <w:r>
        <w:tab/>
        <w:t xml:space="preserve">EMCa, </w:t>
      </w:r>
      <w:r w:rsidRPr="00AC0F79">
        <w:rPr>
          <w:rStyle w:val="AERtextitalic"/>
        </w:rPr>
        <w:t>SP AusNet technical review</w:t>
      </w:r>
      <w:r>
        <w:t xml:space="preserve">, August 2013, p. 86, paragraph 298. </w:t>
      </w:r>
    </w:p>
  </w:footnote>
  <w:footnote w:id="660">
    <w:p w:rsidR="009E166E" w:rsidRDefault="009E166E" w:rsidP="0088341A">
      <w:pPr>
        <w:pStyle w:val="FootnoteText"/>
      </w:pPr>
      <w:r>
        <w:rPr>
          <w:rStyle w:val="FootnoteReference"/>
        </w:rPr>
        <w:footnoteRef/>
      </w:r>
      <w:r>
        <w:t xml:space="preserve"> </w:t>
      </w:r>
      <w:r>
        <w:tab/>
        <w:t xml:space="preserve">NER, clause 11.59.3, version 54. </w:t>
      </w:r>
    </w:p>
  </w:footnote>
  <w:footnote w:id="661">
    <w:p w:rsidR="009E166E" w:rsidRDefault="009E166E" w:rsidP="0088341A">
      <w:pPr>
        <w:pStyle w:val="FootnoteText"/>
      </w:pPr>
      <w:r>
        <w:rPr>
          <w:rStyle w:val="FootnoteReference"/>
        </w:rPr>
        <w:footnoteRef/>
      </w:r>
      <w:r>
        <w:t xml:space="preserve"> </w:t>
      </w:r>
      <w:r>
        <w:tab/>
        <w:t xml:space="preserve">SP AusNet, </w:t>
      </w:r>
      <w:r w:rsidRPr="009940BA">
        <w:rPr>
          <w:rStyle w:val="AERtextitalic"/>
        </w:rPr>
        <w:t>Revenue proposal</w:t>
      </w:r>
      <w:r>
        <w:t xml:space="preserve">, Appendix 5E, p. 18. </w:t>
      </w:r>
    </w:p>
  </w:footnote>
  <w:footnote w:id="662">
    <w:p w:rsidR="009E166E" w:rsidRDefault="009E166E" w:rsidP="0088341A">
      <w:pPr>
        <w:pStyle w:val="FootnoteText"/>
      </w:pPr>
      <w:r>
        <w:rPr>
          <w:rStyle w:val="FootnoteReference"/>
        </w:rPr>
        <w:footnoteRef/>
      </w:r>
      <w:r>
        <w:t xml:space="preserve"> </w:t>
      </w:r>
      <w:r>
        <w:tab/>
        <w:t xml:space="preserve">AER, </w:t>
      </w:r>
      <w:r w:rsidRPr="00AD3FB3">
        <w:rPr>
          <w:rStyle w:val="AERtextitalic"/>
        </w:rPr>
        <w:t>Draft decision: ElectraNet transmission determination 2013–14 to 2017–18</w:t>
      </w:r>
      <w:r>
        <w:t xml:space="preserve">, November 2012, p. 283. </w:t>
      </w:r>
    </w:p>
  </w:footnote>
  <w:footnote w:id="663">
    <w:p w:rsidR="009E166E" w:rsidRDefault="009E166E" w:rsidP="0088341A">
      <w:pPr>
        <w:pStyle w:val="FootnoteText"/>
      </w:pPr>
      <w:r>
        <w:rPr>
          <w:rStyle w:val="FootnoteReference"/>
        </w:rPr>
        <w:footnoteRef/>
      </w:r>
      <w:r>
        <w:t xml:space="preserve"> </w:t>
      </w:r>
      <w:r>
        <w:tab/>
        <w:t xml:space="preserve">SP AusNet, </w:t>
      </w:r>
      <w:r w:rsidRPr="009940BA">
        <w:rPr>
          <w:rStyle w:val="AERtextitalic"/>
        </w:rPr>
        <w:t>Revenue proposal</w:t>
      </w:r>
      <w:r>
        <w:t xml:space="preserve">, Appendix 5E, p. 21.  </w:t>
      </w:r>
    </w:p>
  </w:footnote>
  <w:footnote w:id="664">
    <w:p w:rsidR="009E166E" w:rsidRDefault="009E166E" w:rsidP="0088341A">
      <w:pPr>
        <w:pStyle w:val="FootnoteText"/>
      </w:pPr>
      <w:r>
        <w:rPr>
          <w:rStyle w:val="FootnoteReference"/>
        </w:rPr>
        <w:footnoteRef/>
      </w:r>
      <w:r>
        <w:t xml:space="preserve"> </w:t>
      </w:r>
      <w:r>
        <w:tab/>
        <w:t xml:space="preserve">SP AusNet, </w:t>
      </w:r>
      <w:r w:rsidRPr="008D43D5">
        <w:rPr>
          <w:rStyle w:val="AERtextitalic"/>
        </w:rPr>
        <w:t>Revenue proposal</w:t>
      </w:r>
      <w:r>
        <w:t xml:space="preserve">, Appendix 5E, p. 22.  </w:t>
      </w:r>
    </w:p>
  </w:footnote>
  <w:footnote w:id="665">
    <w:p w:rsidR="009E166E" w:rsidRDefault="009E166E" w:rsidP="0088341A">
      <w:pPr>
        <w:pStyle w:val="FootnoteText"/>
      </w:pPr>
      <w:r>
        <w:rPr>
          <w:rStyle w:val="FootnoteReference"/>
        </w:rPr>
        <w:footnoteRef/>
      </w:r>
      <w:r>
        <w:t xml:space="preserve"> </w:t>
      </w:r>
      <w:r>
        <w:tab/>
        <w:t xml:space="preserve">EMCa, </w:t>
      </w:r>
      <w:r w:rsidRPr="00AC0F79">
        <w:rPr>
          <w:rStyle w:val="AERtextitalic"/>
        </w:rPr>
        <w:t>SP AusNet technical review</w:t>
      </w:r>
      <w:r>
        <w:t xml:space="preserve">, August 2013, p. 87, paragraph 305.  </w:t>
      </w:r>
    </w:p>
  </w:footnote>
  <w:footnote w:id="666">
    <w:p w:rsidR="009E166E" w:rsidRDefault="009E166E" w:rsidP="0088341A">
      <w:pPr>
        <w:pStyle w:val="FootnoteText"/>
      </w:pPr>
      <w:r>
        <w:rPr>
          <w:rStyle w:val="FootnoteReference"/>
        </w:rPr>
        <w:footnoteRef/>
      </w:r>
      <w:r>
        <w:t xml:space="preserve"> </w:t>
      </w:r>
      <w:r>
        <w:tab/>
        <w:t xml:space="preserve">EMCa, </w:t>
      </w:r>
      <w:r w:rsidRPr="00AC0F79">
        <w:rPr>
          <w:rStyle w:val="AERtextitalic"/>
        </w:rPr>
        <w:t>SP AusNet technical review</w:t>
      </w:r>
      <w:r>
        <w:t xml:space="preserve">, August 2013, p. 87, paragraph 306.  </w:t>
      </w:r>
    </w:p>
  </w:footnote>
  <w:footnote w:id="667">
    <w:p w:rsidR="009E166E" w:rsidRDefault="009E166E" w:rsidP="0088341A">
      <w:pPr>
        <w:pStyle w:val="FootnoteText"/>
      </w:pPr>
      <w:r>
        <w:rPr>
          <w:rStyle w:val="FootnoteReference"/>
        </w:rPr>
        <w:footnoteRef/>
      </w:r>
      <w:r>
        <w:t xml:space="preserve"> </w:t>
      </w:r>
      <w:r>
        <w:tab/>
        <w:t xml:space="preserve">EMCa, </w:t>
      </w:r>
      <w:r w:rsidRPr="00AC0F79">
        <w:rPr>
          <w:rStyle w:val="AERtextitalic"/>
        </w:rPr>
        <w:t>SP AusNet technical review</w:t>
      </w:r>
      <w:r>
        <w:t xml:space="preserve">, August 2013, p. 87, paragraph 308–9. </w:t>
      </w:r>
    </w:p>
  </w:footnote>
  <w:footnote w:id="668">
    <w:p w:rsidR="009E166E" w:rsidRDefault="009E166E" w:rsidP="0088341A">
      <w:pPr>
        <w:pStyle w:val="FootnoteText"/>
      </w:pPr>
      <w:r>
        <w:rPr>
          <w:rStyle w:val="FootnoteReference"/>
        </w:rPr>
        <w:footnoteRef/>
      </w:r>
      <w:r>
        <w:t xml:space="preserve"> </w:t>
      </w:r>
      <w:r>
        <w:tab/>
        <w:t xml:space="preserve">SP AusNet, </w:t>
      </w:r>
      <w:r w:rsidRPr="00B62E31">
        <w:rPr>
          <w:rStyle w:val="AERtextitalic"/>
        </w:rPr>
        <w:t>Revenue proposal</w:t>
      </w:r>
      <w:r>
        <w:t>, p. 136.</w:t>
      </w:r>
    </w:p>
  </w:footnote>
  <w:footnote w:id="669">
    <w:p w:rsidR="009E166E" w:rsidRDefault="009E166E" w:rsidP="0088341A">
      <w:pPr>
        <w:pStyle w:val="FootnoteText"/>
      </w:pPr>
      <w:r>
        <w:rPr>
          <w:rStyle w:val="FootnoteReference"/>
        </w:rPr>
        <w:footnoteRef/>
      </w:r>
      <w:r>
        <w:t xml:space="preserve"> </w:t>
      </w:r>
      <w:r>
        <w:tab/>
        <w:t xml:space="preserve">SP AusNet asset works forecast comprised $24.6 million of asset works opex and $3.8 million of asset works support opex.  </w:t>
      </w:r>
    </w:p>
  </w:footnote>
  <w:footnote w:id="670">
    <w:p w:rsidR="009E166E" w:rsidRDefault="009E166E" w:rsidP="0088341A">
      <w:pPr>
        <w:pStyle w:val="FootnoteText"/>
      </w:pPr>
      <w:r>
        <w:rPr>
          <w:rStyle w:val="FootnoteReference"/>
        </w:rPr>
        <w:footnoteRef/>
      </w:r>
      <w:r>
        <w:t xml:space="preserve"> </w:t>
      </w:r>
      <w:r>
        <w:tab/>
        <w:t xml:space="preserve">SP AusNet, </w:t>
      </w:r>
      <w:r w:rsidRPr="00534BDC">
        <w:rPr>
          <w:rStyle w:val="AERtextitalic"/>
        </w:rPr>
        <w:t>Response to EMCa021, attachment EMCa021A</w:t>
      </w:r>
      <w:r>
        <w:t xml:space="preserve">, 18 April 2013. </w:t>
      </w:r>
    </w:p>
  </w:footnote>
  <w:footnote w:id="671">
    <w:p w:rsidR="009E166E" w:rsidRDefault="009E166E" w:rsidP="0088341A">
      <w:pPr>
        <w:pStyle w:val="FootnoteText"/>
      </w:pPr>
      <w:r>
        <w:rPr>
          <w:rStyle w:val="FootnoteReference"/>
        </w:rPr>
        <w:footnoteRef/>
      </w:r>
      <w:r>
        <w:t xml:space="preserve"> </w:t>
      </w:r>
      <w:r>
        <w:tab/>
        <w:t xml:space="preserve">In this section, the term ‘total asset works forecast’ is used to refer to the asset works forecast ($28.4 million), the overhead line condition assessment step change ($3.9 million), corrosion risk mitigation step change ($9.5 million) and the communications infrastructure step change ($2.5 million). This total asset works forecast is $44.4 million. </w:t>
      </w:r>
    </w:p>
  </w:footnote>
  <w:footnote w:id="672">
    <w:p w:rsidR="009E166E" w:rsidRDefault="009E166E" w:rsidP="0088341A">
      <w:pPr>
        <w:pStyle w:val="FootnoteText"/>
      </w:pPr>
      <w:r>
        <w:rPr>
          <w:rStyle w:val="FootnoteReference"/>
        </w:rPr>
        <w:footnoteRef/>
      </w:r>
      <w:r>
        <w:t xml:space="preserve"> </w:t>
      </w:r>
      <w:r>
        <w:tab/>
        <w:t xml:space="preserve">SP AusNet, </w:t>
      </w:r>
      <w:r w:rsidRPr="00C15B0D">
        <w:rPr>
          <w:rStyle w:val="AERtextitalic"/>
        </w:rPr>
        <w:t>Revenue proposal</w:t>
      </w:r>
      <w:r>
        <w:t>, p. 114.</w:t>
      </w:r>
    </w:p>
  </w:footnote>
  <w:footnote w:id="673">
    <w:p w:rsidR="009E166E" w:rsidRDefault="009E166E" w:rsidP="0088341A">
      <w:pPr>
        <w:pStyle w:val="FootnoteText"/>
      </w:pPr>
      <w:r>
        <w:rPr>
          <w:rStyle w:val="FootnoteReference"/>
        </w:rPr>
        <w:footnoteRef/>
      </w:r>
      <w:r>
        <w:t xml:space="preserve"> </w:t>
      </w:r>
      <w:r>
        <w:tab/>
        <w:t xml:space="preserve">EMCa, </w:t>
      </w:r>
      <w:r w:rsidRPr="00AC0F79">
        <w:rPr>
          <w:rStyle w:val="AERtextitalic"/>
        </w:rPr>
        <w:t>SP AusNet technical review</w:t>
      </w:r>
      <w:r>
        <w:t xml:space="preserve">, August 2013, p. 84, paragraph 292 and p. 86, paragraph 301–2; SP AusNet, </w:t>
      </w:r>
      <w:r w:rsidRPr="008F2423">
        <w:rPr>
          <w:rStyle w:val="AERtextitalic"/>
        </w:rPr>
        <w:t>Response to AER10, Lines and towers step changes</w:t>
      </w:r>
      <w:r>
        <w:t xml:space="preserve">, 23 May 2013. </w:t>
      </w:r>
    </w:p>
  </w:footnote>
  <w:footnote w:id="674">
    <w:p w:rsidR="009E166E" w:rsidRDefault="009E166E" w:rsidP="0088341A">
      <w:pPr>
        <w:pStyle w:val="FootnoteText"/>
      </w:pPr>
      <w:r>
        <w:rPr>
          <w:rStyle w:val="FootnoteReference"/>
        </w:rPr>
        <w:footnoteRef/>
      </w:r>
      <w:r>
        <w:t xml:space="preserve"> </w:t>
      </w:r>
      <w:r>
        <w:tab/>
      </w:r>
      <w:r w:rsidRPr="006A64F3">
        <w:t>SP AusNet,</w:t>
      </w:r>
      <w:r>
        <w:t xml:space="preserve"> </w:t>
      </w:r>
      <w:r w:rsidRPr="00A718B3">
        <w:rPr>
          <w:rStyle w:val="AERtextitalic"/>
        </w:rPr>
        <w:t>Revenue proposal</w:t>
      </w:r>
      <w:r>
        <w:t>, p. 59 and SP AusNet</w:t>
      </w:r>
      <w:r w:rsidRPr="006A64F3">
        <w:t xml:space="preserve">, </w:t>
      </w:r>
      <w:r w:rsidRPr="00A718B3">
        <w:rPr>
          <w:rStyle w:val="AERtextitalic"/>
        </w:rPr>
        <w:t>Response to information request EMCa 026</w:t>
      </w:r>
      <w:r w:rsidRPr="006A64F3">
        <w:t>, p. 2</w:t>
      </w:r>
      <w:r>
        <w:t xml:space="preserve">. </w:t>
      </w:r>
    </w:p>
  </w:footnote>
  <w:footnote w:id="675">
    <w:p w:rsidR="009E166E" w:rsidRPr="000040C1" w:rsidRDefault="009E166E" w:rsidP="0088341A">
      <w:pPr>
        <w:pStyle w:val="FootnoteText"/>
      </w:pPr>
      <w:r>
        <w:rPr>
          <w:rStyle w:val="FootnoteReference"/>
        </w:rPr>
        <w:footnoteRef/>
      </w:r>
      <w:r>
        <w:t xml:space="preserve"> </w:t>
      </w:r>
      <w:r>
        <w:tab/>
        <w:t xml:space="preserve">SP AusNet, </w:t>
      </w:r>
      <w:r w:rsidRPr="000040C1">
        <w:rPr>
          <w:i/>
        </w:rPr>
        <w:t>Response to information request EMCa 026</w:t>
      </w:r>
      <w:r>
        <w:t xml:space="preserve">, 17 April 2013, p. 2; SP AusNet, </w:t>
      </w:r>
      <w:r w:rsidRPr="00755F35">
        <w:rPr>
          <w:i/>
        </w:rPr>
        <w:t>Response to information request AER</w:t>
      </w:r>
      <w:r>
        <w:rPr>
          <w:i/>
        </w:rPr>
        <w:t xml:space="preserve"> RP</w:t>
      </w:r>
      <w:r w:rsidRPr="00755F35">
        <w:rPr>
          <w:i/>
        </w:rPr>
        <w:t xml:space="preserve"> 20</w:t>
      </w:r>
      <w:r>
        <w:t xml:space="preserve">, p. 1–3. </w:t>
      </w:r>
    </w:p>
  </w:footnote>
  <w:footnote w:id="676">
    <w:p w:rsidR="009E166E" w:rsidRPr="009C5F35" w:rsidRDefault="009E166E" w:rsidP="0088341A">
      <w:pPr>
        <w:pStyle w:val="FootnoteText"/>
        <w:ind w:left="709" w:hanging="709"/>
      </w:pPr>
      <w:r>
        <w:rPr>
          <w:rStyle w:val="FootnoteReference"/>
        </w:rPr>
        <w:footnoteRef/>
      </w:r>
      <w:r>
        <w:t xml:space="preserve"> </w:t>
      </w:r>
      <w:r>
        <w:tab/>
        <w:t xml:space="preserve">SP AusNet, </w:t>
      </w:r>
      <w:r w:rsidRPr="0073742D">
        <w:rPr>
          <w:i/>
        </w:rPr>
        <w:t>Revenue proposal</w:t>
      </w:r>
      <w:r>
        <w:t xml:space="preserve">, p. 59; SP AusNet, </w:t>
      </w:r>
      <w:r w:rsidRPr="009C5F35">
        <w:rPr>
          <w:i/>
        </w:rPr>
        <w:t>Response to information request EMCa 026</w:t>
      </w:r>
      <w:r>
        <w:t xml:space="preserve">, p. 2. </w:t>
      </w:r>
    </w:p>
  </w:footnote>
  <w:footnote w:id="677">
    <w:p w:rsidR="009E166E" w:rsidRPr="000040C1" w:rsidRDefault="009E166E" w:rsidP="0088341A">
      <w:pPr>
        <w:pStyle w:val="FootnoteText"/>
      </w:pPr>
      <w:r>
        <w:rPr>
          <w:rStyle w:val="FootnoteReference"/>
        </w:rPr>
        <w:footnoteRef/>
      </w:r>
      <w:r>
        <w:t xml:space="preserve"> </w:t>
      </w:r>
      <w:r>
        <w:tab/>
        <w:t xml:space="preserve">SP AusNet, </w:t>
      </w:r>
      <w:r w:rsidRPr="000040C1">
        <w:rPr>
          <w:i/>
        </w:rPr>
        <w:t>Revenue proposal</w:t>
      </w:r>
      <w:r>
        <w:t>, p. 59.</w:t>
      </w:r>
    </w:p>
  </w:footnote>
  <w:footnote w:id="678">
    <w:p w:rsidR="009E166E" w:rsidRPr="003E77B0" w:rsidRDefault="009E166E" w:rsidP="0088341A">
      <w:pPr>
        <w:pStyle w:val="FootnoteText"/>
      </w:pPr>
      <w:r>
        <w:rPr>
          <w:rStyle w:val="FootnoteReference"/>
        </w:rPr>
        <w:footnoteRef/>
      </w:r>
      <w:r>
        <w:t xml:space="preserve"> </w:t>
      </w:r>
      <w:r>
        <w:tab/>
        <w:t xml:space="preserve">SP AusNet, </w:t>
      </w:r>
      <w:r w:rsidRPr="003E77B0">
        <w:rPr>
          <w:i/>
        </w:rPr>
        <w:t>Revenue proposal</w:t>
      </w:r>
      <w:r>
        <w:t>, p. 59.</w:t>
      </w:r>
    </w:p>
  </w:footnote>
  <w:footnote w:id="679">
    <w:p w:rsidR="009E166E" w:rsidRDefault="009E166E" w:rsidP="0088341A">
      <w:pPr>
        <w:pStyle w:val="FootnoteText"/>
      </w:pPr>
      <w:r>
        <w:rPr>
          <w:rStyle w:val="FootnoteReference"/>
        </w:rPr>
        <w:footnoteRef/>
      </w:r>
      <w:r>
        <w:t xml:space="preserve"> </w:t>
      </w:r>
      <w:r>
        <w:tab/>
        <w:t xml:space="preserve">NER, clause 6A.6.6. </w:t>
      </w:r>
    </w:p>
  </w:footnote>
  <w:footnote w:id="680">
    <w:p w:rsidR="009E166E" w:rsidRDefault="009E166E" w:rsidP="0088341A">
      <w:pPr>
        <w:pStyle w:val="FootnoteText"/>
      </w:pPr>
      <w:r>
        <w:rPr>
          <w:rStyle w:val="FootnoteReference"/>
        </w:rPr>
        <w:footnoteRef/>
      </w:r>
      <w:r>
        <w:t xml:space="preserve"> </w:t>
      </w:r>
      <w:r>
        <w:tab/>
        <w:t xml:space="preserve">NER, clause 6A.6.6(c). </w:t>
      </w:r>
    </w:p>
  </w:footnote>
  <w:footnote w:id="681">
    <w:p w:rsidR="009E166E" w:rsidRDefault="009E166E" w:rsidP="0088341A">
      <w:pPr>
        <w:pStyle w:val="FootnoteText"/>
      </w:pPr>
      <w:r>
        <w:rPr>
          <w:rStyle w:val="FootnoteReference"/>
        </w:rPr>
        <w:footnoteRef/>
      </w:r>
      <w:r>
        <w:t xml:space="preserve"> </w:t>
      </w:r>
      <w:r>
        <w:tab/>
        <w:t xml:space="preserve">NER, clause 6A.6.6(c). </w:t>
      </w:r>
    </w:p>
  </w:footnote>
  <w:footnote w:id="682">
    <w:p w:rsidR="009E166E" w:rsidRDefault="009E166E" w:rsidP="0088341A">
      <w:pPr>
        <w:pStyle w:val="FootnoteText"/>
      </w:pPr>
      <w:r>
        <w:rPr>
          <w:rStyle w:val="FootnoteReference"/>
        </w:rPr>
        <w:footnoteRef/>
      </w:r>
      <w:r>
        <w:t xml:space="preserve"> </w:t>
      </w:r>
      <w:r>
        <w:tab/>
        <w:t xml:space="preserve">NER, clause 6A.6.6(e). </w:t>
      </w:r>
    </w:p>
  </w:footnote>
  <w:footnote w:id="683">
    <w:p w:rsidR="009E166E" w:rsidRDefault="009E166E" w:rsidP="0088341A">
      <w:pPr>
        <w:pStyle w:val="FootnoteText"/>
      </w:pPr>
      <w:r>
        <w:rPr>
          <w:rStyle w:val="FootnoteReference"/>
        </w:rPr>
        <w:footnoteRef/>
      </w:r>
      <w:r>
        <w:t xml:space="preserve"> </w:t>
      </w:r>
      <w:r>
        <w:tab/>
        <w:t xml:space="preserve">NER, clause 6A.6.6(e)(5). </w:t>
      </w:r>
    </w:p>
  </w:footnote>
  <w:footnote w:id="684">
    <w:p w:rsidR="009E166E" w:rsidRDefault="009E166E">
      <w:pPr>
        <w:pStyle w:val="FootnoteText"/>
      </w:pPr>
      <w:r>
        <w:rPr>
          <w:rStyle w:val="FootnoteReference"/>
        </w:rPr>
        <w:footnoteRef/>
      </w:r>
      <w:r>
        <w:t xml:space="preserve"> </w:t>
      </w:r>
      <w:r>
        <w:tab/>
        <w:t xml:space="preserve">NEL, s16(1)(a). </w:t>
      </w:r>
    </w:p>
  </w:footnote>
  <w:footnote w:id="685">
    <w:p w:rsidR="009E166E" w:rsidRDefault="009E166E">
      <w:pPr>
        <w:pStyle w:val="FootnoteText"/>
      </w:pPr>
      <w:r>
        <w:rPr>
          <w:rStyle w:val="FootnoteReference"/>
        </w:rPr>
        <w:footnoteRef/>
      </w:r>
      <w:r>
        <w:t xml:space="preserve"> </w:t>
      </w:r>
      <w:r>
        <w:tab/>
        <w:t xml:space="preserve">NEL, s16(2)(a)(i). </w:t>
      </w:r>
    </w:p>
  </w:footnote>
  <w:footnote w:id="686">
    <w:p w:rsidR="009E166E" w:rsidRDefault="009E166E" w:rsidP="0088341A">
      <w:pPr>
        <w:pStyle w:val="FootnoteText"/>
      </w:pPr>
      <w:r>
        <w:rPr>
          <w:rStyle w:val="FootnoteReference"/>
        </w:rPr>
        <w:footnoteRef/>
      </w:r>
      <w:r>
        <w:t xml:space="preserve"> </w:t>
      </w:r>
      <w:r>
        <w:tab/>
        <w:t xml:space="preserve">NEL, ss7 and 7A. </w:t>
      </w:r>
    </w:p>
  </w:footnote>
  <w:footnote w:id="687">
    <w:p w:rsidR="009E166E" w:rsidRDefault="009E166E" w:rsidP="00B446A0">
      <w:pPr>
        <w:pStyle w:val="FootnoteText"/>
      </w:pPr>
      <w:r>
        <w:rPr>
          <w:rStyle w:val="FootnoteReference"/>
        </w:rPr>
        <w:footnoteRef/>
      </w:r>
      <w:r>
        <w:t xml:space="preserve"> </w:t>
      </w:r>
      <w:r>
        <w:tab/>
        <w:t xml:space="preserve">NER, clause 6A.6.5(a) and see attachment 10 addressing the EBSS. </w:t>
      </w:r>
    </w:p>
  </w:footnote>
  <w:footnote w:id="688">
    <w:p w:rsidR="009E166E" w:rsidRDefault="009E166E" w:rsidP="0088341A">
      <w:pPr>
        <w:pStyle w:val="FootnoteText"/>
      </w:pPr>
      <w:r>
        <w:rPr>
          <w:rStyle w:val="FootnoteReference"/>
        </w:rPr>
        <w:footnoteRef/>
      </w:r>
      <w:r>
        <w:t xml:space="preserve"> </w:t>
      </w:r>
      <w:r>
        <w:tab/>
        <w:t xml:space="preserve">NER, clause 6A.6.6(f). </w:t>
      </w:r>
    </w:p>
  </w:footnote>
  <w:footnote w:id="689">
    <w:p w:rsidR="009E166E" w:rsidRDefault="009E166E" w:rsidP="007A4AC2">
      <w:pPr>
        <w:pStyle w:val="FootnoteText"/>
      </w:pPr>
      <w:r>
        <w:rPr>
          <w:rStyle w:val="FootnoteReference"/>
        </w:rPr>
        <w:footnoteRef/>
      </w:r>
      <w:r>
        <w:t xml:space="preserve"> </w:t>
      </w:r>
      <w:r>
        <w:tab/>
        <w:t xml:space="preserve">SP AusNet, </w:t>
      </w:r>
      <w:r w:rsidRPr="00684921">
        <w:rPr>
          <w:rStyle w:val="AERtextitalic"/>
        </w:rPr>
        <w:t>Revenue proposal: 1 January 2003 to 31 March 2008</w:t>
      </w:r>
      <w:r>
        <w:t xml:space="preserve">, p. 22 and SP AusNet, </w:t>
      </w:r>
      <w:r w:rsidRPr="00684921">
        <w:rPr>
          <w:rStyle w:val="AERtextitalic"/>
        </w:rPr>
        <w:t>Revenue proposal: 2008–09 to 2013–14</w:t>
      </w:r>
      <w:r>
        <w:t xml:space="preserve">, p. 84. </w:t>
      </w:r>
    </w:p>
  </w:footnote>
  <w:footnote w:id="690">
    <w:p w:rsidR="009E166E" w:rsidRDefault="009E166E" w:rsidP="007A4AC2">
      <w:pPr>
        <w:pStyle w:val="FootnoteText"/>
      </w:pPr>
      <w:r>
        <w:rPr>
          <w:rStyle w:val="FootnoteReference"/>
        </w:rPr>
        <w:footnoteRef/>
      </w:r>
      <w:r>
        <w:t xml:space="preserve"> </w:t>
      </w:r>
      <w:r>
        <w:tab/>
        <w:t xml:space="preserve">EMCa, </w:t>
      </w:r>
      <w:r w:rsidRPr="00AC0F79">
        <w:rPr>
          <w:rStyle w:val="AERtextitalic"/>
        </w:rPr>
        <w:t>SP AusNet technical review</w:t>
      </w:r>
      <w:r>
        <w:t xml:space="preserve">, August 2013, p. 93, paragraph 323. </w:t>
      </w:r>
    </w:p>
  </w:footnote>
  <w:footnote w:id="691">
    <w:p w:rsidR="009E166E" w:rsidRDefault="009E166E" w:rsidP="003E3D15">
      <w:pPr>
        <w:pStyle w:val="FootnoteText"/>
      </w:pPr>
      <w:r>
        <w:rPr>
          <w:rStyle w:val="FootnoteReference"/>
        </w:rPr>
        <w:footnoteRef/>
      </w:r>
      <w:r>
        <w:t xml:space="preserve"> </w:t>
      </w:r>
      <w:r>
        <w:tab/>
        <w:t xml:space="preserve">EMCa, </w:t>
      </w:r>
      <w:r w:rsidRPr="00AC0F79">
        <w:rPr>
          <w:rStyle w:val="AERtextitalic"/>
        </w:rPr>
        <w:t>SP AusNet technical review</w:t>
      </w:r>
      <w:r>
        <w:t xml:space="preserve">, August 2013, p. 93–4 paragraphs 325–7. </w:t>
      </w:r>
    </w:p>
  </w:footnote>
  <w:footnote w:id="692">
    <w:p w:rsidR="009E166E" w:rsidRDefault="009E166E" w:rsidP="003E3D15">
      <w:pPr>
        <w:pStyle w:val="FootnoteText"/>
      </w:pPr>
      <w:r>
        <w:rPr>
          <w:rStyle w:val="FootnoteReference"/>
        </w:rPr>
        <w:footnoteRef/>
      </w:r>
      <w:r>
        <w:t xml:space="preserve"> </w:t>
      </w:r>
      <w:r>
        <w:tab/>
        <w:t xml:space="preserve">EMCa, </w:t>
      </w:r>
      <w:r w:rsidRPr="00AC0F79">
        <w:rPr>
          <w:rStyle w:val="AERtextitalic"/>
        </w:rPr>
        <w:t>SP AusNet technical review</w:t>
      </w:r>
      <w:r>
        <w:t>, August 2013, p. 9</w:t>
      </w:r>
      <w:r w:rsidR="00A437BE">
        <w:t>3–</w:t>
      </w:r>
      <w:r>
        <w:t>4, paragraph</w:t>
      </w:r>
      <w:r w:rsidR="00A437BE">
        <w:t>s 325 and</w:t>
      </w:r>
      <w:r>
        <w:t xml:space="preserve"> 327. </w:t>
      </w:r>
    </w:p>
  </w:footnote>
  <w:footnote w:id="693">
    <w:p w:rsidR="009E166E" w:rsidRDefault="009E166E" w:rsidP="003E3D15">
      <w:pPr>
        <w:pStyle w:val="FootnoteText"/>
      </w:pPr>
      <w:r>
        <w:rPr>
          <w:rStyle w:val="FootnoteReference"/>
        </w:rPr>
        <w:footnoteRef/>
      </w:r>
      <w:r>
        <w:t xml:space="preserve"> </w:t>
      </w:r>
      <w:r>
        <w:tab/>
        <w:t xml:space="preserve">EMCa, </w:t>
      </w:r>
      <w:r w:rsidRPr="00AC0F79">
        <w:rPr>
          <w:rStyle w:val="AERtextitalic"/>
        </w:rPr>
        <w:t>SP AusNet technical review</w:t>
      </w:r>
      <w:r>
        <w:t>, August 2013, p. 93, paragraph 323.</w:t>
      </w:r>
    </w:p>
  </w:footnote>
  <w:footnote w:id="694">
    <w:p w:rsidR="009E166E" w:rsidRDefault="009E166E" w:rsidP="003E3D15">
      <w:pPr>
        <w:pStyle w:val="FootnoteText"/>
      </w:pPr>
      <w:r>
        <w:rPr>
          <w:rStyle w:val="FootnoteReference"/>
        </w:rPr>
        <w:footnoteRef/>
      </w:r>
      <w:r>
        <w:t xml:space="preserve"> </w:t>
      </w:r>
      <w:r>
        <w:tab/>
        <w:t xml:space="preserve">EMCa, </w:t>
      </w:r>
      <w:r w:rsidRPr="00AC0F79">
        <w:rPr>
          <w:rStyle w:val="AERtextitalic"/>
        </w:rPr>
        <w:t>SP AusNet technical review</w:t>
      </w:r>
      <w:r>
        <w:t>, August 2013, p. 93, paragraph 323.</w:t>
      </w:r>
    </w:p>
  </w:footnote>
  <w:footnote w:id="695">
    <w:p w:rsidR="009E166E" w:rsidRDefault="009E166E" w:rsidP="003E3D15">
      <w:pPr>
        <w:pStyle w:val="FootnoteText"/>
      </w:pPr>
      <w:r>
        <w:rPr>
          <w:rStyle w:val="FootnoteReference"/>
        </w:rPr>
        <w:footnoteRef/>
      </w:r>
      <w:r>
        <w:t xml:space="preserve"> </w:t>
      </w:r>
      <w:r>
        <w:tab/>
        <w:t xml:space="preserve">EMCa, </w:t>
      </w:r>
      <w:r w:rsidRPr="00AC0F79">
        <w:rPr>
          <w:rStyle w:val="AERtextitalic"/>
        </w:rPr>
        <w:t>SP AusNet technical review</w:t>
      </w:r>
      <w:r>
        <w:t>, August 2013, p. 93, paragraph 323.</w:t>
      </w:r>
    </w:p>
  </w:footnote>
  <w:footnote w:id="696">
    <w:p w:rsidR="009E166E" w:rsidRDefault="009E166E" w:rsidP="003E3D15">
      <w:pPr>
        <w:pStyle w:val="FootnoteText"/>
      </w:pPr>
      <w:r>
        <w:rPr>
          <w:rStyle w:val="FootnoteReference"/>
        </w:rPr>
        <w:footnoteRef/>
      </w:r>
      <w:r>
        <w:t xml:space="preserve"> </w:t>
      </w:r>
      <w:r>
        <w:tab/>
        <w:t xml:space="preserve">EMCa, </w:t>
      </w:r>
      <w:r w:rsidRPr="00CD728B">
        <w:rPr>
          <w:rStyle w:val="AERtextitalic"/>
        </w:rPr>
        <w:t>SP AusNet technical review</w:t>
      </w:r>
      <w:r>
        <w:t xml:space="preserve">, August 2013, p. 94, paragraph 328. </w:t>
      </w:r>
    </w:p>
  </w:footnote>
  <w:footnote w:id="697">
    <w:p w:rsidR="009E166E" w:rsidRDefault="009E166E" w:rsidP="003E3D15">
      <w:pPr>
        <w:pStyle w:val="FootnoteText"/>
      </w:pPr>
      <w:r>
        <w:rPr>
          <w:rStyle w:val="FootnoteReference"/>
        </w:rPr>
        <w:footnoteRef/>
      </w:r>
      <w:r>
        <w:t xml:space="preserve"> </w:t>
      </w:r>
      <w:r>
        <w:tab/>
        <w:t xml:space="preserve">EMCa, </w:t>
      </w:r>
      <w:r>
        <w:rPr>
          <w:rStyle w:val="AERtextitalic"/>
        </w:rPr>
        <w:t>SP AusNet T</w:t>
      </w:r>
      <w:r w:rsidRPr="00DB1B99">
        <w:rPr>
          <w:rStyle w:val="AERtextitalic"/>
        </w:rPr>
        <w:t>echnical review</w:t>
      </w:r>
      <w:r>
        <w:t xml:space="preserve">, August 2013, </w:t>
      </w:r>
      <w:r w:rsidR="00A437BE">
        <w:t xml:space="preserve">p. 48, </w:t>
      </w:r>
      <w:r>
        <w:t>paragraphs 13</w:t>
      </w:r>
      <w:r w:rsidR="00A437BE">
        <w:t>0</w:t>
      </w:r>
      <w:r>
        <w:t xml:space="preserve"> and 132. </w:t>
      </w:r>
    </w:p>
  </w:footnote>
  <w:footnote w:id="698">
    <w:p w:rsidR="009E166E" w:rsidRDefault="009E166E" w:rsidP="003E3D15">
      <w:pPr>
        <w:pStyle w:val="FootnoteText"/>
      </w:pPr>
      <w:r>
        <w:rPr>
          <w:rStyle w:val="FootnoteReference"/>
        </w:rPr>
        <w:footnoteRef/>
      </w:r>
      <w:r>
        <w:t xml:space="preserve"> </w:t>
      </w:r>
      <w:r>
        <w:tab/>
        <w:t xml:space="preserve">EMCa, </w:t>
      </w:r>
      <w:r w:rsidRPr="00AC0F79">
        <w:rPr>
          <w:rStyle w:val="AERtextitalic"/>
        </w:rPr>
        <w:t>SP AusNet technical review</w:t>
      </w:r>
      <w:r>
        <w:t xml:space="preserve">, August 2013, p. 93 paragraph 322. </w:t>
      </w:r>
    </w:p>
  </w:footnote>
  <w:footnote w:id="699">
    <w:p w:rsidR="009E166E" w:rsidRDefault="009E166E" w:rsidP="003E3D15">
      <w:pPr>
        <w:pStyle w:val="FootnoteText"/>
      </w:pPr>
      <w:r>
        <w:rPr>
          <w:rStyle w:val="FootnoteReference"/>
        </w:rPr>
        <w:footnoteRef/>
      </w:r>
      <w:r>
        <w:t xml:space="preserve"> </w:t>
      </w:r>
      <w:r>
        <w:tab/>
      </w:r>
      <w:r w:rsidR="00A437BE">
        <w:t xml:space="preserve">Deferred work ($11.2 milion) plus corrosion risk mitigation step change ($9.8 million, escalated) = $21.1 million. </w:t>
      </w:r>
      <w:r>
        <w:t xml:space="preserve">EMCa, </w:t>
      </w:r>
      <w:r w:rsidRPr="00AC0F79">
        <w:rPr>
          <w:rStyle w:val="AERtextitalic"/>
        </w:rPr>
        <w:t>SP AusNet technical review</w:t>
      </w:r>
      <w:r>
        <w:t xml:space="preserve">, August 2013, p. 93 paragraph 322–3. </w:t>
      </w:r>
    </w:p>
  </w:footnote>
  <w:footnote w:id="700">
    <w:p w:rsidR="009E166E" w:rsidRDefault="009E166E" w:rsidP="003E3D15">
      <w:pPr>
        <w:pStyle w:val="FootnoteText"/>
      </w:pPr>
      <w:r>
        <w:rPr>
          <w:rStyle w:val="FootnoteReference"/>
        </w:rPr>
        <w:footnoteRef/>
      </w:r>
      <w:r>
        <w:t xml:space="preserve"> </w:t>
      </w:r>
      <w:r>
        <w:tab/>
        <w:t xml:space="preserve">This figure includes a total of $3.8 million for asset works support costs, which EMCa accepted. EMCa, </w:t>
      </w:r>
      <w:r w:rsidRPr="00AC0F79">
        <w:rPr>
          <w:rStyle w:val="AERtextitalic"/>
        </w:rPr>
        <w:t>SP AusNet technical review</w:t>
      </w:r>
      <w:r>
        <w:t xml:space="preserve">, August 2013, p. 20. </w:t>
      </w:r>
    </w:p>
  </w:footnote>
  <w:footnote w:id="701">
    <w:p w:rsidR="009E166E" w:rsidRDefault="009E166E" w:rsidP="003E3D15">
      <w:pPr>
        <w:pStyle w:val="FootnoteText"/>
      </w:pPr>
      <w:r>
        <w:rPr>
          <w:rStyle w:val="FootnoteReference"/>
        </w:rPr>
        <w:footnoteRef/>
      </w:r>
      <w:r>
        <w:t xml:space="preserve"> </w:t>
      </w:r>
      <w:r>
        <w:tab/>
        <w:t xml:space="preserve">EMCa, </w:t>
      </w:r>
      <w:r w:rsidRPr="00AC0F79">
        <w:rPr>
          <w:rStyle w:val="AERtextitalic"/>
        </w:rPr>
        <w:t>SP AusNet technical review</w:t>
      </w:r>
      <w:r>
        <w:t>, August 2013, p. 17 paragraph 41; $24.6 million not including support costs.</w:t>
      </w:r>
    </w:p>
  </w:footnote>
  <w:footnote w:id="702">
    <w:p w:rsidR="009E166E" w:rsidRDefault="009E166E" w:rsidP="003E3D15">
      <w:pPr>
        <w:pStyle w:val="FootnoteText"/>
      </w:pPr>
      <w:r>
        <w:rPr>
          <w:rStyle w:val="FootnoteReference"/>
        </w:rPr>
        <w:footnoteRef/>
      </w:r>
      <w:r>
        <w:t xml:space="preserve"> </w:t>
      </w:r>
      <w:r>
        <w:tab/>
        <w:t xml:space="preserve">EMCa, </w:t>
      </w:r>
      <w:r w:rsidRPr="00AC0F79">
        <w:rPr>
          <w:rStyle w:val="AERtextitalic"/>
        </w:rPr>
        <w:t>SP AusNet technical review</w:t>
      </w:r>
      <w:r>
        <w:t xml:space="preserve">, August 2013, p. 84 paragraph 291. </w:t>
      </w:r>
    </w:p>
  </w:footnote>
  <w:footnote w:id="703">
    <w:p w:rsidR="009E166E" w:rsidRDefault="009E166E" w:rsidP="003E3D15">
      <w:pPr>
        <w:pStyle w:val="FootnoteText"/>
      </w:pPr>
      <w:r>
        <w:rPr>
          <w:rStyle w:val="FootnoteReference"/>
        </w:rPr>
        <w:footnoteRef/>
      </w:r>
      <w:r>
        <w:t xml:space="preserve"> </w:t>
      </w:r>
      <w:r>
        <w:tab/>
        <w:t xml:space="preserve">EMCa, </w:t>
      </w:r>
      <w:r w:rsidRPr="00AC0F79">
        <w:rPr>
          <w:rStyle w:val="AERtextitalic"/>
        </w:rPr>
        <w:t>SP AusNet technical review</w:t>
      </w:r>
      <w:r>
        <w:t xml:space="preserve">, August 2013, p. 84 paragraph 291. </w:t>
      </w:r>
    </w:p>
  </w:footnote>
  <w:footnote w:id="704">
    <w:p w:rsidR="009E166E" w:rsidRDefault="009E166E" w:rsidP="003E3D15">
      <w:pPr>
        <w:pStyle w:val="FootnoteText"/>
      </w:pPr>
      <w:r>
        <w:rPr>
          <w:rStyle w:val="FootnoteReference"/>
        </w:rPr>
        <w:footnoteRef/>
      </w:r>
      <w:r>
        <w:t xml:space="preserve"> </w:t>
      </w:r>
      <w:r>
        <w:tab/>
        <w:t xml:space="preserve">EMCa, </w:t>
      </w:r>
      <w:r w:rsidRPr="00AC0F79">
        <w:rPr>
          <w:rStyle w:val="AERtextitalic"/>
        </w:rPr>
        <w:t>SP AusNet technical review</w:t>
      </w:r>
      <w:r>
        <w:t xml:space="preserve">, August 2013, p. 86 paragraph 301–2. </w:t>
      </w:r>
    </w:p>
  </w:footnote>
  <w:footnote w:id="705">
    <w:p w:rsidR="009E166E" w:rsidRDefault="009E166E" w:rsidP="00297D8F">
      <w:pPr>
        <w:pStyle w:val="FootnoteText"/>
      </w:pPr>
      <w:r>
        <w:rPr>
          <w:rStyle w:val="FootnoteReference"/>
        </w:rPr>
        <w:footnoteRef/>
      </w:r>
      <w:r>
        <w:t xml:space="preserve"> </w:t>
      </w:r>
      <w:r>
        <w:tab/>
        <w:t xml:space="preserve">NEL, clause 16(1)(a). </w:t>
      </w:r>
    </w:p>
  </w:footnote>
  <w:footnote w:id="706">
    <w:p w:rsidR="009E166E" w:rsidRDefault="009E166E" w:rsidP="00297D8F">
      <w:pPr>
        <w:pStyle w:val="FootnoteText"/>
      </w:pPr>
      <w:r>
        <w:rPr>
          <w:rStyle w:val="FootnoteReference"/>
        </w:rPr>
        <w:footnoteRef/>
      </w:r>
      <w:r>
        <w:t xml:space="preserve"> </w:t>
      </w:r>
      <w:r>
        <w:tab/>
        <w:t xml:space="preserve">NEL, clause 16(2)(a)(i). </w:t>
      </w:r>
    </w:p>
  </w:footnote>
  <w:footnote w:id="707">
    <w:p w:rsidR="009E166E" w:rsidRDefault="009E166E" w:rsidP="007A4AC2">
      <w:pPr>
        <w:pStyle w:val="FootnoteText"/>
      </w:pPr>
      <w:r>
        <w:rPr>
          <w:rStyle w:val="FootnoteReference"/>
        </w:rPr>
        <w:footnoteRef/>
      </w:r>
      <w:r>
        <w:t xml:space="preserve"> </w:t>
      </w:r>
      <w:r>
        <w:tab/>
        <w:t xml:space="preserve">EMCa, </w:t>
      </w:r>
      <w:r w:rsidRPr="00AC0F79">
        <w:rPr>
          <w:rStyle w:val="AERtextitalic"/>
        </w:rPr>
        <w:t>SP AusNet technical review</w:t>
      </w:r>
      <w:r>
        <w:t xml:space="preserve">, August 2013, p. 93 paragraph 323. </w:t>
      </w:r>
    </w:p>
  </w:footnote>
  <w:footnote w:id="708">
    <w:p w:rsidR="009E166E" w:rsidRDefault="009E166E" w:rsidP="007A4AC2">
      <w:pPr>
        <w:pStyle w:val="FootnoteText"/>
      </w:pPr>
      <w:r>
        <w:rPr>
          <w:rStyle w:val="FootnoteReference"/>
        </w:rPr>
        <w:footnoteRef/>
      </w:r>
      <w:r>
        <w:t xml:space="preserve"> </w:t>
      </w:r>
      <w:r>
        <w:tab/>
        <w:t xml:space="preserve">SP AusNet, </w:t>
      </w:r>
      <w:r w:rsidRPr="001F649B">
        <w:rPr>
          <w:rStyle w:val="AERtextitalic"/>
        </w:rPr>
        <w:t>Response to AER20</w:t>
      </w:r>
      <w:r>
        <w:t xml:space="preserve">, 23 May 2013. </w:t>
      </w:r>
    </w:p>
  </w:footnote>
  <w:footnote w:id="709">
    <w:p w:rsidR="009E166E" w:rsidRDefault="009E166E" w:rsidP="007A4AC2">
      <w:pPr>
        <w:pStyle w:val="FootnoteText"/>
      </w:pPr>
      <w:r>
        <w:rPr>
          <w:rStyle w:val="FootnoteReference"/>
        </w:rPr>
        <w:footnoteRef/>
      </w:r>
      <w:r>
        <w:t xml:space="preserve"> </w:t>
      </w:r>
      <w:r>
        <w:tab/>
        <w:t xml:space="preserve">SP AusNet, </w:t>
      </w:r>
      <w:r w:rsidRPr="001F649B">
        <w:rPr>
          <w:rStyle w:val="AERtextitalic"/>
        </w:rPr>
        <w:t>Response to EMCa</w:t>
      </w:r>
      <w:r>
        <w:rPr>
          <w:rStyle w:val="AERtextitalic"/>
        </w:rPr>
        <w:t xml:space="preserve"> </w:t>
      </w:r>
      <w:r w:rsidRPr="001F649B">
        <w:rPr>
          <w:rStyle w:val="AERtextitalic"/>
        </w:rPr>
        <w:t>037, Asset Management Plan</w:t>
      </w:r>
      <w:r>
        <w:rPr>
          <w:rStyle w:val="AERtextitalic"/>
        </w:rPr>
        <w:t>, March 2011</w:t>
      </w:r>
      <w:r>
        <w:t xml:space="preserve">, 27 June 2013, p. 10.  </w:t>
      </w:r>
    </w:p>
  </w:footnote>
  <w:footnote w:id="710">
    <w:p w:rsidR="009E166E" w:rsidRDefault="009E166E" w:rsidP="007A4AC2">
      <w:pPr>
        <w:pStyle w:val="FootnoteText"/>
      </w:pPr>
      <w:r>
        <w:rPr>
          <w:rStyle w:val="FootnoteReference"/>
        </w:rPr>
        <w:footnoteRef/>
      </w:r>
      <w:r>
        <w:t xml:space="preserve"> </w:t>
      </w:r>
      <w:r>
        <w:tab/>
        <w:t xml:space="preserve">SP AusNet, </w:t>
      </w:r>
      <w:r>
        <w:rPr>
          <w:rStyle w:val="AERtextitalic"/>
        </w:rPr>
        <w:t xml:space="preserve">Response to EMCa </w:t>
      </w:r>
      <w:r w:rsidRPr="001F649B">
        <w:rPr>
          <w:rStyle w:val="AERtextitalic"/>
        </w:rPr>
        <w:t>037, As</w:t>
      </w:r>
      <w:r>
        <w:rPr>
          <w:rStyle w:val="AERtextitalic"/>
        </w:rPr>
        <w:t>set Management Plan, March 2011</w:t>
      </w:r>
      <w:r>
        <w:t xml:space="preserve">, 27 June 2013, p. 10.  </w:t>
      </w:r>
    </w:p>
  </w:footnote>
  <w:footnote w:id="711">
    <w:p w:rsidR="009E166E" w:rsidRDefault="009E166E" w:rsidP="007A4AC2">
      <w:pPr>
        <w:pStyle w:val="FootnoteText"/>
      </w:pPr>
      <w:r>
        <w:rPr>
          <w:rStyle w:val="FootnoteReference"/>
        </w:rPr>
        <w:footnoteRef/>
      </w:r>
      <w:r>
        <w:t xml:space="preserve"> </w:t>
      </w:r>
      <w:r>
        <w:tab/>
        <w:t xml:space="preserve">SP AusNet, </w:t>
      </w:r>
      <w:r>
        <w:rPr>
          <w:rStyle w:val="AERtextitalic"/>
        </w:rPr>
        <w:t>Response to EMCa 037, Asset Management Plan, March 2011</w:t>
      </w:r>
      <w:r>
        <w:t xml:space="preserve">, 27 June 2013, p. 10.  </w:t>
      </w:r>
    </w:p>
  </w:footnote>
  <w:footnote w:id="712">
    <w:p w:rsidR="009E166E" w:rsidRDefault="009E166E" w:rsidP="007A4AC2">
      <w:pPr>
        <w:pStyle w:val="FootnoteText"/>
      </w:pPr>
      <w:r>
        <w:rPr>
          <w:rStyle w:val="FootnoteReference"/>
        </w:rPr>
        <w:footnoteRef/>
      </w:r>
      <w:r>
        <w:t xml:space="preserve"> </w:t>
      </w:r>
      <w:r>
        <w:tab/>
        <w:t xml:space="preserve">This is the direct EBSS carryover benefit as a result of SP AusNet underspending its asset works forecast. Note that its total proposed EBSS carryover for the 2014–17 regulatory control period is $47 million. </w:t>
      </w:r>
    </w:p>
  </w:footnote>
  <w:footnote w:id="713">
    <w:p w:rsidR="009E166E" w:rsidRDefault="009E166E" w:rsidP="007A4AC2">
      <w:pPr>
        <w:pStyle w:val="FootnoteText"/>
      </w:pPr>
      <w:r>
        <w:rPr>
          <w:rStyle w:val="FootnoteReference"/>
        </w:rPr>
        <w:footnoteRef/>
      </w:r>
      <w:r>
        <w:t xml:space="preserve"> </w:t>
      </w:r>
      <w:r>
        <w:tab/>
        <w:t xml:space="preserve">NEL, s7. </w:t>
      </w:r>
    </w:p>
  </w:footnote>
  <w:footnote w:id="714">
    <w:p w:rsidR="009E166E" w:rsidRDefault="009E166E" w:rsidP="007A4AC2">
      <w:pPr>
        <w:pStyle w:val="FootnoteText"/>
      </w:pPr>
      <w:r>
        <w:rPr>
          <w:rStyle w:val="FootnoteReference"/>
        </w:rPr>
        <w:footnoteRef/>
      </w:r>
      <w:r>
        <w:t xml:space="preserve"> </w:t>
      </w:r>
      <w:r>
        <w:tab/>
        <w:t xml:space="preserve">NEL, clauses 7A(2) and (3). </w:t>
      </w:r>
    </w:p>
  </w:footnote>
  <w:footnote w:id="715">
    <w:p w:rsidR="009E166E" w:rsidRDefault="009E166E" w:rsidP="007A4AC2">
      <w:pPr>
        <w:pStyle w:val="FootnoteText"/>
      </w:pPr>
      <w:r>
        <w:rPr>
          <w:rStyle w:val="FootnoteReference"/>
        </w:rPr>
        <w:footnoteRef/>
      </w:r>
      <w:r>
        <w:t xml:space="preserve"> </w:t>
      </w:r>
      <w:r>
        <w:tab/>
        <w:t xml:space="preserve">NEL, clause 7A(3). </w:t>
      </w:r>
    </w:p>
  </w:footnote>
  <w:footnote w:id="716">
    <w:p w:rsidR="009E166E" w:rsidRDefault="009E166E" w:rsidP="007A4AC2">
      <w:pPr>
        <w:pStyle w:val="FootnoteText"/>
      </w:pPr>
      <w:r>
        <w:rPr>
          <w:rStyle w:val="FootnoteReference"/>
        </w:rPr>
        <w:footnoteRef/>
      </w:r>
      <w:r>
        <w:t xml:space="preserve"> </w:t>
      </w:r>
      <w:r>
        <w:tab/>
        <w:t xml:space="preserve">This is reflected in the new version of the NER (NER, version 56, clause 6A.6.6(e)(8)) under which we can consider whether an opex forecast is consistent with the operation of the EBSS. While the AEMC added this clause to clarify our ability to do this, the version of the NER applicable to SP AusNet does not prevent this consideration. See AEMC, </w:t>
      </w:r>
      <w:r w:rsidRPr="004D76B0">
        <w:rPr>
          <w:rStyle w:val="AERtextitalic"/>
        </w:rPr>
        <w:t>Draft determination, Economic regulation of Network Service Providers, and price and revenue regulation of Gas Services</w:t>
      </w:r>
      <w:r>
        <w:t>, August 2012, p. 114.</w:t>
      </w:r>
    </w:p>
  </w:footnote>
  <w:footnote w:id="717">
    <w:p w:rsidR="009E166E" w:rsidRDefault="009E166E" w:rsidP="007A4AC2">
      <w:pPr>
        <w:pStyle w:val="FootnoteText"/>
      </w:pPr>
      <w:r>
        <w:rPr>
          <w:rStyle w:val="FootnoteReference"/>
        </w:rPr>
        <w:footnoteRef/>
      </w:r>
      <w:r>
        <w:t xml:space="preserve"> </w:t>
      </w:r>
      <w:r>
        <w:tab/>
        <w:t xml:space="preserve">NER, clause 6A.6.5(a). </w:t>
      </w:r>
    </w:p>
  </w:footnote>
  <w:footnote w:id="718">
    <w:p w:rsidR="009E166E" w:rsidRDefault="009E166E" w:rsidP="007A4AC2">
      <w:pPr>
        <w:pStyle w:val="FootnoteText"/>
      </w:pPr>
      <w:r>
        <w:rPr>
          <w:rStyle w:val="FootnoteReference"/>
        </w:rPr>
        <w:footnoteRef/>
      </w:r>
      <w:r>
        <w:t xml:space="preserve"> </w:t>
      </w:r>
      <w:r>
        <w:tab/>
        <w:t xml:space="preserve">Consumers receive 70 per cent of the gain via a lower opex forecast while the TNSP retains 30 per cent of the gain. AER, </w:t>
      </w:r>
      <w:r w:rsidRPr="00291359">
        <w:rPr>
          <w:i/>
        </w:rPr>
        <w:t>Final electricity transmission network service providers – Efficiency benefit sharing scheme</w:t>
      </w:r>
      <w:r>
        <w:t xml:space="preserve">, September 2007, p. 8. </w:t>
      </w:r>
    </w:p>
  </w:footnote>
  <w:footnote w:id="719">
    <w:p w:rsidR="009E166E" w:rsidRDefault="009E166E" w:rsidP="007A4AC2">
      <w:pPr>
        <w:pStyle w:val="FootnoteText"/>
      </w:pPr>
      <w:r>
        <w:rPr>
          <w:rStyle w:val="FootnoteReference"/>
        </w:rPr>
        <w:footnoteRef/>
      </w:r>
      <w:r>
        <w:t xml:space="preserve"> </w:t>
      </w:r>
      <w:r>
        <w:tab/>
      </w:r>
      <w:r w:rsidRPr="005A0911">
        <w:t>If opex allowances are forecast using a bottom up app</w:t>
      </w:r>
      <w:r>
        <w:t>roach SP AusNet will retain 100 per cent</w:t>
      </w:r>
      <w:r w:rsidRPr="005A0911">
        <w:t xml:space="preserve"> of all underspends, since actual expenditure does not influence the forecast in the following period. By adding carryovers on top of this (which have been calculated on the assumption revealed cost forecasts will be used) SP AusNet will retain more than 100% of the efficiency gain.</w:t>
      </w:r>
      <w:r>
        <w:t xml:space="preserve"> We estimate it will retain 140 per cent</w:t>
      </w:r>
      <w:r w:rsidRPr="005A0911">
        <w:t xml:space="preserve">. That is, the gain to SP AusNet (the underspend </w:t>
      </w:r>
      <w:r>
        <w:t xml:space="preserve">[$38 million] </w:t>
      </w:r>
      <w:r w:rsidRPr="005A0911">
        <w:t>plus the carryover amount</w:t>
      </w:r>
      <w:r>
        <w:t xml:space="preserve"> [$15 million]  is $53 </w:t>
      </w:r>
      <w:r w:rsidRPr="005A0911">
        <w:t>m</w:t>
      </w:r>
      <w:r>
        <w:t>illion</w:t>
      </w:r>
      <w:r w:rsidRPr="005A0911">
        <w:t>) as a proportion of th</w:t>
      </w:r>
      <w:r>
        <w:t>e net social gain ($38m) is 140 per cent. T</w:t>
      </w:r>
      <w:r w:rsidRPr="005A0911">
        <w:t>he net social g</w:t>
      </w:r>
      <w:r>
        <w:t xml:space="preserve">ain is the gain to SP AusNet ($53 </w:t>
      </w:r>
      <w:r w:rsidRPr="005A0911">
        <w:t>m</w:t>
      </w:r>
      <w:r>
        <w:t>illion</w:t>
      </w:r>
      <w:r w:rsidRPr="005A0911">
        <w:t xml:space="preserve">) minus the cost to consumers of paying the carryover </w:t>
      </w:r>
      <w:r>
        <w:t>(–$15 </w:t>
      </w:r>
      <w:r w:rsidRPr="005A0911">
        <w:t>m</w:t>
      </w:r>
      <w:r>
        <w:t>illion</w:t>
      </w:r>
      <w:r w:rsidRPr="005A0911">
        <w:t>). Note:</w:t>
      </w:r>
      <w:r>
        <w:t xml:space="preserve"> we adjusted all</w:t>
      </w:r>
      <w:r w:rsidRPr="005A0911">
        <w:t xml:space="preserve"> numbers into net p</w:t>
      </w:r>
      <w:r>
        <w:t>resent value terms</w:t>
      </w:r>
      <w:r w:rsidRPr="005A0911">
        <w:t>.</w:t>
      </w:r>
    </w:p>
  </w:footnote>
  <w:footnote w:id="720">
    <w:p w:rsidR="009E166E" w:rsidRDefault="009E166E" w:rsidP="007A4AC2">
      <w:pPr>
        <w:pStyle w:val="FootnoteText"/>
      </w:pPr>
      <w:r>
        <w:rPr>
          <w:rStyle w:val="FootnoteReference"/>
        </w:rPr>
        <w:footnoteRef/>
      </w:r>
      <w:r>
        <w:t xml:space="preserve"> </w:t>
      </w:r>
      <w:r>
        <w:tab/>
        <w:t xml:space="preserve">NER, clause 6A.6.5(a). </w:t>
      </w:r>
    </w:p>
  </w:footnote>
  <w:footnote w:id="721">
    <w:p w:rsidR="009E166E" w:rsidRDefault="009E166E" w:rsidP="0088341A">
      <w:pPr>
        <w:pStyle w:val="FootnoteText"/>
      </w:pPr>
      <w:r>
        <w:rPr>
          <w:rStyle w:val="FootnoteReference"/>
        </w:rPr>
        <w:footnoteRef/>
      </w:r>
      <w:r>
        <w:t xml:space="preserve"> </w:t>
      </w:r>
      <w:r>
        <w:tab/>
        <w:t xml:space="preserve">SP AusNet was subject to an EBSS during the 2008–13 regulatory control period. Since 2002 it was subject to efficiency sharing schemes that were in operation under the regulatory framework applicable at that time —AER, </w:t>
      </w:r>
      <w:r w:rsidRPr="00783639">
        <w:rPr>
          <w:rStyle w:val="AERtextitalic"/>
        </w:rPr>
        <w:t>SP AusNet transmission determination 2008–09 to 2013–14,</w:t>
      </w:r>
      <w:r>
        <w:t xml:space="preserve"> January 2008, Table S.8, p.19.</w:t>
      </w:r>
    </w:p>
  </w:footnote>
  <w:footnote w:id="722">
    <w:p w:rsidR="009E166E" w:rsidRDefault="009E166E">
      <w:pPr>
        <w:pStyle w:val="FootnoteText"/>
      </w:pPr>
      <w:r>
        <w:rPr>
          <w:rStyle w:val="FootnoteReference"/>
        </w:rPr>
        <w:footnoteRef/>
      </w:r>
      <w:r>
        <w:t xml:space="preserve"> </w:t>
      </w:r>
      <w:r>
        <w:tab/>
        <w:t xml:space="preserve">NER, clause 6A.6.6(c). </w:t>
      </w:r>
    </w:p>
  </w:footnote>
  <w:footnote w:id="723">
    <w:p w:rsidR="009E166E" w:rsidRDefault="009E166E" w:rsidP="0088341A">
      <w:pPr>
        <w:pStyle w:val="FootnoteText"/>
      </w:pPr>
      <w:r>
        <w:rPr>
          <w:rStyle w:val="FootnoteReference"/>
        </w:rPr>
        <w:footnoteRef/>
      </w:r>
      <w:r>
        <w:t xml:space="preserve"> </w:t>
      </w:r>
      <w:r>
        <w:tab/>
        <w:t>NEL, s7.</w:t>
      </w:r>
    </w:p>
  </w:footnote>
  <w:footnote w:id="724">
    <w:p w:rsidR="009E166E" w:rsidRDefault="009E166E" w:rsidP="0088341A">
      <w:pPr>
        <w:pStyle w:val="FootnoteText"/>
      </w:pPr>
      <w:r>
        <w:rPr>
          <w:rStyle w:val="FootnoteReference"/>
        </w:rPr>
        <w:footnoteRef/>
      </w:r>
      <w:r>
        <w:t xml:space="preserve"> </w:t>
      </w:r>
      <w:r>
        <w:tab/>
        <w:t xml:space="preserve">NEL, ss7 and 7A. </w:t>
      </w:r>
    </w:p>
  </w:footnote>
  <w:footnote w:id="725">
    <w:p w:rsidR="009E166E" w:rsidRDefault="009E166E" w:rsidP="0088341A">
      <w:pPr>
        <w:pStyle w:val="FootnoteText"/>
      </w:pPr>
      <w:r>
        <w:rPr>
          <w:rStyle w:val="FootnoteReference"/>
        </w:rPr>
        <w:footnoteRef/>
      </w:r>
      <w:r>
        <w:t xml:space="preserve"> </w:t>
      </w:r>
      <w:r>
        <w:tab/>
        <w:t xml:space="preserve">NER, clause 6A.6.5(a). The EBSS shares efficiency gains and loss between customers and TNSPs 70:30. </w:t>
      </w:r>
    </w:p>
  </w:footnote>
  <w:footnote w:id="726">
    <w:p w:rsidR="009E166E" w:rsidRDefault="009E166E" w:rsidP="0088341A">
      <w:pPr>
        <w:pStyle w:val="FootnoteText"/>
      </w:pPr>
      <w:r>
        <w:rPr>
          <w:rStyle w:val="FootnoteReference"/>
        </w:rPr>
        <w:footnoteRef/>
      </w:r>
      <w:r>
        <w:t xml:space="preserve"> </w:t>
      </w:r>
      <w:r>
        <w:tab/>
        <w:t xml:space="preserve">NEL, ss 7A(3) and 7. </w:t>
      </w:r>
    </w:p>
  </w:footnote>
  <w:footnote w:id="727">
    <w:p w:rsidR="009E166E" w:rsidRDefault="009E166E" w:rsidP="0088341A">
      <w:pPr>
        <w:pStyle w:val="FootnoteText"/>
      </w:pPr>
      <w:r>
        <w:rPr>
          <w:rStyle w:val="FootnoteReference"/>
        </w:rPr>
        <w:footnoteRef/>
      </w:r>
      <w:r>
        <w:t xml:space="preserve"> </w:t>
      </w:r>
      <w:r>
        <w:tab/>
        <w:t xml:space="preserve">SP AusNet, </w:t>
      </w:r>
      <w:r w:rsidRPr="00B67D5E">
        <w:rPr>
          <w:rStyle w:val="AERtextitalic"/>
        </w:rPr>
        <w:t>Revenue proposal</w:t>
      </w:r>
      <w:r>
        <w:t xml:space="preserve">, p. 114; SP AusNet, </w:t>
      </w:r>
      <w:r w:rsidRPr="00B67D5E">
        <w:rPr>
          <w:rStyle w:val="AERtextitalic"/>
        </w:rPr>
        <w:t>Response to EMCa 021</w:t>
      </w:r>
      <w:r>
        <w:t xml:space="preserve">, 18 April 2013, p. 3. </w:t>
      </w:r>
    </w:p>
  </w:footnote>
  <w:footnote w:id="728">
    <w:p w:rsidR="009E166E" w:rsidRDefault="009E166E" w:rsidP="0088341A">
      <w:pPr>
        <w:pStyle w:val="FootnoteText"/>
      </w:pPr>
      <w:r>
        <w:rPr>
          <w:rStyle w:val="FootnoteReference"/>
        </w:rPr>
        <w:footnoteRef/>
      </w:r>
      <w:r>
        <w:t xml:space="preserve"> </w:t>
      </w:r>
      <w:r>
        <w:tab/>
        <w:t xml:space="preserve">Some of the information provided contain sensitive information provided commercial-in-confidence.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98B" w:rsidRDefault="00B3398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98B" w:rsidRDefault="00B3398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98B" w:rsidRDefault="00B339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C7FA6"/>
    <w:multiLevelType w:val="hybridMultilevel"/>
    <w:tmpl w:val="1A7E9E04"/>
    <w:lvl w:ilvl="0" w:tplc="A356B254">
      <w:start w:val="1"/>
      <w:numFmt w:val="bullet"/>
      <w:pStyle w:val="AERbulletlistsecon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
    <w:nsid w:val="13597CF9"/>
    <w:multiLevelType w:val="multilevel"/>
    <w:tmpl w:val="B478DFE6"/>
    <w:numStyleLink w:val="AERnumberedlist"/>
  </w:abstractNum>
  <w:abstractNum w:abstractNumId="2">
    <w:nsid w:val="2151622B"/>
    <w:multiLevelType w:val="multilevel"/>
    <w:tmpl w:val="0032B7CA"/>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3">
    <w:nsid w:val="2BB45CA9"/>
    <w:multiLevelType w:val="multilevel"/>
    <w:tmpl w:val="0624D096"/>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4">
    <w:nsid w:val="2FB612CC"/>
    <w:multiLevelType w:val="multilevel"/>
    <w:tmpl w:val="B5726D60"/>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5">
    <w:nsid w:val="31AA058E"/>
    <w:multiLevelType w:val="hybridMultilevel"/>
    <w:tmpl w:val="3C70101E"/>
    <w:lvl w:ilvl="0" w:tplc="B336B1FC">
      <w:start w:val="1"/>
      <w:numFmt w:val="bullet"/>
      <w:pStyle w:val="AERbulletlistthir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3AF336BC"/>
    <w:multiLevelType w:val="hybridMultilevel"/>
    <w:tmpl w:val="955A02CC"/>
    <w:lvl w:ilvl="0" w:tplc="C90C7928">
      <w:start w:val="1"/>
      <w:numFmt w:val="bullet"/>
      <w:pStyle w:val="AERbulletlistfirststyle"/>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F4D31F6"/>
    <w:multiLevelType w:val="multilevel"/>
    <w:tmpl w:val="ED0EEB5C"/>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9">
    <w:nsid w:val="43BE231F"/>
    <w:multiLevelType w:val="multilevel"/>
    <w:tmpl w:val="B5DC4092"/>
    <w:lvl w:ilvl="0">
      <w:start w:val="1"/>
      <w:numFmt w:val="none"/>
      <w:pStyle w:val="UnnumberedHeading"/>
      <w:lvlText w:val="%1"/>
      <w:lvlJc w:val="left"/>
      <w:pPr>
        <w:tabs>
          <w:tab w:val="num" w:pos="0"/>
        </w:tabs>
        <w:ind w:left="0" w:firstLine="0"/>
      </w:pPr>
      <w:rPr>
        <w:rFonts w:hint="default"/>
      </w:rPr>
    </w:lvl>
    <w:lvl w:ilvl="1">
      <w:start w:val="1"/>
      <w:numFmt w:val="decimal"/>
      <w:pStyle w:val="Heading1"/>
      <w:lvlText w:val="%1%2"/>
      <w:lvlJc w:val="left"/>
      <w:pPr>
        <w:tabs>
          <w:tab w:val="num" w:pos="0"/>
        </w:tabs>
        <w:ind w:left="0" w:hanging="851"/>
      </w:pPr>
      <w:rPr>
        <w:rFonts w:hint="default"/>
      </w:rPr>
    </w:lvl>
    <w:lvl w:ilvl="2">
      <w:start w:val="1"/>
      <w:numFmt w:val="decimal"/>
      <w:pStyle w:val="Heading2"/>
      <w:lvlText w:val="%1%2.%3"/>
      <w:lvlJc w:val="left"/>
      <w:pPr>
        <w:tabs>
          <w:tab w:val="num" w:pos="0"/>
        </w:tabs>
        <w:ind w:left="0" w:hanging="851"/>
      </w:pPr>
      <w:rPr>
        <w:rFonts w:hint="default"/>
      </w:rPr>
    </w:lvl>
    <w:lvl w:ilvl="3">
      <w:start w:val="1"/>
      <w:numFmt w:val="decimal"/>
      <w:pStyle w:val="Heading3"/>
      <w:lvlText w:val="%2.%3.%4"/>
      <w:lvlJc w:val="left"/>
      <w:pPr>
        <w:tabs>
          <w:tab w:val="num" w:pos="0"/>
        </w:tabs>
        <w:ind w:left="0" w:hanging="851"/>
      </w:pPr>
      <w:rPr>
        <w:rFonts w:hint="default"/>
      </w:rPr>
    </w:lvl>
    <w:lvl w:ilvl="4">
      <w:start w:val="1"/>
      <w:numFmt w:val="upperLetter"/>
      <w:lvlRestart w:val="1"/>
      <w:pStyle w:val="Heading7"/>
      <w:lvlText w:val="%5"/>
      <w:lvlJc w:val="left"/>
      <w:pPr>
        <w:tabs>
          <w:tab w:val="num" w:pos="0"/>
        </w:tabs>
        <w:ind w:left="0" w:hanging="851"/>
      </w:pPr>
      <w:rPr>
        <w:rFonts w:hint="default"/>
      </w:rPr>
    </w:lvl>
    <w:lvl w:ilvl="5">
      <w:start w:val="1"/>
      <w:numFmt w:val="decimal"/>
      <w:pStyle w:val="Heading8"/>
      <w:lvlText w:val="%5.%6"/>
      <w:lvlJc w:val="left"/>
      <w:pPr>
        <w:tabs>
          <w:tab w:val="num" w:pos="0"/>
        </w:tabs>
        <w:ind w:left="0" w:hanging="851"/>
      </w:pPr>
      <w:rPr>
        <w:rFonts w:hint="default"/>
      </w:rPr>
    </w:lvl>
    <w:lvl w:ilvl="6">
      <w:start w:val="1"/>
      <w:numFmt w:val="decimal"/>
      <w:pStyle w:val="Heading9"/>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0">
    <w:nsid w:val="51112DAF"/>
    <w:multiLevelType w:val="hybridMultilevel"/>
    <w:tmpl w:val="F7C04150"/>
    <w:lvl w:ilvl="0" w:tplc="0D328656">
      <w:numFmt w:val="bullet"/>
      <w:lvlText w:val="-"/>
      <w:lvlJc w:val="left"/>
      <w:pPr>
        <w:ind w:left="1437" w:hanging="360"/>
      </w:pPr>
      <w:rPr>
        <w:rFonts w:ascii="Gautami" w:eastAsia="Times New Roman" w:hAnsi="Gautami" w:cs="Gautami"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11">
    <w:nsid w:val="51487971"/>
    <w:multiLevelType w:val="multilevel"/>
    <w:tmpl w:val="B478DFE6"/>
    <w:styleLink w:val="AERnumberedlist"/>
    <w:lvl w:ilvl="0">
      <w:start w:val="1"/>
      <w:numFmt w:val="none"/>
      <w:pStyle w:val="AERbodytext"/>
      <w:lvlText w:val="%1"/>
      <w:lvlJc w:val="left"/>
      <w:pPr>
        <w:tabs>
          <w:tab w:val="num" w:pos="0"/>
        </w:tabs>
        <w:ind w:left="0" w:firstLine="0"/>
      </w:pPr>
      <w:rPr>
        <w:rFonts w:hint="default"/>
      </w:rPr>
    </w:lvl>
    <w:lvl w:ilvl="1">
      <w:start w:val="1"/>
      <w:numFmt w:val="decimal"/>
      <w:pStyle w:val="AERnumberedlistfirststyle"/>
      <w:lvlText w:val="%2."/>
      <w:lvlJc w:val="left"/>
      <w:pPr>
        <w:tabs>
          <w:tab w:val="num" w:pos="357"/>
        </w:tabs>
        <w:ind w:left="357" w:hanging="357"/>
      </w:pPr>
      <w:rPr>
        <w:rFonts w:hint="default"/>
      </w:rPr>
    </w:lvl>
    <w:lvl w:ilvl="2">
      <w:start w:val="1"/>
      <w:numFmt w:val="lowerLetter"/>
      <w:pStyle w:val="AERnumberedlistsecondstyle"/>
      <w:lvlText w:val="%3."/>
      <w:lvlJc w:val="left"/>
      <w:pPr>
        <w:tabs>
          <w:tab w:val="num" w:pos="720"/>
        </w:tabs>
        <w:ind w:left="720" w:hanging="363"/>
      </w:pPr>
      <w:rPr>
        <w:rFonts w:hint="default"/>
      </w:rPr>
    </w:lvl>
    <w:lvl w:ilvl="3">
      <w:start w:val="1"/>
      <w:numFmt w:val="lowerRoman"/>
      <w:pStyle w:val="AERnumberedlistthirdstyle"/>
      <w:lvlText w:val="%4."/>
      <w:lvlJc w:val="left"/>
      <w:pPr>
        <w:tabs>
          <w:tab w:val="num" w:pos="1077"/>
        </w:tabs>
        <w:ind w:left="1077" w:hanging="357"/>
      </w:pPr>
      <w:rPr>
        <w:rFonts w:hint="default"/>
      </w:rPr>
    </w:lvl>
    <w:lvl w:ilvl="4">
      <w:start w:val="1"/>
      <w:numFmt w:val="decimal"/>
      <w:lvlRestart w:val="1"/>
      <w:pStyle w:val="AERnumberedlist2first"/>
      <w:lvlText w:val="(%5)"/>
      <w:lvlJc w:val="left"/>
      <w:pPr>
        <w:tabs>
          <w:tab w:val="num" w:pos="357"/>
        </w:tabs>
        <w:ind w:left="357" w:hanging="357"/>
      </w:pPr>
      <w:rPr>
        <w:rFonts w:hint="default"/>
      </w:rPr>
    </w:lvl>
    <w:lvl w:ilvl="5">
      <w:start w:val="1"/>
      <w:numFmt w:val="lowerLetter"/>
      <w:lvlRestart w:val="2"/>
      <w:pStyle w:val="AERnumberedlist2second"/>
      <w:lvlText w:val="(%6)"/>
      <w:lvlJc w:val="left"/>
      <w:pPr>
        <w:tabs>
          <w:tab w:val="num" w:pos="720"/>
        </w:tabs>
        <w:ind w:left="720" w:hanging="363"/>
      </w:pPr>
      <w:rPr>
        <w:rFonts w:hint="default"/>
      </w:rPr>
    </w:lvl>
    <w:lvl w:ilvl="6">
      <w:start w:val="1"/>
      <w:numFmt w:val="lowerRoman"/>
      <w:lvlRestart w:val="3"/>
      <w:pStyle w:val="AERnumberedlist2third"/>
      <w:lvlText w:val="(%7)"/>
      <w:lvlJc w:val="left"/>
      <w:pPr>
        <w:tabs>
          <w:tab w:val="num" w:pos="1077"/>
        </w:tabs>
        <w:ind w:left="1077" w:hanging="35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6A714985"/>
    <w:multiLevelType w:val="multilevel"/>
    <w:tmpl w:val="68E6D1E4"/>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3">
    <w:nsid w:val="6BF55B70"/>
    <w:multiLevelType w:val="multilevel"/>
    <w:tmpl w:val="257212D0"/>
    <w:lvl w:ilvl="0">
      <w:start w:val="1"/>
      <w:numFmt w:val="bullet"/>
      <w:lvlText w:val=""/>
      <w:lvlJc w:val="left"/>
      <w:pPr>
        <w:tabs>
          <w:tab w:val="num" w:pos="0"/>
        </w:tabs>
        <w:ind w:left="0" w:firstLine="0"/>
      </w:pPr>
      <w:rPr>
        <w:rFonts w:ascii="Wingdings" w:hAnsi="Wingding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6EC308A2"/>
    <w:multiLevelType w:val="hybridMultilevel"/>
    <w:tmpl w:val="C0529BCC"/>
    <w:lvl w:ilvl="0" w:tplc="7B2CB6AE">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5">
    <w:nsid w:val="77804CB3"/>
    <w:multiLevelType w:val="multilevel"/>
    <w:tmpl w:val="35E04A4A"/>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6">
    <w:nsid w:val="7AAC6DD7"/>
    <w:multiLevelType w:val="multilevel"/>
    <w:tmpl w:val="B5726D60"/>
    <w:numStyleLink w:val="AERHeadings"/>
  </w:abstractNum>
  <w:abstractNum w:abstractNumId="17">
    <w:nsid w:val="7AEA3AE1"/>
    <w:multiLevelType w:val="hybridMultilevel"/>
    <w:tmpl w:val="52969776"/>
    <w:lvl w:ilvl="0" w:tplc="1B665800">
      <w:start w:val="1"/>
      <w:numFmt w:val="bullet"/>
      <w:pStyle w:val="AERquotebullet1"/>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num w:numId="1">
    <w:abstractNumId w:val="1"/>
  </w:num>
  <w:num w:numId="2">
    <w:abstractNumId w:val="4"/>
  </w:num>
  <w:num w:numId="3">
    <w:abstractNumId w:val="11"/>
  </w:num>
  <w:num w:numId="4">
    <w:abstractNumId w:val="16"/>
  </w:num>
  <w:num w:numId="5">
    <w:abstractNumId w:val="13"/>
  </w:num>
  <w:num w:numId="6">
    <w:abstractNumId w:val="7"/>
  </w:num>
  <w:num w:numId="7">
    <w:abstractNumId w:val="0"/>
  </w:num>
  <w:num w:numId="8">
    <w:abstractNumId w:val="5"/>
  </w:num>
  <w:num w:numId="9">
    <w:abstractNumId w:val="17"/>
  </w:num>
  <w:num w:numId="10">
    <w:abstractNumId w:val="1"/>
  </w:num>
  <w:num w:numId="11">
    <w:abstractNumId w:val="6"/>
  </w:num>
  <w:num w:numId="12">
    <w:abstractNumId w:val="14"/>
  </w:num>
  <w:num w:numId="13">
    <w:abstractNumId w:val="1"/>
    <w:lvlOverride w:ilvl="5">
      <w:lvl w:ilvl="5">
        <w:start w:val="1"/>
        <w:numFmt w:val="lowerLetter"/>
        <w:lvlRestart w:val="2"/>
        <w:pStyle w:val="AERnumberedlist2second"/>
        <w:lvlText w:val="(%6)"/>
        <w:lvlJc w:val="left"/>
        <w:pPr>
          <w:tabs>
            <w:tab w:val="num" w:pos="720"/>
          </w:tabs>
          <w:ind w:left="720" w:hanging="363"/>
        </w:pPr>
        <w:rPr>
          <w:rFonts w:hint="default"/>
        </w:rPr>
      </w:lvl>
    </w:lvlOverride>
  </w:num>
  <w:num w:numId="14">
    <w:abstractNumId w:val="4"/>
    <w:lvlOverride w:ilvl="0">
      <w:lvl w:ilvl="0">
        <w:start w:val="1"/>
        <w:numFmt w:val="none"/>
        <w:lvlText w:val="%1"/>
        <w:lvlJc w:val="left"/>
        <w:pPr>
          <w:tabs>
            <w:tab w:val="num" w:pos="0"/>
          </w:tabs>
          <w:ind w:left="0" w:firstLine="0"/>
        </w:pPr>
        <w:rPr>
          <w:rFonts w:hint="default"/>
        </w:rPr>
      </w:lvl>
    </w:lvlOverride>
    <w:lvlOverride w:ilvl="1">
      <w:lvl w:ilvl="1">
        <w:start w:val="1"/>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15">
    <w:abstractNumId w:val="15"/>
  </w:num>
  <w:num w:numId="16">
    <w:abstractNumId w:val="3"/>
  </w:num>
  <w:num w:numId="17">
    <w:abstractNumId w:val="9"/>
  </w:num>
  <w:num w:numId="18">
    <w:abstractNumId w:val="2"/>
  </w:num>
  <w:num w:numId="19">
    <w:abstractNumId w:val="8"/>
  </w:num>
  <w:num w:numId="20">
    <w:abstractNumId w:val="12"/>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1"/>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9"/>
  </w:num>
  <w:num w:numId="33">
    <w:abstractNumId w:val="9"/>
  </w:num>
  <w:num w:numId="34">
    <w:abstractNumId w:val="9"/>
  </w:num>
  <w:num w:numId="35">
    <w:abstractNumId w:val="9"/>
  </w:num>
  <w:num w:numId="36">
    <w:abstractNumId w:val="9"/>
  </w:num>
  <w:num w:numId="37">
    <w:abstractNumId w:val="9"/>
  </w:num>
  <w:num w:numId="38">
    <w:abstractNumId w:val="9"/>
  </w:num>
  <w:num w:numId="39">
    <w:abstractNumId w:val="9"/>
  </w:num>
  <w:num w:numId="40">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68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5676\t0PFEOKS.DOCX"/>
  </w:docVars>
  <w:rsids>
    <w:rsidRoot w:val="00D82485"/>
    <w:rsid w:val="00007FFD"/>
    <w:rsid w:val="000144D0"/>
    <w:rsid w:val="0001589E"/>
    <w:rsid w:val="00016E39"/>
    <w:rsid w:val="00020356"/>
    <w:rsid w:val="00021A41"/>
    <w:rsid w:val="0004002B"/>
    <w:rsid w:val="00050CCA"/>
    <w:rsid w:val="00051017"/>
    <w:rsid w:val="000546A6"/>
    <w:rsid w:val="00062319"/>
    <w:rsid w:val="00062C62"/>
    <w:rsid w:val="00063BBF"/>
    <w:rsid w:val="00064005"/>
    <w:rsid w:val="0006564C"/>
    <w:rsid w:val="00066D27"/>
    <w:rsid w:val="00070FA2"/>
    <w:rsid w:val="00073CF4"/>
    <w:rsid w:val="000742E4"/>
    <w:rsid w:val="00074A63"/>
    <w:rsid w:val="00076A5E"/>
    <w:rsid w:val="00082072"/>
    <w:rsid w:val="000832F3"/>
    <w:rsid w:val="0008568F"/>
    <w:rsid w:val="00094969"/>
    <w:rsid w:val="0009574F"/>
    <w:rsid w:val="000A09D2"/>
    <w:rsid w:val="000A0DFF"/>
    <w:rsid w:val="000A3D03"/>
    <w:rsid w:val="000A50D1"/>
    <w:rsid w:val="000A6DB3"/>
    <w:rsid w:val="000A7F3D"/>
    <w:rsid w:val="000B0D08"/>
    <w:rsid w:val="000B11F1"/>
    <w:rsid w:val="000B44BD"/>
    <w:rsid w:val="000C0031"/>
    <w:rsid w:val="000C0437"/>
    <w:rsid w:val="000C0A86"/>
    <w:rsid w:val="000C4379"/>
    <w:rsid w:val="000C63AF"/>
    <w:rsid w:val="000C73F7"/>
    <w:rsid w:val="000D20BD"/>
    <w:rsid w:val="000D59B9"/>
    <w:rsid w:val="000D65BE"/>
    <w:rsid w:val="000E2A79"/>
    <w:rsid w:val="000E3590"/>
    <w:rsid w:val="000E36BD"/>
    <w:rsid w:val="000E4FFB"/>
    <w:rsid w:val="000E5BDB"/>
    <w:rsid w:val="000F3552"/>
    <w:rsid w:val="00102785"/>
    <w:rsid w:val="001035DB"/>
    <w:rsid w:val="001043AC"/>
    <w:rsid w:val="0010542E"/>
    <w:rsid w:val="00112094"/>
    <w:rsid w:val="001153EB"/>
    <w:rsid w:val="00115E8B"/>
    <w:rsid w:val="00137A5C"/>
    <w:rsid w:val="00140237"/>
    <w:rsid w:val="0014395F"/>
    <w:rsid w:val="00145941"/>
    <w:rsid w:val="001500FB"/>
    <w:rsid w:val="0015032D"/>
    <w:rsid w:val="00150370"/>
    <w:rsid w:val="001530F9"/>
    <w:rsid w:val="00153DE0"/>
    <w:rsid w:val="00154153"/>
    <w:rsid w:val="001547C6"/>
    <w:rsid w:val="00155765"/>
    <w:rsid w:val="00162E75"/>
    <w:rsid w:val="00166359"/>
    <w:rsid w:val="00167E25"/>
    <w:rsid w:val="00170536"/>
    <w:rsid w:val="001713BD"/>
    <w:rsid w:val="00171FC0"/>
    <w:rsid w:val="001729B4"/>
    <w:rsid w:val="001736F6"/>
    <w:rsid w:val="00175900"/>
    <w:rsid w:val="00176EFD"/>
    <w:rsid w:val="00177618"/>
    <w:rsid w:val="001800D3"/>
    <w:rsid w:val="00180F57"/>
    <w:rsid w:val="0018420B"/>
    <w:rsid w:val="0018480C"/>
    <w:rsid w:val="00185472"/>
    <w:rsid w:val="001865FC"/>
    <w:rsid w:val="00187D9E"/>
    <w:rsid w:val="0019107B"/>
    <w:rsid w:val="00193A95"/>
    <w:rsid w:val="00193AC1"/>
    <w:rsid w:val="0019490D"/>
    <w:rsid w:val="001A3875"/>
    <w:rsid w:val="001A7432"/>
    <w:rsid w:val="001B34FF"/>
    <w:rsid w:val="001B603A"/>
    <w:rsid w:val="001B6FB3"/>
    <w:rsid w:val="001C0F7C"/>
    <w:rsid w:val="001D5DF2"/>
    <w:rsid w:val="001D668F"/>
    <w:rsid w:val="001E4BED"/>
    <w:rsid w:val="001F1BAB"/>
    <w:rsid w:val="001F74BF"/>
    <w:rsid w:val="00204030"/>
    <w:rsid w:val="00204B33"/>
    <w:rsid w:val="00206240"/>
    <w:rsid w:val="00210C4E"/>
    <w:rsid w:val="002140F4"/>
    <w:rsid w:val="00215EDB"/>
    <w:rsid w:val="00217618"/>
    <w:rsid w:val="0022289F"/>
    <w:rsid w:val="0022395B"/>
    <w:rsid w:val="00223E67"/>
    <w:rsid w:val="00224FED"/>
    <w:rsid w:val="00226971"/>
    <w:rsid w:val="0023091F"/>
    <w:rsid w:val="00231184"/>
    <w:rsid w:val="00244449"/>
    <w:rsid w:val="00245DE0"/>
    <w:rsid w:val="00246317"/>
    <w:rsid w:val="00247B04"/>
    <w:rsid w:val="0025563A"/>
    <w:rsid w:val="00257B02"/>
    <w:rsid w:val="0026113A"/>
    <w:rsid w:val="002652EB"/>
    <w:rsid w:val="002666E5"/>
    <w:rsid w:val="002674AC"/>
    <w:rsid w:val="00271858"/>
    <w:rsid w:val="0027579C"/>
    <w:rsid w:val="00281BC0"/>
    <w:rsid w:val="002863DF"/>
    <w:rsid w:val="00286835"/>
    <w:rsid w:val="00291A3D"/>
    <w:rsid w:val="00292697"/>
    <w:rsid w:val="00292C86"/>
    <w:rsid w:val="00297D8F"/>
    <w:rsid w:val="002A0246"/>
    <w:rsid w:val="002A25EE"/>
    <w:rsid w:val="002A3791"/>
    <w:rsid w:val="002A4D41"/>
    <w:rsid w:val="002A7B90"/>
    <w:rsid w:val="002C6A79"/>
    <w:rsid w:val="002C7473"/>
    <w:rsid w:val="002D0BB6"/>
    <w:rsid w:val="002D4794"/>
    <w:rsid w:val="002D5AC6"/>
    <w:rsid w:val="002D7323"/>
    <w:rsid w:val="002E479B"/>
    <w:rsid w:val="002E72C7"/>
    <w:rsid w:val="002F117A"/>
    <w:rsid w:val="002F4E38"/>
    <w:rsid w:val="002F7EB4"/>
    <w:rsid w:val="00300696"/>
    <w:rsid w:val="0030405F"/>
    <w:rsid w:val="00305B3A"/>
    <w:rsid w:val="0030659F"/>
    <w:rsid w:val="0030761E"/>
    <w:rsid w:val="003105F6"/>
    <w:rsid w:val="00312CFD"/>
    <w:rsid w:val="0031382F"/>
    <w:rsid w:val="00315A2D"/>
    <w:rsid w:val="00316372"/>
    <w:rsid w:val="0032109E"/>
    <w:rsid w:val="0032398A"/>
    <w:rsid w:val="00330E3D"/>
    <w:rsid w:val="00333D83"/>
    <w:rsid w:val="003354D5"/>
    <w:rsid w:val="003361AF"/>
    <w:rsid w:val="00344723"/>
    <w:rsid w:val="00350C88"/>
    <w:rsid w:val="00351A6E"/>
    <w:rsid w:val="00352995"/>
    <w:rsid w:val="0036074D"/>
    <w:rsid w:val="00361935"/>
    <w:rsid w:val="00361C16"/>
    <w:rsid w:val="003650AC"/>
    <w:rsid w:val="00375133"/>
    <w:rsid w:val="003823D6"/>
    <w:rsid w:val="00382F1D"/>
    <w:rsid w:val="00386F29"/>
    <w:rsid w:val="00392082"/>
    <w:rsid w:val="0039387B"/>
    <w:rsid w:val="00394386"/>
    <w:rsid w:val="00396886"/>
    <w:rsid w:val="003A099A"/>
    <w:rsid w:val="003A17E7"/>
    <w:rsid w:val="003A317C"/>
    <w:rsid w:val="003A4093"/>
    <w:rsid w:val="003A428C"/>
    <w:rsid w:val="003A5250"/>
    <w:rsid w:val="003B06FD"/>
    <w:rsid w:val="003B3C6F"/>
    <w:rsid w:val="003B662F"/>
    <w:rsid w:val="003C5BD5"/>
    <w:rsid w:val="003D46FD"/>
    <w:rsid w:val="003D543B"/>
    <w:rsid w:val="003D56A2"/>
    <w:rsid w:val="003D676D"/>
    <w:rsid w:val="003D6E23"/>
    <w:rsid w:val="003E3D15"/>
    <w:rsid w:val="003F26F5"/>
    <w:rsid w:val="003F6B90"/>
    <w:rsid w:val="003F7753"/>
    <w:rsid w:val="0040120A"/>
    <w:rsid w:val="004019C0"/>
    <w:rsid w:val="00401C42"/>
    <w:rsid w:val="004023CF"/>
    <w:rsid w:val="00402E84"/>
    <w:rsid w:val="00407253"/>
    <w:rsid w:val="004113DE"/>
    <w:rsid w:val="004149FD"/>
    <w:rsid w:val="004161E2"/>
    <w:rsid w:val="004267D5"/>
    <w:rsid w:val="00427671"/>
    <w:rsid w:val="0043057D"/>
    <w:rsid w:val="00433881"/>
    <w:rsid w:val="00440D3C"/>
    <w:rsid w:val="00441FA6"/>
    <w:rsid w:val="00446344"/>
    <w:rsid w:val="00452C81"/>
    <w:rsid w:val="004530EE"/>
    <w:rsid w:val="00457603"/>
    <w:rsid w:val="00460C0F"/>
    <w:rsid w:val="0046104E"/>
    <w:rsid w:val="004669DB"/>
    <w:rsid w:val="00470355"/>
    <w:rsid w:val="00472A91"/>
    <w:rsid w:val="00473AB5"/>
    <w:rsid w:val="0047592F"/>
    <w:rsid w:val="0047639A"/>
    <w:rsid w:val="00484FD6"/>
    <w:rsid w:val="004852A8"/>
    <w:rsid w:val="00485A39"/>
    <w:rsid w:val="00490A34"/>
    <w:rsid w:val="00496CD2"/>
    <w:rsid w:val="004B15A7"/>
    <w:rsid w:val="004B3E41"/>
    <w:rsid w:val="004C1A0F"/>
    <w:rsid w:val="004C307E"/>
    <w:rsid w:val="004C4922"/>
    <w:rsid w:val="004C5F8D"/>
    <w:rsid w:val="004C61EC"/>
    <w:rsid w:val="004C6F84"/>
    <w:rsid w:val="004D0FCA"/>
    <w:rsid w:val="004D1525"/>
    <w:rsid w:val="004D3BD5"/>
    <w:rsid w:val="004D3EDB"/>
    <w:rsid w:val="004D4703"/>
    <w:rsid w:val="004D4E47"/>
    <w:rsid w:val="004D5235"/>
    <w:rsid w:val="004E013A"/>
    <w:rsid w:val="004E33AF"/>
    <w:rsid w:val="004E5118"/>
    <w:rsid w:val="004E540D"/>
    <w:rsid w:val="004E5AEB"/>
    <w:rsid w:val="004E5C59"/>
    <w:rsid w:val="004F3030"/>
    <w:rsid w:val="004F32D1"/>
    <w:rsid w:val="004F35AA"/>
    <w:rsid w:val="004F7DC5"/>
    <w:rsid w:val="00501137"/>
    <w:rsid w:val="00503F2A"/>
    <w:rsid w:val="005040F9"/>
    <w:rsid w:val="00504970"/>
    <w:rsid w:val="00505CC8"/>
    <w:rsid w:val="00523552"/>
    <w:rsid w:val="00531405"/>
    <w:rsid w:val="00533EFF"/>
    <w:rsid w:val="00536116"/>
    <w:rsid w:val="00536BDE"/>
    <w:rsid w:val="00537676"/>
    <w:rsid w:val="00540E4F"/>
    <w:rsid w:val="0054282D"/>
    <w:rsid w:val="00552661"/>
    <w:rsid w:val="00553560"/>
    <w:rsid w:val="005537A8"/>
    <w:rsid w:val="005572E9"/>
    <w:rsid w:val="005626C2"/>
    <w:rsid w:val="005658E4"/>
    <w:rsid w:val="00572C9B"/>
    <w:rsid w:val="00575162"/>
    <w:rsid w:val="005759CD"/>
    <w:rsid w:val="005802F3"/>
    <w:rsid w:val="005804FC"/>
    <w:rsid w:val="00580576"/>
    <w:rsid w:val="00580763"/>
    <w:rsid w:val="00581A2E"/>
    <w:rsid w:val="00583307"/>
    <w:rsid w:val="0059131A"/>
    <w:rsid w:val="005922E7"/>
    <w:rsid w:val="00593A66"/>
    <w:rsid w:val="00594230"/>
    <w:rsid w:val="00594807"/>
    <w:rsid w:val="0059489B"/>
    <w:rsid w:val="00595EBC"/>
    <w:rsid w:val="00596DDA"/>
    <w:rsid w:val="005A216C"/>
    <w:rsid w:val="005A3CFC"/>
    <w:rsid w:val="005B19ED"/>
    <w:rsid w:val="005B580A"/>
    <w:rsid w:val="005B6CF6"/>
    <w:rsid w:val="005B729E"/>
    <w:rsid w:val="005B7E0F"/>
    <w:rsid w:val="005C54A5"/>
    <w:rsid w:val="005C7106"/>
    <w:rsid w:val="005C7E6C"/>
    <w:rsid w:val="005D0895"/>
    <w:rsid w:val="005D1337"/>
    <w:rsid w:val="005D1B67"/>
    <w:rsid w:val="005D62E0"/>
    <w:rsid w:val="005D76D8"/>
    <w:rsid w:val="005D7AC1"/>
    <w:rsid w:val="005E5FFE"/>
    <w:rsid w:val="005E6A6F"/>
    <w:rsid w:val="005F0E23"/>
    <w:rsid w:val="005F7E66"/>
    <w:rsid w:val="006015F9"/>
    <w:rsid w:val="0060303B"/>
    <w:rsid w:val="00603D0C"/>
    <w:rsid w:val="00605505"/>
    <w:rsid w:val="00607F6B"/>
    <w:rsid w:val="00610DB2"/>
    <w:rsid w:val="006136EA"/>
    <w:rsid w:val="00616756"/>
    <w:rsid w:val="00625408"/>
    <w:rsid w:val="00625AA1"/>
    <w:rsid w:val="00626AD8"/>
    <w:rsid w:val="00631FF6"/>
    <w:rsid w:val="00632CB5"/>
    <w:rsid w:val="00635B90"/>
    <w:rsid w:val="00640836"/>
    <w:rsid w:val="006460BC"/>
    <w:rsid w:val="00646F51"/>
    <w:rsid w:val="006515F0"/>
    <w:rsid w:val="00652015"/>
    <w:rsid w:val="006522B7"/>
    <w:rsid w:val="00653CD7"/>
    <w:rsid w:val="006564F6"/>
    <w:rsid w:val="00657046"/>
    <w:rsid w:val="00660875"/>
    <w:rsid w:val="00660D4E"/>
    <w:rsid w:val="00663C71"/>
    <w:rsid w:val="00663DF5"/>
    <w:rsid w:val="006674C4"/>
    <w:rsid w:val="00670E06"/>
    <w:rsid w:val="00671724"/>
    <w:rsid w:val="006733EE"/>
    <w:rsid w:val="00674DAB"/>
    <w:rsid w:val="006774D4"/>
    <w:rsid w:val="00681608"/>
    <w:rsid w:val="00681E2A"/>
    <w:rsid w:val="00681F79"/>
    <w:rsid w:val="00682A64"/>
    <w:rsid w:val="00683C9A"/>
    <w:rsid w:val="00687275"/>
    <w:rsid w:val="006916FC"/>
    <w:rsid w:val="00696F8D"/>
    <w:rsid w:val="00697B8A"/>
    <w:rsid w:val="006A025F"/>
    <w:rsid w:val="006A074A"/>
    <w:rsid w:val="006A36B3"/>
    <w:rsid w:val="006A588D"/>
    <w:rsid w:val="006B0798"/>
    <w:rsid w:val="006B20D0"/>
    <w:rsid w:val="006B226D"/>
    <w:rsid w:val="006C42C6"/>
    <w:rsid w:val="006C4772"/>
    <w:rsid w:val="006C4995"/>
    <w:rsid w:val="006C65AD"/>
    <w:rsid w:val="006C754B"/>
    <w:rsid w:val="006D1815"/>
    <w:rsid w:val="006D5151"/>
    <w:rsid w:val="006D65A2"/>
    <w:rsid w:val="006E237B"/>
    <w:rsid w:val="006E4E31"/>
    <w:rsid w:val="006E4FDE"/>
    <w:rsid w:val="006E5E0B"/>
    <w:rsid w:val="006E7C1E"/>
    <w:rsid w:val="006F07FB"/>
    <w:rsid w:val="006F242D"/>
    <w:rsid w:val="006F5177"/>
    <w:rsid w:val="00700FC7"/>
    <w:rsid w:val="007034EF"/>
    <w:rsid w:val="00713ED7"/>
    <w:rsid w:val="00725575"/>
    <w:rsid w:val="00725B1D"/>
    <w:rsid w:val="00731C5D"/>
    <w:rsid w:val="00732027"/>
    <w:rsid w:val="0073533B"/>
    <w:rsid w:val="007424B7"/>
    <w:rsid w:val="00743E8D"/>
    <w:rsid w:val="007451C1"/>
    <w:rsid w:val="007475DE"/>
    <w:rsid w:val="00751E0B"/>
    <w:rsid w:val="00756283"/>
    <w:rsid w:val="007654EB"/>
    <w:rsid w:val="007662FB"/>
    <w:rsid w:val="0077295A"/>
    <w:rsid w:val="00773594"/>
    <w:rsid w:val="00774055"/>
    <w:rsid w:val="00775BB9"/>
    <w:rsid w:val="00782E04"/>
    <w:rsid w:val="00783240"/>
    <w:rsid w:val="007872C2"/>
    <w:rsid w:val="00791BAE"/>
    <w:rsid w:val="00794198"/>
    <w:rsid w:val="007945D5"/>
    <w:rsid w:val="00795A08"/>
    <w:rsid w:val="007A0772"/>
    <w:rsid w:val="007A0F8D"/>
    <w:rsid w:val="007A4AC2"/>
    <w:rsid w:val="007A7211"/>
    <w:rsid w:val="007B11B9"/>
    <w:rsid w:val="007B21D0"/>
    <w:rsid w:val="007B587A"/>
    <w:rsid w:val="007B6341"/>
    <w:rsid w:val="007B6C54"/>
    <w:rsid w:val="007C09C9"/>
    <w:rsid w:val="007C18AF"/>
    <w:rsid w:val="007C588C"/>
    <w:rsid w:val="007C7745"/>
    <w:rsid w:val="007D2918"/>
    <w:rsid w:val="007D2F72"/>
    <w:rsid w:val="007E3963"/>
    <w:rsid w:val="007E5022"/>
    <w:rsid w:val="007E5823"/>
    <w:rsid w:val="007E58D1"/>
    <w:rsid w:val="007F04EA"/>
    <w:rsid w:val="007F4018"/>
    <w:rsid w:val="007F43FE"/>
    <w:rsid w:val="007F59B0"/>
    <w:rsid w:val="007F769B"/>
    <w:rsid w:val="008001CC"/>
    <w:rsid w:val="0080298A"/>
    <w:rsid w:val="00802A21"/>
    <w:rsid w:val="008042D3"/>
    <w:rsid w:val="00805A83"/>
    <w:rsid w:val="00805FDD"/>
    <w:rsid w:val="008061EC"/>
    <w:rsid w:val="008066BA"/>
    <w:rsid w:val="008072D8"/>
    <w:rsid w:val="00820348"/>
    <w:rsid w:val="00820DAD"/>
    <w:rsid w:val="00832F8A"/>
    <w:rsid w:val="008343D6"/>
    <w:rsid w:val="00842634"/>
    <w:rsid w:val="008513F5"/>
    <w:rsid w:val="00853086"/>
    <w:rsid w:val="00853520"/>
    <w:rsid w:val="0085760A"/>
    <w:rsid w:val="00857E11"/>
    <w:rsid w:val="00866161"/>
    <w:rsid w:val="00871C93"/>
    <w:rsid w:val="0087519D"/>
    <w:rsid w:val="00875391"/>
    <w:rsid w:val="0088083C"/>
    <w:rsid w:val="0088341A"/>
    <w:rsid w:val="00884063"/>
    <w:rsid w:val="00897291"/>
    <w:rsid w:val="008A785B"/>
    <w:rsid w:val="008B0C46"/>
    <w:rsid w:val="008B3A74"/>
    <w:rsid w:val="008E0CCA"/>
    <w:rsid w:val="008E4481"/>
    <w:rsid w:val="008E5679"/>
    <w:rsid w:val="008E6F1A"/>
    <w:rsid w:val="008E7587"/>
    <w:rsid w:val="008E7C73"/>
    <w:rsid w:val="008F2423"/>
    <w:rsid w:val="008F2F3A"/>
    <w:rsid w:val="008F3D22"/>
    <w:rsid w:val="008F5CAE"/>
    <w:rsid w:val="0090000E"/>
    <w:rsid w:val="00907AAD"/>
    <w:rsid w:val="00912A44"/>
    <w:rsid w:val="00913543"/>
    <w:rsid w:val="00914C00"/>
    <w:rsid w:val="0091537F"/>
    <w:rsid w:val="0091570D"/>
    <w:rsid w:val="00917346"/>
    <w:rsid w:val="00933148"/>
    <w:rsid w:val="009352D6"/>
    <w:rsid w:val="0093706E"/>
    <w:rsid w:val="00942AA7"/>
    <w:rsid w:val="00943E80"/>
    <w:rsid w:val="00945CA4"/>
    <w:rsid w:val="00946A97"/>
    <w:rsid w:val="00947E1E"/>
    <w:rsid w:val="00956424"/>
    <w:rsid w:val="00960F09"/>
    <w:rsid w:val="00962D33"/>
    <w:rsid w:val="00971D5A"/>
    <w:rsid w:val="00972A85"/>
    <w:rsid w:val="00973D1D"/>
    <w:rsid w:val="00973E27"/>
    <w:rsid w:val="0098143C"/>
    <w:rsid w:val="0098230F"/>
    <w:rsid w:val="00990F42"/>
    <w:rsid w:val="00992A97"/>
    <w:rsid w:val="009934A7"/>
    <w:rsid w:val="00995190"/>
    <w:rsid w:val="00995B32"/>
    <w:rsid w:val="009A5956"/>
    <w:rsid w:val="009B333E"/>
    <w:rsid w:val="009B389B"/>
    <w:rsid w:val="009C17E6"/>
    <w:rsid w:val="009C1F82"/>
    <w:rsid w:val="009C309A"/>
    <w:rsid w:val="009C4620"/>
    <w:rsid w:val="009C7082"/>
    <w:rsid w:val="009D00FE"/>
    <w:rsid w:val="009D0A1D"/>
    <w:rsid w:val="009D1803"/>
    <w:rsid w:val="009D25D9"/>
    <w:rsid w:val="009D5708"/>
    <w:rsid w:val="009D74B1"/>
    <w:rsid w:val="009E0475"/>
    <w:rsid w:val="009E093D"/>
    <w:rsid w:val="009E166E"/>
    <w:rsid w:val="009E1B8C"/>
    <w:rsid w:val="009E20D2"/>
    <w:rsid w:val="009E2302"/>
    <w:rsid w:val="009F1282"/>
    <w:rsid w:val="009F4DEF"/>
    <w:rsid w:val="009F4E2F"/>
    <w:rsid w:val="009F6576"/>
    <w:rsid w:val="00A014CA"/>
    <w:rsid w:val="00A02FAD"/>
    <w:rsid w:val="00A030D7"/>
    <w:rsid w:val="00A034DD"/>
    <w:rsid w:val="00A046FE"/>
    <w:rsid w:val="00A04F45"/>
    <w:rsid w:val="00A14666"/>
    <w:rsid w:val="00A14847"/>
    <w:rsid w:val="00A17D31"/>
    <w:rsid w:val="00A17DB2"/>
    <w:rsid w:val="00A24021"/>
    <w:rsid w:val="00A25033"/>
    <w:rsid w:val="00A308C7"/>
    <w:rsid w:val="00A32C02"/>
    <w:rsid w:val="00A35D2F"/>
    <w:rsid w:val="00A42D0D"/>
    <w:rsid w:val="00A437BE"/>
    <w:rsid w:val="00A440BB"/>
    <w:rsid w:val="00A447AA"/>
    <w:rsid w:val="00A501F3"/>
    <w:rsid w:val="00A534C9"/>
    <w:rsid w:val="00A537E5"/>
    <w:rsid w:val="00A53AA4"/>
    <w:rsid w:val="00A5482D"/>
    <w:rsid w:val="00A565C7"/>
    <w:rsid w:val="00A57046"/>
    <w:rsid w:val="00A60B27"/>
    <w:rsid w:val="00A63246"/>
    <w:rsid w:val="00A6458E"/>
    <w:rsid w:val="00A66385"/>
    <w:rsid w:val="00A673C8"/>
    <w:rsid w:val="00A73243"/>
    <w:rsid w:val="00A73EF2"/>
    <w:rsid w:val="00A80E51"/>
    <w:rsid w:val="00A846D6"/>
    <w:rsid w:val="00A860D9"/>
    <w:rsid w:val="00A907E9"/>
    <w:rsid w:val="00A91CAE"/>
    <w:rsid w:val="00A978B0"/>
    <w:rsid w:val="00A9791A"/>
    <w:rsid w:val="00AA171A"/>
    <w:rsid w:val="00AA575F"/>
    <w:rsid w:val="00AA6032"/>
    <w:rsid w:val="00AB046C"/>
    <w:rsid w:val="00AB0CE0"/>
    <w:rsid w:val="00AB199F"/>
    <w:rsid w:val="00AB48BC"/>
    <w:rsid w:val="00AB728A"/>
    <w:rsid w:val="00AC1CA0"/>
    <w:rsid w:val="00AD1DA8"/>
    <w:rsid w:val="00AD341A"/>
    <w:rsid w:val="00AD56B4"/>
    <w:rsid w:val="00AD5C2F"/>
    <w:rsid w:val="00AD7993"/>
    <w:rsid w:val="00AE000C"/>
    <w:rsid w:val="00AE199A"/>
    <w:rsid w:val="00AE2162"/>
    <w:rsid w:val="00AE649A"/>
    <w:rsid w:val="00AF14D1"/>
    <w:rsid w:val="00B0024E"/>
    <w:rsid w:val="00B0465F"/>
    <w:rsid w:val="00B06EE4"/>
    <w:rsid w:val="00B13615"/>
    <w:rsid w:val="00B13A6E"/>
    <w:rsid w:val="00B1492C"/>
    <w:rsid w:val="00B20283"/>
    <w:rsid w:val="00B22BC8"/>
    <w:rsid w:val="00B30306"/>
    <w:rsid w:val="00B329F2"/>
    <w:rsid w:val="00B3398B"/>
    <w:rsid w:val="00B36182"/>
    <w:rsid w:val="00B36B41"/>
    <w:rsid w:val="00B40446"/>
    <w:rsid w:val="00B40B0E"/>
    <w:rsid w:val="00B40D47"/>
    <w:rsid w:val="00B43751"/>
    <w:rsid w:val="00B446A0"/>
    <w:rsid w:val="00B45287"/>
    <w:rsid w:val="00B53414"/>
    <w:rsid w:val="00B563A6"/>
    <w:rsid w:val="00B563D7"/>
    <w:rsid w:val="00B676ED"/>
    <w:rsid w:val="00B77851"/>
    <w:rsid w:val="00B812A9"/>
    <w:rsid w:val="00B8401E"/>
    <w:rsid w:val="00B8414A"/>
    <w:rsid w:val="00B84EB8"/>
    <w:rsid w:val="00B90B5D"/>
    <w:rsid w:val="00B94A92"/>
    <w:rsid w:val="00B95F99"/>
    <w:rsid w:val="00BA4979"/>
    <w:rsid w:val="00BA51BA"/>
    <w:rsid w:val="00BA7997"/>
    <w:rsid w:val="00BB27F9"/>
    <w:rsid w:val="00BC27B9"/>
    <w:rsid w:val="00BC2954"/>
    <w:rsid w:val="00BC332B"/>
    <w:rsid w:val="00BC3445"/>
    <w:rsid w:val="00BC41DB"/>
    <w:rsid w:val="00BC66B2"/>
    <w:rsid w:val="00BD01FC"/>
    <w:rsid w:val="00BE6683"/>
    <w:rsid w:val="00BF1DF5"/>
    <w:rsid w:val="00BF4A7A"/>
    <w:rsid w:val="00BF71E7"/>
    <w:rsid w:val="00BF7EE5"/>
    <w:rsid w:val="00C04552"/>
    <w:rsid w:val="00C06743"/>
    <w:rsid w:val="00C113F6"/>
    <w:rsid w:val="00C15898"/>
    <w:rsid w:val="00C2031B"/>
    <w:rsid w:val="00C205BE"/>
    <w:rsid w:val="00C206BD"/>
    <w:rsid w:val="00C20E6D"/>
    <w:rsid w:val="00C21B34"/>
    <w:rsid w:val="00C224D6"/>
    <w:rsid w:val="00C22E17"/>
    <w:rsid w:val="00C27B9B"/>
    <w:rsid w:val="00C27D6D"/>
    <w:rsid w:val="00C32ED0"/>
    <w:rsid w:val="00C339AD"/>
    <w:rsid w:val="00C36171"/>
    <w:rsid w:val="00C36237"/>
    <w:rsid w:val="00C369B6"/>
    <w:rsid w:val="00C408D8"/>
    <w:rsid w:val="00C4658B"/>
    <w:rsid w:val="00C4680C"/>
    <w:rsid w:val="00C474C1"/>
    <w:rsid w:val="00C53C80"/>
    <w:rsid w:val="00C56A87"/>
    <w:rsid w:val="00C57376"/>
    <w:rsid w:val="00C63E87"/>
    <w:rsid w:val="00C65382"/>
    <w:rsid w:val="00C66558"/>
    <w:rsid w:val="00C724C2"/>
    <w:rsid w:val="00C767C4"/>
    <w:rsid w:val="00C772BC"/>
    <w:rsid w:val="00C77931"/>
    <w:rsid w:val="00C77F3C"/>
    <w:rsid w:val="00C80872"/>
    <w:rsid w:val="00C901D8"/>
    <w:rsid w:val="00C952D3"/>
    <w:rsid w:val="00C9566A"/>
    <w:rsid w:val="00C972D6"/>
    <w:rsid w:val="00CA0C55"/>
    <w:rsid w:val="00CA279F"/>
    <w:rsid w:val="00CA4A32"/>
    <w:rsid w:val="00CA5AB9"/>
    <w:rsid w:val="00CA7B13"/>
    <w:rsid w:val="00CB05AA"/>
    <w:rsid w:val="00CB0841"/>
    <w:rsid w:val="00CC2459"/>
    <w:rsid w:val="00CC29DF"/>
    <w:rsid w:val="00CC7B52"/>
    <w:rsid w:val="00CD23B1"/>
    <w:rsid w:val="00CD35C4"/>
    <w:rsid w:val="00CD4568"/>
    <w:rsid w:val="00CD5788"/>
    <w:rsid w:val="00CD6C36"/>
    <w:rsid w:val="00CE01B9"/>
    <w:rsid w:val="00CE4D06"/>
    <w:rsid w:val="00CE71F2"/>
    <w:rsid w:val="00CE74A6"/>
    <w:rsid w:val="00CF11F1"/>
    <w:rsid w:val="00CF22F6"/>
    <w:rsid w:val="00D10DFC"/>
    <w:rsid w:val="00D11452"/>
    <w:rsid w:val="00D12F5D"/>
    <w:rsid w:val="00D13E9B"/>
    <w:rsid w:val="00D166DA"/>
    <w:rsid w:val="00D17526"/>
    <w:rsid w:val="00D20AF7"/>
    <w:rsid w:val="00D21243"/>
    <w:rsid w:val="00D2157D"/>
    <w:rsid w:val="00D254AF"/>
    <w:rsid w:val="00D25801"/>
    <w:rsid w:val="00D25A95"/>
    <w:rsid w:val="00D2758A"/>
    <w:rsid w:val="00D30148"/>
    <w:rsid w:val="00D374F8"/>
    <w:rsid w:val="00D3789F"/>
    <w:rsid w:val="00D37B3C"/>
    <w:rsid w:val="00D422B0"/>
    <w:rsid w:val="00D4275F"/>
    <w:rsid w:val="00D44D05"/>
    <w:rsid w:val="00D4760F"/>
    <w:rsid w:val="00D50872"/>
    <w:rsid w:val="00D5308F"/>
    <w:rsid w:val="00D5479E"/>
    <w:rsid w:val="00D547C3"/>
    <w:rsid w:val="00D5544B"/>
    <w:rsid w:val="00D5797E"/>
    <w:rsid w:val="00D57B4B"/>
    <w:rsid w:val="00D60B22"/>
    <w:rsid w:val="00D61268"/>
    <w:rsid w:val="00D63FE4"/>
    <w:rsid w:val="00D7169C"/>
    <w:rsid w:val="00D72F6C"/>
    <w:rsid w:val="00D76F06"/>
    <w:rsid w:val="00D77DAA"/>
    <w:rsid w:val="00D77DC9"/>
    <w:rsid w:val="00D8102A"/>
    <w:rsid w:val="00D8109C"/>
    <w:rsid w:val="00D82485"/>
    <w:rsid w:val="00D82E38"/>
    <w:rsid w:val="00D83079"/>
    <w:rsid w:val="00D846DB"/>
    <w:rsid w:val="00D848FA"/>
    <w:rsid w:val="00D858DA"/>
    <w:rsid w:val="00D862DB"/>
    <w:rsid w:val="00D872A7"/>
    <w:rsid w:val="00D914BB"/>
    <w:rsid w:val="00D93EE9"/>
    <w:rsid w:val="00D94224"/>
    <w:rsid w:val="00D94641"/>
    <w:rsid w:val="00D9570C"/>
    <w:rsid w:val="00D9634B"/>
    <w:rsid w:val="00D97A93"/>
    <w:rsid w:val="00DA0896"/>
    <w:rsid w:val="00DA3750"/>
    <w:rsid w:val="00DA706F"/>
    <w:rsid w:val="00DB180C"/>
    <w:rsid w:val="00DB358B"/>
    <w:rsid w:val="00DC345D"/>
    <w:rsid w:val="00DC46DF"/>
    <w:rsid w:val="00DC6B04"/>
    <w:rsid w:val="00DC724F"/>
    <w:rsid w:val="00DD152B"/>
    <w:rsid w:val="00DD2025"/>
    <w:rsid w:val="00DD38F2"/>
    <w:rsid w:val="00DD4594"/>
    <w:rsid w:val="00DD623F"/>
    <w:rsid w:val="00DE265F"/>
    <w:rsid w:val="00DE794D"/>
    <w:rsid w:val="00E00B7A"/>
    <w:rsid w:val="00E01E52"/>
    <w:rsid w:val="00E01F4D"/>
    <w:rsid w:val="00E04492"/>
    <w:rsid w:val="00E07C92"/>
    <w:rsid w:val="00E11370"/>
    <w:rsid w:val="00E13B71"/>
    <w:rsid w:val="00E166CF"/>
    <w:rsid w:val="00E20274"/>
    <w:rsid w:val="00E23130"/>
    <w:rsid w:val="00E23B68"/>
    <w:rsid w:val="00E25F21"/>
    <w:rsid w:val="00E33B3D"/>
    <w:rsid w:val="00E36A77"/>
    <w:rsid w:val="00E37D10"/>
    <w:rsid w:val="00E40898"/>
    <w:rsid w:val="00E40C86"/>
    <w:rsid w:val="00E4498B"/>
    <w:rsid w:val="00E45B0B"/>
    <w:rsid w:val="00E5007B"/>
    <w:rsid w:val="00E51BAA"/>
    <w:rsid w:val="00E52C30"/>
    <w:rsid w:val="00E561E3"/>
    <w:rsid w:val="00E56279"/>
    <w:rsid w:val="00E65E13"/>
    <w:rsid w:val="00E7439C"/>
    <w:rsid w:val="00E8269F"/>
    <w:rsid w:val="00E83F8F"/>
    <w:rsid w:val="00E8656D"/>
    <w:rsid w:val="00E870CF"/>
    <w:rsid w:val="00E872F7"/>
    <w:rsid w:val="00E934B7"/>
    <w:rsid w:val="00E9448F"/>
    <w:rsid w:val="00E95CB3"/>
    <w:rsid w:val="00E96E35"/>
    <w:rsid w:val="00E9752B"/>
    <w:rsid w:val="00E97B0A"/>
    <w:rsid w:val="00EA23BD"/>
    <w:rsid w:val="00EA3552"/>
    <w:rsid w:val="00EA3FED"/>
    <w:rsid w:val="00EA6288"/>
    <w:rsid w:val="00EA7048"/>
    <w:rsid w:val="00EB3B33"/>
    <w:rsid w:val="00EB4AB0"/>
    <w:rsid w:val="00EC2951"/>
    <w:rsid w:val="00EC4C9F"/>
    <w:rsid w:val="00ED2C4D"/>
    <w:rsid w:val="00EE0AF1"/>
    <w:rsid w:val="00EE1351"/>
    <w:rsid w:val="00EF3A8B"/>
    <w:rsid w:val="00EF45CE"/>
    <w:rsid w:val="00EF5103"/>
    <w:rsid w:val="00F04281"/>
    <w:rsid w:val="00F04ADD"/>
    <w:rsid w:val="00F05DAC"/>
    <w:rsid w:val="00F1455B"/>
    <w:rsid w:val="00F166DD"/>
    <w:rsid w:val="00F30363"/>
    <w:rsid w:val="00F31277"/>
    <w:rsid w:val="00F326BE"/>
    <w:rsid w:val="00F3640C"/>
    <w:rsid w:val="00F402D7"/>
    <w:rsid w:val="00F432A6"/>
    <w:rsid w:val="00F44BD4"/>
    <w:rsid w:val="00F5431A"/>
    <w:rsid w:val="00F555BF"/>
    <w:rsid w:val="00F55AE3"/>
    <w:rsid w:val="00F566F3"/>
    <w:rsid w:val="00F56DFD"/>
    <w:rsid w:val="00F579A8"/>
    <w:rsid w:val="00F57C16"/>
    <w:rsid w:val="00F60578"/>
    <w:rsid w:val="00F6061D"/>
    <w:rsid w:val="00F70489"/>
    <w:rsid w:val="00F70634"/>
    <w:rsid w:val="00F70D4F"/>
    <w:rsid w:val="00F7102E"/>
    <w:rsid w:val="00F73273"/>
    <w:rsid w:val="00F77F58"/>
    <w:rsid w:val="00F80035"/>
    <w:rsid w:val="00F81719"/>
    <w:rsid w:val="00F82F3F"/>
    <w:rsid w:val="00F85E1F"/>
    <w:rsid w:val="00F9022B"/>
    <w:rsid w:val="00FA0570"/>
    <w:rsid w:val="00FA07D3"/>
    <w:rsid w:val="00FA0FBA"/>
    <w:rsid w:val="00FA2D71"/>
    <w:rsid w:val="00FA2E96"/>
    <w:rsid w:val="00FA39F6"/>
    <w:rsid w:val="00FA5042"/>
    <w:rsid w:val="00FA7471"/>
    <w:rsid w:val="00FB208C"/>
    <w:rsid w:val="00FB44D8"/>
    <w:rsid w:val="00FC02F6"/>
    <w:rsid w:val="00FC0846"/>
    <w:rsid w:val="00FC288A"/>
    <w:rsid w:val="00FC2F29"/>
    <w:rsid w:val="00FC56B0"/>
    <w:rsid w:val="00FD1AF8"/>
    <w:rsid w:val="00FD20BA"/>
    <w:rsid w:val="00FD332A"/>
    <w:rsid w:val="00FD5F97"/>
    <w:rsid w:val="00FE75B1"/>
    <w:rsid w:val="00FE7C70"/>
    <w:rsid w:val="00FF28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8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C9B"/>
    <w:pPr>
      <w:spacing w:after="240" w:line="288" w:lineRule="auto"/>
      <w:jc w:val="both"/>
    </w:pPr>
    <w:rPr>
      <w:rFonts w:ascii="Gautami" w:eastAsia="Calibri" w:hAnsi="Gautami" w:cs="Times New Roman"/>
      <w:sz w:val="20"/>
      <w:szCs w:val="20"/>
    </w:rPr>
  </w:style>
  <w:style w:type="paragraph" w:styleId="Heading1">
    <w:name w:val="heading 1"/>
    <w:next w:val="AERbodytext"/>
    <w:link w:val="Heading1Char"/>
    <w:uiPriority w:val="9"/>
    <w:qFormat/>
    <w:rsid w:val="00062C62"/>
    <w:pPr>
      <w:keepNext/>
      <w:keepLines/>
      <w:pageBreakBefore/>
      <w:numPr>
        <w:ilvl w:val="1"/>
        <w:numId w:val="17"/>
      </w:numPr>
      <w:spacing w:before="120" w:after="120" w:line="288" w:lineRule="auto"/>
      <w:outlineLvl w:val="0"/>
    </w:pPr>
    <w:rPr>
      <w:rFonts w:ascii="Gautami" w:eastAsia="Times New Roman" w:hAnsi="Gautami" w:cs="Times New Roman"/>
      <w:b/>
      <w:bCs/>
      <w:color w:val="E36C0A"/>
      <w:sz w:val="36"/>
      <w:szCs w:val="28"/>
    </w:rPr>
  </w:style>
  <w:style w:type="paragraph" w:styleId="Heading2">
    <w:name w:val="heading 2"/>
    <w:basedOn w:val="Heading1"/>
    <w:next w:val="AERbodytext"/>
    <w:link w:val="Heading2Char"/>
    <w:uiPriority w:val="9"/>
    <w:qFormat/>
    <w:rsid w:val="00062C62"/>
    <w:pPr>
      <w:pageBreakBefore w:val="0"/>
      <w:numPr>
        <w:ilvl w:val="2"/>
      </w:numPr>
      <w:outlineLvl w:val="1"/>
    </w:pPr>
    <w:rPr>
      <w:bCs w:val="0"/>
      <w:sz w:val="28"/>
      <w:szCs w:val="26"/>
    </w:rPr>
  </w:style>
  <w:style w:type="paragraph" w:styleId="Heading3">
    <w:name w:val="heading 3"/>
    <w:basedOn w:val="Heading2"/>
    <w:next w:val="AERbodytext"/>
    <w:link w:val="Heading3Char"/>
    <w:uiPriority w:val="9"/>
    <w:qFormat/>
    <w:rsid w:val="00062C62"/>
    <w:pPr>
      <w:numPr>
        <w:ilvl w:val="3"/>
      </w:numPr>
      <w:outlineLvl w:val="2"/>
    </w:pPr>
    <w:rPr>
      <w:bCs/>
      <w:sz w:val="24"/>
    </w:rPr>
  </w:style>
  <w:style w:type="paragraph" w:styleId="Heading4">
    <w:name w:val="heading 4"/>
    <w:basedOn w:val="AERbodytext"/>
    <w:next w:val="AERbodytext"/>
    <w:link w:val="Heading4Char"/>
    <w:uiPriority w:val="9"/>
    <w:qFormat/>
    <w:rsid w:val="00062C62"/>
    <w:pPr>
      <w:keepNext/>
      <w:numPr>
        <w:numId w:val="0"/>
      </w:numPr>
      <w:outlineLvl w:val="3"/>
    </w:pPr>
    <w:rPr>
      <w:b/>
      <w:iCs/>
      <w:color w:val="FF0000"/>
      <w:sz w:val="22"/>
    </w:rPr>
  </w:style>
  <w:style w:type="paragraph" w:styleId="Heading5">
    <w:name w:val="heading 5"/>
    <w:basedOn w:val="Heading4"/>
    <w:next w:val="AERbodytext"/>
    <w:link w:val="Heading5Char"/>
    <w:uiPriority w:val="9"/>
    <w:qFormat/>
    <w:rsid w:val="00062C62"/>
    <w:pPr>
      <w:numPr>
        <w:ilvl w:val="5"/>
      </w:numPr>
      <w:outlineLvl w:val="4"/>
    </w:pPr>
    <w:rPr>
      <w:i/>
      <w:sz w:val="20"/>
    </w:rPr>
  </w:style>
  <w:style w:type="paragraph" w:styleId="Heading6">
    <w:name w:val="heading 6"/>
    <w:basedOn w:val="Heading5"/>
    <w:next w:val="AERbodytext"/>
    <w:link w:val="Heading6Char"/>
    <w:uiPriority w:val="9"/>
    <w:qFormat/>
    <w:rsid w:val="00062C62"/>
    <w:pPr>
      <w:numPr>
        <w:ilvl w:val="6"/>
      </w:numPr>
      <w:outlineLvl w:val="5"/>
    </w:pPr>
    <w:rPr>
      <w:b w:val="0"/>
      <w:iCs w:val="0"/>
    </w:rPr>
  </w:style>
  <w:style w:type="paragraph" w:styleId="Heading7">
    <w:name w:val="heading 7"/>
    <w:basedOn w:val="UnnumberedHeading"/>
    <w:next w:val="AERbodytext"/>
    <w:link w:val="Heading7Char"/>
    <w:uiPriority w:val="9"/>
    <w:qFormat/>
    <w:rsid w:val="00062C62"/>
    <w:pPr>
      <w:numPr>
        <w:ilvl w:val="4"/>
      </w:numPr>
      <w:outlineLvl w:val="6"/>
    </w:pPr>
    <w:rPr>
      <w:iCs/>
      <w:szCs w:val="24"/>
    </w:rPr>
  </w:style>
  <w:style w:type="paragraph" w:styleId="Heading8">
    <w:name w:val="heading 8"/>
    <w:basedOn w:val="Heading7"/>
    <w:next w:val="AERbodytext"/>
    <w:link w:val="Heading8Char"/>
    <w:uiPriority w:val="9"/>
    <w:qFormat/>
    <w:rsid w:val="00062C62"/>
    <w:pPr>
      <w:pageBreakBefore w:val="0"/>
      <w:numPr>
        <w:ilvl w:val="5"/>
      </w:numPr>
      <w:outlineLvl w:val="7"/>
    </w:pPr>
    <w:rPr>
      <w:sz w:val="28"/>
      <w:szCs w:val="20"/>
    </w:rPr>
  </w:style>
  <w:style w:type="paragraph" w:styleId="Heading9">
    <w:name w:val="heading 9"/>
    <w:basedOn w:val="Heading8"/>
    <w:next w:val="AERbodytext"/>
    <w:link w:val="Heading9Char"/>
    <w:uiPriority w:val="9"/>
    <w:qFormat/>
    <w:rsid w:val="00062C62"/>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ERbody">
    <w:name w:val="AER body"/>
    <w:basedOn w:val="DefaultParagraphFont"/>
    <w:qFormat/>
    <w:rsid w:val="00062C62"/>
    <w:rPr>
      <w:rFonts w:ascii="Gautami" w:hAnsi="Gautami"/>
      <w:color w:val="auto"/>
      <w:sz w:val="20"/>
    </w:rPr>
  </w:style>
  <w:style w:type="paragraph" w:customStyle="1" w:styleId="AERbodytext">
    <w:name w:val="AER body text"/>
    <w:link w:val="AERbodytextChar"/>
    <w:qFormat/>
    <w:rsid w:val="00062C62"/>
    <w:pPr>
      <w:numPr>
        <w:numId w:val="10"/>
      </w:numPr>
      <w:spacing w:after="240" w:line="288" w:lineRule="auto"/>
      <w:jc w:val="both"/>
    </w:pPr>
    <w:rPr>
      <w:rFonts w:ascii="Gautami" w:eastAsia="Times New Roman" w:hAnsi="Gautami" w:cs="Times New Roman"/>
      <w:sz w:val="20"/>
      <w:szCs w:val="24"/>
    </w:rPr>
  </w:style>
  <w:style w:type="character" w:customStyle="1" w:styleId="AERbodytextChar">
    <w:name w:val="AER body text Char"/>
    <w:basedOn w:val="DefaultParagraphFont"/>
    <w:link w:val="AERbodytext"/>
    <w:rsid w:val="00062C62"/>
    <w:rPr>
      <w:rFonts w:ascii="Gautami" w:eastAsia="Times New Roman" w:hAnsi="Gautami" w:cs="Times New Roman"/>
      <w:sz w:val="20"/>
      <w:szCs w:val="24"/>
    </w:rPr>
  </w:style>
  <w:style w:type="paragraph" w:customStyle="1" w:styleId="AERbodytextindent1">
    <w:name w:val="AER body text (indent 1)"/>
    <w:basedOn w:val="AERbodytext"/>
    <w:qFormat/>
    <w:rsid w:val="00062C62"/>
    <w:pPr>
      <w:numPr>
        <w:numId w:val="0"/>
      </w:numPr>
      <w:ind w:left="357"/>
    </w:pPr>
  </w:style>
  <w:style w:type="paragraph" w:customStyle="1" w:styleId="AERbodytextindent2">
    <w:name w:val="AER body text (indent 2)"/>
    <w:basedOn w:val="AERbodytextindent1"/>
    <w:qFormat/>
    <w:rsid w:val="00062C62"/>
    <w:pPr>
      <w:ind w:left="709"/>
    </w:pPr>
  </w:style>
  <w:style w:type="paragraph" w:customStyle="1" w:styleId="AERbodytextindent3">
    <w:name w:val="AER body text (indent 3)"/>
    <w:basedOn w:val="AERbodytext"/>
    <w:qFormat/>
    <w:rsid w:val="00062C62"/>
    <w:pPr>
      <w:numPr>
        <w:numId w:val="0"/>
      </w:numPr>
      <w:ind w:left="1077"/>
    </w:pPr>
  </w:style>
  <w:style w:type="paragraph" w:customStyle="1" w:styleId="AERbodytextnospace">
    <w:name w:val="AER body text no space"/>
    <w:basedOn w:val="AERbodytext"/>
    <w:qFormat/>
    <w:rsid w:val="00062C62"/>
    <w:pPr>
      <w:numPr>
        <w:numId w:val="0"/>
      </w:numPr>
      <w:spacing w:after="0"/>
    </w:pPr>
  </w:style>
  <w:style w:type="paragraph" w:customStyle="1" w:styleId="AERbulletlistfirststyle">
    <w:name w:val="AER bullet list (first style)"/>
    <w:basedOn w:val="AERbodytext"/>
    <w:qFormat/>
    <w:rsid w:val="00062C62"/>
    <w:pPr>
      <w:numPr>
        <w:numId w:val="6"/>
      </w:numPr>
      <w:tabs>
        <w:tab w:val="left" w:pos="357"/>
      </w:tabs>
      <w:spacing w:after="200"/>
    </w:pPr>
  </w:style>
  <w:style w:type="paragraph" w:customStyle="1" w:styleId="AERbulletlistsecondstyle">
    <w:name w:val="AER bullet list (second style)"/>
    <w:basedOn w:val="AERbodytext"/>
    <w:qFormat/>
    <w:rsid w:val="00062C62"/>
    <w:pPr>
      <w:numPr>
        <w:numId w:val="7"/>
      </w:numPr>
      <w:tabs>
        <w:tab w:val="left" w:pos="709"/>
      </w:tabs>
      <w:spacing w:after="200"/>
    </w:pPr>
  </w:style>
  <w:style w:type="paragraph" w:customStyle="1" w:styleId="AERbulletlistthirdstyle">
    <w:name w:val="AER bullet list (third style)"/>
    <w:basedOn w:val="AERbodytext"/>
    <w:qFormat/>
    <w:rsid w:val="00062C62"/>
    <w:pPr>
      <w:numPr>
        <w:numId w:val="8"/>
      </w:numPr>
      <w:tabs>
        <w:tab w:val="left" w:pos="1077"/>
      </w:tabs>
      <w:spacing w:after="200"/>
    </w:pPr>
  </w:style>
  <w:style w:type="numbering" w:customStyle="1" w:styleId="AERHeadings">
    <w:name w:val="AER Headings"/>
    <w:uiPriority w:val="99"/>
    <w:rsid w:val="00062C62"/>
    <w:pPr>
      <w:numPr>
        <w:numId w:val="2"/>
      </w:numPr>
    </w:pPr>
  </w:style>
  <w:style w:type="numbering" w:customStyle="1" w:styleId="AERnumberedlist">
    <w:name w:val="AER numbered list"/>
    <w:uiPriority w:val="99"/>
    <w:rsid w:val="00062C62"/>
    <w:pPr>
      <w:numPr>
        <w:numId w:val="3"/>
      </w:numPr>
    </w:pPr>
  </w:style>
  <w:style w:type="paragraph" w:customStyle="1" w:styleId="AERnumberedlistfirststyle">
    <w:name w:val="AER numbered list (first style)"/>
    <w:basedOn w:val="AERbodytext"/>
    <w:qFormat/>
    <w:rsid w:val="00062C62"/>
    <w:pPr>
      <w:numPr>
        <w:ilvl w:val="1"/>
      </w:numPr>
      <w:spacing w:after="200"/>
    </w:pPr>
  </w:style>
  <w:style w:type="paragraph" w:customStyle="1" w:styleId="AERnumberedlistsecondstyle">
    <w:name w:val="AER numbered list (second style)"/>
    <w:basedOn w:val="AERnumberedlistfirststyle"/>
    <w:qFormat/>
    <w:rsid w:val="00062C62"/>
    <w:pPr>
      <w:numPr>
        <w:ilvl w:val="2"/>
      </w:numPr>
    </w:pPr>
  </w:style>
  <w:style w:type="paragraph" w:customStyle="1" w:styleId="AERnumberedlistthirdstyle">
    <w:name w:val="AER numbered list (third style)"/>
    <w:basedOn w:val="AERnumberedlistsecondstyle"/>
    <w:qFormat/>
    <w:rsid w:val="00062C62"/>
    <w:pPr>
      <w:numPr>
        <w:ilvl w:val="3"/>
      </w:numPr>
    </w:pPr>
  </w:style>
  <w:style w:type="paragraph" w:customStyle="1" w:styleId="AERnumberedlist2first">
    <w:name w:val="AER numbered list 2 first"/>
    <w:basedOn w:val="AERbodytext"/>
    <w:qFormat/>
    <w:rsid w:val="00062C62"/>
    <w:pPr>
      <w:numPr>
        <w:ilvl w:val="4"/>
      </w:numPr>
    </w:pPr>
  </w:style>
  <w:style w:type="paragraph" w:customStyle="1" w:styleId="AERnumberedlist2second">
    <w:name w:val="AER numbered list 2 second"/>
    <w:basedOn w:val="AERnumberedlist2first"/>
    <w:qFormat/>
    <w:rsid w:val="00062C62"/>
    <w:pPr>
      <w:numPr>
        <w:ilvl w:val="5"/>
      </w:numPr>
    </w:pPr>
  </w:style>
  <w:style w:type="paragraph" w:customStyle="1" w:styleId="AERnumberedlist2third">
    <w:name w:val="AER numbered list 2 third"/>
    <w:basedOn w:val="AERnumberedlist2second"/>
    <w:qFormat/>
    <w:rsid w:val="00062C62"/>
    <w:pPr>
      <w:numPr>
        <w:ilvl w:val="6"/>
      </w:numPr>
    </w:pPr>
  </w:style>
  <w:style w:type="paragraph" w:customStyle="1" w:styleId="AERquote">
    <w:name w:val="AER quote"/>
    <w:next w:val="AERbodytext"/>
    <w:qFormat/>
    <w:rsid w:val="00062C62"/>
    <w:pPr>
      <w:tabs>
        <w:tab w:val="num" w:pos="709"/>
      </w:tabs>
      <w:spacing w:after="160" w:line="288" w:lineRule="auto"/>
      <w:ind w:left="709" w:right="720"/>
      <w:jc w:val="both"/>
    </w:pPr>
    <w:rPr>
      <w:rFonts w:ascii="Gautami" w:eastAsia="Times New Roman" w:hAnsi="Gautami" w:cs="Times New Roman"/>
      <w:color w:val="000000"/>
      <w:sz w:val="16"/>
      <w:szCs w:val="24"/>
    </w:rPr>
  </w:style>
  <w:style w:type="paragraph" w:customStyle="1" w:styleId="AERquoteindent1">
    <w:name w:val="AER quote (indent 1)"/>
    <w:basedOn w:val="AERquote"/>
    <w:qFormat/>
    <w:rsid w:val="00062C62"/>
    <w:pPr>
      <w:tabs>
        <w:tab w:val="clear" w:pos="709"/>
        <w:tab w:val="num" w:pos="1077"/>
      </w:tabs>
      <w:ind w:left="1077" w:right="1440"/>
    </w:pPr>
  </w:style>
  <w:style w:type="paragraph" w:customStyle="1" w:styleId="AERquoteindent2">
    <w:name w:val="AER quote (indent 2)"/>
    <w:basedOn w:val="AERquoteindent1"/>
    <w:qFormat/>
    <w:rsid w:val="00062C62"/>
    <w:pPr>
      <w:tabs>
        <w:tab w:val="clear" w:pos="1077"/>
        <w:tab w:val="left" w:pos="1440"/>
      </w:tabs>
      <w:ind w:left="1440" w:right="1797"/>
    </w:pPr>
  </w:style>
  <w:style w:type="paragraph" w:customStyle="1" w:styleId="AERquoteindent3">
    <w:name w:val="AER quote (indent 3)"/>
    <w:basedOn w:val="AERquoteindent2"/>
    <w:qFormat/>
    <w:rsid w:val="00062C62"/>
    <w:pPr>
      <w:tabs>
        <w:tab w:val="clear" w:pos="1440"/>
        <w:tab w:val="left" w:pos="1803"/>
      </w:tabs>
      <w:ind w:left="1803" w:right="2160"/>
    </w:pPr>
  </w:style>
  <w:style w:type="paragraph" w:customStyle="1" w:styleId="AERquotebullet1">
    <w:name w:val="AER quote bullet 1"/>
    <w:basedOn w:val="Normal"/>
    <w:qFormat/>
    <w:rsid w:val="00062C62"/>
    <w:pPr>
      <w:numPr>
        <w:numId w:val="9"/>
      </w:numPr>
      <w:tabs>
        <w:tab w:val="left" w:pos="1077"/>
      </w:tabs>
      <w:spacing w:line="200" w:lineRule="atLeast"/>
      <w:ind w:right="663"/>
    </w:pPr>
    <w:rPr>
      <w:rFonts w:eastAsia="Times New Roman"/>
      <w:sz w:val="16"/>
      <w:szCs w:val="16"/>
    </w:rPr>
  </w:style>
  <w:style w:type="paragraph" w:customStyle="1" w:styleId="AERrevisionbox">
    <w:name w:val="AER revision box"/>
    <w:basedOn w:val="AERbodytext"/>
    <w:qFormat/>
    <w:rsid w:val="00062C62"/>
    <w:pPr>
      <w:numPr>
        <w:numId w:val="0"/>
      </w:numPr>
      <w:pBdr>
        <w:top w:val="single" w:sz="4" w:space="1" w:color="auto"/>
        <w:left w:val="single" w:sz="4" w:space="4" w:color="auto"/>
        <w:bottom w:val="single" w:sz="4" w:space="1" w:color="auto"/>
        <w:right w:val="single" w:sz="4" w:space="4" w:color="auto"/>
      </w:pBdr>
      <w:shd w:val="clear" w:color="auto" w:fill="E0E0E0"/>
    </w:pPr>
  </w:style>
  <w:style w:type="character" w:customStyle="1" w:styleId="AERsubscript">
    <w:name w:val="AER subscript"/>
    <w:qFormat/>
    <w:rsid w:val="00062C62"/>
    <w:rPr>
      <w:rFonts w:ascii="Gautami" w:hAnsi="Gautami"/>
      <w:vertAlign w:val="subscript"/>
    </w:rPr>
  </w:style>
  <w:style w:type="character" w:customStyle="1" w:styleId="AERsuperscript">
    <w:name w:val="AER superscript"/>
    <w:qFormat/>
    <w:rsid w:val="00062C62"/>
    <w:rPr>
      <w:rFonts w:ascii="Gautami" w:hAnsi="Gautami"/>
      <w:vertAlign w:val="superscript"/>
    </w:rPr>
  </w:style>
  <w:style w:type="table" w:customStyle="1" w:styleId="AERtable-numbers">
    <w:name w:val="AER table - numbers"/>
    <w:basedOn w:val="TableNormal"/>
    <w:uiPriority w:val="99"/>
    <w:rsid w:val="00062C62"/>
    <w:pPr>
      <w:spacing w:before="120" w:after="80" w:line="240" w:lineRule="auto"/>
      <w:jc w:val="right"/>
    </w:pPr>
    <w:rPr>
      <w:rFonts w:ascii="Gautami" w:eastAsia="Calibri" w:hAnsi="Gautam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customStyle="1" w:styleId="AERtable-text">
    <w:name w:val="AER table - text"/>
    <w:basedOn w:val="TableNormal"/>
    <w:uiPriority w:val="99"/>
    <w:rsid w:val="00062C62"/>
    <w:pPr>
      <w:spacing w:before="120" w:after="80" w:line="240" w:lineRule="auto"/>
    </w:pPr>
    <w:rPr>
      <w:rFonts w:ascii="Gautami" w:eastAsia="Calibri" w:hAnsi="Gautam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customStyle="1" w:styleId="AERtablesource">
    <w:name w:val="AER table source"/>
    <w:next w:val="AERbodytext"/>
    <w:qFormat/>
    <w:rsid w:val="00062C62"/>
    <w:pPr>
      <w:tabs>
        <w:tab w:val="left" w:pos="794"/>
      </w:tabs>
      <w:spacing w:before="40" w:after="240" w:line="240" w:lineRule="auto"/>
      <w:ind w:left="794" w:hanging="794"/>
      <w:contextualSpacing/>
      <w:jc w:val="both"/>
    </w:pPr>
    <w:rPr>
      <w:rFonts w:ascii="Gautami" w:eastAsia="Times New Roman" w:hAnsi="Gautami" w:cs="Times New Roman"/>
      <w:sz w:val="16"/>
      <w:szCs w:val="24"/>
    </w:rPr>
  </w:style>
  <w:style w:type="paragraph" w:customStyle="1" w:styleId="AERtabletextleft">
    <w:name w:val="AER table text left"/>
    <w:qFormat/>
    <w:rsid w:val="00062C62"/>
    <w:pPr>
      <w:spacing w:before="80" w:after="120" w:line="288" w:lineRule="auto"/>
    </w:pPr>
    <w:rPr>
      <w:rFonts w:ascii="Gautami" w:eastAsia="Times New Roman" w:hAnsi="Gautami" w:cs="Times New Roman"/>
      <w:sz w:val="16"/>
      <w:szCs w:val="24"/>
    </w:rPr>
  </w:style>
  <w:style w:type="paragraph" w:customStyle="1" w:styleId="AERtabletextright">
    <w:name w:val="AER table text right"/>
    <w:basedOn w:val="AERtabletextleft"/>
    <w:qFormat/>
    <w:rsid w:val="00062C62"/>
    <w:pPr>
      <w:spacing w:before="120" w:after="80"/>
      <w:jc w:val="right"/>
    </w:pPr>
  </w:style>
  <w:style w:type="character" w:customStyle="1" w:styleId="AERtextblue">
    <w:name w:val="AER text blue"/>
    <w:uiPriority w:val="1"/>
    <w:qFormat/>
    <w:rsid w:val="00062C62"/>
    <w:rPr>
      <w:color w:val="365F91"/>
    </w:rPr>
  </w:style>
  <w:style w:type="character" w:customStyle="1" w:styleId="AERtextbold">
    <w:name w:val="AER text bold"/>
    <w:qFormat/>
    <w:rsid w:val="00062C62"/>
    <w:rPr>
      <w:b/>
    </w:rPr>
  </w:style>
  <w:style w:type="character" w:customStyle="1" w:styleId="AERtextbolditalics">
    <w:name w:val="AER text bold italics"/>
    <w:basedOn w:val="AERtextbold"/>
    <w:qFormat/>
    <w:rsid w:val="00062C62"/>
    <w:rPr>
      <w:b/>
      <w:i/>
    </w:rPr>
  </w:style>
  <w:style w:type="character" w:customStyle="1" w:styleId="AERtextboldunderline">
    <w:name w:val="AER text bold underline"/>
    <w:qFormat/>
    <w:rsid w:val="00062C62"/>
    <w:rPr>
      <w:b/>
      <w:u w:val="single"/>
    </w:rPr>
  </w:style>
  <w:style w:type="character" w:customStyle="1" w:styleId="AERtextconfidential">
    <w:name w:val="AER text confidential"/>
    <w:qFormat/>
    <w:rsid w:val="00062C62"/>
    <w:rPr>
      <w:bdr w:val="none" w:sz="0" w:space="0" w:color="auto"/>
      <w:shd w:val="clear" w:color="auto" w:fill="CCFFFF"/>
    </w:rPr>
  </w:style>
  <w:style w:type="character" w:customStyle="1" w:styleId="AERtexthighlight">
    <w:name w:val="AER text highlight"/>
    <w:qFormat/>
    <w:rsid w:val="00062C62"/>
    <w:rPr>
      <w:bdr w:val="none" w:sz="0" w:space="0" w:color="auto"/>
      <w:shd w:val="clear" w:color="auto" w:fill="FFFF00"/>
    </w:rPr>
  </w:style>
  <w:style w:type="character" w:customStyle="1" w:styleId="AERtextitalic">
    <w:name w:val="AER text italic"/>
    <w:qFormat/>
    <w:rsid w:val="00062C62"/>
    <w:rPr>
      <w:i/>
    </w:rPr>
  </w:style>
  <w:style w:type="character" w:customStyle="1" w:styleId="AERtextorange">
    <w:name w:val="AER text orange"/>
    <w:uiPriority w:val="1"/>
    <w:qFormat/>
    <w:rsid w:val="00062C62"/>
    <w:rPr>
      <w:color w:val="E36C0A"/>
    </w:rPr>
  </w:style>
  <w:style w:type="character" w:customStyle="1" w:styleId="AERtextsize10">
    <w:name w:val="AER text size 10"/>
    <w:uiPriority w:val="1"/>
    <w:qFormat/>
    <w:rsid w:val="00062C62"/>
    <w:rPr>
      <w:sz w:val="20"/>
    </w:rPr>
  </w:style>
  <w:style w:type="character" w:customStyle="1" w:styleId="AERtextsize8">
    <w:name w:val="AER text size 8"/>
    <w:uiPriority w:val="1"/>
    <w:qFormat/>
    <w:rsid w:val="00062C62"/>
    <w:rPr>
      <w:sz w:val="16"/>
    </w:rPr>
  </w:style>
  <w:style w:type="character" w:customStyle="1" w:styleId="AERtextunderline">
    <w:name w:val="AER text underline"/>
    <w:qFormat/>
    <w:rsid w:val="00062C62"/>
    <w:rPr>
      <w:u w:val="single"/>
    </w:rPr>
  </w:style>
  <w:style w:type="paragraph" w:customStyle="1" w:styleId="AERtitle1">
    <w:name w:val="AER title 1"/>
    <w:qFormat/>
    <w:rsid w:val="00062C62"/>
    <w:pPr>
      <w:spacing w:after="240" w:line="288" w:lineRule="auto"/>
      <w:jc w:val="center"/>
    </w:pPr>
    <w:rPr>
      <w:rFonts w:ascii="Gautami" w:eastAsia="Times New Roman" w:hAnsi="Gautami" w:cs="Times New Roman"/>
      <w:b/>
      <w:sz w:val="40"/>
      <w:szCs w:val="24"/>
      <w:lang w:eastAsia="en-AU"/>
    </w:rPr>
  </w:style>
  <w:style w:type="paragraph" w:customStyle="1" w:styleId="AERtitle2">
    <w:name w:val="AER title 2"/>
    <w:qFormat/>
    <w:rsid w:val="00062C62"/>
    <w:pPr>
      <w:spacing w:after="240" w:line="288" w:lineRule="auto"/>
      <w:jc w:val="center"/>
    </w:pPr>
    <w:rPr>
      <w:rFonts w:ascii="Gautami" w:eastAsia="Times New Roman" w:hAnsi="Gautami" w:cs="Times New Roman"/>
      <w:sz w:val="32"/>
      <w:szCs w:val="24"/>
    </w:rPr>
  </w:style>
  <w:style w:type="paragraph" w:styleId="BalloonText">
    <w:name w:val="Balloon Text"/>
    <w:basedOn w:val="Normal"/>
    <w:link w:val="BalloonTextChar"/>
    <w:uiPriority w:val="99"/>
    <w:semiHidden/>
    <w:unhideWhenUsed/>
    <w:rsid w:val="00062C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2C62"/>
    <w:rPr>
      <w:rFonts w:ascii="Tahoma" w:eastAsia="Calibri" w:hAnsi="Tahoma" w:cs="Tahoma"/>
      <w:sz w:val="16"/>
      <w:szCs w:val="16"/>
    </w:rPr>
  </w:style>
  <w:style w:type="paragraph" w:styleId="Caption">
    <w:name w:val="caption"/>
    <w:basedOn w:val="AERbodytext"/>
    <w:next w:val="AERbodytext"/>
    <w:uiPriority w:val="35"/>
    <w:qFormat/>
    <w:rsid w:val="00062C62"/>
    <w:pPr>
      <w:keepNext/>
      <w:numPr>
        <w:numId w:val="0"/>
      </w:numPr>
      <w:tabs>
        <w:tab w:val="left" w:pos="1440"/>
      </w:tabs>
      <w:spacing w:before="120" w:after="120"/>
      <w:ind w:left="1440" w:hanging="1440"/>
    </w:pPr>
    <w:rPr>
      <w:b/>
      <w:bCs/>
      <w:szCs w:val="18"/>
    </w:rPr>
  </w:style>
  <w:style w:type="character" w:styleId="CommentReference">
    <w:name w:val="annotation reference"/>
    <w:basedOn w:val="DefaultParagraphFont"/>
    <w:uiPriority w:val="99"/>
    <w:semiHidden/>
    <w:unhideWhenUsed/>
    <w:rsid w:val="00062C62"/>
    <w:rPr>
      <w:sz w:val="16"/>
      <w:szCs w:val="16"/>
    </w:rPr>
  </w:style>
  <w:style w:type="paragraph" w:styleId="CommentText">
    <w:name w:val="annotation text"/>
    <w:basedOn w:val="Normal"/>
    <w:link w:val="CommentTextChar"/>
    <w:uiPriority w:val="99"/>
    <w:semiHidden/>
    <w:unhideWhenUsed/>
    <w:rsid w:val="00062C62"/>
    <w:pPr>
      <w:spacing w:line="240" w:lineRule="auto"/>
    </w:pPr>
  </w:style>
  <w:style w:type="character" w:customStyle="1" w:styleId="CommentTextChar">
    <w:name w:val="Comment Text Char"/>
    <w:basedOn w:val="DefaultParagraphFont"/>
    <w:link w:val="CommentText"/>
    <w:uiPriority w:val="99"/>
    <w:semiHidden/>
    <w:rsid w:val="00062C62"/>
    <w:rPr>
      <w:rFonts w:ascii="Gautami" w:eastAsia="Calibri" w:hAnsi="Gautami" w:cs="Times New Roman"/>
      <w:sz w:val="20"/>
      <w:szCs w:val="20"/>
    </w:rPr>
  </w:style>
  <w:style w:type="paragraph" w:styleId="CommentSubject">
    <w:name w:val="annotation subject"/>
    <w:basedOn w:val="CommentText"/>
    <w:next w:val="CommentText"/>
    <w:link w:val="CommentSubjectChar"/>
    <w:uiPriority w:val="99"/>
    <w:semiHidden/>
    <w:unhideWhenUsed/>
    <w:rsid w:val="00062C62"/>
    <w:rPr>
      <w:b/>
      <w:bCs/>
    </w:rPr>
  </w:style>
  <w:style w:type="character" w:customStyle="1" w:styleId="CommentSubjectChar">
    <w:name w:val="Comment Subject Char"/>
    <w:basedOn w:val="CommentTextChar"/>
    <w:link w:val="CommentSubject"/>
    <w:uiPriority w:val="99"/>
    <w:semiHidden/>
    <w:rsid w:val="00062C62"/>
    <w:rPr>
      <w:rFonts w:ascii="Gautami" w:eastAsia="Calibri" w:hAnsi="Gautami" w:cs="Times New Roman"/>
      <w:b/>
      <w:bCs/>
      <w:sz w:val="20"/>
      <w:szCs w:val="20"/>
    </w:rPr>
  </w:style>
  <w:style w:type="paragraph" w:styleId="Footer">
    <w:name w:val="footer"/>
    <w:basedOn w:val="Normal"/>
    <w:link w:val="FooterChar"/>
    <w:uiPriority w:val="99"/>
    <w:qFormat/>
    <w:rsid w:val="00062C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2C62"/>
    <w:rPr>
      <w:rFonts w:ascii="Gautami" w:eastAsia="Calibri" w:hAnsi="Gautami" w:cs="Times New Roman"/>
      <w:sz w:val="20"/>
      <w:szCs w:val="20"/>
    </w:rPr>
  </w:style>
  <w:style w:type="character" w:styleId="FootnoteReference">
    <w:name w:val="footnote reference"/>
    <w:aliases w:val="(NECG) Footnote Reference,(NECG) Footnote Reference1,(NECG) Footnote Reference2,o,Style 3,Style 12,fr,Appel note de bas de p,Style 124,(NECG) Footnote Reference3,(NECG) Footnote Reference4,(NECG) Footnote Reference5"/>
    <w:basedOn w:val="DefaultParagraphFont"/>
    <w:uiPriority w:val="99"/>
    <w:unhideWhenUsed/>
    <w:rsid w:val="00062C62"/>
    <w:rPr>
      <w:vertAlign w:val="superscript"/>
    </w:r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AERbodytext"/>
    <w:link w:val="FootnoteTextChar"/>
    <w:uiPriority w:val="99"/>
    <w:qFormat/>
    <w:rsid w:val="00062C62"/>
    <w:pPr>
      <w:numPr>
        <w:numId w:val="0"/>
      </w:numPr>
      <w:tabs>
        <w:tab w:val="left" w:pos="426"/>
      </w:tabs>
      <w:spacing w:after="0" w:line="240" w:lineRule="auto"/>
      <w:ind w:left="426" w:hanging="426"/>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062C62"/>
    <w:rPr>
      <w:rFonts w:ascii="Gautami" w:eastAsia="Times New Roman" w:hAnsi="Gautami" w:cs="Times New Roman"/>
      <w:sz w:val="16"/>
      <w:szCs w:val="20"/>
    </w:rPr>
  </w:style>
  <w:style w:type="paragraph" w:styleId="Header">
    <w:name w:val="header"/>
    <w:basedOn w:val="Normal"/>
    <w:link w:val="HeaderChar"/>
    <w:uiPriority w:val="99"/>
    <w:unhideWhenUsed/>
    <w:rsid w:val="00062C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2C62"/>
    <w:rPr>
      <w:rFonts w:ascii="Gautami" w:eastAsia="Calibri" w:hAnsi="Gautami" w:cs="Times New Roman"/>
      <w:sz w:val="20"/>
      <w:szCs w:val="20"/>
    </w:rPr>
  </w:style>
  <w:style w:type="character" w:customStyle="1" w:styleId="Heading1Char">
    <w:name w:val="Heading 1 Char"/>
    <w:basedOn w:val="DefaultParagraphFont"/>
    <w:link w:val="Heading1"/>
    <w:uiPriority w:val="9"/>
    <w:rsid w:val="00062C62"/>
    <w:rPr>
      <w:rFonts w:ascii="Gautami" w:eastAsia="Times New Roman" w:hAnsi="Gautami" w:cs="Times New Roman"/>
      <w:b/>
      <w:bCs/>
      <w:color w:val="E36C0A"/>
      <w:sz w:val="36"/>
      <w:szCs w:val="28"/>
    </w:rPr>
  </w:style>
  <w:style w:type="character" w:customStyle="1" w:styleId="Heading2Char">
    <w:name w:val="Heading 2 Char"/>
    <w:basedOn w:val="DefaultParagraphFont"/>
    <w:link w:val="Heading2"/>
    <w:uiPriority w:val="9"/>
    <w:rsid w:val="00062C62"/>
    <w:rPr>
      <w:rFonts w:ascii="Gautami" w:eastAsia="Times New Roman" w:hAnsi="Gautami" w:cs="Times New Roman"/>
      <w:b/>
      <w:color w:val="E36C0A"/>
      <w:sz w:val="28"/>
      <w:szCs w:val="26"/>
    </w:rPr>
  </w:style>
  <w:style w:type="character" w:customStyle="1" w:styleId="Heading3Char">
    <w:name w:val="Heading 3 Char"/>
    <w:basedOn w:val="DefaultParagraphFont"/>
    <w:link w:val="Heading3"/>
    <w:uiPriority w:val="9"/>
    <w:rsid w:val="00062C62"/>
    <w:rPr>
      <w:rFonts w:ascii="Gautami" w:eastAsia="Times New Roman" w:hAnsi="Gautami" w:cs="Times New Roman"/>
      <w:b/>
      <w:bCs/>
      <w:color w:val="E36C0A"/>
      <w:sz w:val="24"/>
      <w:szCs w:val="26"/>
    </w:rPr>
  </w:style>
  <w:style w:type="character" w:customStyle="1" w:styleId="Heading4Char">
    <w:name w:val="Heading 4 Char"/>
    <w:basedOn w:val="DefaultParagraphFont"/>
    <w:link w:val="Heading4"/>
    <w:uiPriority w:val="9"/>
    <w:rsid w:val="00062C62"/>
    <w:rPr>
      <w:rFonts w:ascii="Gautami" w:eastAsia="Times New Roman" w:hAnsi="Gautami" w:cs="Times New Roman"/>
      <w:b/>
      <w:iCs/>
      <w:color w:val="FF0000"/>
      <w:szCs w:val="24"/>
    </w:rPr>
  </w:style>
  <w:style w:type="character" w:customStyle="1" w:styleId="Heading5Char">
    <w:name w:val="Heading 5 Char"/>
    <w:basedOn w:val="DefaultParagraphFont"/>
    <w:link w:val="Heading5"/>
    <w:uiPriority w:val="9"/>
    <w:rsid w:val="00062C62"/>
    <w:rPr>
      <w:rFonts w:ascii="Gautami" w:eastAsia="Times New Roman" w:hAnsi="Gautami" w:cs="Times New Roman"/>
      <w:b/>
      <w:i/>
      <w:iCs/>
      <w:color w:val="FF0000"/>
      <w:sz w:val="20"/>
      <w:szCs w:val="24"/>
    </w:rPr>
  </w:style>
  <w:style w:type="character" w:customStyle="1" w:styleId="Heading6Char">
    <w:name w:val="Heading 6 Char"/>
    <w:basedOn w:val="DefaultParagraphFont"/>
    <w:link w:val="Heading6"/>
    <w:uiPriority w:val="9"/>
    <w:rsid w:val="00062C62"/>
    <w:rPr>
      <w:rFonts w:ascii="Gautami" w:eastAsia="Times New Roman" w:hAnsi="Gautami" w:cs="Times New Roman"/>
      <w:i/>
      <w:color w:val="FF0000"/>
      <w:sz w:val="20"/>
      <w:szCs w:val="24"/>
    </w:rPr>
  </w:style>
  <w:style w:type="paragraph" w:customStyle="1" w:styleId="UnnumberedHeading">
    <w:name w:val="Unnumbered Heading"/>
    <w:basedOn w:val="Heading1"/>
    <w:next w:val="AERbodytext"/>
    <w:link w:val="UnnumberedHeadingChar"/>
    <w:qFormat/>
    <w:rsid w:val="00062C62"/>
    <w:pPr>
      <w:numPr>
        <w:ilvl w:val="0"/>
      </w:numPr>
    </w:pPr>
  </w:style>
  <w:style w:type="character" w:customStyle="1" w:styleId="UnnumberedHeadingChar">
    <w:name w:val="Unnumbered Heading Char"/>
    <w:basedOn w:val="Heading1Char"/>
    <w:link w:val="UnnumberedHeading"/>
    <w:rsid w:val="00062C62"/>
    <w:rPr>
      <w:rFonts w:ascii="Gautami" w:eastAsia="Times New Roman" w:hAnsi="Gautami" w:cs="Times New Roman"/>
      <w:b/>
      <w:bCs/>
      <w:color w:val="E36C0A"/>
      <w:sz w:val="36"/>
      <w:szCs w:val="28"/>
    </w:rPr>
  </w:style>
  <w:style w:type="character" w:customStyle="1" w:styleId="Heading7Char">
    <w:name w:val="Heading 7 Char"/>
    <w:basedOn w:val="DefaultParagraphFont"/>
    <w:link w:val="Heading7"/>
    <w:uiPriority w:val="9"/>
    <w:rsid w:val="00062C62"/>
    <w:rPr>
      <w:rFonts w:ascii="Gautami" w:eastAsia="Times New Roman" w:hAnsi="Gautami" w:cs="Times New Roman"/>
      <w:b/>
      <w:bCs/>
      <w:iCs/>
      <w:color w:val="E36C0A"/>
      <w:sz w:val="36"/>
      <w:szCs w:val="24"/>
    </w:rPr>
  </w:style>
  <w:style w:type="character" w:customStyle="1" w:styleId="Heading8Char">
    <w:name w:val="Heading 8 Char"/>
    <w:basedOn w:val="DefaultParagraphFont"/>
    <w:link w:val="Heading8"/>
    <w:uiPriority w:val="9"/>
    <w:rsid w:val="00062C62"/>
    <w:rPr>
      <w:rFonts w:ascii="Gautami" w:eastAsia="Times New Roman" w:hAnsi="Gautami" w:cs="Times New Roman"/>
      <w:b/>
      <w:bCs/>
      <w:iCs/>
      <w:color w:val="E36C0A"/>
      <w:sz w:val="28"/>
      <w:szCs w:val="20"/>
    </w:rPr>
  </w:style>
  <w:style w:type="character" w:customStyle="1" w:styleId="Heading9Char">
    <w:name w:val="Heading 9 Char"/>
    <w:basedOn w:val="DefaultParagraphFont"/>
    <w:link w:val="Heading9"/>
    <w:uiPriority w:val="9"/>
    <w:rsid w:val="00062C62"/>
    <w:rPr>
      <w:rFonts w:ascii="Gautami" w:eastAsia="Times New Roman" w:hAnsi="Gautami" w:cs="Times New Roman"/>
      <w:b/>
      <w:bCs/>
      <w:color w:val="E36C0A"/>
      <w:sz w:val="24"/>
      <w:szCs w:val="20"/>
    </w:rPr>
  </w:style>
  <w:style w:type="paragraph" w:customStyle="1" w:styleId="HeadingBoldBlue">
    <w:name w:val="Heading Bold Blue"/>
    <w:basedOn w:val="AERbodytext"/>
    <w:next w:val="AERbodytext"/>
    <w:link w:val="HeadingBoldBlueChar"/>
    <w:qFormat/>
    <w:rsid w:val="00062C62"/>
    <w:pPr>
      <w:keepNext/>
      <w:numPr>
        <w:numId w:val="0"/>
      </w:numPr>
    </w:pPr>
    <w:rPr>
      <w:b/>
      <w:color w:val="365F91" w:themeColor="accent1" w:themeShade="BF"/>
    </w:rPr>
  </w:style>
  <w:style w:type="character" w:customStyle="1" w:styleId="HeadingBoldBlueChar">
    <w:name w:val="Heading Bold Blue Char"/>
    <w:basedOn w:val="AERbodytextChar"/>
    <w:link w:val="HeadingBoldBlue"/>
    <w:rsid w:val="00062C62"/>
    <w:rPr>
      <w:rFonts w:ascii="Gautami" w:eastAsia="Times New Roman" w:hAnsi="Gautami" w:cs="Times New Roman"/>
      <w:b/>
      <w:color w:val="365F91" w:themeColor="accent1" w:themeShade="BF"/>
      <w:sz w:val="20"/>
      <w:szCs w:val="24"/>
    </w:rPr>
  </w:style>
  <w:style w:type="paragraph" w:customStyle="1" w:styleId="HeadingBoldItalic">
    <w:name w:val="Heading Bold Italic"/>
    <w:basedOn w:val="AERbodytext"/>
    <w:next w:val="AERbodytext"/>
    <w:qFormat/>
    <w:rsid w:val="00062C62"/>
    <w:pPr>
      <w:numPr>
        <w:numId w:val="0"/>
      </w:numPr>
    </w:pPr>
    <w:rPr>
      <w:b/>
      <w:i/>
    </w:rPr>
  </w:style>
  <w:style w:type="paragraph" w:customStyle="1" w:styleId="HeadingItalic">
    <w:name w:val="Heading Italic"/>
    <w:basedOn w:val="AERbodytext"/>
    <w:next w:val="AERbodytext"/>
    <w:qFormat/>
    <w:rsid w:val="00062C62"/>
    <w:pPr>
      <w:numPr>
        <w:numId w:val="0"/>
      </w:numPr>
    </w:pPr>
    <w:rPr>
      <w:i/>
    </w:rPr>
  </w:style>
  <w:style w:type="character" w:styleId="Hyperlink">
    <w:name w:val="Hyperlink"/>
    <w:basedOn w:val="DefaultParagraphFont"/>
    <w:uiPriority w:val="99"/>
    <w:unhideWhenUsed/>
    <w:rsid w:val="00062C62"/>
    <w:rPr>
      <w:color w:val="0000FF"/>
      <w:u w:val="single"/>
    </w:rPr>
  </w:style>
  <w:style w:type="paragraph" w:styleId="ListParagraph">
    <w:name w:val="List Paragraph"/>
    <w:basedOn w:val="Normal"/>
    <w:uiPriority w:val="34"/>
    <w:unhideWhenUsed/>
    <w:qFormat/>
    <w:rsid w:val="00062C62"/>
    <w:pPr>
      <w:ind w:left="720"/>
      <w:contextualSpacing/>
    </w:pPr>
  </w:style>
  <w:style w:type="character" w:styleId="PageNumber">
    <w:name w:val="page number"/>
    <w:basedOn w:val="DefaultParagraphFont"/>
    <w:rsid w:val="00062C62"/>
    <w:rPr>
      <w:rFonts w:ascii="Gautami" w:hAnsi="Gautami"/>
      <w:sz w:val="18"/>
    </w:rPr>
  </w:style>
  <w:style w:type="table" w:styleId="TableGrid">
    <w:name w:val="Table Grid"/>
    <w:basedOn w:val="TableNormal"/>
    <w:uiPriority w:val="59"/>
    <w:rsid w:val="00062C62"/>
    <w:pPr>
      <w:spacing w:after="0" w:line="240" w:lineRule="auto"/>
    </w:pPr>
    <w:rPr>
      <w:rFonts w:ascii="Gautami" w:eastAsia="Calibri" w:hAnsi="Gautami" w:cs="Times New Roman"/>
      <w:sz w:val="20"/>
      <w:szCs w:val="20"/>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062C62"/>
    <w:pPr>
      <w:spacing w:before="240" w:after="120"/>
      <w:jc w:val="left"/>
    </w:pPr>
    <w:rPr>
      <w:b/>
      <w:bCs/>
    </w:rPr>
  </w:style>
  <w:style w:type="paragraph" w:styleId="TOC2">
    <w:name w:val="toc 2"/>
    <w:basedOn w:val="Normal"/>
    <w:next w:val="Normal"/>
    <w:autoRedefine/>
    <w:uiPriority w:val="39"/>
    <w:unhideWhenUsed/>
    <w:qFormat/>
    <w:rsid w:val="00062C62"/>
    <w:pPr>
      <w:spacing w:before="120" w:after="0"/>
      <w:ind w:left="200"/>
      <w:jc w:val="left"/>
    </w:pPr>
    <w:rPr>
      <w:iCs/>
    </w:rPr>
  </w:style>
  <w:style w:type="paragraph" w:styleId="TOC3">
    <w:name w:val="toc 3"/>
    <w:basedOn w:val="Normal"/>
    <w:next w:val="Normal"/>
    <w:autoRedefine/>
    <w:uiPriority w:val="39"/>
    <w:unhideWhenUsed/>
    <w:qFormat/>
    <w:rsid w:val="00062C62"/>
    <w:pPr>
      <w:spacing w:after="0"/>
      <w:ind w:left="400"/>
      <w:jc w:val="left"/>
    </w:pPr>
  </w:style>
  <w:style w:type="paragraph" w:styleId="TOCHeading">
    <w:name w:val="TOC Heading"/>
    <w:basedOn w:val="Heading1"/>
    <w:next w:val="Normal"/>
    <w:uiPriority w:val="39"/>
    <w:semiHidden/>
    <w:unhideWhenUsed/>
    <w:qFormat/>
    <w:rsid w:val="00062C62"/>
    <w:pPr>
      <w:pageBreakBefore w:val="0"/>
      <w:numPr>
        <w:ilvl w:val="0"/>
        <w:numId w:val="0"/>
      </w:numPr>
      <w:spacing w:before="480" w:after="0" w:line="276" w:lineRule="auto"/>
      <w:outlineLvl w:val="9"/>
    </w:pPr>
    <w:rPr>
      <w:rFonts w:ascii="Cambria" w:hAnsi="Cambria"/>
      <w:color w:val="365F91"/>
      <w:sz w:val="28"/>
      <w:lang w:val="en-US"/>
    </w:rPr>
  </w:style>
  <w:style w:type="table" w:styleId="TableGrid1">
    <w:name w:val="Table Grid 1"/>
    <w:basedOn w:val="TableNormal"/>
    <w:uiPriority w:val="99"/>
    <w:semiHidden/>
    <w:unhideWhenUsed/>
    <w:rsid w:val="00452C81"/>
    <w:pPr>
      <w:spacing w:after="0" w:line="240" w:lineRule="auto"/>
    </w:pPr>
    <w:rPr>
      <w:rFonts w:ascii="Gautami" w:eastAsia="Calibri" w:hAnsi="Gautami"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OC4">
    <w:name w:val="toc 4"/>
    <w:basedOn w:val="Normal"/>
    <w:next w:val="Normal"/>
    <w:autoRedefine/>
    <w:uiPriority w:val="39"/>
    <w:rsid w:val="00452C81"/>
    <w:pPr>
      <w:spacing w:after="0"/>
      <w:ind w:left="600"/>
      <w:jc w:val="left"/>
    </w:pPr>
    <w:rPr>
      <w:rFonts w:ascii="Calibri" w:hAnsi="Calibri"/>
    </w:rPr>
  </w:style>
  <w:style w:type="paragraph" w:styleId="TOC5">
    <w:name w:val="toc 5"/>
    <w:basedOn w:val="Normal"/>
    <w:next w:val="Normal"/>
    <w:autoRedefine/>
    <w:uiPriority w:val="39"/>
    <w:rsid w:val="00452C81"/>
    <w:pPr>
      <w:spacing w:after="0"/>
      <w:ind w:left="800"/>
      <w:jc w:val="left"/>
    </w:pPr>
    <w:rPr>
      <w:rFonts w:ascii="Calibri" w:hAnsi="Calibri"/>
    </w:rPr>
  </w:style>
  <w:style w:type="paragraph" w:styleId="TOC6">
    <w:name w:val="toc 6"/>
    <w:basedOn w:val="Normal"/>
    <w:next w:val="Normal"/>
    <w:autoRedefine/>
    <w:uiPriority w:val="39"/>
    <w:rsid w:val="00452C81"/>
    <w:pPr>
      <w:spacing w:after="0"/>
      <w:ind w:left="1000"/>
      <w:jc w:val="left"/>
    </w:pPr>
    <w:rPr>
      <w:rFonts w:ascii="Calibri" w:hAnsi="Calibri"/>
    </w:rPr>
  </w:style>
  <w:style w:type="paragraph" w:styleId="TOC7">
    <w:name w:val="toc 7"/>
    <w:basedOn w:val="Normal"/>
    <w:next w:val="Normal"/>
    <w:autoRedefine/>
    <w:uiPriority w:val="39"/>
    <w:rsid w:val="00452C81"/>
    <w:pPr>
      <w:spacing w:after="0"/>
      <w:ind w:left="1200"/>
      <w:jc w:val="left"/>
    </w:pPr>
    <w:rPr>
      <w:rFonts w:ascii="Calibri" w:hAnsi="Calibri"/>
    </w:rPr>
  </w:style>
  <w:style w:type="paragraph" w:styleId="TOC8">
    <w:name w:val="toc 8"/>
    <w:basedOn w:val="Normal"/>
    <w:next w:val="Normal"/>
    <w:autoRedefine/>
    <w:uiPriority w:val="39"/>
    <w:rsid w:val="00452C81"/>
    <w:pPr>
      <w:spacing w:after="0"/>
      <w:ind w:left="1400"/>
      <w:jc w:val="left"/>
    </w:pPr>
    <w:rPr>
      <w:rFonts w:ascii="Calibri" w:hAnsi="Calibri"/>
    </w:rPr>
  </w:style>
  <w:style w:type="paragraph" w:styleId="TOC9">
    <w:name w:val="toc 9"/>
    <w:basedOn w:val="Normal"/>
    <w:next w:val="Normal"/>
    <w:autoRedefine/>
    <w:uiPriority w:val="39"/>
    <w:rsid w:val="00452C81"/>
    <w:pPr>
      <w:spacing w:after="0"/>
      <w:ind w:left="1600"/>
      <w:jc w:val="left"/>
    </w:pPr>
    <w:rPr>
      <w:rFonts w:ascii="Calibri" w:hAnsi="Calibri"/>
    </w:rPr>
  </w:style>
  <w:style w:type="paragraph" w:styleId="Revision">
    <w:name w:val="Revision"/>
    <w:hidden/>
    <w:uiPriority w:val="99"/>
    <w:semiHidden/>
    <w:rsid w:val="00452C81"/>
    <w:pPr>
      <w:spacing w:after="0" w:line="240" w:lineRule="auto"/>
    </w:pPr>
    <w:rPr>
      <w:rFonts w:ascii="Gautami" w:eastAsia="Calibri" w:hAnsi="Gautami" w:cs="Times New Roman"/>
      <w:sz w:val="20"/>
      <w:szCs w:val="20"/>
    </w:rPr>
  </w:style>
  <w:style w:type="character" w:styleId="FollowedHyperlink">
    <w:name w:val="FollowedHyperlink"/>
    <w:basedOn w:val="DefaultParagraphFont"/>
    <w:uiPriority w:val="99"/>
    <w:semiHidden/>
    <w:unhideWhenUsed/>
    <w:rsid w:val="00452C81"/>
    <w:rPr>
      <w:color w:val="800080" w:themeColor="followedHyperlink"/>
      <w:u w:val="single"/>
    </w:rPr>
  </w:style>
  <w:style w:type="numbering" w:customStyle="1" w:styleId="OldAERheadings">
    <w:name w:val="Old AER headings"/>
    <w:uiPriority w:val="99"/>
    <w:locked/>
    <w:rsid w:val="00626AD8"/>
    <w:pPr>
      <w:numPr>
        <w:numId w:val="11"/>
      </w:numPr>
    </w:pPr>
  </w:style>
  <w:style w:type="paragraph" w:styleId="Quote">
    <w:name w:val="Quote"/>
    <w:basedOn w:val="Normal"/>
    <w:next w:val="Normal"/>
    <w:link w:val="QuoteChar"/>
    <w:uiPriority w:val="29"/>
    <w:unhideWhenUsed/>
    <w:qFormat/>
    <w:rsid w:val="00626AD8"/>
    <w:rPr>
      <w:i/>
      <w:iCs/>
      <w:color w:val="000000"/>
    </w:rPr>
  </w:style>
  <w:style w:type="character" w:customStyle="1" w:styleId="QuoteChar">
    <w:name w:val="Quote Char"/>
    <w:basedOn w:val="DefaultParagraphFont"/>
    <w:link w:val="Quote"/>
    <w:uiPriority w:val="29"/>
    <w:rsid w:val="00626AD8"/>
    <w:rPr>
      <w:rFonts w:ascii="Gautami" w:eastAsia="Calibri" w:hAnsi="Gautami" w:cs="Times New Roman"/>
      <w:i/>
      <w:iCs/>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C9B"/>
    <w:pPr>
      <w:spacing w:after="240" w:line="288" w:lineRule="auto"/>
      <w:jc w:val="both"/>
    </w:pPr>
    <w:rPr>
      <w:rFonts w:ascii="Gautami" w:eastAsia="Calibri" w:hAnsi="Gautami" w:cs="Times New Roman"/>
      <w:sz w:val="20"/>
      <w:szCs w:val="20"/>
    </w:rPr>
  </w:style>
  <w:style w:type="paragraph" w:styleId="Heading1">
    <w:name w:val="heading 1"/>
    <w:next w:val="AERbodytext"/>
    <w:link w:val="Heading1Char"/>
    <w:uiPriority w:val="9"/>
    <w:qFormat/>
    <w:rsid w:val="00062C62"/>
    <w:pPr>
      <w:keepNext/>
      <w:keepLines/>
      <w:pageBreakBefore/>
      <w:numPr>
        <w:ilvl w:val="1"/>
        <w:numId w:val="17"/>
      </w:numPr>
      <w:spacing w:before="120" w:after="120" w:line="288" w:lineRule="auto"/>
      <w:outlineLvl w:val="0"/>
    </w:pPr>
    <w:rPr>
      <w:rFonts w:ascii="Gautami" w:eastAsia="Times New Roman" w:hAnsi="Gautami" w:cs="Times New Roman"/>
      <w:b/>
      <w:bCs/>
      <w:color w:val="E36C0A"/>
      <w:sz w:val="36"/>
      <w:szCs w:val="28"/>
    </w:rPr>
  </w:style>
  <w:style w:type="paragraph" w:styleId="Heading2">
    <w:name w:val="heading 2"/>
    <w:basedOn w:val="Heading1"/>
    <w:next w:val="AERbodytext"/>
    <w:link w:val="Heading2Char"/>
    <w:uiPriority w:val="9"/>
    <w:qFormat/>
    <w:rsid w:val="00062C62"/>
    <w:pPr>
      <w:pageBreakBefore w:val="0"/>
      <w:numPr>
        <w:ilvl w:val="2"/>
      </w:numPr>
      <w:outlineLvl w:val="1"/>
    </w:pPr>
    <w:rPr>
      <w:bCs w:val="0"/>
      <w:sz w:val="28"/>
      <w:szCs w:val="26"/>
    </w:rPr>
  </w:style>
  <w:style w:type="paragraph" w:styleId="Heading3">
    <w:name w:val="heading 3"/>
    <w:basedOn w:val="Heading2"/>
    <w:next w:val="AERbodytext"/>
    <w:link w:val="Heading3Char"/>
    <w:uiPriority w:val="9"/>
    <w:qFormat/>
    <w:rsid w:val="00062C62"/>
    <w:pPr>
      <w:numPr>
        <w:ilvl w:val="3"/>
      </w:numPr>
      <w:outlineLvl w:val="2"/>
    </w:pPr>
    <w:rPr>
      <w:bCs/>
      <w:sz w:val="24"/>
    </w:rPr>
  </w:style>
  <w:style w:type="paragraph" w:styleId="Heading4">
    <w:name w:val="heading 4"/>
    <w:basedOn w:val="AERbodytext"/>
    <w:next w:val="AERbodytext"/>
    <w:link w:val="Heading4Char"/>
    <w:uiPriority w:val="9"/>
    <w:qFormat/>
    <w:rsid w:val="00062C62"/>
    <w:pPr>
      <w:keepNext/>
      <w:numPr>
        <w:numId w:val="0"/>
      </w:numPr>
      <w:outlineLvl w:val="3"/>
    </w:pPr>
    <w:rPr>
      <w:b/>
      <w:iCs/>
      <w:color w:val="FF0000"/>
      <w:sz w:val="22"/>
    </w:rPr>
  </w:style>
  <w:style w:type="paragraph" w:styleId="Heading5">
    <w:name w:val="heading 5"/>
    <w:basedOn w:val="Heading4"/>
    <w:next w:val="AERbodytext"/>
    <w:link w:val="Heading5Char"/>
    <w:uiPriority w:val="9"/>
    <w:qFormat/>
    <w:rsid w:val="00062C62"/>
    <w:pPr>
      <w:numPr>
        <w:ilvl w:val="5"/>
      </w:numPr>
      <w:outlineLvl w:val="4"/>
    </w:pPr>
    <w:rPr>
      <w:i/>
      <w:sz w:val="20"/>
    </w:rPr>
  </w:style>
  <w:style w:type="paragraph" w:styleId="Heading6">
    <w:name w:val="heading 6"/>
    <w:basedOn w:val="Heading5"/>
    <w:next w:val="AERbodytext"/>
    <w:link w:val="Heading6Char"/>
    <w:uiPriority w:val="9"/>
    <w:qFormat/>
    <w:rsid w:val="00062C62"/>
    <w:pPr>
      <w:numPr>
        <w:ilvl w:val="6"/>
      </w:numPr>
      <w:outlineLvl w:val="5"/>
    </w:pPr>
    <w:rPr>
      <w:b w:val="0"/>
      <w:iCs w:val="0"/>
    </w:rPr>
  </w:style>
  <w:style w:type="paragraph" w:styleId="Heading7">
    <w:name w:val="heading 7"/>
    <w:basedOn w:val="UnnumberedHeading"/>
    <w:next w:val="AERbodytext"/>
    <w:link w:val="Heading7Char"/>
    <w:uiPriority w:val="9"/>
    <w:qFormat/>
    <w:rsid w:val="00062C62"/>
    <w:pPr>
      <w:numPr>
        <w:ilvl w:val="4"/>
      </w:numPr>
      <w:outlineLvl w:val="6"/>
    </w:pPr>
    <w:rPr>
      <w:iCs/>
      <w:szCs w:val="24"/>
    </w:rPr>
  </w:style>
  <w:style w:type="paragraph" w:styleId="Heading8">
    <w:name w:val="heading 8"/>
    <w:basedOn w:val="Heading7"/>
    <w:next w:val="AERbodytext"/>
    <w:link w:val="Heading8Char"/>
    <w:uiPriority w:val="9"/>
    <w:qFormat/>
    <w:rsid w:val="00062C62"/>
    <w:pPr>
      <w:pageBreakBefore w:val="0"/>
      <w:numPr>
        <w:ilvl w:val="5"/>
      </w:numPr>
      <w:outlineLvl w:val="7"/>
    </w:pPr>
    <w:rPr>
      <w:sz w:val="28"/>
      <w:szCs w:val="20"/>
    </w:rPr>
  </w:style>
  <w:style w:type="paragraph" w:styleId="Heading9">
    <w:name w:val="heading 9"/>
    <w:basedOn w:val="Heading8"/>
    <w:next w:val="AERbodytext"/>
    <w:link w:val="Heading9Char"/>
    <w:uiPriority w:val="9"/>
    <w:qFormat/>
    <w:rsid w:val="00062C62"/>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ERbody">
    <w:name w:val="AER body"/>
    <w:basedOn w:val="DefaultParagraphFont"/>
    <w:qFormat/>
    <w:rsid w:val="00062C62"/>
    <w:rPr>
      <w:rFonts w:ascii="Gautami" w:hAnsi="Gautami"/>
      <w:color w:val="auto"/>
      <w:sz w:val="20"/>
    </w:rPr>
  </w:style>
  <w:style w:type="paragraph" w:customStyle="1" w:styleId="AERbodytext">
    <w:name w:val="AER body text"/>
    <w:link w:val="AERbodytextChar"/>
    <w:qFormat/>
    <w:rsid w:val="00062C62"/>
    <w:pPr>
      <w:numPr>
        <w:numId w:val="10"/>
      </w:numPr>
      <w:spacing w:after="240" w:line="288" w:lineRule="auto"/>
      <w:jc w:val="both"/>
    </w:pPr>
    <w:rPr>
      <w:rFonts w:ascii="Gautami" w:eastAsia="Times New Roman" w:hAnsi="Gautami" w:cs="Times New Roman"/>
      <w:sz w:val="20"/>
      <w:szCs w:val="24"/>
    </w:rPr>
  </w:style>
  <w:style w:type="character" w:customStyle="1" w:styleId="AERbodytextChar">
    <w:name w:val="AER body text Char"/>
    <w:basedOn w:val="DefaultParagraphFont"/>
    <w:link w:val="AERbodytext"/>
    <w:rsid w:val="00062C62"/>
    <w:rPr>
      <w:rFonts w:ascii="Gautami" w:eastAsia="Times New Roman" w:hAnsi="Gautami" w:cs="Times New Roman"/>
      <w:sz w:val="20"/>
      <w:szCs w:val="24"/>
    </w:rPr>
  </w:style>
  <w:style w:type="paragraph" w:customStyle="1" w:styleId="AERbodytextindent1">
    <w:name w:val="AER body text (indent 1)"/>
    <w:basedOn w:val="AERbodytext"/>
    <w:qFormat/>
    <w:rsid w:val="00062C62"/>
    <w:pPr>
      <w:numPr>
        <w:numId w:val="0"/>
      </w:numPr>
      <w:ind w:left="357"/>
    </w:pPr>
  </w:style>
  <w:style w:type="paragraph" w:customStyle="1" w:styleId="AERbodytextindent2">
    <w:name w:val="AER body text (indent 2)"/>
    <w:basedOn w:val="AERbodytextindent1"/>
    <w:qFormat/>
    <w:rsid w:val="00062C62"/>
    <w:pPr>
      <w:ind w:left="709"/>
    </w:pPr>
  </w:style>
  <w:style w:type="paragraph" w:customStyle="1" w:styleId="AERbodytextindent3">
    <w:name w:val="AER body text (indent 3)"/>
    <w:basedOn w:val="AERbodytext"/>
    <w:qFormat/>
    <w:rsid w:val="00062C62"/>
    <w:pPr>
      <w:numPr>
        <w:numId w:val="0"/>
      </w:numPr>
      <w:ind w:left="1077"/>
    </w:pPr>
  </w:style>
  <w:style w:type="paragraph" w:customStyle="1" w:styleId="AERbodytextnospace">
    <w:name w:val="AER body text no space"/>
    <w:basedOn w:val="AERbodytext"/>
    <w:qFormat/>
    <w:rsid w:val="00062C62"/>
    <w:pPr>
      <w:numPr>
        <w:numId w:val="0"/>
      </w:numPr>
      <w:spacing w:after="0"/>
    </w:pPr>
  </w:style>
  <w:style w:type="paragraph" w:customStyle="1" w:styleId="AERbulletlistfirststyle">
    <w:name w:val="AER bullet list (first style)"/>
    <w:basedOn w:val="AERbodytext"/>
    <w:qFormat/>
    <w:rsid w:val="00062C62"/>
    <w:pPr>
      <w:numPr>
        <w:numId w:val="6"/>
      </w:numPr>
      <w:tabs>
        <w:tab w:val="left" w:pos="357"/>
      </w:tabs>
      <w:spacing w:after="200"/>
    </w:pPr>
  </w:style>
  <w:style w:type="paragraph" w:customStyle="1" w:styleId="AERbulletlistsecondstyle">
    <w:name w:val="AER bullet list (second style)"/>
    <w:basedOn w:val="AERbodytext"/>
    <w:qFormat/>
    <w:rsid w:val="00062C62"/>
    <w:pPr>
      <w:numPr>
        <w:numId w:val="7"/>
      </w:numPr>
      <w:tabs>
        <w:tab w:val="left" w:pos="709"/>
      </w:tabs>
      <w:spacing w:after="200"/>
    </w:pPr>
  </w:style>
  <w:style w:type="paragraph" w:customStyle="1" w:styleId="AERbulletlistthirdstyle">
    <w:name w:val="AER bullet list (third style)"/>
    <w:basedOn w:val="AERbodytext"/>
    <w:qFormat/>
    <w:rsid w:val="00062C62"/>
    <w:pPr>
      <w:numPr>
        <w:numId w:val="8"/>
      </w:numPr>
      <w:tabs>
        <w:tab w:val="left" w:pos="1077"/>
      </w:tabs>
      <w:spacing w:after="200"/>
    </w:pPr>
  </w:style>
  <w:style w:type="numbering" w:customStyle="1" w:styleId="AERHeadings">
    <w:name w:val="AER Headings"/>
    <w:uiPriority w:val="99"/>
    <w:rsid w:val="00062C62"/>
    <w:pPr>
      <w:numPr>
        <w:numId w:val="2"/>
      </w:numPr>
    </w:pPr>
  </w:style>
  <w:style w:type="numbering" w:customStyle="1" w:styleId="AERnumberedlist">
    <w:name w:val="AER numbered list"/>
    <w:uiPriority w:val="99"/>
    <w:rsid w:val="00062C62"/>
    <w:pPr>
      <w:numPr>
        <w:numId w:val="3"/>
      </w:numPr>
    </w:pPr>
  </w:style>
  <w:style w:type="paragraph" w:customStyle="1" w:styleId="AERnumberedlistfirststyle">
    <w:name w:val="AER numbered list (first style)"/>
    <w:basedOn w:val="AERbodytext"/>
    <w:qFormat/>
    <w:rsid w:val="00062C62"/>
    <w:pPr>
      <w:numPr>
        <w:ilvl w:val="1"/>
      </w:numPr>
      <w:spacing w:after="200"/>
    </w:pPr>
  </w:style>
  <w:style w:type="paragraph" w:customStyle="1" w:styleId="AERnumberedlistsecondstyle">
    <w:name w:val="AER numbered list (second style)"/>
    <w:basedOn w:val="AERnumberedlistfirststyle"/>
    <w:qFormat/>
    <w:rsid w:val="00062C62"/>
    <w:pPr>
      <w:numPr>
        <w:ilvl w:val="2"/>
      </w:numPr>
    </w:pPr>
  </w:style>
  <w:style w:type="paragraph" w:customStyle="1" w:styleId="AERnumberedlistthirdstyle">
    <w:name w:val="AER numbered list (third style)"/>
    <w:basedOn w:val="AERnumberedlistsecondstyle"/>
    <w:qFormat/>
    <w:rsid w:val="00062C62"/>
    <w:pPr>
      <w:numPr>
        <w:ilvl w:val="3"/>
      </w:numPr>
    </w:pPr>
  </w:style>
  <w:style w:type="paragraph" w:customStyle="1" w:styleId="AERnumberedlist2first">
    <w:name w:val="AER numbered list 2 first"/>
    <w:basedOn w:val="AERbodytext"/>
    <w:qFormat/>
    <w:rsid w:val="00062C62"/>
    <w:pPr>
      <w:numPr>
        <w:ilvl w:val="4"/>
      </w:numPr>
    </w:pPr>
  </w:style>
  <w:style w:type="paragraph" w:customStyle="1" w:styleId="AERnumberedlist2second">
    <w:name w:val="AER numbered list 2 second"/>
    <w:basedOn w:val="AERnumberedlist2first"/>
    <w:qFormat/>
    <w:rsid w:val="00062C62"/>
    <w:pPr>
      <w:numPr>
        <w:ilvl w:val="5"/>
      </w:numPr>
    </w:pPr>
  </w:style>
  <w:style w:type="paragraph" w:customStyle="1" w:styleId="AERnumberedlist2third">
    <w:name w:val="AER numbered list 2 third"/>
    <w:basedOn w:val="AERnumberedlist2second"/>
    <w:qFormat/>
    <w:rsid w:val="00062C62"/>
    <w:pPr>
      <w:numPr>
        <w:ilvl w:val="6"/>
      </w:numPr>
    </w:pPr>
  </w:style>
  <w:style w:type="paragraph" w:customStyle="1" w:styleId="AERquote">
    <w:name w:val="AER quote"/>
    <w:next w:val="AERbodytext"/>
    <w:qFormat/>
    <w:rsid w:val="00062C62"/>
    <w:pPr>
      <w:tabs>
        <w:tab w:val="num" w:pos="709"/>
      </w:tabs>
      <w:spacing w:after="160" w:line="288" w:lineRule="auto"/>
      <w:ind w:left="709" w:right="720"/>
      <w:jc w:val="both"/>
    </w:pPr>
    <w:rPr>
      <w:rFonts w:ascii="Gautami" w:eastAsia="Times New Roman" w:hAnsi="Gautami" w:cs="Times New Roman"/>
      <w:color w:val="000000"/>
      <w:sz w:val="16"/>
      <w:szCs w:val="24"/>
    </w:rPr>
  </w:style>
  <w:style w:type="paragraph" w:customStyle="1" w:styleId="AERquoteindent1">
    <w:name w:val="AER quote (indent 1)"/>
    <w:basedOn w:val="AERquote"/>
    <w:qFormat/>
    <w:rsid w:val="00062C62"/>
    <w:pPr>
      <w:tabs>
        <w:tab w:val="clear" w:pos="709"/>
        <w:tab w:val="num" w:pos="1077"/>
      </w:tabs>
      <w:ind w:left="1077" w:right="1440"/>
    </w:pPr>
  </w:style>
  <w:style w:type="paragraph" w:customStyle="1" w:styleId="AERquoteindent2">
    <w:name w:val="AER quote (indent 2)"/>
    <w:basedOn w:val="AERquoteindent1"/>
    <w:qFormat/>
    <w:rsid w:val="00062C62"/>
    <w:pPr>
      <w:tabs>
        <w:tab w:val="clear" w:pos="1077"/>
        <w:tab w:val="left" w:pos="1440"/>
      </w:tabs>
      <w:ind w:left="1440" w:right="1797"/>
    </w:pPr>
  </w:style>
  <w:style w:type="paragraph" w:customStyle="1" w:styleId="AERquoteindent3">
    <w:name w:val="AER quote (indent 3)"/>
    <w:basedOn w:val="AERquoteindent2"/>
    <w:qFormat/>
    <w:rsid w:val="00062C62"/>
    <w:pPr>
      <w:tabs>
        <w:tab w:val="clear" w:pos="1440"/>
        <w:tab w:val="left" w:pos="1803"/>
      </w:tabs>
      <w:ind w:left="1803" w:right="2160"/>
    </w:pPr>
  </w:style>
  <w:style w:type="paragraph" w:customStyle="1" w:styleId="AERquotebullet1">
    <w:name w:val="AER quote bullet 1"/>
    <w:basedOn w:val="Normal"/>
    <w:qFormat/>
    <w:rsid w:val="00062C62"/>
    <w:pPr>
      <w:numPr>
        <w:numId w:val="9"/>
      </w:numPr>
      <w:tabs>
        <w:tab w:val="left" w:pos="1077"/>
      </w:tabs>
      <w:spacing w:line="200" w:lineRule="atLeast"/>
      <w:ind w:right="663"/>
    </w:pPr>
    <w:rPr>
      <w:rFonts w:eastAsia="Times New Roman"/>
      <w:sz w:val="16"/>
      <w:szCs w:val="16"/>
    </w:rPr>
  </w:style>
  <w:style w:type="paragraph" w:customStyle="1" w:styleId="AERrevisionbox">
    <w:name w:val="AER revision box"/>
    <w:basedOn w:val="AERbodytext"/>
    <w:qFormat/>
    <w:rsid w:val="00062C62"/>
    <w:pPr>
      <w:numPr>
        <w:numId w:val="0"/>
      </w:numPr>
      <w:pBdr>
        <w:top w:val="single" w:sz="4" w:space="1" w:color="auto"/>
        <w:left w:val="single" w:sz="4" w:space="4" w:color="auto"/>
        <w:bottom w:val="single" w:sz="4" w:space="1" w:color="auto"/>
        <w:right w:val="single" w:sz="4" w:space="4" w:color="auto"/>
      </w:pBdr>
      <w:shd w:val="clear" w:color="auto" w:fill="E0E0E0"/>
    </w:pPr>
  </w:style>
  <w:style w:type="character" w:customStyle="1" w:styleId="AERsubscript">
    <w:name w:val="AER subscript"/>
    <w:qFormat/>
    <w:rsid w:val="00062C62"/>
    <w:rPr>
      <w:rFonts w:ascii="Gautami" w:hAnsi="Gautami"/>
      <w:vertAlign w:val="subscript"/>
    </w:rPr>
  </w:style>
  <w:style w:type="character" w:customStyle="1" w:styleId="AERsuperscript">
    <w:name w:val="AER superscript"/>
    <w:qFormat/>
    <w:rsid w:val="00062C62"/>
    <w:rPr>
      <w:rFonts w:ascii="Gautami" w:hAnsi="Gautami"/>
      <w:vertAlign w:val="superscript"/>
    </w:rPr>
  </w:style>
  <w:style w:type="table" w:customStyle="1" w:styleId="AERtable-numbers">
    <w:name w:val="AER table - numbers"/>
    <w:basedOn w:val="TableNormal"/>
    <w:uiPriority w:val="99"/>
    <w:rsid w:val="00062C62"/>
    <w:pPr>
      <w:spacing w:before="120" w:after="80" w:line="240" w:lineRule="auto"/>
      <w:jc w:val="right"/>
    </w:pPr>
    <w:rPr>
      <w:rFonts w:ascii="Gautami" w:eastAsia="Calibri" w:hAnsi="Gautam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customStyle="1" w:styleId="AERtable-text">
    <w:name w:val="AER table - text"/>
    <w:basedOn w:val="TableNormal"/>
    <w:uiPriority w:val="99"/>
    <w:rsid w:val="00062C62"/>
    <w:pPr>
      <w:spacing w:before="120" w:after="80" w:line="240" w:lineRule="auto"/>
    </w:pPr>
    <w:rPr>
      <w:rFonts w:ascii="Gautami" w:eastAsia="Calibri" w:hAnsi="Gautam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customStyle="1" w:styleId="AERtablesource">
    <w:name w:val="AER table source"/>
    <w:next w:val="AERbodytext"/>
    <w:qFormat/>
    <w:rsid w:val="00062C62"/>
    <w:pPr>
      <w:tabs>
        <w:tab w:val="left" w:pos="794"/>
      </w:tabs>
      <w:spacing w:before="40" w:after="240" w:line="240" w:lineRule="auto"/>
      <w:ind w:left="794" w:hanging="794"/>
      <w:contextualSpacing/>
      <w:jc w:val="both"/>
    </w:pPr>
    <w:rPr>
      <w:rFonts w:ascii="Gautami" w:eastAsia="Times New Roman" w:hAnsi="Gautami" w:cs="Times New Roman"/>
      <w:sz w:val="16"/>
      <w:szCs w:val="24"/>
    </w:rPr>
  </w:style>
  <w:style w:type="paragraph" w:customStyle="1" w:styleId="AERtabletextleft">
    <w:name w:val="AER table text left"/>
    <w:qFormat/>
    <w:rsid w:val="00062C62"/>
    <w:pPr>
      <w:spacing w:before="80" w:after="120" w:line="288" w:lineRule="auto"/>
    </w:pPr>
    <w:rPr>
      <w:rFonts w:ascii="Gautami" w:eastAsia="Times New Roman" w:hAnsi="Gautami" w:cs="Times New Roman"/>
      <w:sz w:val="16"/>
      <w:szCs w:val="24"/>
    </w:rPr>
  </w:style>
  <w:style w:type="paragraph" w:customStyle="1" w:styleId="AERtabletextright">
    <w:name w:val="AER table text right"/>
    <w:basedOn w:val="AERtabletextleft"/>
    <w:qFormat/>
    <w:rsid w:val="00062C62"/>
    <w:pPr>
      <w:spacing w:before="120" w:after="80"/>
      <w:jc w:val="right"/>
    </w:pPr>
  </w:style>
  <w:style w:type="character" w:customStyle="1" w:styleId="AERtextblue">
    <w:name w:val="AER text blue"/>
    <w:uiPriority w:val="1"/>
    <w:qFormat/>
    <w:rsid w:val="00062C62"/>
    <w:rPr>
      <w:color w:val="365F91"/>
    </w:rPr>
  </w:style>
  <w:style w:type="character" w:customStyle="1" w:styleId="AERtextbold">
    <w:name w:val="AER text bold"/>
    <w:qFormat/>
    <w:rsid w:val="00062C62"/>
    <w:rPr>
      <w:b/>
    </w:rPr>
  </w:style>
  <w:style w:type="character" w:customStyle="1" w:styleId="AERtextbolditalics">
    <w:name w:val="AER text bold italics"/>
    <w:basedOn w:val="AERtextbold"/>
    <w:qFormat/>
    <w:rsid w:val="00062C62"/>
    <w:rPr>
      <w:b/>
      <w:i/>
    </w:rPr>
  </w:style>
  <w:style w:type="character" w:customStyle="1" w:styleId="AERtextboldunderline">
    <w:name w:val="AER text bold underline"/>
    <w:qFormat/>
    <w:rsid w:val="00062C62"/>
    <w:rPr>
      <w:b/>
      <w:u w:val="single"/>
    </w:rPr>
  </w:style>
  <w:style w:type="character" w:customStyle="1" w:styleId="AERtextconfidential">
    <w:name w:val="AER text confidential"/>
    <w:qFormat/>
    <w:rsid w:val="00062C62"/>
    <w:rPr>
      <w:bdr w:val="none" w:sz="0" w:space="0" w:color="auto"/>
      <w:shd w:val="clear" w:color="auto" w:fill="CCFFFF"/>
    </w:rPr>
  </w:style>
  <w:style w:type="character" w:customStyle="1" w:styleId="AERtexthighlight">
    <w:name w:val="AER text highlight"/>
    <w:qFormat/>
    <w:rsid w:val="00062C62"/>
    <w:rPr>
      <w:bdr w:val="none" w:sz="0" w:space="0" w:color="auto"/>
      <w:shd w:val="clear" w:color="auto" w:fill="FFFF00"/>
    </w:rPr>
  </w:style>
  <w:style w:type="character" w:customStyle="1" w:styleId="AERtextitalic">
    <w:name w:val="AER text italic"/>
    <w:qFormat/>
    <w:rsid w:val="00062C62"/>
    <w:rPr>
      <w:i/>
    </w:rPr>
  </w:style>
  <w:style w:type="character" w:customStyle="1" w:styleId="AERtextorange">
    <w:name w:val="AER text orange"/>
    <w:uiPriority w:val="1"/>
    <w:qFormat/>
    <w:rsid w:val="00062C62"/>
    <w:rPr>
      <w:color w:val="E36C0A"/>
    </w:rPr>
  </w:style>
  <w:style w:type="character" w:customStyle="1" w:styleId="AERtextsize10">
    <w:name w:val="AER text size 10"/>
    <w:uiPriority w:val="1"/>
    <w:qFormat/>
    <w:rsid w:val="00062C62"/>
    <w:rPr>
      <w:sz w:val="20"/>
    </w:rPr>
  </w:style>
  <w:style w:type="character" w:customStyle="1" w:styleId="AERtextsize8">
    <w:name w:val="AER text size 8"/>
    <w:uiPriority w:val="1"/>
    <w:qFormat/>
    <w:rsid w:val="00062C62"/>
    <w:rPr>
      <w:sz w:val="16"/>
    </w:rPr>
  </w:style>
  <w:style w:type="character" w:customStyle="1" w:styleId="AERtextunderline">
    <w:name w:val="AER text underline"/>
    <w:qFormat/>
    <w:rsid w:val="00062C62"/>
    <w:rPr>
      <w:u w:val="single"/>
    </w:rPr>
  </w:style>
  <w:style w:type="paragraph" w:customStyle="1" w:styleId="AERtitle1">
    <w:name w:val="AER title 1"/>
    <w:qFormat/>
    <w:rsid w:val="00062C62"/>
    <w:pPr>
      <w:spacing w:after="240" w:line="288" w:lineRule="auto"/>
      <w:jc w:val="center"/>
    </w:pPr>
    <w:rPr>
      <w:rFonts w:ascii="Gautami" w:eastAsia="Times New Roman" w:hAnsi="Gautami" w:cs="Times New Roman"/>
      <w:b/>
      <w:sz w:val="40"/>
      <w:szCs w:val="24"/>
      <w:lang w:eastAsia="en-AU"/>
    </w:rPr>
  </w:style>
  <w:style w:type="paragraph" w:customStyle="1" w:styleId="AERtitle2">
    <w:name w:val="AER title 2"/>
    <w:qFormat/>
    <w:rsid w:val="00062C62"/>
    <w:pPr>
      <w:spacing w:after="240" w:line="288" w:lineRule="auto"/>
      <w:jc w:val="center"/>
    </w:pPr>
    <w:rPr>
      <w:rFonts w:ascii="Gautami" w:eastAsia="Times New Roman" w:hAnsi="Gautami" w:cs="Times New Roman"/>
      <w:sz w:val="32"/>
      <w:szCs w:val="24"/>
    </w:rPr>
  </w:style>
  <w:style w:type="paragraph" w:styleId="BalloonText">
    <w:name w:val="Balloon Text"/>
    <w:basedOn w:val="Normal"/>
    <w:link w:val="BalloonTextChar"/>
    <w:uiPriority w:val="99"/>
    <w:semiHidden/>
    <w:unhideWhenUsed/>
    <w:rsid w:val="00062C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2C62"/>
    <w:rPr>
      <w:rFonts w:ascii="Tahoma" w:eastAsia="Calibri" w:hAnsi="Tahoma" w:cs="Tahoma"/>
      <w:sz w:val="16"/>
      <w:szCs w:val="16"/>
    </w:rPr>
  </w:style>
  <w:style w:type="paragraph" w:styleId="Caption">
    <w:name w:val="caption"/>
    <w:basedOn w:val="AERbodytext"/>
    <w:next w:val="AERbodytext"/>
    <w:uiPriority w:val="35"/>
    <w:qFormat/>
    <w:rsid w:val="00062C62"/>
    <w:pPr>
      <w:keepNext/>
      <w:numPr>
        <w:numId w:val="0"/>
      </w:numPr>
      <w:tabs>
        <w:tab w:val="left" w:pos="1440"/>
      </w:tabs>
      <w:spacing w:before="120" w:after="120"/>
      <w:ind w:left="1440" w:hanging="1440"/>
    </w:pPr>
    <w:rPr>
      <w:b/>
      <w:bCs/>
      <w:szCs w:val="18"/>
    </w:rPr>
  </w:style>
  <w:style w:type="character" w:styleId="CommentReference">
    <w:name w:val="annotation reference"/>
    <w:basedOn w:val="DefaultParagraphFont"/>
    <w:uiPriority w:val="99"/>
    <w:semiHidden/>
    <w:unhideWhenUsed/>
    <w:rsid w:val="00062C62"/>
    <w:rPr>
      <w:sz w:val="16"/>
      <w:szCs w:val="16"/>
    </w:rPr>
  </w:style>
  <w:style w:type="paragraph" w:styleId="CommentText">
    <w:name w:val="annotation text"/>
    <w:basedOn w:val="Normal"/>
    <w:link w:val="CommentTextChar"/>
    <w:uiPriority w:val="99"/>
    <w:semiHidden/>
    <w:unhideWhenUsed/>
    <w:rsid w:val="00062C62"/>
    <w:pPr>
      <w:spacing w:line="240" w:lineRule="auto"/>
    </w:pPr>
  </w:style>
  <w:style w:type="character" w:customStyle="1" w:styleId="CommentTextChar">
    <w:name w:val="Comment Text Char"/>
    <w:basedOn w:val="DefaultParagraphFont"/>
    <w:link w:val="CommentText"/>
    <w:uiPriority w:val="99"/>
    <w:semiHidden/>
    <w:rsid w:val="00062C62"/>
    <w:rPr>
      <w:rFonts w:ascii="Gautami" w:eastAsia="Calibri" w:hAnsi="Gautami" w:cs="Times New Roman"/>
      <w:sz w:val="20"/>
      <w:szCs w:val="20"/>
    </w:rPr>
  </w:style>
  <w:style w:type="paragraph" w:styleId="CommentSubject">
    <w:name w:val="annotation subject"/>
    <w:basedOn w:val="CommentText"/>
    <w:next w:val="CommentText"/>
    <w:link w:val="CommentSubjectChar"/>
    <w:uiPriority w:val="99"/>
    <w:semiHidden/>
    <w:unhideWhenUsed/>
    <w:rsid w:val="00062C62"/>
    <w:rPr>
      <w:b/>
      <w:bCs/>
    </w:rPr>
  </w:style>
  <w:style w:type="character" w:customStyle="1" w:styleId="CommentSubjectChar">
    <w:name w:val="Comment Subject Char"/>
    <w:basedOn w:val="CommentTextChar"/>
    <w:link w:val="CommentSubject"/>
    <w:uiPriority w:val="99"/>
    <w:semiHidden/>
    <w:rsid w:val="00062C62"/>
    <w:rPr>
      <w:rFonts w:ascii="Gautami" w:eastAsia="Calibri" w:hAnsi="Gautami" w:cs="Times New Roman"/>
      <w:b/>
      <w:bCs/>
      <w:sz w:val="20"/>
      <w:szCs w:val="20"/>
    </w:rPr>
  </w:style>
  <w:style w:type="paragraph" w:styleId="Footer">
    <w:name w:val="footer"/>
    <w:basedOn w:val="Normal"/>
    <w:link w:val="FooterChar"/>
    <w:uiPriority w:val="99"/>
    <w:qFormat/>
    <w:rsid w:val="00062C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2C62"/>
    <w:rPr>
      <w:rFonts w:ascii="Gautami" w:eastAsia="Calibri" w:hAnsi="Gautami" w:cs="Times New Roman"/>
      <w:sz w:val="20"/>
      <w:szCs w:val="20"/>
    </w:rPr>
  </w:style>
  <w:style w:type="character" w:styleId="FootnoteReference">
    <w:name w:val="footnote reference"/>
    <w:aliases w:val="(NECG) Footnote Reference,(NECG) Footnote Reference1,(NECG) Footnote Reference2,o,Style 3,Style 12,fr,Appel note de bas de p,Style 124,(NECG) Footnote Reference3,(NECG) Footnote Reference4,(NECG) Footnote Reference5"/>
    <w:basedOn w:val="DefaultParagraphFont"/>
    <w:uiPriority w:val="99"/>
    <w:unhideWhenUsed/>
    <w:rsid w:val="00062C62"/>
    <w:rPr>
      <w:vertAlign w:val="superscript"/>
    </w:r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AERbodytext"/>
    <w:link w:val="FootnoteTextChar"/>
    <w:uiPriority w:val="99"/>
    <w:qFormat/>
    <w:rsid w:val="00062C62"/>
    <w:pPr>
      <w:numPr>
        <w:numId w:val="0"/>
      </w:numPr>
      <w:tabs>
        <w:tab w:val="left" w:pos="426"/>
      </w:tabs>
      <w:spacing w:after="0" w:line="240" w:lineRule="auto"/>
      <w:ind w:left="426" w:hanging="426"/>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062C62"/>
    <w:rPr>
      <w:rFonts w:ascii="Gautami" w:eastAsia="Times New Roman" w:hAnsi="Gautami" w:cs="Times New Roman"/>
      <w:sz w:val="16"/>
      <w:szCs w:val="20"/>
    </w:rPr>
  </w:style>
  <w:style w:type="paragraph" w:styleId="Header">
    <w:name w:val="header"/>
    <w:basedOn w:val="Normal"/>
    <w:link w:val="HeaderChar"/>
    <w:uiPriority w:val="99"/>
    <w:unhideWhenUsed/>
    <w:rsid w:val="00062C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2C62"/>
    <w:rPr>
      <w:rFonts w:ascii="Gautami" w:eastAsia="Calibri" w:hAnsi="Gautami" w:cs="Times New Roman"/>
      <w:sz w:val="20"/>
      <w:szCs w:val="20"/>
    </w:rPr>
  </w:style>
  <w:style w:type="character" w:customStyle="1" w:styleId="Heading1Char">
    <w:name w:val="Heading 1 Char"/>
    <w:basedOn w:val="DefaultParagraphFont"/>
    <w:link w:val="Heading1"/>
    <w:uiPriority w:val="9"/>
    <w:rsid w:val="00062C62"/>
    <w:rPr>
      <w:rFonts w:ascii="Gautami" w:eastAsia="Times New Roman" w:hAnsi="Gautami" w:cs="Times New Roman"/>
      <w:b/>
      <w:bCs/>
      <w:color w:val="E36C0A"/>
      <w:sz w:val="36"/>
      <w:szCs w:val="28"/>
    </w:rPr>
  </w:style>
  <w:style w:type="character" w:customStyle="1" w:styleId="Heading2Char">
    <w:name w:val="Heading 2 Char"/>
    <w:basedOn w:val="DefaultParagraphFont"/>
    <w:link w:val="Heading2"/>
    <w:uiPriority w:val="9"/>
    <w:rsid w:val="00062C62"/>
    <w:rPr>
      <w:rFonts w:ascii="Gautami" w:eastAsia="Times New Roman" w:hAnsi="Gautami" w:cs="Times New Roman"/>
      <w:b/>
      <w:color w:val="E36C0A"/>
      <w:sz w:val="28"/>
      <w:szCs w:val="26"/>
    </w:rPr>
  </w:style>
  <w:style w:type="character" w:customStyle="1" w:styleId="Heading3Char">
    <w:name w:val="Heading 3 Char"/>
    <w:basedOn w:val="DefaultParagraphFont"/>
    <w:link w:val="Heading3"/>
    <w:uiPriority w:val="9"/>
    <w:rsid w:val="00062C62"/>
    <w:rPr>
      <w:rFonts w:ascii="Gautami" w:eastAsia="Times New Roman" w:hAnsi="Gautami" w:cs="Times New Roman"/>
      <w:b/>
      <w:bCs/>
      <w:color w:val="E36C0A"/>
      <w:sz w:val="24"/>
      <w:szCs w:val="26"/>
    </w:rPr>
  </w:style>
  <w:style w:type="character" w:customStyle="1" w:styleId="Heading4Char">
    <w:name w:val="Heading 4 Char"/>
    <w:basedOn w:val="DefaultParagraphFont"/>
    <w:link w:val="Heading4"/>
    <w:uiPriority w:val="9"/>
    <w:rsid w:val="00062C62"/>
    <w:rPr>
      <w:rFonts w:ascii="Gautami" w:eastAsia="Times New Roman" w:hAnsi="Gautami" w:cs="Times New Roman"/>
      <w:b/>
      <w:iCs/>
      <w:color w:val="FF0000"/>
      <w:szCs w:val="24"/>
    </w:rPr>
  </w:style>
  <w:style w:type="character" w:customStyle="1" w:styleId="Heading5Char">
    <w:name w:val="Heading 5 Char"/>
    <w:basedOn w:val="DefaultParagraphFont"/>
    <w:link w:val="Heading5"/>
    <w:uiPriority w:val="9"/>
    <w:rsid w:val="00062C62"/>
    <w:rPr>
      <w:rFonts w:ascii="Gautami" w:eastAsia="Times New Roman" w:hAnsi="Gautami" w:cs="Times New Roman"/>
      <w:b/>
      <w:i/>
      <w:iCs/>
      <w:color w:val="FF0000"/>
      <w:sz w:val="20"/>
      <w:szCs w:val="24"/>
    </w:rPr>
  </w:style>
  <w:style w:type="character" w:customStyle="1" w:styleId="Heading6Char">
    <w:name w:val="Heading 6 Char"/>
    <w:basedOn w:val="DefaultParagraphFont"/>
    <w:link w:val="Heading6"/>
    <w:uiPriority w:val="9"/>
    <w:rsid w:val="00062C62"/>
    <w:rPr>
      <w:rFonts w:ascii="Gautami" w:eastAsia="Times New Roman" w:hAnsi="Gautami" w:cs="Times New Roman"/>
      <w:i/>
      <w:color w:val="FF0000"/>
      <w:sz w:val="20"/>
      <w:szCs w:val="24"/>
    </w:rPr>
  </w:style>
  <w:style w:type="paragraph" w:customStyle="1" w:styleId="UnnumberedHeading">
    <w:name w:val="Unnumbered Heading"/>
    <w:basedOn w:val="Heading1"/>
    <w:next w:val="AERbodytext"/>
    <w:link w:val="UnnumberedHeadingChar"/>
    <w:qFormat/>
    <w:rsid w:val="00062C62"/>
    <w:pPr>
      <w:numPr>
        <w:ilvl w:val="0"/>
      </w:numPr>
    </w:pPr>
  </w:style>
  <w:style w:type="character" w:customStyle="1" w:styleId="UnnumberedHeadingChar">
    <w:name w:val="Unnumbered Heading Char"/>
    <w:basedOn w:val="Heading1Char"/>
    <w:link w:val="UnnumberedHeading"/>
    <w:rsid w:val="00062C62"/>
    <w:rPr>
      <w:rFonts w:ascii="Gautami" w:eastAsia="Times New Roman" w:hAnsi="Gautami" w:cs="Times New Roman"/>
      <w:b/>
      <w:bCs/>
      <w:color w:val="E36C0A"/>
      <w:sz w:val="36"/>
      <w:szCs w:val="28"/>
    </w:rPr>
  </w:style>
  <w:style w:type="character" w:customStyle="1" w:styleId="Heading7Char">
    <w:name w:val="Heading 7 Char"/>
    <w:basedOn w:val="DefaultParagraphFont"/>
    <w:link w:val="Heading7"/>
    <w:uiPriority w:val="9"/>
    <w:rsid w:val="00062C62"/>
    <w:rPr>
      <w:rFonts w:ascii="Gautami" w:eastAsia="Times New Roman" w:hAnsi="Gautami" w:cs="Times New Roman"/>
      <w:b/>
      <w:bCs/>
      <w:iCs/>
      <w:color w:val="E36C0A"/>
      <w:sz w:val="36"/>
      <w:szCs w:val="24"/>
    </w:rPr>
  </w:style>
  <w:style w:type="character" w:customStyle="1" w:styleId="Heading8Char">
    <w:name w:val="Heading 8 Char"/>
    <w:basedOn w:val="DefaultParagraphFont"/>
    <w:link w:val="Heading8"/>
    <w:uiPriority w:val="9"/>
    <w:rsid w:val="00062C62"/>
    <w:rPr>
      <w:rFonts w:ascii="Gautami" w:eastAsia="Times New Roman" w:hAnsi="Gautami" w:cs="Times New Roman"/>
      <w:b/>
      <w:bCs/>
      <w:iCs/>
      <w:color w:val="E36C0A"/>
      <w:sz w:val="28"/>
      <w:szCs w:val="20"/>
    </w:rPr>
  </w:style>
  <w:style w:type="character" w:customStyle="1" w:styleId="Heading9Char">
    <w:name w:val="Heading 9 Char"/>
    <w:basedOn w:val="DefaultParagraphFont"/>
    <w:link w:val="Heading9"/>
    <w:uiPriority w:val="9"/>
    <w:rsid w:val="00062C62"/>
    <w:rPr>
      <w:rFonts w:ascii="Gautami" w:eastAsia="Times New Roman" w:hAnsi="Gautami" w:cs="Times New Roman"/>
      <w:b/>
      <w:bCs/>
      <w:color w:val="E36C0A"/>
      <w:sz w:val="24"/>
      <w:szCs w:val="20"/>
    </w:rPr>
  </w:style>
  <w:style w:type="paragraph" w:customStyle="1" w:styleId="HeadingBoldBlue">
    <w:name w:val="Heading Bold Blue"/>
    <w:basedOn w:val="AERbodytext"/>
    <w:next w:val="AERbodytext"/>
    <w:link w:val="HeadingBoldBlueChar"/>
    <w:qFormat/>
    <w:rsid w:val="00062C62"/>
    <w:pPr>
      <w:keepNext/>
      <w:numPr>
        <w:numId w:val="0"/>
      </w:numPr>
    </w:pPr>
    <w:rPr>
      <w:b/>
      <w:color w:val="365F91" w:themeColor="accent1" w:themeShade="BF"/>
    </w:rPr>
  </w:style>
  <w:style w:type="character" w:customStyle="1" w:styleId="HeadingBoldBlueChar">
    <w:name w:val="Heading Bold Blue Char"/>
    <w:basedOn w:val="AERbodytextChar"/>
    <w:link w:val="HeadingBoldBlue"/>
    <w:rsid w:val="00062C62"/>
    <w:rPr>
      <w:rFonts w:ascii="Gautami" w:eastAsia="Times New Roman" w:hAnsi="Gautami" w:cs="Times New Roman"/>
      <w:b/>
      <w:color w:val="365F91" w:themeColor="accent1" w:themeShade="BF"/>
      <w:sz w:val="20"/>
      <w:szCs w:val="24"/>
    </w:rPr>
  </w:style>
  <w:style w:type="paragraph" w:customStyle="1" w:styleId="HeadingBoldItalic">
    <w:name w:val="Heading Bold Italic"/>
    <w:basedOn w:val="AERbodytext"/>
    <w:next w:val="AERbodytext"/>
    <w:qFormat/>
    <w:rsid w:val="00062C62"/>
    <w:pPr>
      <w:numPr>
        <w:numId w:val="0"/>
      </w:numPr>
    </w:pPr>
    <w:rPr>
      <w:b/>
      <w:i/>
    </w:rPr>
  </w:style>
  <w:style w:type="paragraph" w:customStyle="1" w:styleId="HeadingItalic">
    <w:name w:val="Heading Italic"/>
    <w:basedOn w:val="AERbodytext"/>
    <w:next w:val="AERbodytext"/>
    <w:qFormat/>
    <w:rsid w:val="00062C62"/>
    <w:pPr>
      <w:numPr>
        <w:numId w:val="0"/>
      </w:numPr>
    </w:pPr>
    <w:rPr>
      <w:i/>
    </w:rPr>
  </w:style>
  <w:style w:type="character" w:styleId="Hyperlink">
    <w:name w:val="Hyperlink"/>
    <w:basedOn w:val="DefaultParagraphFont"/>
    <w:uiPriority w:val="99"/>
    <w:unhideWhenUsed/>
    <w:rsid w:val="00062C62"/>
    <w:rPr>
      <w:color w:val="0000FF"/>
      <w:u w:val="single"/>
    </w:rPr>
  </w:style>
  <w:style w:type="paragraph" w:styleId="ListParagraph">
    <w:name w:val="List Paragraph"/>
    <w:basedOn w:val="Normal"/>
    <w:uiPriority w:val="34"/>
    <w:unhideWhenUsed/>
    <w:qFormat/>
    <w:rsid w:val="00062C62"/>
    <w:pPr>
      <w:ind w:left="720"/>
      <w:contextualSpacing/>
    </w:pPr>
  </w:style>
  <w:style w:type="character" w:styleId="PageNumber">
    <w:name w:val="page number"/>
    <w:basedOn w:val="DefaultParagraphFont"/>
    <w:rsid w:val="00062C62"/>
    <w:rPr>
      <w:rFonts w:ascii="Gautami" w:hAnsi="Gautami"/>
      <w:sz w:val="18"/>
    </w:rPr>
  </w:style>
  <w:style w:type="table" w:styleId="TableGrid">
    <w:name w:val="Table Grid"/>
    <w:basedOn w:val="TableNormal"/>
    <w:uiPriority w:val="59"/>
    <w:rsid w:val="00062C62"/>
    <w:pPr>
      <w:spacing w:after="0" w:line="240" w:lineRule="auto"/>
    </w:pPr>
    <w:rPr>
      <w:rFonts w:ascii="Gautami" w:eastAsia="Calibri" w:hAnsi="Gautami" w:cs="Times New Roman"/>
      <w:sz w:val="20"/>
      <w:szCs w:val="20"/>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062C62"/>
    <w:pPr>
      <w:spacing w:before="240" w:after="120"/>
      <w:jc w:val="left"/>
    </w:pPr>
    <w:rPr>
      <w:b/>
      <w:bCs/>
    </w:rPr>
  </w:style>
  <w:style w:type="paragraph" w:styleId="TOC2">
    <w:name w:val="toc 2"/>
    <w:basedOn w:val="Normal"/>
    <w:next w:val="Normal"/>
    <w:autoRedefine/>
    <w:uiPriority w:val="39"/>
    <w:unhideWhenUsed/>
    <w:qFormat/>
    <w:rsid w:val="00062C62"/>
    <w:pPr>
      <w:spacing w:before="120" w:after="0"/>
      <w:ind w:left="200"/>
      <w:jc w:val="left"/>
    </w:pPr>
    <w:rPr>
      <w:iCs/>
    </w:rPr>
  </w:style>
  <w:style w:type="paragraph" w:styleId="TOC3">
    <w:name w:val="toc 3"/>
    <w:basedOn w:val="Normal"/>
    <w:next w:val="Normal"/>
    <w:autoRedefine/>
    <w:uiPriority w:val="39"/>
    <w:unhideWhenUsed/>
    <w:qFormat/>
    <w:rsid w:val="00062C62"/>
    <w:pPr>
      <w:spacing w:after="0"/>
      <w:ind w:left="400"/>
      <w:jc w:val="left"/>
    </w:pPr>
  </w:style>
  <w:style w:type="paragraph" w:styleId="TOCHeading">
    <w:name w:val="TOC Heading"/>
    <w:basedOn w:val="Heading1"/>
    <w:next w:val="Normal"/>
    <w:uiPriority w:val="39"/>
    <w:semiHidden/>
    <w:unhideWhenUsed/>
    <w:qFormat/>
    <w:rsid w:val="00062C62"/>
    <w:pPr>
      <w:pageBreakBefore w:val="0"/>
      <w:numPr>
        <w:ilvl w:val="0"/>
        <w:numId w:val="0"/>
      </w:numPr>
      <w:spacing w:before="480" w:after="0" w:line="276" w:lineRule="auto"/>
      <w:outlineLvl w:val="9"/>
    </w:pPr>
    <w:rPr>
      <w:rFonts w:ascii="Cambria" w:hAnsi="Cambria"/>
      <w:color w:val="365F91"/>
      <w:sz w:val="28"/>
      <w:lang w:val="en-US"/>
    </w:rPr>
  </w:style>
  <w:style w:type="table" w:styleId="TableGrid1">
    <w:name w:val="Table Grid 1"/>
    <w:basedOn w:val="TableNormal"/>
    <w:uiPriority w:val="99"/>
    <w:semiHidden/>
    <w:unhideWhenUsed/>
    <w:rsid w:val="00452C81"/>
    <w:pPr>
      <w:spacing w:after="0" w:line="240" w:lineRule="auto"/>
    </w:pPr>
    <w:rPr>
      <w:rFonts w:ascii="Gautami" w:eastAsia="Calibri" w:hAnsi="Gautami"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OC4">
    <w:name w:val="toc 4"/>
    <w:basedOn w:val="Normal"/>
    <w:next w:val="Normal"/>
    <w:autoRedefine/>
    <w:uiPriority w:val="39"/>
    <w:rsid w:val="00452C81"/>
    <w:pPr>
      <w:spacing w:after="0"/>
      <w:ind w:left="600"/>
      <w:jc w:val="left"/>
    </w:pPr>
    <w:rPr>
      <w:rFonts w:ascii="Calibri" w:hAnsi="Calibri"/>
    </w:rPr>
  </w:style>
  <w:style w:type="paragraph" w:styleId="TOC5">
    <w:name w:val="toc 5"/>
    <w:basedOn w:val="Normal"/>
    <w:next w:val="Normal"/>
    <w:autoRedefine/>
    <w:uiPriority w:val="39"/>
    <w:rsid w:val="00452C81"/>
    <w:pPr>
      <w:spacing w:after="0"/>
      <w:ind w:left="800"/>
      <w:jc w:val="left"/>
    </w:pPr>
    <w:rPr>
      <w:rFonts w:ascii="Calibri" w:hAnsi="Calibri"/>
    </w:rPr>
  </w:style>
  <w:style w:type="paragraph" w:styleId="TOC6">
    <w:name w:val="toc 6"/>
    <w:basedOn w:val="Normal"/>
    <w:next w:val="Normal"/>
    <w:autoRedefine/>
    <w:uiPriority w:val="39"/>
    <w:rsid w:val="00452C81"/>
    <w:pPr>
      <w:spacing w:after="0"/>
      <w:ind w:left="1000"/>
      <w:jc w:val="left"/>
    </w:pPr>
    <w:rPr>
      <w:rFonts w:ascii="Calibri" w:hAnsi="Calibri"/>
    </w:rPr>
  </w:style>
  <w:style w:type="paragraph" w:styleId="TOC7">
    <w:name w:val="toc 7"/>
    <w:basedOn w:val="Normal"/>
    <w:next w:val="Normal"/>
    <w:autoRedefine/>
    <w:uiPriority w:val="39"/>
    <w:rsid w:val="00452C81"/>
    <w:pPr>
      <w:spacing w:after="0"/>
      <w:ind w:left="1200"/>
      <w:jc w:val="left"/>
    </w:pPr>
    <w:rPr>
      <w:rFonts w:ascii="Calibri" w:hAnsi="Calibri"/>
    </w:rPr>
  </w:style>
  <w:style w:type="paragraph" w:styleId="TOC8">
    <w:name w:val="toc 8"/>
    <w:basedOn w:val="Normal"/>
    <w:next w:val="Normal"/>
    <w:autoRedefine/>
    <w:uiPriority w:val="39"/>
    <w:rsid w:val="00452C81"/>
    <w:pPr>
      <w:spacing w:after="0"/>
      <w:ind w:left="1400"/>
      <w:jc w:val="left"/>
    </w:pPr>
    <w:rPr>
      <w:rFonts w:ascii="Calibri" w:hAnsi="Calibri"/>
    </w:rPr>
  </w:style>
  <w:style w:type="paragraph" w:styleId="TOC9">
    <w:name w:val="toc 9"/>
    <w:basedOn w:val="Normal"/>
    <w:next w:val="Normal"/>
    <w:autoRedefine/>
    <w:uiPriority w:val="39"/>
    <w:rsid w:val="00452C81"/>
    <w:pPr>
      <w:spacing w:after="0"/>
      <w:ind w:left="1600"/>
      <w:jc w:val="left"/>
    </w:pPr>
    <w:rPr>
      <w:rFonts w:ascii="Calibri" w:hAnsi="Calibri"/>
    </w:rPr>
  </w:style>
  <w:style w:type="paragraph" w:styleId="Revision">
    <w:name w:val="Revision"/>
    <w:hidden/>
    <w:uiPriority w:val="99"/>
    <w:semiHidden/>
    <w:rsid w:val="00452C81"/>
    <w:pPr>
      <w:spacing w:after="0" w:line="240" w:lineRule="auto"/>
    </w:pPr>
    <w:rPr>
      <w:rFonts w:ascii="Gautami" w:eastAsia="Calibri" w:hAnsi="Gautami" w:cs="Times New Roman"/>
      <w:sz w:val="20"/>
      <w:szCs w:val="20"/>
    </w:rPr>
  </w:style>
  <w:style w:type="character" w:styleId="FollowedHyperlink">
    <w:name w:val="FollowedHyperlink"/>
    <w:basedOn w:val="DefaultParagraphFont"/>
    <w:uiPriority w:val="99"/>
    <w:semiHidden/>
    <w:unhideWhenUsed/>
    <w:rsid w:val="00452C81"/>
    <w:rPr>
      <w:color w:val="800080" w:themeColor="followedHyperlink"/>
      <w:u w:val="single"/>
    </w:rPr>
  </w:style>
  <w:style w:type="numbering" w:customStyle="1" w:styleId="OldAERheadings">
    <w:name w:val="Old AER headings"/>
    <w:uiPriority w:val="99"/>
    <w:locked/>
    <w:rsid w:val="00626AD8"/>
    <w:pPr>
      <w:numPr>
        <w:numId w:val="11"/>
      </w:numPr>
    </w:pPr>
  </w:style>
  <w:style w:type="paragraph" w:styleId="Quote">
    <w:name w:val="Quote"/>
    <w:basedOn w:val="Normal"/>
    <w:next w:val="Normal"/>
    <w:link w:val="QuoteChar"/>
    <w:uiPriority w:val="29"/>
    <w:unhideWhenUsed/>
    <w:qFormat/>
    <w:rsid w:val="00626AD8"/>
    <w:rPr>
      <w:i/>
      <w:iCs/>
      <w:color w:val="000000"/>
    </w:rPr>
  </w:style>
  <w:style w:type="character" w:customStyle="1" w:styleId="QuoteChar">
    <w:name w:val="Quote Char"/>
    <w:basedOn w:val="DefaultParagraphFont"/>
    <w:link w:val="Quote"/>
    <w:uiPriority w:val="29"/>
    <w:rsid w:val="00626AD8"/>
    <w:rPr>
      <w:rFonts w:ascii="Gautami" w:eastAsia="Calibri" w:hAnsi="Gautami" w:cs="Times New Roman"/>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77">
      <w:bodyDiv w:val="1"/>
      <w:marLeft w:val="0"/>
      <w:marRight w:val="0"/>
      <w:marTop w:val="0"/>
      <w:marBottom w:val="0"/>
      <w:divBdr>
        <w:top w:val="none" w:sz="0" w:space="0" w:color="auto"/>
        <w:left w:val="none" w:sz="0" w:space="0" w:color="auto"/>
        <w:bottom w:val="none" w:sz="0" w:space="0" w:color="auto"/>
        <w:right w:val="none" w:sz="0" w:space="0" w:color="auto"/>
      </w:divBdr>
    </w:div>
    <w:div w:id="192311207">
      <w:bodyDiv w:val="1"/>
      <w:marLeft w:val="0"/>
      <w:marRight w:val="0"/>
      <w:marTop w:val="0"/>
      <w:marBottom w:val="0"/>
      <w:divBdr>
        <w:top w:val="none" w:sz="0" w:space="0" w:color="auto"/>
        <w:left w:val="none" w:sz="0" w:space="0" w:color="auto"/>
        <w:bottom w:val="none" w:sz="0" w:space="0" w:color="auto"/>
        <w:right w:val="none" w:sz="0" w:space="0" w:color="auto"/>
      </w:divBdr>
    </w:div>
    <w:div w:id="580337738">
      <w:bodyDiv w:val="1"/>
      <w:marLeft w:val="0"/>
      <w:marRight w:val="0"/>
      <w:marTop w:val="0"/>
      <w:marBottom w:val="0"/>
      <w:divBdr>
        <w:top w:val="none" w:sz="0" w:space="0" w:color="auto"/>
        <w:left w:val="none" w:sz="0" w:space="0" w:color="auto"/>
        <w:bottom w:val="none" w:sz="0" w:space="0" w:color="auto"/>
        <w:right w:val="none" w:sz="0" w:space="0" w:color="auto"/>
      </w:divBdr>
    </w:div>
    <w:div w:id="687096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hyperlink" Target="http://yourchoice.vic.gov.au/" TargetMode="External"/><Relationship Id="rId39" Type="http://schemas.openxmlformats.org/officeDocument/2006/relationships/image" Target="media/image17.emf"/><Relationship Id="rId21" Type="http://schemas.openxmlformats.org/officeDocument/2006/relationships/image" Target="media/image2.emf"/><Relationship Id="rId34" Type="http://schemas.openxmlformats.org/officeDocument/2006/relationships/footer" Target="footer7.xml"/><Relationship Id="rId42" Type="http://schemas.openxmlformats.org/officeDocument/2006/relationships/image" Target="media/image19.emf"/><Relationship Id="rId47" Type="http://schemas.openxmlformats.org/officeDocument/2006/relationships/image" Target="media/image24.emf"/><Relationship Id="rId50" Type="http://schemas.openxmlformats.org/officeDocument/2006/relationships/image" Target="media/image27.emf"/><Relationship Id="rId55" Type="http://schemas.openxmlformats.org/officeDocument/2006/relationships/footer" Target="footer12.xml"/><Relationship Id="rId63" Type="http://schemas.openxmlformats.org/officeDocument/2006/relationships/footer" Target="footer15.xml"/><Relationship Id="rId68" Type="http://schemas.openxmlformats.org/officeDocument/2006/relationships/image" Target="media/image36.emf"/><Relationship Id="rId76" Type="http://schemas.openxmlformats.org/officeDocument/2006/relationships/image" Target="media/image41.png"/><Relationship Id="rId84" Type="http://schemas.openxmlformats.org/officeDocument/2006/relationships/image" Target="media/image43.emf"/><Relationship Id="rId89" Type="http://schemas.openxmlformats.org/officeDocument/2006/relationships/footer" Target="footer28.xml"/><Relationship Id="rId7" Type="http://schemas.openxmlformats.org/officeDocument/2006/relationships/footnotes" Target="footnotes.xml"/><Relationship Id="rId71"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8.emf"/><Relationship Id="rId11" Type="http://schemas.openxmlformats.org/officeDocument/2006/relationships/header" Target="header1.xml"/><Relationship Id="rId24" Type="http://schemas.openxmlformats.org/officeDocument/2006/relationships/image" Target="media/image5.emf"/><Relationship Id="rId32" Type="http://schemas.openxmlformats.org/officeDocument/2006/relationships/image" Target="media/image11.emf"/><Relationship Id="rId37" Type="http://schemas.openxmlformats.org/officeDocument/2006/relationships/image" Target="media/image15.emf"/><Relationship Id="rId40" Type="http://schemas.openxmlformats.org/officeDocument/2006/relationships/footer" Target="footer8.xml"/><Relationship Id="rId45" Type="http://schemas.openxmlformats.org/officeDocument/2006/relationships/image" Target="media/image22.emf"/><Relationship Id="rId53" Type="http://schemas.openxmlformats.org/officeDocument/2006/relationships/footer" Target="footer10.xml"/><Relationship Id="rId58" Type="http://schemas.openxmlformats.org/officeDocument/2006/relationships/image" Target="media/image30.emf"/><Relationship Id="rId66" Type="http://schemas.openxmlformats.org/officeDocument/2006/relationships/image" Target="media/image34.emf"/><Relationship Id="rId74" Type="http://schemas.openxmlformats.org/officeDocument/2006/relationships/image" Target="media/image40.emf"/><Relationship Id="rId79" Type="http://schemas.openxmlformats.org/officeDocument/2006/relationships/image" Target="media/image42.emf"/><Relationship Id="rId87" Type="http://schemas.openxmlformats.org/officeDocument/2006/relationships/footer" Target="footer26.xml"/><Relationship Id="rId5" Type="http://schemas.openxmlformats.org/officeDocument/2006/relationships/settings" Target="settings.xml"/><Relationship Id="rId61" Type="http://schemas.openxmlformats.org/officeDocument/2006/relationships/hyperlink" Target="http://yourchoice.vic.gov.au/" TargetMode="External"/><Relationship Id="rId82" Type="http://schemas.openxmlformats.org/officeDocument/2006/relationships/footer" Target="footer23.xml"/><Relationship Id="rId90" Type="http://schemas.openxmlformats.org/officeDocument/2006/relationships/fontTable" Target="fontTable.xml"/><Relationship Id="rId19" Type="http://schemas.openxmlformats.org/officeDocument/2006/relationships/footer" Target="footer6.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hyperlink" Target="http://yourchoice.vic.gov.au/" TargetMode="External"/><Relationship Id="rId30" Type="http://schemas.openxmlformats.org/officeDocument/2006/relationships/image" Target="media/image9.emf"/><Relationship Id="rId35" Type="http://schemas.openxmlformats.org/officeDocument/2006/relationships/image" Target="media/image13.emf"/><Relationship Id="rId43" Type="http://schemas.openxmlformats.org/officeDocument/2006/relationships/image" Target="media/image20.emf"/><Relationship Id="rId48" Type="http://schemas.openxmlformats.org/officeDocument/2006/relationships/image" Target="media/image25.emf"/><Relationship Id="rId56" Type="http://schemas.openxmlformats.org/officeDocument/2006/relationships/footer" Target="footer13.xml"/><Relationship Id="rId64" Type="http://schemas.openxmlformats.org/officeDocument/2006/relationships/image" Target="media/image32.emf"/><Relationship Id="rId69" Type="http://schemas.openxmlformats.org/officeDocument/2006/relationships/image" Target="media/image37.emf"/><Relationship Id="rId77" Type="http://schemas.openxmlformats.org/officeDocument/2006/relationships/footer" Target="footer19.xml"/><Relationship Id="rId8" Type="http://schemas.openxmlformats.org/officeDocument/2006/relationships/endnotes" Target="endnotes.xml"/><Relationship Id="rId51" Type="http://schemas.openxmlformats.org/officeDocument/2006/relationships/image" Target="media/image28.emf"/><Relationship Id="rId72" Type="http://schemas.openxmlformats.org/officeDocument/2006/relationships/footer" Target="footer17.xml"/><Relationship Id="rId80" Type="http://schemas.openxmlformats.org/officeDocument/2006/relationships/footer" Target="footer21.xml"/><Relationship Id="rId85" Type="http://schemas.openxmlformats.org/officeDocument/2006/relationships/footer" Target="footer2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6.emf"/><Relationship Id="rId33" Type="http://schemas.openxmlformats.org/officeDocument/2006/relationships/image" Target="media/image12.emf"/><Relationship Id="rId38" Type="http://schemas.openxmlformats.org/officeDocument/2006/relationships/image" Target="media/image16.emf"/><Relationship Id="rId46" Type="http://schemas.openxmlformats.org/officeDocument/2006/relationships/image" Target="media/image23.emf"/><Relationship Id="rId59" Type="http://schemas.openxmlformats.org/officeDocument/2006/relationships/image" Target="media/image31.emf"/><Relationship Id="rId67" Type="http://schemas.openxmlformats.org/officeDocument/2006/relationships/image" Target="media/image35.emf"/><Relationship Id="rId20" Type="http://schemas.openxmlformats.org/officeDocument/2006/relationships/hyperlink" Target="http://www.aer.gov.au/node/19819" TargetMode="External"/><Relationship Id="rId41" Type="http://schemas.openxmlformats.org/officeDocument/2006/relationships/image" Target="media/image18.emf"/><Relationship Id="rId54" Type="http://schemas.openxmlformats.org/officeDocument/2006/relationships/footer" Target="footer11.xml"/><Relationship Id="rId62" Type="http://schemas.openxmlformats.org/officeDocument/2006/relationships/footer" Target="footer14.xml"/><Relationship Id="rId70" Type="http://schemas.openxmlformats.org/officeDocument/2006/relationships/footer" Target="footer16.xml"/><Relationship Id="rId75" Type="http://schemas.openxmlformats.org/officeDocument/2006/relationships/footer" Target="footer18.xml"/><Relationship Id="rId83" Type="http://schemas.openxmlformats.org/officeDocument/2006/relationships/footer" Target="footer24.xml"/><Relationship Id="rId88" Type="http://schemas.openxmlformats.org/officeDocument/2006/relationships/footer" Target="footer27.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4.emf"/><Relationship Id="rId28" Type="http://schemas.openxmlformats.org/officeDocument/2006/relationships/image" Target="media/image7.emf"/><Relationship Id="rId36" Type="http://schemas.openxmlformats.org/officeDocument/2006/relationships/image" Target="media/image14.emf"/><Relationship Id="rId49" Type="http://schemas.openxmlformats.org/officeDocument/2006/relationships/image" Target="media/image26.emf"/><Relationship Id="rId57" Type="http://schemas.openxmlformats.org/officeDocument/2006/relationships/image" Target="media/image29.wmf"/><Relationship Id="rId10" Type="http://schemas.openxmlformats.org/officeDocument/2006/relationships/hyperlink" Target="mailto:AERInquiry@aer.gov.au" TargetMode="External"/><Relationship Id="rId31" Type="http://schemas.openxmlformats.org/officeDocument/2006/relationships/image" Target="media/image10.emf"/><Relationship Id="rId44" Type="http://schemas.openxmlformats.org/officeDocument/2006/relationships/image" Target="media/image21.emf"/><Relationship Id="rId52" Type="http://schemas.openxmlformats.org/officeDocument/2006/relationships/footer" Target="footer9.xml"/><Relationship Id="rId60" Type="http://schemas.openxmlformats.org/officeDocument/2006/relationships/hyperlink" Target="http://yourchoice.vic.gov.au/" TargetMode="External"/><Relationship Id="rId65" Type="http://schemas.openxmlformats.org/officeDocument/2006/relationships/image" Target="media/image33.emf"/><Relationship Id="rId73" Type="http://schemas.openxmlformats.org/officeDocument/2006/relationships/image" Target="media/image39.emf"/><Relationship Id="rId78" Type="http://schemas.openxmlformats.org/officeDocument/2006/relationships/footer" Target="footer20.xml"/><Relationship Id="rId81" Type="http://schemas.openxmlformats.org/officeDocument/2006/relationships/footer" Target="footer22.xml"/><Relationship Id="rId86" Type="http://schemas.openxmlformats.org/officeDocument/2006/relationships/image" Target="media/image44.emf"/><Relationship Id="rId4" Type="http://schemas.microsoft.com/office/2007/relationships/stylesWithEffects" Target="stylesWithEffects.xml"/><Relationship Id="rId9"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www.aer.gov.au/node/510" TargetMode="External"/><Relationship Id="rId2" Type="http://schemas.openxmlformats.org/officeDocument/2006/relationships/hyperlink" Target="http://www.pc.gov.au/projects/inquiry/electricity/draft" TargetMode="External"/><Relationship Id="rId1" Type="http://schemas.openxmlformats.org/officeDocument/2006/relationships/hyperlink" Target="http://www.aer.gov.au/node/510" TargetMode="External"/><Relationship Id="rId5" Type="http://schemas.openxmlformats.org/officeDocument/2006/relationships/hyperlink" Target="http://www.pc.gov.au/projects/inquiry/electricity/draft" TargetMode="External"/><Relationship Id="rId4" Type="http://schemas.openxmlformats.org/officeDocument/2006/relationships/hyperlink" Target="http://www.rba.gov.au/statistics/tables/xls/f16.x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6AD70-4ADA-435B-BEC1-DE774252F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262</Pages>
  <Words>81912</Words>
  <Characters>466905</Characters>
  <Application>Microsoft Office Word</Application>
  <DocSecurity>4</DocSecurity>
  <Lines>3890</Lines>
  <Paragraphs>1095</Paragraphs>
  <ScaleCrop>false</ScaleCrop>
  <HeadingPairs>
    <vt:vector size="2" baseType="variant">
      <vt:variant>
        <vt:lpstr>Title</vt:lpstr>
      </vt:variant>
      <vt:variant>
        <vt:i4>1</vt:i4>
      </vt:variant>
    </vt:vector>
  </HeadingPairs>
  <TitlesOfParts>
    <vt:vector size="1" baseType="lpstr">
      <vt:lpstr/>
    </vt:vector>
  </TitlesOfParts>
  <Company>ACCC</Company>
  <LinksUpToDate>false</LinksUpToDate>
  <CharactersWithSpaces>547722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Moffitt, Shannon</dc:creator>
  <cp:keywords/>
  <dc:description/>
  <cp:lastModifiedBy>Moffitt, Shannon</cp:lastModifiedBy>
  <cp:revision>2</cp:revision>
  <cp:lastPrinted>2013-08-28T00:34:00Z</cp:lastPrinted>
  <dcterms:created xsi:type="dcterms:W3CDTF">2013-08-29T03:03:00Z</dcterms:created>
  <dcterms:modified xsi:type="dcterms:W3CDTF">2013-08-29T03:03:00Z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rrfile">
    <vt:lpwstr>H:\TRIMDATA\TRIM\TEMP\HPTRIM.5676\t0PFEOKS.DOCX</vt:lpwstr>
  </property>
</Properties>
</file>