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2.xml" ContentType="application/vnd.openxmlformats-officedocument.wordprocessingml.header+xml"/>
  <Override PartName="/word/footer1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B58" w:rsidRDefault="00364B58" w:rsidP="00364B58">
      <w:pPr>
        <w:pStyle w:val="AERtitle1"/>
      </w:pPr>
      <w:bookmarkStart w:id="0" w:name="_GoBack"/>
      <w:bookmarkEnd w:id="0"/>
      <w:r w:rsidRPr="00364B58">
        <w:rPr>
          <w:noProof/>
          <w:lang w:eastAsia="en-AU"/>
        </w:rPr>
        <w:drawing>
          <wp:anchor distT="0" distB="0" distL="114300" distR="114300" simplePos="0" relativeHeight="251660288" behindDoc="1" locked="0" layoutInCell="1" allowOverlap="1" wp14:anchorId="1C362DB2" wp14:editId="6583C042">
            <wp:simplePos x="0" y="0"/>
            <wp:positionH relativeFrom="column">
              <wp:posOffset>-916305</wp:posOffset>
            </wp:positionH>
            <wp:positionV relativeFrom="paragraph">
              <wp:posOffset>-915035</wp:posOffset>
            </wp:positionV>
            <wp:extent cx="7576244" cy="10706986"/>
            <wp:effectExtent l="0" t="0" r="0"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6244" cy="10706986"/>
                    </a:xfrm>
                    <a:prstGeom prst="rect">
                      <a:avLst/>
                    </a:prstGeom>
                    <a:noFill/>
                    <a:ln w="9525">
                      <a:noFill/>
                      <a:miter lim="800000"/>
                      <a:headEnd/>
                      <a:tailEnd/>
                    </a:ln>
                  </pic:spPr>
                </pic:pic>
              </a:graphicData>
            </a:graphic>
          </wp:anchor>
        </w:drawing>
      </w:r>
    </w:p>
    <w:p w:rsidR="00364B58" w:rsidRDefault="00364B58" w:rsidP="00364B58">
      <w:pPr>
        <w:pStyle w:val="AERtitle1"/>
      </w:pPr>
    </w:p>
    <w:p w:rsidR="00364B58" w:rsidRDefault="00364B58" w:rsidP="00364B58">
      <w:pPr>
        <w:pStyle w:val="AERtitle1"/>
      </w:pPr>
    </w:p>
    <w:p w:rsidR="00364B58" w:rsidRDefault="00364B58" w:rsidP="00364B58">
      <w:pPr>
        <w:pStyle w:val="AERtitle1"/>
      </w:pPr>
    </w:p>
    <w:p w:rsidR="00DC519F" w:rsidRDefault="00DC519F" w:rsidP="00364B58">
      <w:pPr>
        <w:pStyle w:val="AERtitle1"/>
      </w:pPr>
    </w:p>
    <w:p w:rsidR="00541087" w:rsidRPr="00B01F0C" w:rsidRDefault="00541087" w:rsidP="00541087">
      <w:pPr>
        <w:pStyle w:val="AERtitle1"/>
      </w:pPr>
      <w:r w:rsidRPr="00B01F0C">
        <w:t>Aus</w:t>
      </w:r>
      <w:r>
        <w:t>g</w:t>
      </w:r>
      <w:r w:rsidRPr="00B01F0C">
        <w:t>rid</w:t>
      </w:r>
    </w:p>
    <w:p w:rsidR="00541087" w:rsidRPr="00B01F0C" w:rsidRDefault="00541087" w:rsidP="00541087">
      <w:pPr>
        <w:pStyle w:val="AERtitle1"/>
      </w:pPr>
      <w:r w:rsidRPr="00B01F0C">
        <w:t>Endeavour</w:t>
      </w:r>
      <w:r>
        <w:t xml:space="preserve"> Energy</w:t>
      </w:r>
    </w:p>
    <w:p w:rsidR="00364B58" w:rsidRPr="00B01F0C" w:rsidRDefault="00B01F0C" w:rsidP="00364B58">
      <w:pPr>
        <w:pStyle w:val="AERtitle1"/>
      </w:pPr>
      <w:r w:rsidRPr="00B01F0C">
        <w:t>Essential Energy</w:t>
      </w:r>
    </w:p>
    <w:p w:rsidR="00B01F0C" w:rsidRPr="00B01F0C" w:rsidRDefault="00B01F0C" w:rsidP="00364B58">
      <w:pPr>
        <w:pStyle w:val="AERtitle1"/>
      </w:pPr>
      <w:r w:rsidRPr="00B01F0C">
        <w:t>ActewAGL</w:t>
      </w:r>
    </w:p>
    <w:p w:rsidR="00BE0B9C" w:rsidRDefault="00BE0B9C" w:rsidP="00364B58">
      <w:pPr>
        <w:pStyle w:val="AERtitle1"/>
      </w:pPr>
    </w:p>
    <w:p w:rsidR="00364B58" w:rsidRDefault="00295CD8" w:rsidP="00364B58">
      <w:pPr>
        <w:pStyle w:val="AERtitle1"/>
      </w:pPr>
      <w:r>
        <w:t>Transitional</w:t>
      </w:r>
      <w:r w:rsidR="00364B58">
        <w:t xml:space="preserve"> </w:t>
      </w:r>
      <w:r w:rsidR="003037D5">
        <w:t>distribution d</w:t>
      </w:r>
      <w:r w:rsidR="00CB6F3C">
        <w:t>ecision</w:t>
      </w:r>
    </w:p>
    <w:p w:rsidR="00364B58" w:rsidRDefault="00364B58" w:rsidP="00CB6F3C">
      <w:pPr>
        <w:pStyle w:val="AERtitle1"/>
      </w:pPr>
      <w:r>
        <w:t>2014–15</w:t>
      </w:r>
    </w:p>
    <w:p w:rsidR="00364B58" w:rsidRPr="00F6235D" w:rsidRDefault="00364B58" w:rsidP="00364B58"/>
    <w:p w:rsidR="00D36CD1" w:rsidRDefault="00B01F0C" w:rsidP="00CB6F3C">
      <w:pPr>
        <w:pStyle w:val="AERtitle2"/>
      </w:pPr>
      <w:r>
        <w:t>April</w:t>
      </w:r>
      <w:r w:rsidR="00364B58">
        <w:t xml:space="preserve"> 2014</w:t>
      </w:r>
    </w:p>
    <w:p w:rsidR="00CB6F3C" w:rsidRDefault="00CB6F3C" w:rsidP="00CB6F3C">
      <w:pPr>
        <w:pStyle w:val="AERtitle2"/>
      </w:pPr>
    </w:p>
    <w:p w:rsidR="00CB6F3C" w:rsidRDefault="00CB6F3C" w:rsidP="00CB6F3C">
      <w:pPr>
        <w:pStyle w:val="AERtitle2"/>
      </w:pPr>
    </w:p>
    <w:p w:rsidR="00CB6F3C" w:rsidRDefault="00CB6F3C" w:rsidP="00CB6F3C">
      <w:pPr>
        <w:pStyle w:val="AERtitle2"/>
      </w:pPr>
    </w:p>
    <w:p w:rsidR="00CB6F3C" w:rsidRPr="00D36CD1" w:rsidRDefault="00CB6F3C" w:rsidP="00CB6F3C">
      <w:pPr>
        <w:pStyle w:val="AERtitle2"/>
        <w:rPr>
          <w:rStyle w:val="AERtextbold"/>
          <w:b w:val="0"/>
          <w:sz w:val="40"/>
          <w:lang w:eastAsia="en-AU"/>
        </w:rPr>
      </w:pPr>
    </w:p>
    <w:p w:rsidR="00D36CD1" w:rsidRPr="00D36CD1" w:rsidRDefault="00D36CD1" w:rsidP="005B3754">
      <w:pPr>
        <w:pStyle w:val="AERbodytextnospace"/>
        <w:numPr>
          <w:ilvl w:val="0"/>
          <w:numId w:val="6"/>
        </w:numPr>
        <w:rPr>
          <w:rStyle w:val="AERtextbold"/>
          <w:b w:val="0"/>
          <w:sz w:val="40"/>
          <w:lang w:eastAsia="en-AU"/>
        </w:rPr>
      </w:pPr>
    </w:p>
    <w:p w:rsidR="00364B58" w:rsidRPr="008F1A4A" w:rsidRDefault="00364B58" w:rsidP="005B3754">
      <w:pPr>
        <w:pStyle w:val="AERbodytextnospace"/>
        <w:numPr>
          <w:ilvl w:val="0"/>
          <w:numId w:val="6"/>
        </w:numPr>
        <w:rPr>
          <w:rStyle w:val="AERtextbold"/>
          <w:b w:val="0"/>
          <w:sz w:val="40"/>
          <w:lang w:eastAsia="en-AU"/>
        </w:rPr>
      </w:pPr>
      <w:r w:rsidRPr="008F1A4A">
        <w:rPr>
          <w:rStyle w:val="AERtextbold"/>
        </w:rPr>
        <w:t xml:space="preserve">© </w:t>
      </w:r>
      <w:r>
        <w:rPr>
          <w:rStyle w:val="AERtextbold"/>
        </w:rPr>
        <w:t>Commonwealth of Australia 2014</w:t>
      </w:r>
    </w:p>
    <w:p w:rsidR="00364B58" w:rsidRPr="00F6235D" w:rsidRDefault="00364B58" w:rsidP="00364B58">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364B58" w:rsidRDefault="00364B58" w:rsidP="00364B58">
      <w:r>
        <w:t>Inquiries about this document should be addressed to:</w:t>
      </w:r>
    </w:p>
    <w:p w:rsidR="00364B58" w:rsidRDefault="00364B58" w:rsidP="005B3754">
      <w:pPr>
        <w:pStyle w:val="AERbodytextnospace"/>
        <w:numPr>
          <w:ilvl w:val="0"/>
          <w:numId w:val="6"/>
        </w:numPr>
      </w:pPr>
      <w:r>
        <w:t>Australian Energy Regulator</w:t>
      </w:r>
    </w:p>
    <w:p w:rsidR="00364B58" w:rsidRDefault="00364B58" w:rsidP="005B3754">
      <w:pPr>
        <w:pStyle w:val="AERbodytextnospace"/>
        <w:numPr>
          <w:ilvl w:val="0"/>
          <w:numId w:val="6"/>
        </w:numPr>
      </w:pPr>
      <w:r>
        <w:t>GPO Box 520</w:t>
      </w:r>
    </w:p>
    <w:p w:rsidR="00364B58" w:rsidRDefault="00364B58" w:rsidP="005B3754">
      <w:pPr>
        <w:pStyle w:val="AERbodytextnospace"/>
        <w:numPr>
          <w:ilvl w:val="0"/>
          <w:numId w:val="6"/>
        </w:numPr>
      </w:pPr>
      <w:r>
        <w:t>Melbourne  Vic  3001</w:t>
      </w:r>
    </w:p>
    <w:p w:rsidR="00364B58" w:rsidRDefault="00364B58" w:rsidP="005B3754">
      <w:pPr>
        <w:pStyle w:val="AERbodytextnospace"/>
        <w:numPr>
          <w:ilvl w:val="0"/>
          <w:numId w:val="6"/>
        </w:numPr>
      </w:pPr>
      <w:r>
        <w:t>Tel: (03) 9290 1444</w:t>
      </w:r>
    </w:p>
    <w:p w:rsidR="00364B58" w:rsidRDefault="00364B58" w:rsidP="005B3754">
      <w:pPr>
        <w:pStyle w:val="AERbodytextnospace"/>
        <w:numPr>
          <w:ilvl w:val="0"/>
          <w:numId w:val="6"/>
        </w:numPr>
      </w:pPr>
      <w:r>
        <w:t>Fax: (03) 9290 1457</w:t>
      </w:r>
    </w:p>
    <w:p w:rsidR="00364B58" w:rsidRDefault="00364B58" w:rsidP="005B3754">
      <w:pPr>
        <w:pStyle w:val="AERbodytextnospace"/>
        <w:numPr>
          <w:ilvl w:val="0"/>
          <w:numId w:val="6"/>
        </w:numPr>
      </w:pPr>
      <w:r>
        <w:t xml:space="preserve">Email: </w:t>
      </w:r>
      <w:hyperlink r:id="rId10" w:history="1">
        <w:r w:rsidRPr="003E184A">
          <w:rPr>
            <w:rStyle w:val="Hyperlink"/>
          </w:rPr>
          <w:t>AERInquiry@aer.gov.au</w:t>
        </w:r>
      </w:hyperlink>
    </w:p>
    <w:p w:rsidR="00364B58" w:rsidRPr="008F1A4A" w:rsidRDefault="00364B58" w:rsidP="00364B58"/>
    <w:p w:rsidR="00364B58" w:rsidRDefault="008378C8" w:rsidP="00364B58">
      <w:r>
        <w:t xml:space="preserve">AER reference:   </w:t>
      </w:r>
      <w:r w:rsidR="006D44BF">
        <w:t>52294, 52254</w:t>
      </w:r>
    </w:p>
    <w:p w:rsidR="003F0974" w:rsidRDefault="003F0974" w:rsidP="003F0974">
      <w:pPr>
        <w:pStyle w:val="UnnumberedHeading"/>
        <w:sectPr w:rsidR="003F0974" w:rsidSect="003F0974">
          <w:footerReference w:type="default" r:id="rId11"/>
          <w:pgSz w:w="11906" w:h="16838" w:code="9"/>
          <w:pgMar w:top="1440" w:right="1440" w:bottom="1440" w:left="1440" w:header="709" w:footer="709" w:gutter="0"/>
          <w:cols w:space="708"/>
          <w:titlePg/>
          <w:docGrid w:linePitch="360"/>
        </w:sectPr>
      </w:pPr>
      <w:bookmarkStart w:id="1" w:name="_Toc384716208"/>
    </w:p>
    <w:p w:rsidR="00230079" w:rsidRPr="00BF277F" w:rsidRDefault="00230079" w:rsidP="003F0974">
      <w:pPr>
        <w:pStyle w:val="UnnumberedHeading"/>
      </w:pPr>
      <w:bookmarkStart w:id="2" w:name="_Toc385326302"/>
      <w:r>
        <w:lastRenderedPageBreak/>
        <w:t>Contents</w:t>
      </w:r>
      <w:bookmarkEnd w:id="1"/>
      <w:bookmarkEnd w:id="2"/>
    </w:p>
    <w:sdt>
      <w:sdtPr>
        <w:rPr>
          <w:b w:val="0"/>
          <w:bCs w:val="0"/>
        </w:rPr>
        <w:id w:val="-372544077"/>
        <w:docPartObj>
          <w:docPartGallery w:val="Table of Contents"/>
          <w:docPartUnique/>
        </w:docPartObj>
      </w:sdtPr>
      <w:sdtEndPr>
        <w:rPr>
          <w:noProof/>
        </w:rPr>
      </w:sdtEndPr>
      <w:sdtContent>
        <w:p w:rsidR="00DA5B3B" w:rsidRDefault="00865F8A">
          <w:pPr>
            <w:pStyle w:val="TOC1"/>
            <w:tabs>
              <w:tab w:val="right" w:leader="dot" w:pos="9016"/>
            </w:tabs>
            <w:rPr>
              <w:rFonts w:asciiTheme="minorHAnsi" w:eastAsiaTheme="minorEastAsia" w:hAnsiTheme="minorHAnsi" w:cstheme="minorBidi"/>
              <w:b w:val="0"/>
              <w:bCs w:val="0"/>
              <w:noProof/>
              <w:sz w:val="22"/>
              <w:szCs w:val="22"/>
              <w:lang w:eastAsia="en-AU"/>
            </w:rPr>
          </w:pPr>
          <w:r>
            <w:rPr>
              <w:b w:val="0"/>
              <w:bCs w:val="0"/>
            </w:rPr>
            <w:fldChar w:fldCharType="begin"/>
          </w:r>
          <w:r>
            <w:rPr>
              <w:b w:val="0"/>
              <w:bCs w:val="0"/>
            </w:rPr>
            <w:instrText xml:space="preserve"> TOC \o "1-2" \h \z \u \t "Heading 7,1,Heading 8,2" </w:instrText>
          </w:r>
          <w:r>
            <w:rPr>
              <w:b w:val="0"/>
              <w:bCs w:val="0"/>
            </w:rPr>
            <w:fldChar w:fldCharType="separate"/>
          </w:r>
          <w:hyperlink w:anchor="_Toc385326302" w:history="1">
            <w:r w:rsidR="00DA5B3B" w:rsidRPr="00FD7891">
              <w:rPr>
                <w:rStyle w:val="Hyperlink"/>
                <w:noProof/>
              </w:rPr>
              <w:t>Contents</w:t>
            </w:r>
            <w:r w:rsidR="00DA5B3B">
              <w:rPr>
                <w:noProof/>
                <w:webHidden/>
              </w:rPr>
              <w:tab/>
            </w:r>
            <w:r w:rsidR="00DA5B3B">
              <w:rPr>
                <w:noProof/>
                <w:webHidden/>
              </w:rPr>
              <w:fldChar w:fldCharType="begin"/>
            </w:r>
            <w:r w:rsidR="00DA5B3B">
              <w:rPr>
                <w:noProof/>
                <w:webHidden/>
              </w:rPr>
              <w:instrText xml:space="preserve"> PAGEREF _Toc385326302 \h </w:instrText>
            </w:r>
            <w:r w:rsidR="00DA5B3B">
              <w:rPr>
                <w:noProof/>
                <w:webHidden/>
              </w:rPr>
            </w:r>
            <w:r w:rsidR="00DA5B3B">
              <w:rPr>
                <w:noProof/>
                <w:webHidden/>
              </w:rPr>
              <w:fldChar w:fldCharType="separate"/>
            </w:r>
            <w:r w:rsidR="00DA5B3B">
              <w:rPr>
                <w:noProof/>
                <w:webHidden/>
              </w:rPr>
              <w:t>i</w:t>
            </w:r>
            <w:r w:rsidR="00DA5B3B">
              <w:rPr>
                <w:noProof/>
                <w:webHidden/>
              </w:rPr>
              <w:fldChar w:fldCharType="end"/>
            </w:r>
          </w:hyperlink>
        </w:p>
        <w:p w:rsidR="00DA5B3B" w:rsidRDefault="00DD155E">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5326303" w:history="1">
            <w:r w:rsidR="00DA5B3B" w:rsidRPr="00FD7891">
              <w:rPr>
                <w:rStyle w:val="Hyperlink"/>
                <w:noProof/>
              </w:rPr>
              <w:t>Shortened forms</w:t>
            </w:r>
            <w:r w:rsidR="00DA5B3B">
              <w:rPr>
                <w:noProof/>
                <w:webHidden/>
              </w:rPr>
              <w:tab/>
            </w:r>
            <w:r w:rsidR="00DA5B3B">
              <w:rPr>
                <w:noProof/>
                <w:webHidden/>
              </w:rPr>
              <w:fldChar w:fldCharType="begin"/>
            </w:r>
            <w:r w:rsidR="00DA5B3B">
              <w:rPr>
                <w:noProof/>
                <w:webHidden/>
              </w:rPr>
              <w:instrText xml:space="preserve"> PAGEREF _Toc385326303 \h </w:instrText>
            </w:r>
            <w:r w:rsidR="00DA5B3B">
              <w:rPr>
                <w:noProof/>
                <w:webHidden/>
              </w:rPr>
            </w:r>
            <w:r w:rsidR="00DA5B3B">
              <w:rPr>
                <w:noProof/>
                <w:webHidden/>
              </w:rPr>
              <w:fldChar w:fldCharType="separate"/>
            </w:r>
            <w:r w:rsidR="00DA5B3B">
              <w:rPr>
                <w:noProof/>
                <w:webHidden/>
              </w:rPr>
              <w:t>iii</w:t>
            </w:r>
            <w:r w:rsidR="00DA5B3B">
              <w:rPr>
                <w:noProof/>
                <w:webHidden/>
              </w:rPr>
              <w:fldChar w:fldCharType="end"/>
            </w:r>
          </w:hyperlink>
        </w:p>
        <w:p w:rsidR="00DA5B3B" w:rsidRDefault="00DD155E">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5326304" w:history="1">
            <w:r w:rsidR="00DA5B3B" w:rsidRPr="00FD7891">
              <w:rPr>
                <w:rStyle w:val="Hyperlink"/>
                <w:noProof/>
              </w:rPr>
              <w:t>Part 1 – AER’s decision</w:t>
            </w:r>
            <w:r w:rsidR="00DA5B3B">
              <w:rPr>
                <w:noProof/>
                <w:webHidden/>
              </w:rPr>
              <w:tab/>
            </w:r>
            <w:r w:rsidR="00DA5B3B">
              <w:rPr>
                <w:noProof/>
                <w:webHidden/>
              </w:rPr>
              <w:fldChar w:fldCharType="begin"/>
            </w:r>
            <w:r w:rsidR="00DA5B3B">
              <w:rPr>
                <w:noProof/>
                <w:webHidden/>
              </w:rPr>
              <w:instrText xml:space="preserve"> PAGEREF _Toc385326304 \h </w:instrText>
            </w:r>
            <w:r w:rsidR="00DA5B3B">
              <w:rPr>
                <w:noProof/>
                <w:webHidden/>
              </w:rPr>
            </w:r>
            <w:r w:rsidR="00DA5B3B">
              <w:rPr>
                <w:noProof/>
                <w:webHidden/>
              </w:rPr>
              <w:fldChar w:fldCharType="separate"/>
            </w:r>
            <w:r w:rsidR="00DA5B3B">
              <w:rPr>
                <w:noProof/>
                <w:webHidden/>
              </w:rPr>
              <w:t>1</w:t>
            </w:r>
            <w:r w:rsidR="00DA5B3B">
              <w:rPr>
                <w:noProof/>
                <w:webHidden/>
              </w:rPr>
              <w:fldChar w:fldCharType="end"/>
            </w:r>
          </w:hyperlink>
        </w:p>
        <w:p w:rsidR="00DA5B3B" w:rsidRDefault="00DD155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5326305" w:history="1">
            <w:r w:rsidR="00DA5B3B" w:rsidRPr="00FD7891">
              <w:rPr>
                <w:rStyle w:val="Hyperlink"/>
                <w:noProof/>
              </w:rPr>
              <w:t>1</w:t>
            </w:r>
            <w:r w:rsidR="00DA5B3B">
              <w:rPr>
                <w:rFonts w:asciiTheme="minorHAnsi" w:eastAsiaTheme="minorEastAsia" w:hAnsiTheme="minorHAnsi" w:cstheme="minorBidi"/>
                <w:b w:val="0"/>
                <w:bCs w:val="0"/>
                <w:noProof/>
                <w:sz w:val="22"/>
                <w:szCs w:val="22"/>
                <w:lang w:eastAsia="en-AU"/>
              </w:rPr>
              <w:tab/>
            </w:r>
            <w:r w:rsidR="00DA5B3B" w:rsidRPr="00FD7891">
              <w:rPr>
                <w:rStyle w:val="Hyperlink"/>
                <w:noProof/>
              </w:rPr>
              <w:t>Overview</w:t>
            </w:r>
            <w:r w:rsidR="00DA5B3B">
              <w:rPr>
                <w:noProof/>
                <w:webHidden/>
              </w:rPr>
              <w:tab/>
            </w:r>
            <w:r w:rsidR="00DA5B3B">
              <w:rPr>
                <w:noProof/>
                <w:webHidden/>
              </w:rPr>
              <w:fldChar w:fldCharType="begin"/>
            </w:r>
            <w:r w:rsidR="00DA5B3B">
              <w:rPr>
                <w:noProof/>
                <w:webHidden/>
              </w:rPr>
              <w:instrText xml:space="preserve"> PAGEREF _Toc385326305 \h </w:instrText>
            </w:r>
            <w:r w:rsidR="00DA5B3B">
              <w:rPr>
                <w:noProof/>
                <w:webHidden/>
              </w:rPr>
            </w:r>
            <w:r w:rsidR="00DA5B3B">
              <w:rPr>
                <w:noProof/>
                <w:webHidden/>
              </w:rPr>
              <w:fldChar w:fldCharType="separate"/>
            </w:r>
            <w:r w:rsidR="00DA5B3B">
              <w:rPr>
                <w:noProof/>
                <w:webHidden/>
              </w:rPr>
              <w:t>2</w:t>
            </w:r>
            <w:r w:rsidR="00DA5B3B">
              <w:rPr>
                <w:noProof/>
                <w:webHidden/>
              </w:rPr>
              <w:fldChar w:fldCharType="end"/>
            </w:r>
          </w:hyperlink>
        </w:p>
        <w:p w:rsidR="00DA5B3B" w:rsidRDefault="00DD155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5326306" w:history="1">
            <w:r w:rsidR="00DA5B3B" w:rsidRPr="00FD7891">
              <w:rPr>
                <w:rStyle w:val="Hyperlink"/>
                <w:noProof/>
              </w:rPr>
              <w:t>2</w:t>
            </w:r>
            <w:r w:rsidR="00DA5B3B">
              <w:rPr>
                <w:rFonts w:asciiTheme="minorHAnsi" w:eastAsiaTheme="minorEastAsia" w:hAnsiTheme="minorHAnsi" w:cstheme="minorBidi"/>
                <w:b w:val="0"/>
                <w:bCs w:val="0"/>
                <w:noProof/>
                <w:sz w:val="22"/>
                <w:szCs w:val="22"/>
                <w:lang w:eastAsia="en-AU"/>
              </w:rPr>
              <w:tab/>
            </w:r>
            <w:r w:rsidR="00DA5B3B" w:rsidRPr="00FD7891">
              <w:rPr>
                <w:rStyle w:val="Hyperlink"/>
                <w:noProof/>
              </w:rPr>
              <w:t>About this review</w:t>
            </w:r>
            <w:r w:rsidR="00DA5B3B">
              <w:rPr>
                <w:noProof/>
                <w:webHidden/>
              </w:rPr>
              <w:tab/>
            </w:r>
            <w:r w:rsidR="00DA5B3B">
              <w:rPr>
                <w:noProof/>
                <w:webHidden/>
              </w:rPr>
              <w:fldChar w:fldCharType="begin"/>
            </w:r>
            <w:r w:rsidR="00DA5B3B">
              <w:rPr>
                <w:noProof/>
                <w:webHidden/>
              </w:rPr>
              <w:instrText xml:space="preserve"> PAGEREF _Toc385326306 \h </w:instrText>
            </w:r>
            <w:r w:rsidR="00DA5B3B">
              <w:rPr>
                <w:noProof/>
                <w:webHidden/>
              </w:rPr>
            </w:r>
            <w:r w:rsidR="00DA5B3B">
              <w:rPr>
                <w:noProof/>
                <w:webHidden/>
              </w:rPr>
              <w:fldChar w:fldCharType="separate"/>
            </w:r>
            <w:r w:rsidR="00DA5B3B">
              <w:rPr>
                <w:noProof/>
                <w:webHidden/>
              </w:rPr>
              <w:t>10</w:t>
            </w:r>
            <w:r w:rsidR="00DA5B3B">
              <w:rPr>
                <w:noProof/>
                <w:webHidden/>
              </w:rPr>
              <w:fldChar w:fldCharType="end"/>
            </w:r>
          </w:hyperlink>
        </w:p>
        <w:p w:rsidR="00DA5B3B" w:rsidRDefault="00DD155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326307" w:history="1">
            <w:r w:rsidR="00DA5B3B" w:rsidRPr="00FD7891">
              <w:rPr>
                <w:rStyle w:val="Hyperlink"/>
                <w:noProof/>
              </w:rPr>
              <w:t>2.1</w:t>
            </w:r>
            <w:r w:rsidR="00DA5B3B">
              <w:rPr>
                <w:rFonts w:asciiTheme="minorHAnsi" w:eastAsiaTheme="minorEastAsia" w:hAnsiTheme="minorHAnsi" w:cstheme="minorBidi"/>
                <w:iCs w:val="0"/>
                <w:noProof/>
                <w:sz w:val="22"/>
                <w:szCs w:val="22"/>
                <w:lang w:eastAsia="en-AU"/>
              </w:rPr>
              <w:tab/>
            </w:r>
            <w:r w:rsidR="00DA5B3B" w:rsidRPr="00FD7891">
              <w:rPr>
                <w:rStyle w:val="Hyperlink"/>
                <w:noProof/>
              </w:rPr>
              <w:t>Overview of the NSW/ACT DNSPs</w:t>
            </w:r>
            <w:r w:rsidR="00DA5B3B">
              <w:rPr>
                <w:noProof/>
                <w:webHidden/>
              </w:rPr>
              <w:tab/>
            </w:r>
            <w:r w:rsidR="00DA5B3B">
              <w:rPr>
                <w:noProof/>
                <w:webHidden/>
              </w:rPr>
              <w:fldChar w:fldCharType="begin"/>
            </w:r>
            <w:r w:rsidR="00DA5B3B">
              <w:rPr>
                <w:noProof/>
                <w:webHidden/>
              </w:rPr>
              <w:instrText xml:space="preserve"> PAGEREF _Toc385326307 \h </w:instrText>
            </w:r>
            <w:r w:rsidR="00DA5B3B">
              <w:rPr>
                <w:noProof/>
                <w:webHidden/>
              </w:rPr>
            </w:r>
            <w:r w:rsidR="00DA5B3B">
              <w:rPr>
                <w:noProof/>
                <w:webHidden/>
              </w:rPr>
              <w:fldChar w:fldCharType="separate"/>
            </w:r>
            <w:r w:rsidR="00DA5B3B">
              <w:rPr>
                <w:noProof/>
                <w:webHidden/>
              </w:rPr>
              <w:t>10</w:t>
            </w:r>
            <w:r w:rsidR="00DA5B3B">
              <w:rPr>
                <w:noProof/>
                <w:webHidden/>
              </w:rPr>
              <w:fldChar w:fldCharType="end"/>
            </w:r>
          </w:hyperlink>
        </w:p>
        <w:p w:rsidR="00DA5B3B" w:rsidRDefault="00DD155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326308" w:history="1">
            <w:r w:rsidR="00DA5B3B" w:rsidRPr="00FD7891">
              <w:rPr>
                <w:rStyle w:val="Hyperlink"/>
                <w:noProof/>
              </w:rPr>
              <w:t>2.2</w:t>
            </w:r>
            <w:r w:rsidR="00DA5B3B">
              <w:rPr>
                <w:rFonts w:asciiTheme="minorHAnsi" w:eastAsiaTheme="minorEastAsia" w:hAnsiTheme="minorHAnsi" w:cstheme="minorBidi"/>
                <w:iCs w:val="0"/>
                <w:noProof/>
                <w:sz w:val="22"/>
                <w:szCs w:val="22"/>
                <w:lang w:eastAsia="en-AU"/>
              </w:rPr>
              <w:tab/>
            </w:r>
            <w:r w:rsidR="00DA5B3B" w:rsidRPr="00FD7891">
              <w:rPr>
                <w:rStyle w:val="Hyperlink"/>
                <w:noProof/>
              </w:rPr>
              <w:t>Review process</w:t>
            </w:r>
            <w:r w:rsidR="00DA5B3B">
              <w:rPr>
                <w:noProof/>
                <w:webHidden/>
              </w:rPr>
              <w:tab/>
            </w:r>
            <w:r w:rsidR="00DA5B3B">
              <w:rPr>
                <w:noProof/>
                <w:webHidden/>
              </w:rPr>
              <w:fldChar w:fldCharType="begin"/>
            </w:r>
            <w:r w:rsidR="00DA5B3B">
              <w:rPr>
                <w:noProof/>
                <w:webHidden/>
              </w:rPr>
              <w:instrText xml:space="preserve"> PAGEREF _Toc385326308 \h </w:instrText>
            </w:r>
            <w:r w:rsidR="00DA5B3B">
              <w:rPr>
                <w:noProof/>
                <w:webHidden/>
              </w:rPr>
            </w:r>
            <w:r w:rsidR="00DA5B3B">
              <w:rPr>
                <w:noProof/>
                <w:webHidden/>
              </w:rPr>
              <w:fldChar w:fldCharType="separate"/>
            </w:r>
            <w:r w:rsidR="00DA5B3B">
              <w:rPr>
                <w:noProof/>
                <w:webHidden/>
              </w:rPr>
              <w:t>10</w:t>
            </w:r>
            <w:r w:rsidR="00DA5B3B">
              <w:rPr>
                <w:noProof/>
                <w:webHidden/>
              </w:rPr>
              <w:fldChar w:fldCharType="end"/>
            </w:r>
          </w:hyperlink>
        </w:p>
        <w:p w:rsidR="00DA5B3B" w:rsidRDefault="00DD155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5326309" w:history="1">
            <w:r w:rsidR="00DA5B3B" w:rsidRPr="00FD7891">
              <w:rPr>
                <w:rStyle w:val="Hyperlink"/>
                <w:noProof/>
              </w:rPr>
              <w:t>3</w:t>
            </w:r>
            <w:r w:rsidR="00DA5B3B">
              <w:rPr>
                <w:rFonts w:asciiTheme="minorHAnsi" w:eastAsiaTheme="minorEastAsia" w:hAnsiTheme="minorHAnsi" w:cstheme="minorBidi"/>
                <w:b w:val="0"/>
                <w:bCs w:val="0"/>
                <w:noProof/>
                <w:sz w:val="22"/>
                <w:szCs w:val="22"/>
                <w:lang w:eastAsia="en-AU"/>
              </w:rPr>
              <w:tab/>
            </w:r>
            <w:r w:rsidR="00DA5B3B" w:rsidRPr="00FD7891">
              <w:rPr>
                <w:rStyle w:val="Hyperlink"/>
                <w:noProof/>
              </w:rPr>
              <w:t>AER's approach</w:t>
            </w:r>
            <w:r w:rsidR="00DA5B3B">
              <w:rPr>
                <w:noProof/>
                <w:webHidden/>
              </w:rPr>
              <w:tab/>
            </w:r>
            <w:r w:rsidR="00DA5B3B">
              <w:rPr>
                <w:noProof/>
                <w:webHidden/>
              </w:rPr>
              <w:fldChar w:fldCharType="begin"/>
            </w:r>
            <w:r w:rsidR="00DA5B3B">
              <w:rPr>
                <w:noProof/>
                <w:webHidden/>
              </w:rPr>
              <w:instrText xml:space="preserve"> PAGEREF _Toc385326309 \h </w:instrText>
            </w:r>
            <w:r w:rsidR="00DA5B3B">
              <w:rPr>
                <w:noProof/>
                <w:webHidden/>
              </w:rPr>
            </w:r>
            <w:r w:rsidR="00DA5B3B">
              <w:rPr>
                <w:noProof/>
                <w:webHidden/>
              </w:rPr>
              <w:fldChar w:fldCharType="separate"/>
            </w:r>
            <w:r w:rsidR="00DA5B3B">
              <w:rPr>
                <w:noProof/>
                <w:webHidden/>
              </w:rPr>
              <w:t>13</w:t>
            </w:r>
            <w:r w:rsidR="00DA5B3B">
              <w:rPr>
                <w:noProof/>
                <w:webHidden/>
              </w:rPr>
              <w:fldChar w:fldCharType="end"/>
            </w:r>
          </w:hyperlink>
        </w:p>
        <w:p w:rsidR="00DA5B3B" w:rsidRDefault="00DD155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326310" w:history="1">
            <w:r w:rsidR="00DA5B3B" w:rsidRPr="00FD7891">
              <w:rPr>
                <w:rStyle w:val="Hyperlink"/>
                <w:noProof/>
              </w:rPr>
              <w:t>3.1</w:t>
            </w:r>
            <w:r w:rsidR="00DA5B3B">
              <w:rPr>
                <w:rFonts w:asciiTheme="minorHAnsi" w:eastAsiaTheme="minorEastAsia" w:hAnsiTheme="minorHAnsi" w:cstheme="minorBidi"/>
                <w:iCs w:val="0"/>
                <w:noProof/>
                <w:sz w:val="22"/>
                <w:szCs w:val="22"/>
                <w:lang w:eastAsia="en-AU"/>
              </w:rPr>
              <w:tab/>
            </w:r>
            <w:r w:rsidR="00DA5B3B" w:rsidRPr="00FD7891">
              <w:rPr>
                <w:rStyle w:val="Hyperlink"/>
                <w:noProof/>
              </w:rPr>
              <w:t>Assessment criteria</w:t>
            </w:r>
            <w:r w:rsidR="00DA5B3B">
              <w:rPr>
                <w:noProof/>
                <w:webHidden/>
              </w:rPr>
              <w:tab/>
            </w:r>
            <w:r w:rsidR="00DA5B3B">
              <w:rPr>
                <w:noProof/>
                <w:webHidden/>
              </w:rPr>
              <w:fldChar w:fldCharType="begin"/>
            </w:r>
            <w:r w:rsidR="00DA5B3B">
              <w:rPr>
                <w:noProof/>
                <w:webHidden/>
              </w:rPr>
              <w:instrText xml:space="preserve"> PAGEREF _Toc385326310 \h </w:instrText>
            </w:r>
            <w:r w:rsidR="00DA5B3B">
              <w:rPr>
                <w:noProof/>
                <w:webHidden/>
              </w:rPr>
            </w:r>
            <w:r w:rsidR="00DA5B3B">
              <w:rPr>
                <w:noProof/>
                <w:webHidden/>
              </w:rPr>
              <w:fldChar w:fldCharType="separate"/>
            </w:r>
            <w:r w:rsidR="00DA5B3B">
              <w:rPr>
                <w:noProof/>
                <w:webHidden/>
              </w:rPr>
              <w:t>13</w:t>
            </w:r>
            <w:r w:rsidR="00DA5B3B">
              <w:rPr>
                <w:noProof/>
                <w:webHidden/>
              </w:rPr>
              <w:fldChar w:fldCharType="end"/>
            </w:r>
          </w:hyperlink>
        </w:p>
        <w:p w:rsidR="00DA5B3B" w:rsidRDefault="00DD155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326311" w:history="1">
            <w:r w:rsidR="00DA5B3B" w:rsidRPr="00FD7891">
              <w:rPr>
                <w:rStyle w:val="Hyperlink"/>
                <w:noProof/>
              </w:rPr>
              <w:t>3.2</w:t>
            </w:r>
            <w:r w:rsidR="00DA5B3B">
              <w:rPr>
                <w:rFonts w:asciiTheme="minorHAnsi" w:eastAsiaTheme="minorEastAsia" w:hAnsiTheme="minorHAnsi" w:cstheme="minorBidi"/>
                <w:iCs w:val="0"/>
                <w:noProof/>
                <w:sz w:val="22"/>
                <w:szCs w:val="22"/>
                <w:lang w:eastAsia="en-AU"/>
              </w:rPr>
              <w:tab/>
            </w:r>
            <w:r w:rsidR="00DA5B3B" w:rsidRPr="00FD7891">
              <w:rPr>
                <w:rStyle w:val="Hyperlink"/>
                <w:noProof/>
              </w:rPr>
              <w:t>Assessment approach</w:t>
            </w:r>
            <w:r w:rsidR="00DA5B3B">
              <w:rPr>
                <w:noProof/>
                <w:webHidden/>
              </w:rPr>
              <w:tab/>
            </w:r>
            <w:r w:rsidR="00DA5B3B">
              <w:rPr>
                <w:noProof/>
                <w:webHidden/>
              </w:rPr>
              <w:fldChar w:fldCharType="begin"/>
            </w:r>
            <w:r w:rsidR="00DA5B3B">
              <w:rPr>
                <w:noProof/>
                <w:webHidden/>
              </w:rPr>
              <w:instrText xml:space="preserve"> PAGEREF _Toc385326311 \h </w:instrText>
            </w:r>
            <w:r w:rsidR="00DA5B3B">
              <w:rPr>
                <w:noProof/>
                <w:webHidden/>
              </w:rPr>
            </w:r>
            <w:r w:rsidR="00DA5B3B">
              <w:rPr>
                <w:noProof/>
                <w:webHidden/>
              </w:rPr>
              <w:fldChar w:fldCharType="separate"/>
            </w:r>
            <w:r w:rsidR="00DA5B3B">
              <w:rPr>
                <w:noProof/>
                <w:webHidden/>
              </w:rPr>
              <w:t>14</w:t>
            </w:r>
            <w:r w:rsidR="00DA5B3B">
              <w:rPr>
                <w:noProof/>
                <w:webHidden/>
              </w:rPr>
              <w:fldChar w:fldCharType="end"/>
            </w:r>
          </w:hyperlink>
        </w:p>
        <w:p w:rsidR="00DA5B3B" w:rsidRDefault="00DD155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5326312" w:history="1">
            <w:r w:rsidR="00DA5B3B" w:rsidRPr="00FD7891">
              <w:rPr>
                <w:rStyle w:val="Hyperlink"/>
                <w:noProof/>
              </w:rPr>
              <w:t>4</w:t>
            </w:r>
            <w:r w:rsidR="00DA5B3B">
              <w:rPr>
                <w:rFonts w:asciiTheme="minorHAnsi" w:eastAsiaTheme="minorEastAsia" w:hAnsiTheme="minorHAnsi" w:cstheme="minorBidi"/>
                <w:b w:val="0"/>
                <w:bCs w:val="0"/>
                <w:noProof/>
                <w:sz w:val="22"/>
                <w:szCs w:val="22"/>
                <w:lang w:eastAsia="en-AU"/>
              </w:rPr>
              <w:tab/>
            </w:r>
            <w:r w:rsidR="00DA5B3B" w:rsidRPr="00FD7891">
              <w:rPr>
                <w:rStyle w:val="Hyperlink"/>
                <w:noProof/>
              </w:rPr>
              <w:t>Revenues for the transitional year</w:t>
            </w:r>
            <w:r w:rsidR="00DA5B3B">
              <w:rPr>
                <w:noProof/>
                <w:webHidden/>
              </w:rPr>
              <w:tab/>
            </w:r>
            <w:r w:rsidR="00DA5B3B">
              <w:rPr>
                <w:noProof/>
                <w:webHidden/>
              </w:rPr>
              <w:fldChar w:fldCharType="begin"/>
            </w:r>
            <w:r w:rsidR="00DA5B3B">
              <w:rPr>
                <w:noProof/>
                <w:webHidden/>
              </w:rPr>
              <w:instrText xml:space="preserve"> PAGEREF _Toc385326312 \h </w:instrText>
            </w:r>
            <w:r w:rsidR="00DA5B3B">
              <w:rPr>
                <w:noProof/>
                <w:webHidden/>
              </w:rPr>
            </w:r>
            <w:r w:rsidR="00DA5B3B">
              <w:rPr>
                <w:noProof/>
                <w:webHidden/>
              </w:rPr>
              <w:fldChar w:fldCharType="separate"/>
            </w:r>
            <w:r w:rsidR="00DA5B3B">
              <w:rPr>
                <w:noProof/>
                <w:webHidden/>
              </w:rPr>
              <w:t>16</w:t>
            </w:r>
            <w:r w:rsidR="00DA5B3B">
              <w:rPr>
                <w:noProof/>
                <w:webHidden/>
              </w:rPr>
              <w:fldChar w:fldCharType="end"/>
            </w:r>
          </w:hyperlink>
        </w:p>
        <w:p w:rsidR="00DA5B3B" w:rsidRDefault="00DD155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326313" w:history="1">
            <w:r w:rsidR="00DA5B3B" w:rsidRPr="00FD7891">
              <w:rPr>
                <w:rStyle w:val="Hyperlink"/>
                <w:noProof/>
              </w:rPr>
              <w:t>4.1</w:t>
            </w:r>
            <w:r w:rsidR="00DA5B3B">
              <w:rPr>
                <w:rFonts w:asciiTheme="minorHAnsi" w:eastAsiaTheme="minorEastAsia" w:hAnsiTheme="minorHAnsi" w:cstheme="minorBidi"/>
                <w:iCs w:val="0"/>
                <w:noProof/>
                <w:sz w:val="22"/>
                <w:szCs w:val="22"/>
                <w:lang w:eastAsia="en-AU"/>
              </w:rPr>
              <w:tab/>
            </w:r>
            <w:r w:rsidR="00DA5B3B" w:rsidRPr="00FD7891">
              <w:rPr>
                <w:rStyle w:val="Hyperlink"/>
                <w:noProof/>
              </w:rPr>
              <w:t>Annual revenue requirement for transitional year</w:t>
            </w:r>
            <w:r w:rsidR="00DA5B3B">
              <w:rPr>
                <w:noProof/>
                <w:webHidden/>
              </w:rPr>
              <w:tab/>
            </w:r>
            <w:r w:rsidR="00DA5B3B">
              <w:rPr>
                <w:noProof/>
                <w:webHidden/>
              </w:rPr>
              <w:fldChar w:fldCharType="begin"/>
            </w:r>
            <w:r w:rsidR="00DA5B3B">
              <w:rPr>
                <w:noProof/>
                <w:webHidden/>
              </w:rPr>
              <w:instrText xml:space="preserve"> PAGEREF _Toc385326313 \h </w:instrText>
            </w:r>
            <w:r w:rsidR="00DA5B3B">
              <w:rPr>
                <w:noProof/>
                <w:webHidden/>
              </w:rPr>
            </w:r>
            <w:r w:rsidR="00DA5B3B">
              <w:rPr>
                <w:noProof/>
                <w:webHidden/>
              </w:rPr>
              <w:fldChar w:fldCharType="separate"/>
            </w:r>
            <w:r w:rsidR="00DA5B3B">
              <w:rPr>
                <w:noProof/>
                <w:webHidden/>
              </w:rPr>
              <w:t>16</w:t>
            </w:r>
            <w:r w:rsidR="00DA5B3B">
              <w:rPr>
                <w:noProof/>
                <w:webHidden/>
              </w:rPr>
              <w:fldChar w:fldCharType="end"/>
            </w:r>
          </w:hyperlink>
        </w:p>
        <w:p w:rsidR="00DA5B3B" w:rsidRDefault="00DD155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326314" w:history="1">
            <w:r w:rsidR="00DA5B3B" w:rsidRPr="00FD7891">
              <w:rPr>
                <w:rStyle w:val="Hyperlink"/>
                <w:noProof/>
              </w:rPr>
              <w:t>4.2</w:t>
            </w:r>
            <w:r w:rsidR="00DA5B3B">
              <w:rPr>
                <w:rFonts w:asciiTheme="minorHAnsi" w:eastAsiaTheme="minorEastAsia" w:hAnsiTheme="minorHAnsi" w:cstheme="minorBidi"/>
                <w:iCs w:val="0"/>
                <w:noProof/>
                <w:sz w:val="22"/>
                <w:szCs w:val="22"/>
                <w:lang w:eastAsia="en-AU"/>
              </w:rPr>
              <w:tab/>
            </w:r>
            <w:r w:rsidR="00DA5B3B" w:rsidRPr="00FD7891">
              <w:rPr>
                <w:rStyle w:val="Hyperlink"/>
                <w:noProof/>
              </w:rPr>
              <w:t>Key components and drivers of the annual revenue requirement</w:t>
            </w:r>
            <w:r w:rsidR="00DA5B3B">
              <w:rPr>
                <w:noProof/>
                <w:webHidden/>
              </w:rPr>
              <w:tab/>
            </w:r>
            <w:r w:rsidR="00DA5B3B">
              <w:rPr>
                <w:noProof/>
                <w:webHidden/>
              </w:rPr>
              <w:fldChar w:fldCharType="begin"/>
            </w:r>
            <w:r w:rsidR="00DA5B3B">
              <w:rPr>
                <w:noProof/>
                <w:webHidden/>
              </w:rPr>
              <w:instrText xml:space="preserve"> PAGEREF _Toc385326314 \h </w:instrText>
            </w:r>
            <w:r w:rsidR="00DA5B3B">
              <w:rPr>
                <w:noProof/>
                <w:webHidden/>
              </w:rPr>
            </w:r>
            <w:r w:rsidR="00DA5B3B">
              <w:rPr>
                <w:noProof/>
                <w:webHidden/>
              </w:rPr>
              <w:fldChar w:fldCharType="separate"/>
            </w:r>
            <w:r w:rsidR="00DA5B3B">
              <w:rPr>
                <w:noProof/>
                <w:webHidden/>
              </w:rPr>
              <w:t>32</w:t>
            </w:r>
            <w:r w:rsidR="00DA5B3B">
              <w:rPr>
                <w:noProof/>
                <w:webHidden/>
              </w:rPr>
              <w:fldChar w:fldCharType="end"/>
            </w:r>
          </w:hyperlink>
        </w:p>
        <w:p w:rsidR="00DA5B3B" w:rsidRDefault="00DD155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5326315" w:history="1">
            <w:r w:rsidR="00DA5B3B" w:rsidRPr="00FD7891">
              <w:rPr>
                <w:rStyle w:val="Hyperlink"/>
                <w:noProof/>
              </w:rPr>
              <w:t>5</w:t>
            </w:r>
            <w:r w:rsidR="00DA5B3B">
              <w:rPr>
                <w:rFonts w:asciiTheme="minorHAnsi" w:eastAsiaTheme="minorEastAsia" w:hAnsiTheme="minorHAnsi" w:cstheme="minorBidi"/>
                <w:b w:val="0"/>
                <w:bCs w:val="0"/>
                <w:noProof/>
                <w:sz w:val="22"/>
                <w:szCs w:val="22"/>
                <w:lang w:eastAsia="en-AU"/>
              </w:rPr>
              <w:tab/>
            </w:r>
            <w:r w:rsidR="00DA5B3B" w:rsidRPr="00FD7891">
              <w:rPr>
                <w:rStyle w:val="Hyperlink"/>
                <w:noProof/>
              </w:rPr>
              <w:t>Other constituent decisions</w:t>
            </w:r>
            <w:r w:rsidR="00DA5B3B">
              <w:rPr>
                <w:noProof/>
                <w:webHidden/>
              </w:rPr>
              <w:tab/>
            </w:r>
            <w:r w:rsidR="00DA5B3B">
              <w:rPr>
                <w:noProof/>
                <w:webHidden/>
              </w:rPr>
              <w:fldChar w:fldCharType="begin"/>
            </w:r>
            <w:r w:rsidR="00DA5B3B">
              <w:rPr>
                <w:noProof/>
                <w:webHidden/>
              </w:rPr>
              <w:instrText xml:space="preserve"> PAGEREF _Toc385326315 \h </w:instrText>
            </w:r>
            <w:r w:rsidR="00DA5B3B">
              <w:rPr>
                <w:noProof/>
                <w:webHidden/>
              </w:rPr>
            </w:r>
            <w:r w:rsidR="00DA5B3B">
              <w:rPr>
                <w:noProof/>
                <w:webHidden/>
              </w:rPr>
              <w:fldChar w:fldCharType="separate"/>
            </w:r>
            <w:r w:rsidR="00DA5B3B">
              <w:rPr>
                <w:noProof/>
                <w:webHidden/>
              </w:rPr>
              <w:t>46</w:t>
            </w:r>
            <w:r w:rsidR="00DA5B3B">
              <w:rPr>
                <w:noProof/>
                <w:webHidden/>
              </w:rPr>
              <w:fldChar w:fldCharType="end"/>
            </w:r>
          </w:hyperlink>
        </w:p>
        <w:p w:rsidR="00DA5B3B" w:rsidRDefault="00DD155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326316" w:history="1">
            <w:r w:rsidR="00DA5B3B" w:rsidRPr="00FD7891">
              <w:rPr>
                <w:rStyle w:val="Hyperlink"/>
                <w:noProof/>
              </w:rPr>
              <w:t>5.1</w:t>
            </w:r>
            <w:r w:rsidR="00DA5B3B">
              <w:rPr>
                <w:rFonts w:asciiTheme="minorHAnsi" w:eastAsiaTheme="minorEastAsia" w:hAnsiTheme="minorHAnsi" w:cstheme="minorBidi"/>
                <w:iCs w:val="0"/>
                <w:noProof/>
                <w:sz w:val="22"/>
                <w:szCs w:val="22"/>
                <w:lang w:eastAsia="en-AU"/>
              </w:rPr>
              <w:tab/>
            </w:r>
            <w:r w:rsidR="00DA5B3B" w:rsidRPr="00FD7891">
              <w:rPr>
                <w:rStyle w:val="Hyperlink"/>
                <w:noProof/>
              </w:rPr>
              <w:t>D-factor scheme and the Demand Management and Embedded Generation Connection and Incentive Scheme</w:t>
            </w:r>
            <w:r w:rsidR="00DA5B3B">
              <w:rPr>
                <w:noProof/>
                <w:webHidden/>
              </w:rPr>
              <w:tab/>
            </w:r>
            <w:r w:rsidR="00DA5B3B">
              <w:rPr>
                <w:noProof/>
                <w:webHidden/>
              </w:rPr>
              <w:fldChar w:fldCharType="begin"/>
            </w:r>
            <w:r w:rsidR="00DA5B3B">
              <w:rPr>
                <w:noProof/>
                <w:webHidden/>
              </w:rPr>
              <w:instrText xml:space="preserve"> PAGEREF _Toc385326316 \h </w:instrText>
            </w:r>
            <w:r w:rsidR="00DA5B3B">
              <w:rPr>
                <w:noProof/>
                <w:webHidden/>
              </w:rPr>
            </w:r>
            <w:r w:rsidR="00DA5B3B">
              <w:rPr>
                <w:noProof/>
                <w:webHidden/>
              </w:rPr>
              <w:fldChar w:fldCharType="separate"/>
            </w:r>
            <w:r w:rsidR="00DA5B3B">
              <w:rPr>
                <w:noProof/>
                <w:webHidden/>
              </w:rPr>
              <w:t>46</w:t>
            </w:r>
            <w:r w:rsidR="00DA5B3B">
              <w:rPr>
                <w:noProof/>
                <w:webHidden/>
              </w:rPr>
              <w:fldChar w:fldCharType="end"/>
            </w:r>
          </w:hyperlink>
        </w:p>
        <w:p w:rsidR="00DA5B3B" w:rsidRDefault="00DD155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326317" w:history="1">
            <w:r w:rsidR="00DA5B3B" w:rsidRPr="00FD7891">
              <w:rPr>
                <w:rStyle w:val="Hyperlink"/>
                <w:noProof/>
              </w:rPr>
              <w:t>5.2</w:t>
            </w:r>
            <w:r w:rsidR="00DA5B3B">
              <w:rPr>
                <w:rFonts w:asciiTheme="minorHAnsi" w:eastAsiaTheme="minorEastAsia" w:hAnsiTheme="minorHAnsi" w:cstheme="minorBidi"/>
                <w:iCs w:val="0"/>
                <w:noProof/>
                <w:sz w:val="22"/>
                <w:szCs w:val="22"/>
                <w:lang w:eastAsia="en-AU"/>
              </w:rPr>
              <w:tab/>
            </w:r>
            <w:r w:rsidR="00DA5B3B" w:rsidRPr="00FD7891">
              <w:rPr>
                <w:rStyle w:val="Hyperlink"/>
                <w:noProof/>
              </w:rPr>
              <w:t>Efficiency Benefit Sharing Scheme</w:t>
            </w:r>
            <w:r w:rsidR="00DA5B3B">
              <w:rPr>
                <w:noProof/>
                <w:webHidden/>
              </w:rPr>
              <w:tab/>
            </w:r>
            <w:r w:rsidR="00DA5B3B">
              <w:rPr>
                <w:noProof/>
                <w:webHidden/>
              </w:rPr>
              <w:fldChar w:fldCharType="begin"/>
            </w:r>
            <w:r w:rsidR="00DA5B3B">
              <w:rPr>
                <w:noProof/>
                <w:webHidden/>
              </w:rPr>
              <w:instrText xml:space="preserve"> PAGEREF _Toc385326317 \h </w:instrText>
            </w:r>
            <w:r w:rsidR="00DA5B3B">
              <w:rPr>
                <w:noProof/>
                <w:webHidden/>
              </w:rPr>
            </w:r>
            <w:r w:rsidR="00DA5B3B">
              <w:rPr>
                <w:noProof/>
                <w:webHidden/>
              </w:rPr>
              <w:fldChar w:fldCharType="separate"/>
            </w:r>
            <w:r w:rsidR="00DA5B3B">
              <w:rPr>
                <w:noProof/>
                <w:webHidden/>
              </w:rPr>
              <w:t>47</w:t>
            </w:r>
            <w:r w:rsidR="00DA5B3B">
              <w:rPr>
                <w:noProof/>
                <w:webHidden/>
              </w:rPr>
              <w:fldChar w:fldCharType="end"/>
            </w:r>
          </w:hyperlink>
        </w:p>
        <w:p w:rsidR="00DA5B3B" w:rsidRDefault="00DD155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326318" w:history="1">
            <w:r w:rsidR="00DA5B3B" w:rsidRPr="00FD7891">
              <w:rPr>
                <w:rStyle w:val="Hyperlink"/>
                <w:noProof/>
              </w:rPr>
              <w:t>5.3</w:t>
            </w:r>
            <w:r w:rsidR="00DA5B3B">
              <w:rPr>
                <w:rFonts w:asciiTheme="minorHAnsi" w:eastAsiaTheme="minorEastAsia" w:hAnsiTheme="minorHAnsi" w:cstheme="minorBidi"/>
                <w:iCs w:val="0"/>
                <w:noProof/>
                <w:sz w:val="22"/>
                <w:szCs w:val="22"/>
                <w:lang w:eastAsia="en-AU"/>
              </w:rPr>
              <w:tab/>
            </w:r>
            <w:r w:rsidR="00DA5B3B" w:rsidRPr="00FD7891">
              <w:rPr>
                <w:rStyle w:val="Hyperlink"/>
                <w:noProof/>
              </w:rPr>
              <w:t>Service Target Performance Incentive Scheme</w:t>
            </w:r>
            <w:r w:rsidR="00DA5B3B">
              <w:rPr>
                <w:noProof/>
                <w:webHidden/>
              </w:rPr>
              <w:tab/>
            </w:r>
            <w:r w:rsidR="00DA5B3B">
              <w:rPr>
                <w:noProof/>
                <w:webHidden/>
              </w:rPr>
              <w:fldChar w:fldCharType="begin"/>
            </w:r>
            <w:r w:rsidR="00DA5B3B">
              <w:rPr>
                <w:noProof/>
                <w:webHidden/>
              </w:rPr>
              <w:instrText xml:space="preserve"> PAGEREF _Toc385326318 \h </w:instrText>
            </w:r>
            <w:r w:rsidR="00DA5B3B">
              <w:rPr>
                <w:noProof/>
                <w:webHidden/>
              </w:rPr>
            </w:r>
            <w:r w:rsidR="00DA5B3B">
              <w:rPr>
                <w:noProof/>
                <w:webHidden/>
              </w:rPr>
              <w:fldChar w:fldCharType="separate"/>
            </w:r>
            <w:r w:rsidR="00DA5B3B">
              <w:rPr>
                <w:noProof/>
                <w:webHidden/>
              </w:rPr>
              <w:t>49</w:t>
            </w:r>
            <w:r w:rsidR="00DA5B3B">
              <w:rPr>
                <w:noProof/>
                <w:webHidden/>
              </w:rPr>
              <w:fldChar w:fldCharType="end"/>
            </w:r>
          </w:hyperlink>
        </w:p>
        <w:p w:rsidR="00DA5B3B" w:rsidRDefault="00DD155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326319" w:history="1">
            <w:r w:rsidR="00DA5B3B" w:rsidRPr="00FD7891">
              <w:rPr>
                <w:rStyle w:val="Hyperlink"/>
                <w:noProof/>
              </w:rPr>
              <w:t>5.4</w:t>
            </w:r>
            <w:r w:rsidR="00DA5B3B">
              <w:rPr>
                <w:rFonts w:asciiTheme="minorHAnsi" w:eastAsiaTheme="minorEastAsia" w:hAnsiTheme="minorHAnsi" w:cstheme="minorBidi"/>
                <w:iCs w:val="0"/>
                <w:noProof/>
                <w:sz w:val="22"/>
                <w:szCs w:val="22"/>
                <w:lang w:eastAsia="en-AU"/>
              </w:rPr>
              <w:tab/>
            </w:r>
            <w:r w:rsidR="00DA5B3B" w:rsidRPr="00FD7891">
              <w:rPr>
                <w:rStyle w:val="Hyperlink"/>
                <w:noProof/>
              </w:rPr>
              <w:t>Capital expenditure sharing scheme</w:t>
            </w:r>
            <w:r w:rsidR="00DA5B3B">
              <w:rPr>
                <w:noProof/>
                <w:webHidden/>
              </w:rPr>
              <w:tab/>
            </w:r>
            <w:r w:rsidR="00DA5B3B">
              <w:rPr>
                <w:noProof/>
                <w:webHidden/>
              </w:rPr>
              <w:fldChar w:fldCharType="begin"/>
            </w:r>
            <w:r w:rsidR="00DA5B3B">
              <w:rPr>
                <w:noProof/>
                <w:webHidden/>
              </w:rPr>
              <w:instrText xml:space="preserve"> PAGEREF _Toc385326319 \h </w:instrText>
            </w:r>
            <w:r w:rsidR="00DA5B3B">
              <w:rPr>
                <w:noProof/>
                <w:webHidden/>
              </w:rPr>
            </w:r>
            <w:r w:rsidR="00DA5B3B">
              <w:rPr>
                <w:noProof/>
                <w:webHidden/>
              </w:rPr>
              <w:fldChar w:fldCharType="separate"/>
            </w:r>
            <w:r w:rsidR="00DA5B3B">
              <w:rPr>
                <w:noProof/>
                <w:webHidden/>
              </w:rPr>
              <w:t>49</w:t>
            </w:r>
            <w:r w:rsidR="00DA5B3B">
              <w:rPr>
                <w:noProof/>
                <w:webHidden/>
              </w:rPr>
              <w:fldChar w:fldCharType="end"/>
            </w:r>
          </w:hyperlink>
        </w:p>
        <w:p w:rsidR="00DA5B3B" w:rsidRDefault="00DD155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326320" w:history="1">
            <w:r w:rsidR="00DA5B3B" w:rsidRPr="00FD7891">
              <w:rPr>
                <w:rStyle w:val="Hyperlink"/>
                <w:noProof/>
              </w:rPr>
              <w:t>5.5</w:t>
            </w:r>
            <w:r w:rsidR="00DA5B3B">
              <w:rPr>
                <w:rFonts w:asciiTheme="minorHAnsi" w:eastAsiaTheme="minorEastAsia" w:hAnsiTheme="minorHAnsi" w:cstheme="minorBidi"/>
                <w:iCs w:val="0"/>
                <w:noProof/>
                <w:sz w:val="22"/>
                <w:szCs w:val="22"/>
                <w:lang w:eastAsia="en-AU"/>
              </w:rPr>
              <w:tab/>
            </w:r>
            <w:r w:rsidR="00DA5B3B" w:rsidRPr="00FD7891">
              <w:rPr>
                <w:rStyle w:val="Hyperlink"/>
                <w:noProof/>
              </w:rPr>
              <w:t>Small-scale incentive scheme</w:t>
            </w:r>
            <w:r w:rsidR="00DA5B3B">
              <w:rPr>
                <w:noProof/>
                <w:webHidden/>
              </w:rPr>
              <w:tab/>
            </w:r>
            <w:r w:rsidR="00DA5B3B">
              <w:rPr>
                <w:noProof/>
                <w:webHidden/>
              </w:rPr>
              <w:fldChar w:fldCharType="begin"/>
            </w:r>
            <w:r w:rsidR="00DA5B3B">
              <w:rPr>
                <w:noProof/>
                <w:webHidden/>
              </w:rPr>
              <w:instrText xml:space="preserve"> PAGEREF _Toc385326320 \h </w:instrText>
            </w:r>
            <w:r w:rsidR="00DA5B3B">
              <w:rPr>
                <w:noProof/>
                <w:webHidden/>
              </w:rPr>
            </w:r>
            <w:r w:rsidR="00DA5B3B">
              <w:rPr>
                <w:noProof/>
                <w:webHidden/>
              </w:rPr>
              <w:fldChar w:fldCharType="separate"/>
            </w:r>
            <w:r w:rsidR="00DA5B3B">
              <w:rPr>
                <w:noProof/>
                <w:webHidden/>
              </w:rPr>
              <w:t>49</w:t>
            </w:r>
            <w:r w:rsidR="00DA5B3B">
              <w:rPr>
                <w:noProof/>
                <w:webHidden/>
              </w:rPr>
              <w:fldChar w:fldCharType="end"/>
            </w:r>
          </w:hyperlink>
        </w:p>
        <w:p w:rsidR="00DA5B3B" w:rsidRDefault="00DD155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326321" w:history="1">
            <w:r w:rsidR="00DA5B3B" w:rsidRPr="00FD7891">
              <w:rPr>
                <w:rStyle w:val="Hyperlink"/>
                <w:noProof/>
              </w:rPr>
              <w:t>5.6</w:t>
            </w:r>
            <w:r w:rsidR="00DA5B3B">
              <w:rPr>
                <w:rFonts w:asciiTheme="minorHAnsi" w:eastAsiaTheme="minorEastAsia" w:hAnsiTheme="minorHAnsi" w:cstheme="minorBidi"/>
                <w:iCs w:val="0"/>
                <w:noProof/>
                <w:sz w:val="22"/>
                <w:szCs w:val="22"/>
                <w:lang w:eastAsia="en-AU"/>
              </w:rPr>
              <w:tab/>
            </w:r>
            <w:r w:rsidR="00DA5B3B" w:rsidRPr="00FD7891">
              <w:rPr>
                <w:rStyle w:val="Hyperlink"/>
                <w:noProof/>
              </w:rPr>
              <w:t>Dual function assets</w:t>
            </w:r>
            <w:r w:rsidR="00DA5B3B">
              <w:rPr>
                <w:noProof/>
                <w:webHidden/>
              </w:rPr>
              <w:tab/>
            </w:r>
            <w:r w:rsidR="00DA5B3B">
              <w:rPr>
                <w:noProof/>
                <w:webHidden/>
              </w:rPr>
              <w:fldChar w:fldCharType="begin"/>
            </w:r>
            <w:r w:rsidR="00DA5B3B">
              <w:rPr>
                <w:noProof/>
                <w:webHidden/>
              </w:rPr>
              <w:instrText xml:space="preserve"> PAGEREF _Toc385326321 \h </w:instrText>
            </w:r>
            <w:r w:rsidR="00DA5B3B">
              <w:rPr>
                <w:noProof/>
                <w:webHidden/>
              </w:rPr>
            </w:r>
            <w:r w:rsidR="00DA5B3B">
              <w:rPr>
                <w:noProof/>
                <w:webHidden/>
              </w:rPr>
              <w:fldChar w:fldCharType="separate"/>
            </w:r>
            <w:r w:rsidR="00DA5B3B">
              <w:rPr>
                <w:noProof/>
                <w:webHidden/>
              </w:rPr>
              <w:t>50</w:t>
            </w:r>
            <w:r w:rsidR="00DA5B3B">
              <w:rPr>
                <w:noProof/>
                <w:webHidden/>
              </w:rPr>
              <w:fldChar w:fldCharType="end"/>
            </w:r>
          </w:hyperlink>
        </w:p>
        <w:p w:rsidR="00DA5B3B" w:rsidRDefault="00DD155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326322" w:history="1">
            <w:r w:rsidR="00DA5B3B" w:rsidRPr="00FD7891">
              <w:rPr>
                <w:rStyle w:val="Hyperlink"/>
                <w:noProof/>
              </w:rPr>
              <w:t>5.7</w:t>
            </w:r>
            <w:r w:rsidR="00DA5B3B">
              <w:rPr>
                <w:rFonts w:asciiTheme="minorHAnsi" w:eastAsiaTheme="minorEastAsia" w:hAnsiTheme="minorHAnsi" w:cstheme="minorBidi"/>
                <w:iCs w:val="0"/>
                <w:noProof/>
                <w:sz w:val="22"/>
                <w:szCs w:val="22"/>
                <w:lang w:eastAsia="en-AU"/>
              </w:rPr>
              <w:tab/>
            </w:r>
            <w:r w:rsidR="00DA5B3B" w:rsidRPr="00FD7891">
              <w:rPr>
                <w:rStyle w:val="Hyperlink"/>
                <w:noProof/>
              </w:rPr>
              <w:t>Classification of services</w:t>
            </w:r>
            <w:r w:rsidR="00DA5B3B">
              <w:rPr>
                <w:noProof/>
                <w:webHidden/>
              </w:rPr>
              <w:tab/>
            </w:r>
            <w:r w:rsidR="00DA5B3B">
              <w:rPr>
                <w:noProof/>
                <w:webHidden/>
              </w:rPr>
              <w:fldChar w:fldCharType="begin"/>
            </w:r>
            <w:r w:rsidR="00DA5B3B">
              <w:rPr>
                <w:noProof/>
                <w:webHidden/>
              </w:rPr>
              <w:instrText xml:space="preserve"> PAGEREF _Toc385326322 \h </w:instrText>
            </w:r>
            <w:r w:rsidR="00DA5B3B">
              <w:rPr>
                <w:noProof/>
                <w:webHidden/>
              </w:rPr>
            </w:r>
            <w:r w:rsidR="00DA5B3B">
              <w:rPr>
                <w:noProof/>
                <w:webHidden/>
              </w:rPr>
              <w:fldChar w:fldCharType="separate"/>
            </w:r>
            <w:r w:rsidR="00DA5B3B">
              <w:rPr>
                <w:noProof/>
                <w:webHidden/>
              </w:rPr>
              <w:t>50</w:t>
            </w:r>
            <w:r w:rsidR="00DA5B3B">
              <w:rPr>
                <w:noProof/>
                <w:webHidden/>
              </w:rPr>
              <w:fldChar w:fldCharType="end"/>
            </w:r>
          </w:hyperlink>
        </w:p>
        <w:p w:rsidR="00DA5B3B" w:rsidRDefault="00DD155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326323" w:history="1">
            <w:r w:rsidR="00DA5B3B" w:rsidRPr="00FD7891">
              <w:rPr>
                <w:rStyle w:val="Hyperlink"/>
                <w:noProof/>
              </w:rPr>
              <w:t>5.8</w:t>
            </w:r>
            <w:r w:rsidR="00DA5B3B">
              <w:rPr>
                <w:rFonts w:asciiTheme="minorHAnsi" w:eastAsiaTheme="minorEastAsia" w:hAnsiTheme="minorHAnsi" w:cstheme="minorBidi"/>
                <w:iCs w:val="0"/>
                <w:noProof/>
                <w:sz w:val="22"/>
                <w:szCs w:val="22"/>
                <w:lang w:eastAsia="en-AU"/>
              </w:rPr>
              <w:tab/>
            </w:r>
            <w:r w:rsidR="00DA5B3B" w:rsidRPr="00FD7891">
              <w:rPr>
                <w:rStyle w:val="Hyperlink"/>
                <w:noProof/>
              </w:rPr>
              <w:t>Cost pass throughs</w:t>
            </w:r>
            <w:r w:rsidR="00DA5B3B">
              <w:rPr>
                <w:noProof/>
                <w:webHidden/>
              </w:rPr>
              <w:tab/>
            </w:r>
            <w:r w:rsidR="00DA5B3B">
              <w:rPr>
                <w:noProof/>
                <w:webHidden/>
              </w:rPr>
              <w:fldChar w:fldCharType="begin"/>
            </w:r>
            <w:r w:rsidR="00DA5B3B">
              <w:rPr>
                <w:noProof/>
                <w:webHidden/>
              </w:rPr>
              <w:instrText xml:space="preserve"> PAGEREF _Toc385326323 \h </w:instrText>
            </w:r>
            <w:r w:rsidR="00DA5B3B">
              <w:rPr>
                <w:noProof/>
                <w:webHidden/>
              </w:rPr>
            </w:r>
            <w:r w:rsidR="00DA5B3B">
              <w:rPr>
                <w:noProof/>
                <w:webHidden/>
              </w:rPr>
              <w:fldChar w:fldCharType="separate"/>
            </w:r>
            <w:r w:rsidR="00DA5B3B">
              <w:rPr>
                <w:noProof/>
                <w:webHidden/>
              </w:rPr>
              <w:t>52</w:t>
            </w:r>
            <w:r w:rsidR="00DA5B3B">
              <w:rPr>
                <w:noProof/>
                <w:webHidden/>
              </w:rPr>
              <w:fldChar w:fldCharType="end"/>
            </w:r>
          </w:hyperlink>
        </w:p>
        <w:p w:rsidR="00DA5B3B" w:rsidRDefault="00DD155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326324" w:history="1">
            <w:r w:rsidR="00DA5B3B" w:rsidRPr="00FD7891">
              <w:rPr>
                <w:rStyle w:val="Hyperlink"/>
                <w:noProof/>
              </w:rPr>
              <w:t>5.9</w:t>
            </w:r>
            <w:r w:rsidR="00DA5B3B">
              <w:rPr>
                <w:rFonts w:asciiTheme="minorHAnsi" w:eastAsiaTheme="minorEastAsia" w:hAnsiTheme="minorHAnsi" w:cstheme="minorBidi"/>
                <w:iCs w:val="0"/>
                <w:noProof/>
                <w:sz w:val="22"/>
                <w:szCs w:val="22"/>
                <w:lang w:eastAsia="en-AU"/>
              </w:rPr>
              <w:tab/>
            </w:r>
            <w:r w:rsidR="00DA5B3B" w:rsidRPr="00FD7891">
              <w:rPr>
                <w:rStyle w:val="Hyperlink"/>
                <w:noProof/>
              </w:rPr>
              <w:t>Connection policies</w:t>
            </w:r>
            <w:r w:rsidR="00DA5B3B">
              <w:rPr>
                <w:noProof/>
                <w:webHidden/>
              </w:rPr>
              <w:tab/>
            </w:r>
            <w:r w:rsidR="00DA5B3B">
              <w:rPr>
                <w:noProof/>
                <w:webHidden/>
              </w:rPr>
              <w:fldChar w:fldCharType="begin"/>
            </w:r>
            <w:r w:rsidR="00DA5B3B">
              <w:rPr>
                <w:noProof/>
                <w:webHidden/>
              </w:rPr>
              <w:instrText xml:space="preserve"> PAGEREF _Toc385326324 \h </w:instrText>
            </w:r>
            <w:r w:rsidR="00DA5B3B">
              <w:rPr>
                <w:noProof/>
                <w:webHidden/>
              </w:rPr>
            </w:r>
            <w:r w:rsidR="00DA5B3B">
              <w:rPr>
                <w:noProof/>
                <w:webHidden/>
              </w:rPr>
              <w:fldChar w:fldCharType="separate"/>
            </w:r>
            <w:r w:rsidR="00DA5B3B">
              <w:rPr>
                <w:noProof/>
                <w:webHidden/>
              </w:rPr>
              <w:t>53</w:t>
            </w:r>
            <w:r w:rsidR="00DA5B3B">
              <w:rPr>
                <w:noProof/>
                <w:webHidden/>
              </w:rPr>
              <w:fldChar w:fldCharType="end"/>
            </w:r>
          </w:hyperlink>
        </w:p>
        <w:p w:rsidR="00DA5B3B" w:rsidRDefault="00DD155E">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5326325" w:history="1">
            <w:r w:rsidR="00DA5B3B" w:rsidRPr="00FD7891">
              <w:rPr>
                <w:rStyle w:val="Hyperlink"/>
                <w:noProof/>
              </w:rPr>
              <w:t>Part 2 – Appendices</w:t>
            </w:r>
            <w:r w:rsidR="00DA5B3B">
              <w:rPr>
                <w:noProof/>
                <w:webHidden/>
              </w:rPr>
              <w:tab/>
            </w:r>
            <w:r w:rsidR="00DA5B3B">
              <w:rPr>
                <w:noProof/>
                <w:webHidden/>
              </w:rPr>
              <w:fldChar w:fldCharType="begin"/>
            </w:r>
            <w:r w:rsidR="00DA5B3B">
              <w:rPr>
                <w:noProof/>
                <w:webHidden/>
              </w:rPr>
              <w:instrText xml:space="preserve"> PAGEREF _Toc385326325 \h </w:instrText>
            </w:r>
            <w:r w:rsidR="00DA5B3B">
              <w:rPr>
                <w:noProof/>
                <w:webHidden/>
              </w:rPr>
            </w:r>
            <w:r w:rsidR="00DA5B3B">
              <w:rPr>
                <w:noProof/>
                <w:webHidden/>
              </w:rPr>
              <w:fldChar w:fldCharType="separate"/>
            </w:r>
            <w:r w:rsidR="00DA5B3B">
              <w:rPr>
                <w:noProof/>
                <w:webHidden/>
              </w:rPr>
              <w:t>58</w:t>
            </w:r>
            <w:r w:rsidR="00DA5B3B">
              <w:rPr>
                <w:noProof/>
                <w:webHidden/>
              </w:rPr>
              <w:fldChar w:fldCharType="end"/>
            </w:r>
          </w:hyperlink>
        </w:p>
        <w:p w:rsidR="00DA5B3B" w:rsidRDefault="00DD155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5326326" w:history="1">
            <w:r w:rsidR="00DA5B3B" w:rsidRPr="00FD7891">
              <w:rPr>
                <w:rStyle w:val="Hyperlink"/>
                <w:noProof/>
              </w:rPr>
              <w:t>A</w:t>
            </w:r>
            <w:r w:rsidR="00DA5B3B">
              <w:rPr>
                <w:rFonts w:asciiTheme="minorHAnsi" w:eastAsiaTheme="minorEastAsia" w:hAnsiTheme="minorHAnsi" w:cstheme="minorBidi"/>
                <w:b w:val="0"/>
                <w:bCs w:val="0"/>
                <w:noProof/>
                <w:sz w:val="22"/>
                <w:szCs w:val="22"/>
                <w:lang w:eastAsia="en-AU"/>
              </w:rPr>
              <w:tab/>
            </w:r>
            <w:r w:rsidR="00DA5B3B" w:rsidRPr="00FD7891">
              <w:rPr>
                <w:rStyle w:val="Hyperlink"/>
                <w:noProof/>
              </w:rPr>
              <w:t>Submissions</w:t>
            </w:r>
            <w:r w:rsidR="00DA5B3B">
              <w:rPr>
                <w:noProof/>
                <w:webHidden/>
              </w:rPr>
              <w:tab/>
            </w:r>
            <w:r w:rsidR="00DA5B3B">
              <w:rPr>
                <w:noProof/>
                <w:webHidden/>
              </w:rPr>
              <w:fldChar w:fldCharType="begin"/>
            </w:r>
            <w:r w:rsidR="00DA5B3B">
              <w:rPr>
                <w:noProof/>
                <w:webHidden/>
              </w:rPr>
              <w:instrText xml:space="preserve"> PAGEREF _Toc385326326 \h </w:instrText>
            </w:r>
            <w:r w:rsidR="00DA5B3B">
              <w:rPr>
                <w:noProof/>
                <w:webHidden/>
              </w:rPr>
            </w:r>
            <w:r w:rsidR="00DA5B3B">
              <w:rPr>
                <w:noProof/>
                <w:webHidden/>
              </w:rPr>
              <w:fldChar w:fldCharType="separate"/>
            </w:r>
            <w:r w:rsidR="00DA5B3B">
              <w:rPr>
                <w:noProof/>
                <w:webHidden/>
              </w:rPr>
              <w:t>59</w:t>
            </w:r>
            <w:r w:rsidR="00DA5B3B">
              <w:rPr>
                <w:noProof/>
                <w:webHidden/>
              </w:rPr>
              <w:fldChar w:fldCharType="end"/>
            </w:r>
          </w:hyperlink>
        </w:p>
        <w:p w:rsidR="00DA5B3B" w:rsidRDefault="00DD155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5326327" w:history="1">
            <w:r w:rsidR="00DA5B3B" w:rsidRPr="00FD7891">
              <w:rPr>
                <w:rStyle w:val="Hyperlink"/>
                <w:noProof/>
              </w:rPr>
              <w:t>B</w:t>
            </w:r>
            <w:r w:rsidR="00DA5B3B">
              <w:rPr>
                <w:rFonts w:asciiTheme="minorHAnsi" w:eastAsiaTheme="minorEastAsia" w:hAnsiTheme="minorHAnsi" w:cstheme="minorBidi"/>
                <w:b w:val="0"/>
                <w:bCs w:val="0"/>
                <w:noProof/>
                <w:sz w:val="22"/>
                <w:szCs w:val="22"/>
                <w:lang w:eastAsia="en-AU"/>
              </w:rPr>
              <w:tab/>
            </w:r>
            <w:r w:rsidR="00DA5B3B" w:rsidRPr="00FD7891">
              <w:rPr>
                <w:rStyle w:val="Hyperlink"/>
                <w:noProof/>
              </w:rPr>
              <w:t>Summary of the NSW/ACT DNSPs’ transitional regulatory proposals</w:t>
            </w:r>
            <w:r w:rsidR="00DA5B3B">
              <w:rPr>
                <w:noProof/>
                <w:webHidden/>
              </w:rPr>
              <w:tab/>
            </w:r>
            <w:r w:rsidR="00DA5B3B">
              <w:rPr>
                <w:noProof/>
                <w:webHidden/>
              </w:rPr>
              <w:fldChar w:fldCharType="begin"/>
            </w:r>
            <w:r w:rsidR="00DA5B3B">
              <w:rPr>
                <w:noProof/>
                <w:webHidden/>
              </w:rPr>
              <w:instrText xml:space="preserve"> PAGEREF _Toc385326327 \h </w:instrText>
            </w:r>
            <w:r w:rsidR="00DA5B3B">
              <w:rPr>
                <w:noProof/>
                <w:webHidden/>
              </w:rPr>
            </w:r>
            <w:r w:rsidR="00DA5B3B">
              <w:rPr>
                <w:noProof/>
                <w:webHidden/>
              </w:rPr>
              <w:fldChar w:fldCharType="separate"/>
            </w:r>
            <w:r w:rsidR="00DA5B3B">
              <w:rPr>
                <w:noProof/>
                <w:webHidden/>
              </w:rPr>
              <w:t>61</w:t>
            </w:r>
            <w:r w:rsidR="00DA5B3B">
              <w:rPr>
                <w:noProof/>
                <w:webHidden/>
              </w:rPr>
              <w:fldChar w:fldCharType="end"/>
            </w:r>
          </w:hyperlink>
        </w:p>
        <w:p w:rsidR="00DA5B3B" w:rsidRDefault="00DD155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326328" w:history="1">
            <w:r w:rsidR="00DA5B3B" w:rsidRPr="00FD7891">
              <w:rPr>
                <w:rStyle w:val="Hyperlink"/>
                <w:noProof/>
              </w:rPr>
              <w:t>B.1</w:t>
            </w:r>
            <w:r w:rsidR="00DA5B3B">
              <w:rPr>
                <w:rFonts w:asciiTheme="minorHAnsi" w:eastAsiaTheme="minorEastAsia" w:hAnsiTheme="minorHAnsi" w:cstheme="minorBidi"/>
                <w:iCs w:val="0"/>
                <w:noProof/>
                <w:sz w:val="22"/>
                <w:szCs w:val="22"/>
                <w:lang w:eastAsia="en-AU"/>
              </w:rPr>
              <w:tab/>
            </w:r>
            <w:r w:rsidR="00DA5B3B" w:rsidRPr="00FD7891">
              <w:rPr>
                <w:rStyle w:val="Hyperlink"/>
                <w:noProof/>
              </w:rPr>
              <w:t>Ausgrid</w:t>
            </w:r>
            <w:r w:rsidR="00DA5B3B">
              <w:rPr>
                <w:noProof/>
                <w:webHidden/>
              </w:rPr>
              <w:tab/>
            </w:r>
            <w:r w:rsidR="00DA5B3B">
              <w:rPr>
                <w:noProof/>
                <w:webHidden/>
              </w:rPr>
              <w:fldChar w:fldCharType="begin"/>
            </w:r>
            <w:r w:rsidR="00DA5B3B">
              <w:rPr>
                <w:noProof/>
                <w:webHidden/>
              </w:rPr>
              <w:instrText xml:space="preserve"> PAGEREF _Toc385326328 \h </w:instrText>
            </w:r>
            <w:r w:rsidR="00DA5B3B">
              <w:rPr>
                <w:noProof/>
                <w:webHidden/>
              </w:rPr>
            </w:r>
            <w:r w:rsidR="00DA5B3B">
              <w:rPr>
                <w:noProof/>
                <w:webHidden/>
              </w:rPr>
              <w:fldChar w:fldCharType="separate"/>
            </w:r>
            <w:r w:rsidR="00DA5B3B">
              <w:rPr>
                <w:noProof/>
                <w:webHidden/>
              </w:rPr>
              <w:t>62</w:t>
            </w:r>
            <w:r w:rsidR="00DA5B3B">
              <w:rPr>
                <w:noProof/>
                <w:webHidden/>
              </w:rPr>
              <w:fldChar w:fldCharType="end"/>
            </w:r>
          </w:hyperlink>
        </w:p>
        <w:p w:rsidR="00DA5B3B" w:rsidRDefault="00DD155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326329" w:history="1">
            <w:r w:rsidR="00DA5B3B" w:rsidRPr="00FD7891">
              <w:rPr>
                <w:rStyle w:val="Hyperlink"/>
                <w:noProof/>
              </w:rPr>
              <w:t>B.2</w:t>
            </w:r>
            <w:r w:rsidR="00DA5B3B">
              <w:rPr>
                <w:rFonts w:asciiTheme="minorHAnsi" w:eastAsiaTheme="minorEastAsia" w:hAnsiTheme="minorHAnsi" w:cstheme="minorBidi"/>
                <w:iCs w:val="0"/>
                <w:noProof/>
                <w:sz w:val="22"/>
                <w:szCs w:val="22"/>
                <w:lang w:eastAsia="en-AU"/>
              </w:rPr>
              <w:tab/>
            </w:r>
            <w:r w:rsidR="00DA5B3B" w:rsidRPr="00FD7891">
              <w:rPr>
                <w:rStyle w:val="Hyperlink"/>
                <w:noProof/>
              </w:rPr>
              <w:t>Essential Energy</w:t>
            </w:r>
            <w:r w:rsidR="00DA5B3B">
              <w:rPr>
                <w:noProof/>
                <w:webHidden/>
              </w:rPr>
              <w:tab/>
            </w:r>
            <w:r w:rsidR="00DA5B3B">
              <w:rPr>
                <w:noProof/>
                <w:webHidden/>
              </w:rPr>
              <w:fldChar w:fldCharType="begin"/>
            </w:r>
            <w:r w:rsidR="00DA5B3B">
              <w:rPr>
                <w:noProof/>
                <w:webHidden/>
              </w:rPr>
              <w:instrText xml:space="preserve"> PAGEREF _Toc385326329 \h </w:instrText>
            </w:r>
            <w:r w:rsidR="00DA5B3B">
              <w:rPr>
                <w:noProof/>
                <w:webHidden/>
              </w:rPr>
            </w:r>
            <w:r w:rsidR="00DA5B3B">
              <w:rPr>
                <w:noProof/>
                <w:webHidden/>
              </w:rPr>
              <w:fldChar w:fldCharType="separate"/>
            </w:r>
            <w:r w:rsidR="00DA5B3B">
              <w:rPr>
                <w:noProof/>
                <w:webHidden/>
              </w:rPr>
              <w:t>70</w:t>
            </w:r>
            <w:r w:rsidR="00DA5B3B">
              <w:rPr>
                <w:noProof/>
                <w:webHidden/>
              </w:rPr>
              <w:fldChar w:fldCharType="end"/>
            </w:r>
          </w:hyperlink>
        </w:p>
        <w:p w:rsidR="00DA5B3B" w:rsidRDefault="00DD155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326330" w:history="1">
            <w:r w:rsidR="00DA5B3B" w:rsidRPr="00FD7891">
              <w:rPr>
                <w:rStyle w:val="Hyperlink"/>
                <w:noProof/>
              </w:rPr>
              <w:t>B.3</w:t>
            </w:r>
            <w:r w:rsidR="00DA5B3B">
              <w:rPr>
                <w:rFonts w:asciiTheme="minorHAnsi" w:eastAsiaTheme="minorEastAsia" w:hAnsiTheme="minorHAnsi" w:cstheme="minorBidi"/>
                <w:iCs w:val="0"/>
                <w:noProof/>
                <w:sz w:val="22"/>
                <w:szCs w:val="22"/>
                <w:lang w:eastAsia="en-AU"/>
              </w:rPr>
              <w:tab/>
            </w:r>
            <w:r w:rsidR="00DA5B3B" w:rsidRPr="00FD7891">
              <w:rPr>
                <w:rStyle w:val="Hyperlink"/>
                <w:noProof/>
              </w:rPr>
              <w:t>Endeavour Energy</w:t>
            </w:r>
            <w:r w:rsidR="00DA5B3B">
              <w:rPr>
                <w:noProof/>
                <w:webHidden/>
              </w:rPr>
              <w:tab/>
            </w:r>
            <w:r w:rsidR="00DA5B3B">
              <w:rPr>
                <w:noProof/>
                <w:webHidden/>
              </w:rPr>
              <w:fldChar w:fldCharType="begin"/>
            </w:r>
            <w:r w:rsidR="00DA5B3B">
              <w:rPr>
                <w:noProof/>
                <w:webHidden/>
              </w:rPr>
              <w:instrText xml:space="preserve"> PAGEREF _Toc385326330 \h </w:instrText>
            </w:r>
            <w:r w:rsidR="00DA5B3B">
              <w:rPr>
                <w:noProof/>
                <w:webHidden/>
              </w:rPr>
            </w:r>
            <w:r w:rsidR="00DA5B3B">
              <w:rPr>
                <w:noProof/>
                <w:webHidden/>
              </w:rPr>
              <w:fldChar w:fldCharType="separate"/>
            </w:r>
            <w:r w:rsidR="00DA5B3B">
              <w:rPr>
                <w:noProof/>
                <w:webHidden/>
              </w:rPr>
              <w:t>75</w:t>
            </w:r>
            <w:r w:rsidR="00DA5B3B">
              <w:rPr>
                <w:noProof/>
                <w:webHidden/>
              </w:rPr>
              <w:fldChar w:fldCharType="end"/>
            </w:r>
          </w:hyperlink>
        </w:p>
        <w:p w:rsidR="00DA5B3B" w:rsidRDefault="00DD155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326331" w:history="1">
            <w:r w:rsidR="00DA5B3B" w:rsidRPr="00FD7891">
              <w:rPr>
                <w:rStyle w:val="Hyperlink"/>
                <w:noProof/>
              </w:rPr>
              <w:t>B.4</w:t>
            </w:r>
            <w:r w:rsidR="00DA5B3B">
              <w:rPr>
                <w:rFonts w:asciiTheme="minorHAnsi" w:eastAsiaTheme="minorEastAsia" w:hAnsiTheme="minorHAnsi" w:cstheme="minorBidi"/>
                <w:iCs w:val="0"/>
                <w:noProof/>
                <w:sz w:val="22"/>
                <w:szCs w:val="22"/>
                <w:lang w:eastAsia="en-AU"/>
              </w:rPr>
              <w:tab/>
            </w:r>
            <w:r w:rsidR="00DA5B3B" w:rsidRPr="00FD7891">
              <w:rPr>
                <w:rStyle w:val="Hyperlink"/>
                <w:noProof/>
              </w:rPr>
              <w:t>ActewAGL</w:t>
            </w:r>
            <w:r w:rsidR="00DA5B3B">
              <w:rPr>
                <w:noProof/>
                <w:webHidden/>
              </w:rPr>
              <w:tab/>
            </w:r>
            <w:r w:rsidR="00DA5B3B">
              <w:rPr>
                <w:noProof/>
                <w:webHidden/>
              </w:rPr>
              <w:fldChar w:fldCharType="begin"/>
            </w:r>
            <w:r w:rsidR="00DA5B3B">
              <w:rPr>
                <w:noProof/>
                <w:webHidden/>
              </w:rPr>
              <w:instrText xml:space="preserve"> PAGEREF _Toc385326331 \h </w:instrText>
            </w:r>
            <w:r w:rsidR="00DA5B3B">
              <w:rPr>
                <w:noProof/>
                <w:webHidden/>
              </w:rPr>
            </w:r>
            <w:r w:rsidR="00DA5B3B">
              <w:rPr>
                <w:noProof/>
                <w:webHidden/>
              </w:rPr>
              <w:fldChar w:fldCharType="separate"/>
            </w:r>
            <w:r w:rsidR="00DA5B3B">
              <w:rPr>
                <w:noProof/>
                <w:webHidden/>
              </w:rPr>
              <w:t>80</w:t>
            </w:r>
            <w:r w:rsidR="00DA5B3B">
              <w:rPr>
                <w:noProof/>
                <w:webHidden/>
              </w:rPr>
              <w:fldChar w:fldCharType="end"/>
            </w:r>
          </w:hyperlink>
        </w:p>
        <w:p w:rsidR="00865F8A" w:rsidRDefault="00865F8A">
          <w:r>
            <w:rPr>
              <w:b/>
              <w:bCs/>
            </w:rPr>
            <w:lastRenderedPageBreak/>
            <w:fldChar w:fldCharType="end"/>
          </w:r>
        </w:p>
      </w:sdtContent>
    </w:sdt>
    <w:p w:rsidR="002401A5" w:rsidRDefault="002401A5" w:rsidP="00C920AB">
      <w:pPr>
        <w:pStyle w:val="UnnumberedHeading"/>
      </w:pPr>
      <w:bookmarkStart w:id="3" w:name="_Toc384716209"/>
    </w:p>
    <w:p w:rsidR="00DF2B46" w:rsidRDefault="00DF2B46" w:rsidP="00DF2B46">
      <w:pPr>
        <w:pStyle w:val="AERbodytext"/>
      </w:pPr>
    </w:p>
    <w:p w:rsidR="00DF2B46" w:rsidRDefault="00DF2B46" w:rsidP="00DF2B46">
      <w:pPr>
        <w:pStyle w:val="AERbodytext"/>
      </w:pPr>
    </w:p>
    <w:p w:rsidR="00DF2B46" w:rsidRDefault="00DF2B46" w:rsidP="00DF2B46">
      <w:pPr>
        <w:pStyle w:val="AERbodytext"/>
      </w:pPr>
    </w:p>
    <w:p w:rsidR="00DF2B46" w:rsidRDefault="00DF2B46" w:rsidP="00DF2B46">
      <w:pPr>
        <w:pStyle w:val="AERbodytext"/>
      </w:pPr>
    </w:p>
    <w:p w:rsidR="00DF2B46" w:rsidRDefault="00DF2B46" w:rsidP="00DF2B46">
      <w:pPr>
        <w:pStyle w:val="AERbodytext"/>
      </w:pPr>
    </w:p>
    <w:p w:rsidR="00DF2B46" w:rsidRDefault="00DF2B46" w:rsidP="00DF2B46">
      <w:pPr>
        <w:pStyle w:val="AERbodytext"/>
      </w:pPr>
    </w:p>
    <w:p w:rsidR="00DF2B46" w:rsidRDefault="00DF2B46" w:rsidP="00DF2B46">
      <w:pPr>
        <w:pStyle w:val="AERbodytext"/>
      </w:pPr>
    </w:p>
    <w:p w:rsidR="00DF2B46" w:rsidRDefault="00DF2B46" w:rsidP="00DA5B3B">
      <w:pPr>
        <w:pStyle w:val="AERbodytext"/>
        <w:jc w:val="center"/>
      </w:pPr>
      <w:r>
        <w:t>This page has been left blank intentionally</w:t>
      </w:r>
    </w:p>
    <w:p w:rsidR="00DF2B46" w:rsidRPr="00DF2B46" w:rsidRDefault="00DF2B46" w:rsidP="00DF2B46">
      <w:pPr>
        <w:pStyle w:val="AERbodytext"/>
        <w:sectPr w:rsidR="00DF2B46" w:rsidRPr="00DF2B46" w:rsidSect="00452420">
          <w:headerReference w:type="default" r:id="rId12"/>
          <w:footerReference w:type="default" r:id="rId13"/>
          <w:pgSz w:w="11906" w:h="16838" w:code="9"/>
          <w:pgMar w:top="1440" w:right="1440" w:bottom="1440" w:left="1440" w:header="709" w:footer="709" w:gutter="0"/>
          <w:pgNumType w:fmt="lowerRoman" w:start="1"/>
          <w:cols w:space="708"/>
          <w:docGrid w:linePitch="360"/>
        </w:sectPr>
      </w:pPr>
    </w:p>
    <w:p w:rsidR="009916C7" w:rsidRDefault="009916C7" w:rsidP="00C920AB">
      <w:pPr>
        <w:pStyle w:val="UnnumberedHeading"/>
      </w:pPr>
      <w:bookmarkStart w:id="4" w:name="_Toc385326303"/>
      <w:r>
        <w:lastRenderedPageBreak/>
        <w:t>Shortened forms</w:t>
      </w:r>
      <w:bookmarkEnd w:id="3"/>
      <w:bookmarkEnd w:id="4"/>
    </w:p>
    <w:tbl>
      <w:tblPr>
        <w:tblStyle w:val="AERtable-text"/>
        <w:tblpPr w:leftFromText="180" w:rightFromText="180" w:vertAnchor="text" w:tblpY="1"/>
        <w:tblW w:w="0" w:type="auto"/>
        <w:tblLook w:val="01E0" w:firstRow="1" w:lastRow="1" w:firstColumn="1" w:lastColumn="1" w:noHBand="0" w:noVBand="0"/>
      </w:tblPr>
      <w:tblGrid>
        <w:gridCol w:w="2802"/>
        <w:gridCol w:w="6378"/>
      </w:tblGrid>
      <w:tr w:rsidR="009916C7" w:rsidRPr="00CA2AE8" w:rsidTr="005A5BF0">
        <w:trPr>
          <w:cnfStyle w:val="100000000000" w:firstRow="1" w:lastRow="0" w:firstColumn="0" w:lastColumn="0" w:oddVBand="0" w:evenVBand="0" w:oddHBand="0" w:evenHBand="0" w:firstRowFirstColumn="0" w:firstRowLastColumn="0" w:lastRowFirstColumn="0" w:lastRowLastColumn="0"/>
        </w:trPr>
        <w:tc>
          <w:tcPr>
            <w:tcW w:w="2802" w:type="dxa"/>
            <w:noWrap/>
          </w:tcPr>
          <w:p w:rsidR="009916C7" w:rsidRPr="00CA2AE8" w:rsidRDefault="009916C7" w:rsidP="005A5BF0">
            <w:pPr>
              <w:keepNext/>
              <w:keepLines/>
              <w:numPr>
                <w:ilvl w:val="0"/>
                <w:numId w:val="6"/>
              </w:numPr>
              <w:spacing w:before="180" w:after="180" w:line="240" w:lineRule="auto"/>
            </w:pPr>
            <w:r w:rsidRPr="00CA2AE8">
              <w:t>Shortened form</w:t>
            </w:r>
          </w:p>
        </w:tc>
        <w:tc>
          <w:tcPr>
            <w:tcW w:w="6378" w:type="dxa"/>
            <w:noWrap/>
          </w:tcPr>
          <w:p w:rsidR="009916C7" w:rsidRPr="00CA2AE8" w:rsidRDefault="009916C7" w:rsidP="005A5BF0">
            <w:pPr>
              <w:keepNext/>
              <w:keepLines/>
              <w:numPr>
                <w:ilvl w:val="0"/>
                <w:numId w:val="6"/>
              </w:numPr>
              <w:spacing w:before="180" w:after="180" w:line="240" w:lineRule="auto"/>
            </w:pPr>
            <w:r w:rsidRPr="00CA2AE8">
              <w:t>Extended form</w:t>
            </w:r>
          </w:p>
        </w:tc>
      </w:tr>
      <w:tr w:rsidR="009916C7" w:rsidRPr="00CA2AE8" w:rsidTr="005A5BF0">
        <w:tc>
          <w:tcPr>
            <w:tcW w:w="2802" w:type="dxa"/>
            <w:noWrap/>
          </w:tcPr>
          <w:p w:rsidR="009916C7" w:rsidRPr="00CA2AE8" w:rsidRDefault="009916C7" w:rsidP="005A5BF0">
            <w:pPr>
              <w:keepNext/>
              <w:keepLines/>
              <w:numPr>
                <w:ilvl w:val="0"/>
                <w:numId w:val="6"/>
              </w:numPr>
              <w:spacing w:before="180" w:after="180" w:line="240" w:lineRule="auto"/>
            </w:pPr>
            <w:r>
              <w:t>ActewAGL</w:t>
            </w:r>
          </w:p>
        </w:tc>
        <w:tc>
          <w:tcPr>
            <w:tcW w:w="6378" w:type="dxa"/>
            <w:noWrap/>
          </w:tcPr>
          <w:p w:rsidR="009916C7" w:rsidRPr="00CA2AE8" w:rsidRDefault="009916C7" w:rsidP="005A5BF0">
            <w:pPr>
              <w:keepNext/>
              <w:keepLines/>
              <w:numPr>
                <w:ilvl w:val="0"/>
                <w:numId w:val="6"/>
              </w:numPr>
              <w:spacing w:before="180" w:after="180" w:line="240" w:lineRule="auto"/>
            </w:pPr>
            <w:r>
              <w:t>ActewAGL Distribution</w:t>
            </w:r>
          </w:p>
        </w:tc>
      </w:tr>
      <w:tr w:rsidR="009916C7" w:rsidRPr="00CA2AE8" w:rsidTr="005A5BF0">
        <w:trPr>
          <w:cnfStyle w:val="000000010000" w:firstRow="0" w:lastRow="0" w:firstColumn="0" w:lastColumn="0" w:oddVBand="0" w:evenVBand="0" w:oddHBand="0" w:evenHBand="1" w:firstRowFirstColumn="0" w:firstRowLastColumn="0" w:lastRowFirstColumn="0" w:lastRowLastColumn="0"/>
        </w:trPr>
        <w:tc>
          <w:tcPr>
            <w:tcW w:w="2802" w:type="dxa"/>
            <w:noWrap/>
          </w:tcPr>
          <w:p w:rsidR="009916C7" w:rsidRPr="00CA2AE8" w:rsidRDefault="009916C7" w:rsidP="005A5BF0">
            <w:pPr>
              <w:keepNext/>
              <w:keepLines/>
              <w:numPr>
                <w:ilvl w:val="0"/>
                <w:numId w:val="6"/>
              </w:numPr>
              <w:spacing w:before="180" w:after="180" w:line="240" w:lineRule="auto"/>
            </w:pPr>
            <w:r w:rsidRPr="00CA2AE8">
              <w:t>AER</w:t>
            </w:r>
          </w:p>
        </w:tc>
        <w:tc>
          <w:tcPr>
            <w:tcW w:w="6378" w:type="dxa"/>
            <w:noWrap/>
          </w:tcPr>
          <w:p w:rsidR="009916C7" w:rsidRPr="00CA2AE8" w:rsidRDefault="009916C7" w:rsidP="005A5BF0">
            <w:pPr>
              <w:keepNext/>
              <w:keepLines/>
              <w:numPr>
                <w:ilvl w:val="0"/>
                <w:numId w:val="6"/>
              </w:numPr>
              <w:spacing w:before="180" w:after="180" w:line="240" w:lineRule="auto"/>
            </w:pPr>
            <w:r w:rsidRPr="00CA2AE8">
              <w:t>Australian Energy Regulator</w:t>
            </w:r>
          </w:p>
        </w:tc>
      </w:tr>
      <w:tr w:rsidR="009916C7" w:rsidRPr="00CA2AE8" w:rsidTr="005A5BF0">
        <w:tc>
          <w:tcPr>
            <w:tcW w:w="2802" w:type="dxa"/>
            <w:noWrap/>
          </w:tcPr>
          <w:p w:rsidR="009916C7" w:rsidRPr="00CA2AE8" w:rsidRDefault="009916C7" w:rsidP="005A5BF0">
            <w:pPr>
              <w:keepNext/>
              <w:keepLines/>
              <w:numPr>
                <w:ilvl w:val="0"/>
                <w:numId w:val="6"/>
              </w:numPr>
              <w:spacing w:before="180" w:after="180" w:line="240" w:lineRule="auto"/>
            </w:pPr>
            <w:r w:rsidRPr="00CA2AE8">
              <w:t>capex</w:t>
            </w:r>
          </w:p>
        </w:tc>
        <w:tc>
          <w:tcPr>
            <w:tcW w:w="6378" w:type="dxa"/>
            <w:noWrap/>
          </w:tcPr>
          <w:p w:rsidR="009916C7" w:rsidRPr="00CA2AE8" w:rsidRDefault="009916C7" w:rsidP="005A5BF0">
            <w:pPr>
              <w:keepNext/>
              <w:keepLines/>
              <w:numPr>
                <w:ilvl w:val="0"/>
                <w:numId w:val="6"/>
              </w:numPr>
              <w:spacing w:before="180" w:after="180" w:line="240" w:lineRule="auto"/>
            </w:pPr>
            <w:r w:rsidRPr="00CA2AE8">
              <w:t>capital expenditure</w:t>
            </w:r>
          </w:p>
        </w:tc>
      </w:tr>
      <w:tr w:rsidR="009D0D0C" w:rsidRPr="00CA2AE8" w:rsidTr="005A5BF0">
        <w:trPr>
          <w:cnfStyle w:val="000000010000" w:firstRow="0" w:lastRow="0" w:firstColumn="0" w:lastColumn="0" w:oddVBand="0" w:evenVBand="0" w:oddHBand="0" w:evenHBand="1" w:firstRowFirstColumn="0" w:firstRowLastColumn="0" w:lastRowFirstColumn="0" w:lastRowLastColumn="0"/>
        </w:trPr>
        <w:tc>
          <w:tcPr>
            <w:tcW w:w="2802" w:type="dxa"/>
            <w:noWrap/>
          </w:tcPr>
          <w:p w:rsidR="009D0D0C" w:rsidRDefault="009D0D0C" w:rsidP="005A5BF0">
            <w:pPr>
              <w:keepNext/>
              <w:keepLines/>
              <w:numPr>
                <w:ilvl w:val="0"/>
                <w:numId w:val="6"/>
              </w:numPr>
              <w:spacing w:before="180" w:after="180" w:line="240" w:lineRule="auto"/>
            </w:pPr>
            <w:r>
              <w:t>CCP</w:t>
            </w:r>
          </w:p>
        </w:tc>
        <w:tc>
          <w:tcPr>
            <w:tcW w:w="6378" w:type="dxa"/>
            <w:noWrap/>
          </w:tcPr>
          <w:p w:rsidR="009D0D0C" w:rsidRDefault="009D0D0C" w:rsidP="005A5BF0">
            <w:pPr>
              <w:keepNext/>
              <w:keepLines/>
              <w:numPr>
                <w:ilvl w:val="0"/>
                <w:numId w:val="6"/>
              </w:numPr>
              <w:spacing w:before="180" w:after="180" w:line="240" w:lineRule="auto"/>
            </w:pPr>
            <w:r>
              <w:t>Consumer Challenge Panel</w:t>
            </w:r>
          </w:p>
        </w:tc>
      </w:tr>
      <w:tr w:rsidR="009D0D0C" w:rsidRPr="00CA2AE8" w:rsidTr="005A5BF0">
        <w:tc>
          <w:tcPr>
            <w:tcW w:w="2802" w:type="dxa"/>
            <w:noWrap/>
          </w:tcPr>
          <w:p w:rsidR="009D0D0C" w:rsidRDefault="009D0D0C" w:rsidP="005A5BF0">
            <w:pPr>
              <w:keepNext/>
              <w:keepLines/>
              <w:numPr>
                <w:ilvl w:val="0"/>
                <w:numId w:val="6"/>
              </w:numPr>
              <w:spacing w:before="180" w:after="180" w:line="240" w:lineRule="auto"/>
            </w:pPr>
            <w:r>
              <w:t>CCP subpanel</w:t>
            </w:r>
          </w:p>
        </w:tc>
        <w:tc>
          <w:tcPr>
            <w:tcW w:w="6378" w:type="dxa"/>
            <w:noWrap/>
          </w:tcPr>
          <w:p w:rsidR="009D0D0C" w:rsidRDefault="009D0D0C" w:rsidP="009D0D0C">
            <w:pPr>
              <w:pStyle w:val="AERbodytext"/>
            </w:pPr>
            <w:r w:rsidRPr="009D0D0C">
              <w:rPr>
                <w:rFonts w:eastAsia="Calibri"/>
                <w:szCs w:val="20"/>
              </w:rPr>
              <w:t>the CCP subpanel formed for the NSW/ACT electricity distribution determinations</w:t>
            </w:r>
          </w:p>
        </w:tc>
      </w:tr>
      <w:tr w:rsidR="009916C7" w:rsidRPr="00CA2AE8" w:rsidTr="005A5BF0">
        <w:trPr>
          <w:cnfStyle w:val="000000010000" w:firstRow="0" w:lastRow="0" w:firstColumn="0" w:lastColumn="0" w:oddVBand="0" w:evenVBand="0" w:oddHBand="0" w:evenHBand="1" w:firstRowFirstColumn="0" w:firstRowLastColumn="0" w:lastRowFirstColumn="0" w:lastRowLastColumn="0"/>
        </w:trPr>
        <w:tc>
          <w:tcPr>
            <w:tcW w:w="2802" w:type="dxa"/>
            <w:noWrap/>
          </w:tcPr>
          <w:p w:rsidR="009916C7" w:rsidRPr="00CA2AE8" w:rsidRDefault="009916C7" w:rsidP="005A5BF0">
            <w:pPr>
              <w:keepNext/>
              <w:keepLines/>
              <w:numPr>
                <w:ilvl w:val="0"/>
                <w:numId w:val="6"/>
              </w:numPr>
              <w:spacing w:before="180" w:after="180" w:line="240" w:lineRule="auto"/>
            </w:pPr>
            <w:r>
              <w:t>CESS</w:t>
            </w:r>
          </w:p>
        </w:tc>
        <w:tc>
          <w:tcPr>
            <w:tcW w:w="6378" w:type="dxa"/>
            <w:noWrap/>
          </w:tcPr>
          <w:p w:rsidR="009916C7" w:rsidRPr="00CA2AE8" w:rsidRDefault="009916C7" w:rsidP="005A5BF0">
            <w:pPr>
              <w:keepNext/>
              <w:keepLines/>
              <w:numPr>
                <w:ilvl w:val="0"/>
                <w:numId w:val="6"/>
              </w:numPr>
              <w:spacing w:before="180" w:after="180" w:line="240" w:lineRule="auto"/>
            </w:pPr>
            <w:r>
              <w:t>Capital expenditure sharing scheme</w:t>
            </w:r>
          </w:p>
        </w:tc>
      </w:tr>
      <w:tr w:rsidR="009916C7" w:rsidRPr="00CA2AE8" w:rsidTr="005A5BF0">
        <w:tc>
          <w:tcPr>
            <w:tcW w:w="2802" w:type="dxa"/>
            <w:noWrap/>
          </w:tcPr>
          <w:p w:rsidR="009916C7" w:rsidRPr="00CA2AE8" w:rsidRDefault="009916C7" w:rsidP="005A5BF0">
            <w:pPr>
              <w:keepNext/>
              <w:keepLines/>
              <w:numPr>
                <w:ilvl w:val="0"/>
                <w:numId w:val="6"/>
              </w:numPr>
              <w:spacing w:before="180" w:after="180" w:line="240" w:lineRule="auto"/>
            </w:pPr>
            <w:r w:rsidRPr="00CA2AE8">
              <w:t>CPI</w:t>
            </w:r>
          </w:p>
        </w:tc>
        <w:tc>
          <w:tcPr>
            <w:tcW w:w="6378" w:type="dxa"/>
            <w:noWrap/>
          </w:tcPr>
          <w:p w:rsidR="009916C7" w:rsidRPr="00CA2AE8" w:rsidRDefault="009916C7" w:rsidP="005A5BF0">
            <w:pPr>
              <w:keepNext/>
              <w:keepLines/>
              <w:numPr>
                <w:ilvl w:val="0"/>
                <w:numId w:val="6"/>
              </w:numPr>
              <w:spacing w:before="180" w:after="180" w:line="240" w:lineRule="auto"/>
            </w:pPr>
            <w:r w:rsidRPr="00CA2AE8">
              <w:t>consumer price index</w:t>
            </w:r>
          </w:p>
        </w:tc>
      </w:tr>
      <w:tr w:rsidR="009916C7" w:rsidRPr="00CA2AE8" w:rsidTr="005A5BF0">
        <w:trPr>
          <w:cnfStyle w:val="000000010000" w:firstRow="0" w:lastRow="0" w:firstColumn="0" w:lastColumn="0" w:oddVBand="0" w:evenVBand="0" w:oddHBand="0" w:evenHBand="1" w:firstRowFirstColumn="0" w:firstRowLastColumn="0" w:lastRowFirstColumn="0" w:lastRowLastColumn="0"/>
        </w:trPr>
        <w:tc>
          <w:tcPr>
            <w:tcW w:w="2802" w:type="dxa"/>
            <w:noWrap/>
          </w:tcPr>
          <w:p w:rsidR="009916C7" w:rsidRPr="00CA2AE8" w:rsidRDefault="009916C7" w:rsidP="005A5BF0">
            <w:pPr>
              <w:keepNext/>
              <w:keepLines/>
              <w:numPr>
                <w:ilvl w:val="0"/>
                <w:numId w:val="6"/>
              </w:numPr>
              <w:spacing w:before="180" w:after="180" w:line="240" w:lineRule="auto"/>
            </w:pPr>
            <w:r>
              <w:t>DMEGCIS</w:t>
            </w:r>
          </w:p>
        </w:tc>
        <w:tc>
          <w:tcPr>
            <w:tcW w:w="6378" w:type="dxa"/>
            <w:noWrap/>
          </w:tcPr>
          <w:p w:rsidR="009916C7" w:rsidRPr="00CA2AE8" w:rsidRDefault="009916C7" w:rsidP="005A5BF0">
            <w:pPr>
              <w:keepNext/>
              <w:keepLines/>
              <w:numPr>
                <w:ilvl w:val="0"/>
                <w:numId w:val="6"/>
              </w:numPr>
              <w:spacing w:before="180" w:after="180" w:line="240" w:lineRule="auto"/>
            </w:pPr>
            <w:r>
              <w:t>demand management and embedded generation connection incentive scheme</w:t>
            </w:r>
          </w:p>
        </w:tc>
      </w:tr>
      <w:tr w:rsidR="00711465" w:rsidRPr="00CA2AE8" w:rsidTr="005A5BF0">
        <w:tc>
          <w:tcPr>
            <w:tcW w:w="2802" w:type="dxa"/>
            <w:noWrap/>
          </w:tcPr>
          <w:p w:rsidR="00711465" w:rsidRPr="00CA2AE8" w:rsidRDefault="00711465" w:rsidP="005A5BF0">
            <w:pPr>
              <w:keepNext/>
              <w:keepLines/>
              <w:numPr>
                <w:ilvl w:val="0"/>
                <w:numId w:val="6"/>
              </w:numPr>
              <w:spacing w:before="180" w:after="180" w:line="240" w:lineRule="auto"/>
            </w:pPr>
            <w:r>
              <w:t>DNSP</w:t>
            </w:r>
          </w:p>
        </w:tc>
        <w:tc>
          <w:tcPr>
            <w:tcW w:w="6378" w:type="dxa"/>
            <w:noWrap/>
          </w:tcPr>
          <w:p w:rsidR="00711465" w:rsidRPr="00CA2AE8" w:rsidRDefault="00711465" w:rsidP="005A5BF0">
            <w:pPr>
              <w:keepNext/>
              <w:keepLines/>
              <w:numPr>
                <w:ilvl w:val="0"/>
                <w:numId w:val="6"/>
              </w:numPr>
              <w:spacing w:before="180" w:after="180" w:line="240" w:lineRule="auto"/>
            </w:pPr>
            <w:r>
              <w:t>distribution network service provider</w:t>
            </w:r>
          </w:p>
        </w:tc>
      </w:tr>
      <w:tr w:rsidR="00BD3BF0" w:rsidRPr="00CA2AE8" w:rsidTr="005A5BF0">
        <w:trPr>
          <w:cnfStyle w:val="000000010000" w:firstRow="0" w:lastRow="0" w:firstColumn="0" w:lastColumn="0" w:oddVBand="0" w:evenVBand="0" w:oddHBand="0" w:evenHBand="1" w:firstRowFirstColumn="0" w:firstRowLastColumn="0" w:lastRowFirstColumn="0" w:lastRowLastColumn="0"/>
        </w:trPr>
        <w:tc>
          <w:tcPr>
            <w:tcW w:w="2802" w:type="dxa"/>
            <w:noWrap/>
          </w:tcPr>
          <w:p w:rsidR="00BD3BF0" w:rsidRDefault="00BD3BF0" w:rsidP="005A5BF0">
            <w:pPr>
              <w:keepNext/>
              <w:keepLines/>
              <w:numPr>
                <w:ilvl w:val="0"/>
                <w:numId w:val="6"/>
              </w:numPr>
              <w:spacing w:before="180" w:after="180" w:line="240" w:lineRule="auto"/>
            </w:pPr>
            <w:r>
              <w:t>DUOS</w:t>
            </w:r>
          </w:p>
        </w:tc>
        <w:tc>
          <w:tcPr>
            <w:tcW w:w="6378" w:type="dxa"/>
            <w:noWrap/>
          </w:tcPr>
          <w:p w:rsidR="00BD3BF0" w:rsidRDefault="00BD3BF0" w:rsidP="005A5BF0">
            <w:pPr>
              <w:keepNext/>
              <w:keepLines/>
              <w:numPr>
                <w:ilvl w:val="0"/>
                <w:numId w:val="6"/>
              </w:numPr>
              <w:spacing w:before="180" w:after="180" w:line="240" w:lineRule="auto"/>
            </w:pPr>
            <w:r>
              <w:t>distribution use of system</w:t>
            </w:r>
          </w:p>
        </w:tc>
      </w:tr>
      <w:tr w:rsidR="009916C7" w:rsidRPr="00CA2AE8" w:rsidTr="005A5BF0">
        <w:tc>
          <w:tcPr>
            <w:tcW w:w="2802" w:type="dxa"/>
            <w:noWrap/>
          </w:tcPr>
          <w:p w:rsidR="009916C7" w:rsidRPr="00CA2AE8" w:rsidRDefault="009916C7" w:rsidP="005A5BF0">
            <w:pPr>
              <w:keepNext/>
              <w:keepLines/>
              <w:numPr>
                <w:ilvl w:val="0"/>
                <w:numId w:val="6"/>
              </w:numPr>
              <w:spacing w:before="180" w:after="180" w:line="240" w:lineRule="auto"/>
            </w:pPr>
            <w:r w:rsidRPr="00CA2AE8">
              <w:t>EBSS</w:t>
            </w:r>
          </w:p>
        </w:tc>
        <w:tc>
          <w:tcPr>
            <w:tcW w:w="6378" w:type="dxa"/>
            <w:noWrap/>
          </w:tcPr>
          <w:p w:rsidR="009916C7" w:rsidRPr="00CA2AE8" w:rsidRDefault="009916C7" w:rsidP="005A5BF0">
            <w:pPr>
              <w:keepNext/>
              <w:keepLines/>
              <w:numPr>
                <w:ilvl w:val="0"/>
                <w:numId w:val="6"/>
              </w:numPr>
              <w:spacing w:before="180" w:after="180" w:line="240" w:lineRule="auto"/>
            </w:pPr>
            <w:r w:rsidRPr="00CA2AE8">
              <w:t>efficiency benefit sharing scheme</w:t>
            </w:r>
          </w:p>
        </w:tc>
      </w:tr>
      <w:tr w:rsidR="009916C7" w:rsidRPr="00CA2AE8" w:rsidTr="005A5BF0">
        <w:trPr>
          <w:cnfStyle w:val="000000010000" w:firstRow="0" w:lastRow="0" w:firstColumn="0" w:lastColumn="0" w:oddVBand="0" w:evenVBand="0" w:oddHBand="0" w:evenHBand="1" w:firstRowFirstColumn="0" w:firstRowLastColumn="0" w:lastRowFirstColumn="0" w:lastRowLastColumn="0"/>
        </w:trPr>
        <w:tc>
          <w:tcPr>
            <w:tcW w:w="2802" w:type="dxa"/>
            <w:noWrap/>
          </w:tcPr>
          <w:p w:rsidR="009916C7" w:rsidRPr="00CA2AE8" w:rsidRDefault="009916C7" w:rsidP="005A5BF0">
            <w:pPr>
              <w:keepNext/>
              <w:keepLines/>
              <w:numPr>
                <w:ilvl w:val="0"/>
                <w:numId w:val="6"/>
              </w:numPr>
              <w:spacing w:before="180" w:after="180" w:line="240" w:lineRule="auto"/>
            </w:pPr>
            <w:r>
              <w:t>NEL</w:t>
            </w:r>
          </w:p>
        </w:tc>
        <w:tc>
          <w:tcPr>
            <w:tcW w:w="6378" w:type="dxa"/>
            <w:noWrap/>
          </w:tcPr>
          <w:p w:rsidR="009916C7" w:rsidRPr="00CA2AE8" w:rsidRDefault="009916C7" w:rsidP="005A5BF0">
            <w:pPr>
              <w:keepNext/>
              <w:keepLines/>
              <w:numPr>
                <w:ilvl w:val="0"/>
                <w:numId w:val="6"/>
              </w:numPr>
              <w:spacing w:before="180" w:after="180" w:line="240" w:lineRule="auto"/>
            </w:pPr>
            <w:r>
              <w:t>National Electricity Law</w:t>
            </w:r>
          </w:p>
        </w:tc>
      </w:tr>
      <w:tr w:rsidR="009916C7" w:rsidRPr="00CA2AE8" w:rsidTr="005A5BF0">
        <w:tc>
          <w:tcPr>
            <w:tcW w:w="2802" w:type="dxa"/>
            <w:noWrap/>
          </w:tcPr>
          <w:p w:rsidR="009916C7" w:rsidRPr="00CA2AE8" w:rsidRDefault="009916C7" w:rsidP="005A5BF0">
            <w:pPr>
              <w:keepNext/>
              <w:keepLines/>
              <w:numPr>
                <w:ilvl w:val="0"/>
                <w:numId w:val="6"/>
              </w:numPr>
              <w:spacing w:before="180" w:after="180" w:line="240" w:lineRule="auto"/>
            </w:pPr>
            <w:r w:rsidRPr="00CA2AE8">
              <w:t>NER</w:t>
            </w:r>
          </w:p>
        </w:tc>
        <w:tc>
          <w:tcPr>
            <w:tcW w:w="6378" w:type="dxa"/>
            <w:noWrap/>
          </w:tcPr>
          <w:p w:rsidR="009916C7" w:rsidRPr="00CA2AE8" w:rsidRDefault="009916C7" w:rsidP="005A5BF0">
            <w:pPr>
              <w:keepNext/>
              <w:keepLines/>
              <w:numPr>
                <w:ilvl w:val="0"/>
                <w:numId w:val="6"/>
              </w:numPr>
              <w:spacing w:before="180" w:after="180" w:line="240" w:lineRule="auto"/>
            </w:pPr>
            <w:r w:rsidRPr="00CA2AE8">
              <w:t>National Electricity Rules</w:t>
            </w:r>
          </w:p>
        </w:tc>
      </w:tr>
      <w:tr w:rsidR="00B4117E" w:rsidRPr="00CA2AE8" w:rsidTr="005A5BF0">
        <w:trPr>
          <w:cnfStyle w:val="000000010000" w:firstRow="0" w:lastRow="0" w:firstColumn="0" w:lastColumn="0" w:oddVBand="0" w:evenVBand="0" w:oddHBand="0" w:evenHBand="1" w:firstRowFirstColumn="0" w:firstRowLastColumn="0" w:lastRowFirstColumn="0" w:lastRowLastColumn="0"/>
        </w:trPr>
        <w:tc>
          <w:tcPr>
            <w:tcW w:w="2802" w:type="dxa"/>
            <w:noWrap/>
          </w:tcPr>
          <w:p w:rsidR="00B4117E" w:rsidRPr="00CA2AE8" w:rsidRDefault="00B4117E" w:rsidP="005A5BF0">
            <w:pPr>
              <w:keepNext/>
              <w:keepLines/>
              <w:numPr>
                <w:ilvl w:val="0"/>
                <w:numId w:val="6"/>
              </w:numPr>
              <w:spacing w:before="180" w:after="180" w:line="240" w:lineRule="auto"/>
            </w:pPr>
            <w:r>
              <w:t>NSW/ACT DNSPs</w:t>
            </w:r>
          </w:p>
        </w:tc>
        <w:tc>
          <w:tcPr>
            <w:tcW w:w="6378" w:type="dxa"/>
            <w:noWrap/>
          </w:tcPr>
          <w:p w:rsidR="00B4117E" w:rsidRPr="00CA2AE8" w:rsidRDefault="00B4117E" w:rsidP="005A5BF0">
            <w:pPr>
              <w:keepNext/>
              <w:keepLines/>
              <w:numPr>
                <w:ilvl w:val="0"/>
                <w:numId w:val="6"/>
              </w:numPr>
              <w:spacing w:before="180" w:after="180" w:line="240" w:lineRule="auto"/>
            </w:pPr>
            <w:r>
              <w:t>ActewAGL, Ausgrid, Endeavour Energy and Essential Energy</w:t>
            </w:r>
          </w:p>
        </w:tc>
      </w:tr>
      <w:tr w:rsidR="009916C7" w:rsidRPr="00CA2AE8" w:rsidTr="005A5BF0">
        <w:tc>
          <w:tcPr>
            <w:tcW w:w="2802" w:type="dxa"/>
            <w:noWrap/>
          </w:tcPr>
          <w:p w:rsidR="009916C7" w:rsidRPr="00CA2AE8" w:rsidRDefault="009916C7" w:rsidP="005A5BF0">
            <w:pPr>
              <w:keepNext/>
              <w:keepLines/>
              <w:numPr>
                <w:ilvl w:val="0"/>
                <w:numId w:val="6"/>
              </w:numPr>
              <w:spacing w:before="180" w:after="180" w:line="240" w:lineRule="auto"/>
            </w:pPr>
            <w:r w:rsidRPr="00CA2AE8">
              <w:t>opex</w:t>
            </w:r>
          </w:p>
        </w:tc>
        <w:tc>
          <w:tcPr>
            <w:tcW w:w="6378" w:type="dxa"/>
            <w:noWrap/>
          </w:tcPr>
          <w:p w:rsidR="009916C7" w:rsidRPr="00CA2AE8" w:rsidRDefault="009916C7" w:rsidP="005A5BF0">
            <w:pPr>
              <w:keepNext/>
              <w:keepLines/>
              <w:numPr>
                <w:ilvl w:val="0"/>
                <w:numId w:val="6"/>
              </w:numPr>
              <w:spacing w:before="180" w:after="180" w:line="240" w:lineRule="auto"/>
            </w:pPr>
            <w:r w:rsidRPr="00CA2AE8">
              <w:t>operating expenditure</w:t>
            </w:r>
          </w:p>
        </w:tc>
      </w:tr>
      <w:tr w:rsidR="009916C7" w:rsidRPr="00CA2AE8" w:rsidTr="005A5BF0">
        <w:trPr>
          <w:cnfStyle w:val="000000010000" w:firstRow="0" w:lastRow="0" w:firstColumn="0" w:lastColumn="0" w:oddVBand="0" w:evenVBand="0" w:oddHBand="0" w:evenHBand="1" w:firstRowFirstColumn="0" w:firstRowLastColumn="0" w:lastRowFirstColumn="0" w:lastRowLastColumn="0"/>
        </w:trPr>
        <w:tc>
          <w:tcPr>
            <w:tcW w:w="2802" w:type="dxa"/>
            <w:noWrap/>
          </w:tcPr>
          <w:p w:rsidR="009916C7" w:rsidRPr="00CA2AE8" w:rsidRDefault="009916C7" w:rsidP="005A5BF0">
            <w:pPr>
              <w:keepNext/>
              <w:keepLines/>
              <w:numPr>
                <w:ilvl w:val="0"/>
                <w:numId w:val="6"/>
              </w:numPr>
              <w:spacing w:before="180" w:after="180" w:line="240" w:lineRule="auto"/>
            </w:pPr>
            <w:r w:rsidRPr="00CA2AE8">
              <w:t>PTRM</w:t>
            </w:r>
          </w:p>
        </w:tc>
        <w:tc>
          <w:tcPr>
            <w:tcW w:w="6378" w:type="dxa"/>
            <w:noWrap/>
          </w:tcPr>
          <w:p w:rsidR="009916C7" w:rsidRPr="00CA2AE8" w:rsidRDefault="009916C7" w:rsidP="005A5BF0">
            <w:pPr>
              <w:keepNext/>
              <w:keepLines/>
              <w:numPr>
                <w:ilvl w:val="0"/>
                <w:numId w:val="6"/>
              </w:numPr>
              <w:spacing w:before="180" w:after="180" w:line="240" w:lineRule="auto"/>
            </w:pPr>
            <w:r w:rsidRPr="00CA2AE8">
              <w:t>post tax revenue model</w:t>
            </w:r>
          </w:p>
        </w:tc>
      </w:tr>
      <w:tr w:rsidR="009916C7" w:rsidRPr="00CA2AE8" w:rsidTr="005A5BF0">
        <w:tc>
          <w:tcPr>
            <w:tcW w:w="2802" w:type="dxa"/>
            <w:noWrap/>
          </w:tcPr>
          <w:p w:rsidR="009916C7" w:rsidRPr="00CA2AE8" w:rsidRDefault="009916C7" w:rsidP="005A5BF0">
            <w:pPr>
              <w:keepNext/>
              <w:keepLines/>
              <w:numPr>
                <w:ilvl w:val="0"/>
                <w:numId w:val="6"/>
              </w:numPr>
              <w:spacing w:before="180" w:after="180" w:line="240" w:lineRule="auto"/>
            </w:pPr>
            <w:r w:rsidRPr="00CA2AE8">
              <w:t>RAB</w:t>
            </w:r>
          </w:p>
        </w:tc>
        <w:tc>
          <w:tcPr>
            <w:tcW w:w="6378" w:type="dxa"/>
            <w:noWrap/>
          </w:tcPr>
          <w:p w:rsidR="009916C7" w:rsidRPr="00CA2AE8" w:rsidRDefault="009916C7" w:rsidP="005A5BF0">
            <w:pPr>
              <w:keepNext/>
              <w:keepLines/>
              <w:numPr>
                <w:ilvl w:val="0"/>
                <w:numId w:val="6"/>
              </w:numPr>
              <w:spacing w:before="180" w:after="180" w:line="240" w:lineRule="auto"/>
            </w:pPr>
            <w:r w:rsidRPr="00CA2AE8">
              <w:t>regulatory asset base</w:t>
            </w:r>
          </w:p>
        </w:tc>
      </w:tr>
      <w:tr w:rsidR="009916C7" w:rsidRPr="00CA2AE8" w:rsidTr="005A5BF0">
        <w:trPr>
          <w:cnfStyle w:val="000000010000" w:firstRow="0" w:lastRow="0" w:firstColumn="0" w:lastColumn="0" w:oddVBand="0" w:evenVBand="0" w:oddHBand="0" w:evenHBand="1" w:firstRowFirstColumn="0" w:firstRowLastColumn="0" w:lastRowFirstColumn="0" w:lastRowLastColumn="0"/>
        </w:trPr>
        <w:tc>
          <w:tcPr>
            <w:tcW w:w="2802" w:type="dxa"/>
            <w:noWrap/>
          </w:tcPr>
          <w:p w:rsidR="009916C7" w:rsidRPr="00CA2AE8" w:rsidRDefault="009916C7" w:rsidP="005A5BF0">
            <w:pPr>
              <w:keepNext/>
              <w:keepLines/>
              <w:numPr>
                <w:ilvl w:val="0"/>
                <w:numId w:val="6"/>
              </w:numPr>
              <w:spacing w:before="180" w:after="180" w:line="240" w:lineRule="auto"/>
            </w:pPr>
            <w:r w:rsidRPr="00CA2AE8">
              <w:t>STPIS</w:t>
            </w:r>
          </w:p>
        </w:tc>
        <w:tc>
          <w:tcPr>
            <w:tcW w:w="6378" w:type="dxa"/>
            <w:noWrap/>
          </w:tcPr>
          <w:p w:rsidR="009916C7" w:rsidRPr="00CA2AE8" w:rsidRDefault="009916C7" w:rsidP="005A5BF0">
            <w:pPr>
              <w:keepNext/>
              <w:keepLines/>
              <w:numPr>
                <w:ilvl w:val="0"/>
                <w:numId w:val="6"/>
              </w:numPr>
              <w:spacing w:before="180" w:after="180" w:line="240" w:lineRule="auto"/>
            </w:pPr>
            <w:r w:rsidRPr="00CA2AE8">
              <w:t>service target performance incentive scheme</w:t>
            </w:r>
          </w:p>
        </w:tc>
      </w:tr>
      <w:tr w:rsidR="009916C7" w:rsidRPr="00CA2AE8" w:rsidTr="005A5BF0">
        <w:tc>
          <w:tcPr>
            <w:tcW w:w="2802" w:type="dxa"/>
            <w:noWrap/>
          </w:tcPr>
          <w:p w:rsidR="009916C7" w:rsidRPr="00CA2AE8" w:rsidRDefault="009916C7" w:rsidP="005A5BF0">
            <w:pPr>
              <w:keepNext/>
              <w:keepLines/>
              <w:numPr>
                <w:ilvl w:val="0"/>
                <w:numId w:val="6"/>
              </w:numPr>
              <w:spacing w:before="180" w:after="180" w:line="240" w:lineRule="auto"/>
            </w:pPr>
            <w:r w:rsidRPr="00CA2AE8">
              <w:t>TNSP</w:t>
            </w:r>
          </w:p>
        </w:tc>
        <w:tc>
          <w:tcPr>
            <w:tcW w:w="6378" w:type="dxa"/>
            <w:noWrap/>
          </w:tcPr>
          <w:p w:rsidR="009916C7" w:rsidRPr="00CA2AE8" w:rsidRDefault="009916C7" w:rsidP="005A5BF0">
            <w:pPr>
              <w:keepNext/>
              <w:keepLines/>
              <w:numPr>
                <w:ilvl w:val="0"/>
                <w:numId w:val="6"/>
              </w:numPr>
              <w:spacing w:before="180" w:after="180" w:line="240" w:lineRule="auto"/>
            </w:pPr>
            <w:r w:rsidRPr="00CA2AE8">
              <w:t>transmission network service provider</w:t>
            </w:r>
          </w:p>
        </w:tc>
      </w:tr>
      <w:tr w:rsidR="009916C7" w:rsidRPr="00CA2AE8" w:rsidTr="005A5BF0">
        <w:trPr>
          <w:cnfStyle w:val="000000010000" w:firstRow="0" w:lastRow="0" w:firstColumn="0" w:lastColumn="0" w:oddVBand="0" w:evenVBand="0" w:oddHBand="0" w:evenHBand="1" w:firstRowFirstColumn="0" w:firstRowLastColumn="0" w:lastRowFirstColumn="0" w:lastRowLastColumn="0"/>
        </w:trPr>
        <w:tc>
          <w:tcPr>
            <w:tcW w:w="2802" w:type="dxa"/>
            <w:noWrap/>
          </w:tcPr>
          <w:p w:rsidR="009916C7" w:rsidRPr="00CA2AE8" w:rsidRDefault="009916C7" w:rsidP="005A5BF0">
            <w:pPr>
              <w:keepNext/>
              <w:keepLines/>
              <w:numPr>
                <w:ilvl w:val="0"/>
                <w:numId w:val="6"/>
              </w:numPr>
              <w:spacing w:before="180" w:after="180" w:line="240" w:lineRule="auto"/>
            </w:pPr>
            <w:r>
              <w:t>TRP</w:t>
            </w:r>
          </w:p>
        </w:tc>
        <w:tc>
          <w:tcPr>
            <w:tcW w:w="6378" w:type="dxa"/>
            <w:noWrap/>
          </w:tcPr>
          <w:p w:rsidR="009916C7" w:rsidRPr="00CA2AE8" w:rsidRDefault="009916C7" w:rsidP="005A5BF0">
            <w:pPr>
              <w:keepNext/>
              <w:keepLines/>
              <w:numPr>
                <w:ilvl w:val="0"/>
                <w:numId w:val="6"/>
              </w:numPr>
              <w:spacing w:before="180" w:after="180" w:line="240" w:lineRule="auto"/>
            </w:pPr>
            <w:r>
              <w:t>transitional revenue proposal</w:t>
            </w:r>
          </w:p>
        </w:tc>
      </w:tr>
      <w:tr w:rsidR="00BD3BF0" w:rsidRPr="00CA2AE8" w:rsidTr="005A5BF0">
        <w:tc>
          <w:tcPr>
            <w:tcW w:w="2802" w:type="dxa"/>
            <w:noWrap/>
          </w:tcPr>
          <w:p w:rsidR="00BD3BF0" w:rsidRDefault="00BD3BF0" w:rsidP="005A5BF0">
            <w:pPr>
              <w:keepNext/>
              <w:keepLines/>
              <w:numPr>
                <w:ilvl w:val="0"/>
                <w:numId w:val="6"/>
              </w:numPr>
              <w:spacing w:before="180" w:after="180" w:line="240" w:lineRule="auto"/>
            </w:pPr>
            <w:r>
              <w:t>TUOS</w:t>
            </w:r>
          </w:p>
        </w:tc>
        <w:tc>
          <w:tcPr>
            <w:tcW w:w="6378" w:type="dxa"/>
            <w:noWrap/>
          </w:tcPr>
          <w:p w:rsidR="00BD3BF0" w:rsidRDefault="00BD3BF0" w:rsidP="005A5BF0">
            <w:pPr>
              <w:keepNext/>
              <w:keepLines/>
              <w:numPr>
                <w:ilvl w:val="0"/>
                <w:numId w:val="6"/>
              </w:numPr>
              <w:spacing w:before="180" w:after="180" w:line="240" w:lineRule="auto"/>
            </w:pPr>
            <w:r>
              <w:t>transmission use of system</w:t>
            </w:r>
          </w:p>
        </w:tc>
      </w:tr>
      <w:tr w:rsidR="009916C7" w:rsidRPr="00CA2AE8" w:rsidTr="005A5BF0">
        <w:trPr>
          <w:cnfStyle w:val="000000010000" w:firstRow="0" w:lastRow="0" w:firstColumn="0" w:lastColumn="0" w:oddVBand="0" w:evenVBand="0" w:oddHBand="0" w:evenHBand="1" w:firstRowFirstColumn="0" w:firstRowLastColumn="0" w:lastRowFirstColumn="0" w:lastRowLastColumn="0"/>
        </w:trPr>
        <w:tc>
          <w:tcPr>
            <w:tcW w:w="2802" w:type="dxa"/>
            <w:noWrap/>
          </w:tcPr>
          <w:p w:rsidR="009916C7" w:rsidRPr="00CA2AE8" w:rsidRDefault="009916C7" w:rsidP="005A5BF0">
            <w:pPr>
              <w:keepNext/>
              <w:keepLines/>
              <w:numPr>
                <w:ilvl w:val="0"/>
                <w:numId w:val="6"/>
              </w:numPr>
              <w:spacing w:before="180" w:after="180" w:line="240" w:lineRule="auto"/>
            </w:pPr>
            <w:r w:rsidRPr="00CA2AE8">
              <w:t>WACC</w:t>
            </w:r>
          </w:p>
        </w:tc>
        <w:tc>
          <w:tcPr>
            <w:tcW w:w="6378" w:type="dxa"/>
            <w:noWrap/>
          </w:tcPr>
          <w:p w:rsidR="009916C7" w:rsidRPr="00CA2AE8" w:rsidRDefault="009916C7" w:rsidP="005A5BF0">
            <w:pPr>
              <w:keepNext/>
              <w:keepLines/>
              <w:numPr>
                <w:ilvl w:val="0"/>
                <w:numId w:val="6"/>
              </w:numPr>
              <w:spacing w:before="180" w:after="180" w:line="240" w:lineRule="auto"/>
            </w:pPr>
            <w:r w:rsidRPr="00CA2AE8">
              <w:t>weighted average cost of capital</w:t>
            </w:r>
          </w:p>
        </w:tc>
      </w:tr>
    </w:tbl>
    <w:p w:rsidR="00AA355A" w:rsidRDefault="00AA355A" w:rsidP="00AA355A">
      <w:pPr>
        <w:pStyle w:val="UnnumberedHeading"/>
        <w:sectPr w:rsidR="00AA355A" w:rsidSect="00452420">
          <w:footerReference w:type="default" r:id="rId14"/>
          <w:pgSz w:w="11906" w:h="16838" w:code="9"/>
          <w:pgMar w:top="1440" w:right="1440" w:bottom="1440" w:left="1440" w:header="709" w:footer="709" w:gutter="0"/>
          <w:pgNumType w:fmt="lowerRoman"/>
          <w:cols w:space="708"/>
          <w:docGrid w:linePitch="360"/>
        </w:sectPr>
      </w:pPr>
      <w:bookmarkStart w:id="5" w:name="_Ref381337148"/>
      <w:bookmarkStart w:id="6" w:name="_Toc383436052"/>
      <w:bookmarkStart w:id="7" w:name="_Toc384716210"/>
    </w:p>
    <w:p w:rsidR="00AA355A" w:rsidRPr="00B7680B" w:rsidRDefault="00AA355A" w:rsidP="00AA355A">
      <w:pPr>
        <w:pStyle w:val="UnnumberedHeading"/>
      </w:pPr>
      <w:bookmarkStart w:id="8" w:name="_Toc385326304"/>
      <w:r w:rsidRPr="00B7680B">
        <w:lastRenderedPageBreak/>
        <w:t xml:space="preserve">Part </w:t>
      </w:r>
      <w:r>
        <w:t>1</w:t>
      </w:r>
      <w:r w:rsidRPr="00B7680B">
        <w:t xml:space="preserve"> – </w:t>
      </w:r>
      <w:r>
        <w:t>AER’s decision</w:t>
      </w:r>
      <w:bookmarkEnd w:id="8"/>
    </w:p>
    <w:p w:rsidR="00AA355A" w:rsidRDefault="00AA355A" w:rsidP="00AA355A">
      <w:pPr>
        <w:pStyle w:val="Heading7"/>
        <w:sectPr w:rsidR="00AA355A" w:rsidSect="00452420">
          <w:footerReference w:type="default" r:id="rId15"/>
          <w:pgSz w:w="11906" w:h="16838" w:code="9"/>
          <w:pgMar w:top="1440" w:right="1440" w:bottom="1440" w:left="1440" w:header="709" w:footer="709" w:gutter="0"/>
          <w:pgNumType w:start="1"/>
          <w:cols w:space="708"/>
          <w:docGrid w:linePitch="360"/>
        </w:sectPr>
      </w:pPr>
      <w:bookmarkStart w:id="9" w:name="_Ref384824370"/>
    </w:p>
    <w:p w:rsidR="009916C7" w:rsidRPr="003F0974" w:rsidRDefault="009916C7" w:rsidP="003F0974">
      <w:pPr>
        <w:pStyle w:val="Heading1"/>
      </w:pPr>
      <w:bookmarkStart w:id="10" w:name="_Toc385326305"/>
      <w:bookmarkEnd w:id="9"/>
      <w:r w:rsidRPr="003F0974">
        <w:lastRenderedPageBreak/>
        <w:t>Overview</w:t>
      </w:r>
      <w:bookmarkEnd w:id="5"/>
      <w:bookmarkEnd w:id="6"/>
      <w:bookmarkEnd w:id="7"/>
      <w:bookmarkEnd w:id="10"/>
    </w:p>
    <w:p w:rsidR="009916C7" w:rsidRPr="00724615" w:rsidRDefault="009916C7" w:rsidP="002401A5">
      <w:pPr>
        <w:pStyle w:val="HeadingBoldBlue"/>
        <w:rPr>
          <w:rStyle w:val="AERtextbold"/>
          <w:b/>
        </w:rPr>
      </w:pPr>
      <w:r w:rsidRPr="00724615">
        <w:rPr>
          <w:rStyle w:val="AERtextbold"/>
          <w:b/>
        </w:rPr>
        <w:t>AER decision</w:t>
      </w:r>
    </w:p>
    <w:p w:rsidR="009916C7" w:rsidRPr="00507584" w:rsidRDefault="009916C7" w:rsidP="009916C7">
      <w:pPr>
        <w:pStyle w:val="AERbodytext"/>
        <w:numPr>
          <w:ilvl w:val="0"/>
          <w:numId w:val="6"/>
        </w:numPr>
      </w:pPr>
      <w:r>
        <w:t xml:space="preserve">We do not approve the revenues proposed by </w:t>
      </w:r>
      <w:r w:rsidR="0075444F">
        <w:t xml:space="preserve">ActewAGL Distribution (ActewAGL), </w:t>
      </w:r>
      <w:r>
        <w:t xml:space="preserve">Ausgrid, Endeavour Energy, </w:t>
      </w:r>
      <w:r w:rsidR="0075444F">
        <w:t xml:space="preserve">or </w:t>
      </w:r>
      <w:r>
        <w:t>Essential Energy</w:t>
      </w:r>
      <w:r w:rsidR="00B4117E">
        <w:t xml:space="preserve">, the NSW/ACT </w:t>
      </w:r>
      <w:r w:rsidR="00635F22" w:rsidRPr="00CD5734">
        <w:t>distribution network service providers</w:t>
      </w:r>
      <w:r w:rsidR="00635F22">
        <w:t xml:space="preserve"> (</w:t>
      </w:r>
      <w:r w:rsidR="00B4117E">
        <w:t>DNSPs</w:t>
      </w:r>
      <w:r w:rsidR="00635F22">
        <w:t>)</w:t>
      </w:r>
      <w:r w:rsidR="0075444F">
        <w:t>,</w:t>
      </w:r>
      <w:r>
        <w:t xml:space="preserve"> as set out in their transitional revenue proposals. We are not satisfied that recovery of the proposed revenues by Ausgrid, Endeavour Energy, Essential Energy or ActewAGL are </w:t>
      </w:r>
      <w:r w:rsidRPr="00507584">
        <w:t>reasonably likely to minimise variations in prices between the:</w:t>
      </w:r>
    </w:p>
    <w:p w:rsidR="009916C7" w:rsidRPr="00E82715" w:rsidRDefault="009916C7" w:rsidP="00C23850">
      <w:pPr>
        <w:pStyle w:val="AERbulletlistfirststyle"/>
      </w:pPr>
      <w:r w:rsidRPr="00E82715">
        <w:t>current regulatory control period (1 July 2009 to 30 June 2014)</w:t>
      </w:r>
    </w:p>
    <w:p w:rsidR="009916C7" w:rsidRPr="00E82715" w:rsidRDefault="009916C7" w:rsidP="00C23850">
      <w:pPr>
        <w:pStyle w:val="AERbulletlistfirststyle"/>
      </w:pPr>
      <w:r w:rsidRPr="00E82715">
        <w:t>transitional regulatory control period (1 July 2014 to 30 June 2015)</w:t>
      </w:r>
    </w:p>
    <w:p w:rsidR="009916C7" w:rsidRPr="00E82715" w:rsidRDefault="009916C7" w:rsidP="00C23850">
      <w:pPr>
        <w:pStyle w:val="AERbulletlistfirststyle"/>
      </w:pPr>
      <w:r w:rsidRPr="00E82715">
        <w:t>subsequent regulatory control period (1 July 2015 to 30 June 2019)</w:t>
      </w:r>
    </w:p>
    <w:p w:rsidR="009916C7" w:rsidRPr="00E82715" w:rsidRDefault="009916C7" w:rsidP="00C23850">
      <w:pPr>
        <w:pStyle w:val="AERbulletlistfirststyle"/>
      </w:pPr>
      <w:r w:rsidRPr="00E82715">
        <w:t xml:space="preserve">the regulatory years of the subsequent regulatory control period (the </w:t>
      </w:r>
      <w:r w:rsidRPr="00A9102F">
        <w:rPr>
          <w:rStyle w:val="AERtextbold"/>
        </w:rPr>
        <w:t>price variation test</w:t>
      </w:r>
      <w:r w:rsidRPr="00E82715">
        <w:t>).</w:t>
      </w:r>
    </w:p>
    <w:p w:rsidR="009916C7" w:rsidRPr="00CB0DB5" w:rsidRDefault="009916C7" w:rsidP="009916C7">
      <w:pPr>
        <w:pStyle w:val="AERbodytext"/>
        <w:numPr>
          <w:ilvl w:val="0"/>
          <w:numId w:val="6"/>
        </w:numPr>
      </w:pPr>
      <w:r>
        <w:t>In applying the price variation test, we consider that the revenue proposals</w:t>
      </w:r>
      <w:r w:rsidRPr="00CB0DB5">
        <w:t xml:space="preserve"> </w:t>
      </w:r>
      <w:r>
        <w:t>by Ausgrid, Endeavour Energy, Essential Energy and ActewAGL are not likely to contribute to the achievement of the National Electricity Objective (NEO)</w:t>
      </w:r>
      <w:r w:rsidR="00B4117E">
        <w:t>. We consider they</w:t>
      </w:r>
      <w:r>
        <w:t xml:space="preserve"> are not consistent with the revenue and pricing principles (RPPs) in the National Electricity Law (NEL) in terms of promoting efficient investment</w:t>
      </w:r>
      <w:r w:rsidRPr="00CB0DB5">
        <w:t>.</w:t>
      </w:r>
      <w:r>
        <w:rPr>
          <w:rStyle w:val="FootnoteReference"/>
        </w:rPr>
        <w:footnoteReference w:id="1"/>
      </w:r>
      <w:r w:rsidRPr="00CB0DB5">
        <w:t xml:space="preserve">  </w:t>
      </w:r>
    </w:p>
    <w:p w:rsidR="009916C7" w:rsidRDefault="009916C7" w:rsidP="009916C7">
      <w:pPr>
        <w:pStyle w:val="AERbodytext"/>
        <w:numPr>
          <w:ilvl w:val="0"/>
          <w:numId w:val="6"/>
        </w:numPr>
      </w:pPr>
      <w:r>
        <w:t xml:space="preserve">Instead we have approved a lower </w:t>
      </w:r>
      <w:r w:rsidR="00E05D13">
        <w:t xml:space="preserve">placeholder </w:t>
      </w:r>
      <w:r>
        <w:t>annual revenue requirement for the transitional regulatory control period for Ausgrid, Endeavour Energy, Essential Energy and ActewAGL. We are satisfied this alternative revenue allowance is more likely to minimise variations in prices across the relevant periods and years. Our reasons for this view are set out in this document. Our decisions on the other components of the determinations are also set out in this document.</w:t>
      </w:r>
    </w:p>
    <w:p w:rsidR="009D0D0C" w:rsidRDefault="009D0D0C" w:rsidP="009D0D0C">
      <w:pPr>
        <w:pStyle w:val="AERbodytext"/>
      </w:pPr>
      <w:r>
        <w:t xml:space="preserve">In our </w:t>
      </w:r>
      <w:r w:rsidR="000B6EC0">
        <w:t>determination</w:t>
      </w:r>
      <w:r>
        <w:t>, we have:</w:t>
      </w:r>
    </w:p>
    <w:p w:rsidR="009D0D0C" w:rsidRDefault="009D0D0C" w:rsidP="00DA1375">
      <w:pPr>
        <w:pStyle w:val="AERbulletlistfirststyle"/>
      </w:pPr>
      <w:r>
        <w:t>passed through to customers the benefits of the NSW DNSPs spending less than their allowances for capital expenditure</w:t>
      </w:r>
      <w:r w:rsidR="00354BA5">
        <w:t xml:space="preserve"> (because growth in demand was less than forecast)</w:t>
      </w:r>
      <w:r>
        <w:t xml:space="preserve"> in the current regulatory control period</w:t>
      </w:r>
    </w:p>
    <w:p w:rsidR="009D0D0C" w:rsidRDefault="009D0D0C" w:rsidP="00DA1375">
      <w:pPr>
        <w:pStyle w:val="AERbulletlistfirststyle"/>
      </w:pPr>
      <w:r>
        <w:t>rejected the NSW/ACT DNSPs’ proposals for cost of capital and substituted our own estimate of cost of capital based on the methodology in our 2013 Guideline</w:t>
      </w:r>
    </w:p>
    <w:p w:rsidR="009D0D0C" w:rsidRPr="0086343C" w:rsidRDefault="009D0D0C" w:rsidP="00DA1375">
      <w:pPr>
        <w:pStyle w:val="AERbulletlistfirststyle"/>
      </w:pPr>
      <w:r>
        <w:t xml:space="preserve">for this placeholder decision, adopted the forecast capital and </w:t>
      </w:r>
      <w:r w:rsidR="00A65221">
        <w:t>operating</w:t>
      </w:r>
      <w:r>
        <w:t xml:space="preserve"> expenditure estimates of the NSW/ACT DNSPs, which will be subject to detailed scrutiny when we receive the regulatory proposals.</w:t>
      </w:r>
    </w:p>
    <w:p w:rsidR="009916C7" w:rsidRPr="00724615" w:rsidRDefault="009916C7" w:rsidP="002401A5">
      <w:pPr>
        <w:pStyle w:val="HeadingBoldBlue"/>
        <w:rPr>
          <w:rStyle w:val="AERtextbold"/>
          <w:b/>
        </w:rPr>
      </w:pPr>
      <w:r w:rsidRPr="00724615">
        <w:rPr>
          <w:rStyle w:val="AERtextbold"/>
          <w:b/>
        </w:rPr>
        <w:t>Our role</w:t>
      </w:r>
    </w:p>
    <w:p w:rsidR="009916C7" w:rsidRDefault="009916C7" w:rsidP="009916C7">
      <w:pPr>
        <w:pStyle w:val="AERbodytext"/>
        <w:numPr>
          <w:ilvl w:val="0"/>
          <w:numId w:val="6"/>
        </w:numPr>
      </w:pPr>
      <w:r w:rsidRPr="00CD5734">
        <w:t xml:space="preserve">We, the Australian Energy Regulator (AER), are responsible for regulating the revenues of </w:t>
      </w:r>
      <w:r>
        <w:t>DNSPs</w:t>
      </w:r>
      <w:r w:rsidRPr="00CD5734">
        <w:t xml:space="preserve"> </w:t>
      </w:r>
      <w:r w:rsidR="000565BE">
        <w:t>and transmission network</w:t>
      </w:r>
      <w:r w:rsidR="009D0D0C">
        <w:t xml:space="preserve"> service providers</w:t>
      </w:r>
      <w:r w:rsidR="00973557">
        <w:t xml:space="preserve"> (TNSPs) </w:t>
      </w:r>
      <w:r w:rsidRPr="00CD5734">
        <w:t>operating in the National Electricity Market (NEM). The NEL and the National Electricity Rules (NER) provide the overarching framework under which we operate.</w:t>
      </w:r>
    </w:p>
    <w:p w:rsidR="009916C7" w:rsidRPr="00F04E3B" w:rsidRDefault="009916C7" w:rsidP="009916C7">
      <w:pPr>
        <w:pStyle w:val="AERbodytext"/>
        <w:numPr>
          <w:ilvl w:val="0"/>
          <w:numId w:val="6"/>
        </w:numPr>
      </w:pPr>
      <w:r w:rsidRPr="00F04E3B">
        <w:lastRenderedPageBreak/>
        <w:t xml:space="preserve">In November 2012, the </w:t>
      </w:r>
      <w:r>
        <w:t>Australian Energy Market Commission (</w:t>
      </w:r>
      <w:r w:rsidRPr="00F04E3B">
        <w:t>AEMC</w:t>
      </w:r>
      <w:r>
        <w:t>)</w:t>
      </w:r>
      <w:r w:rsidRPr="00F04E3B">
        <w:t xml:space="preserve"> introduced major changes to the economic regulation </w:t>
      </w:r>
      <w:r w:rsidR="00973557">
        <w:t>of DNSPs and TNSPs</w:t>
      </w:r>
      <w:r w:rsidRPr="00F04E3B">
        <w:t xml:space="preserve"> under </w:t>
      </w:r>
      <w:r>
        <w:t>c</w:t>
      </w:r>
      <w:r w:rsidRPr="00F04E3B">
        <w:t>hapters 6 and 6A respect</w:t>
      </w:r>
      <w:r>
        <w:t>ively of the NER.</w:t>
      </w:r>
      <w:r>
        <w:rPr>
          <w:rStyle w:val="FootnoteReference"/>
        </w:rPr>
        <w:footnoteReference w:id="2"/>
      </w:r>
      <w:r w:rsidRPr="00F04E3B">
        <w:t xml:space="preserve">  </w:t>
      </w:r>
    </w:p>
    <w:p w:rsidR="009916C7" w:rsidRDefault="009916C7" w:rsidP="009916C7">
      <w:pPr>
        <w:pStyle w:val="AERbodytext"/>
        <w:numPr>
          <w:ilvl w:val="0"/>
          <w:numId w:val="6"/>
        </w:numPr>
      </w:pPr>
      <w:r w:rsidRPr="00F04E3B">
        <w:t xml:space="preserve">Prior to </w:t>
      </w:r>
      <w:r>
        <w:t xml:space="preserve">the </w:t>
      </w:r>
      <w:r w:rsidRPr="00F04E3B">
        <w:t xml:space="preserve">making of the new rules, </w:t>
      </w:r>
      <w:r>
        <w:t>distribution</w:t>
      </w:r>
      <w:r w:rsidRPr="00F04E3B">
        <w:t xml:space="preserve"> determinations for</w:t>
      </w:r>
      <w:r>
        <w:t xml:space="preserve"> </w:t>
      </w:r>
      <w:r w:rsidR="00B4117E">
        <w:t>the NSW</w:t>
      </w:r>
      <w:r w:rsidR="003F21CB">
        <w:t>/</w:t>
      </w:r>
      <w:r w:rsidR="00B4117E">
        <w:t>ACT DNSPs</w:t>
      </w:r>
      <w:r>
        <w:t xml:space="preserve"> </w:t>
      </w:r>
      <w:r w:rsidRPr="00F04E3B">
        <w:t xml:space="preserve">were due to commence on 1 July 2014 and would apply for a period of five years. </w:t>
      </w:r>
      <w:r>
        <w:t>However, to allow for an expedited transition to</w:t>
      </w:r>
      <w:r w:rsidRPr="00F04E3B">
        <w:t xml:space="preserve"> the new rules, the transitional rules adopt a two stage approach for the regulation of these </w:t>
      </w:r>
      <w:r>
        <w:t>DNSPs</w:t>
      </w:r>
      <w:r w:rsidRPr="00F04E3B">
        <w:t xml:space="preserve"> over the next five years</w:t>
      </w:r>
      <w:r>
        <w:t>:</w:t>
      </w:r>
      <w:r>
        <w:rPr>
          <w:rStyle w:val="FootnoteReference"/>
        </w:rPr>
        <w:footnoteReference w:id="3"/>
      </w:r>
    </w:p>
    <w:p w:rsidR="009916C7" w:rsidRPr="00E82715" w:rsidRDefault="009916C7" w:rsidP="00C23850">
      <w:pPr>
        <w:pStyle w:val="AERbulletlistfirststyle"/>
      </w:pPr>
      <w:r w:rsidRPr="00E82715">
        <w:t xml:space="preserve">the transitional regulatory control period </w:t>
      </w:r>
    </w:p>
    <w:p w:rsidR="009916C7" w:rsidRPr="00E82715" w:rsidRDefault="009916C7" w:rsidP="00C23850">
      <w:pPr>
        <w:pStyle w:val="AERbulletlistfirststyle"/>
      </w:pPr>
      <w:r w:rsidRPr="00E82715">
        <w:t>the subsequent regulatory control period.</w:t>
      </w:r>
    </w:p>
    <w:p w:rsidR="009916C7" w:rsidRPr="00F04E3B" w:rsidRDefault="009916C7" w:rsidP="009916C7">
      <w:pPr>
        <w:pStyle w:val="AERbodytext"/>
        <w:numPr>
          <w:ilvl w:val="0"/>
          <w:numId w:val="6"/>
        </w:numPr>
      </w:pPr>
      <w:r w:rsidRPr="00F04E3B">
        <w:t>The AER is required to make a</w:t>
      </w:r>
      <w:r w:rsidR="00E05D13">
        <w:t xml:space="preserve"> placeholder</w:t>
      </w:r>
      <w:r w:rsidR="00AC463E">
        <w:t xml:space="preserve"> </w:t>
      </w:r>
      <w:r w:rsidRPr="00F04E3B">
        <w:t xml:space="preserve">determination </w:t>
      </w:r>
      <w:r>
        <w:t xml:space="preserve">for the transitional regulatory control period by 30 April 2014, </w:t>
      </w:r>
      <w:r w:rsidRPr="00F04E3B">
        <w:t>which will only apply for one year</w:t>
      </w:r>
      <w:r>
        <w:t xml:space="preserve"> for </w:t>
      </w:r>
      <w:r w:rsidR="00B4117E">
        <w:t>the NSW/ACT DNSPs</w:t>
      </w:r>
      <w:r>
        <w:t xml:space="preserve">. One of the decisions we must make in this determination is whether to approve the </w:t>
      </w:r>
      <w:r w:rsidR="00AC463E">
        <w:t>D</w:t>
      </w:r>
      <w:r w:rsidRPr="00F04E3B">
        <w:t>NSPs</w:t>
      </w:r>
      <w:r>
        <w:t xml:space="preserve">’ proposed placeholder annual revenue requirement for the transitional regulatory control period. </w:t>
      </w:r>
      <w:r w:rsidRPr="00F04E3B">
        <w:t>The AER will then carry out a full regulat</w:t>
      </w:r>
      <w:r>
        <w:t>ory determination process by 30 April</w:t>
      </w:r>
      <w:r w:rsidRPr="00F04E3B">
        <w:t xml:space="preserve"> 2015 to apply to the subs</w:t>
      </w:r>
      <w:r>
        <w:t>equent regulatory control period.</w:t>
      </w:r>
      <w:r w:rsidRPr="009E7564">
        <w:t xml:space="preserve"> </w:t>
      </w:r>
      <w:r>
        <w:t xml:space="preserve">If the revenue approved in the full regulatory determination for the transitional regulatory control period is different to our </w:t>
      </w:r>
      <w:r w:rsidR="00E05D13">
        <w:t xml:space="preserve">placeholder </w:t>
      </w:r>
      <w:r>
        <w:t>determination then a true-up will apply.</w:t>
      </w:r>
    </w:p>
    <w:p w:rsidR="009916C7" w:rsidRPr="00ED718B" w:rsidRDefault="009916C7" w:rsidP="009916C7">
      <w:pPr>
        <w:pStyle w:val="AERbodytext"/>
        <w:numPr>
          <w:ilvl w:val="0"/>
          <w:numId w:val="6"/>
        </w:numPr>
      </w:pPr>
      <w:r>
        <w:t xml:space="preserve">This </w:t>
      </w:r>
      <w:r w:rsidR="00E05D13">
        <w:t xml:space="preserve">placeholder </w:t>
      </w:r>
      <w:r>
        <w:t xml:space="preserve">determination is not the usual complete determination that we are required to make under chapter 6 of the NER. We are, however, required to make various decisions for this one year regulatory control period. The decisions that the AER must make for the </w:t>
      </w:r>
      <w:r w:rsidR="00E05D13">
        <w:t>placeholder</w:t>
      </w:r>
      <w:r w:rsidR="00E05D13" w:rsidDel="00E05D13">
        <w:t xml:space="preserve"> </w:t>
      </w:r>
      <w:r>
        <w:t>determinat</w:t>
      </w:r>
      <w:r w:rsidR="00DF2B46">
        <w:t xml:space="preserve">ion are set out </w:t>
      </w:r>
      <w:r w:rsidRPr="00ED718B">
        <w:t xml:space="preserve">in </w:t>
      </w:r>
      <w:r>
        <w:t>our determination documents</w:t>
      </w:r>
      <w:r w:rsidRPr="00ED718B">
        <w:t>.</w:t>
      </w:r>
    </w:p>
    <w:p w:rsidR="009916C7" w:rsidRPr="00E82715" w:rsidRDefault="009916C7" w:rsidP="009916C7">
      <w:pPr>
        <w:pStyle w:val="AERbodytext"/>
        <w:numPr>
          <w:ilvl w:val="0"/>
          <w:numId w:val="6"/>
        </w:numPr>
      </w:pPr>
      <w:r>
        <w:t>One of these decisions relates to the annual revenue requirement</w:t>
      </w:r>
      <w:r w:rsidRPr="00E82715">
        <w:t xml:space="preserve"> for the transitional year. We may only approve a </w:t>
      </w:r>
      <w:r>
        <w:t>D</w:t>
      </w:r>
      <w:r w:rsidRPr="00E82715">
        <w:t xml:space="preserve">NSP’s proposed </w:t>
      </w:r>
      <w:r>
        <w:t>annual revenue requirement</w:t>
      </w:r>
      <w:r w:rsidRPr="00E82715">
        <w:t xml:space="preserve"> for the transitional year if we are satisfied that the amount is such that the recovery</w:t>
      </w:r>
      <w:r>
        <w:t xml:space="preserve"> of it by the D</w:t>
      </w:r>
      <w:r w:rsidRPr="00E82715">
        <w:t>NSP is reasonably likely to minimise variations in prices between the relevant regulatory control periods and years, as outline</w:t>
      </w:r>
      <w:r w:rsidR="00AC463E">
        <w:t>d</w:t>
      </w:r>
      <w:r w:rsidRPr="00E82715">
        <w:t xml:space="preserve"> above (referred to as the price variation test).</w:t>
      </w:r>
      <w:r w:rsidRPr="00E82715">
        <w:rPr>
          <w:rStyle w:val="FootnoteReference"/>
        </w:rPr>
        <w:footnoteReference w:id="4"/>
      </w:r>
    </w:p>
    <w:p w:rsidR="009916C7" w:rsidRPr="00E82715" w:rsidRDefault="009916C7" w:rsidP="009916C7">
      <w:r w:rsidRPr="00E82715">
        <w:t>Our decision must take into account the RPPs in the NEL and we must perform our function in a manner that will or is likely to contri</w:t>
      </w:r>
      <w:r w:rsidR="00DF2B46">
        <w:t xml:space="preserve">bute to the achievement of the </w:t>
      </w:r>
      <w:r w:rsidRPr="00E82715">
        <w:t>NEO.</w:t>
      </w:r>
      <w:r w:rsidRPr="00E82715">
        <w:rPr>
          <w:rStyle w:val="FootnoteReference"/>
        </w:rPr>
        <w:footnoteReference w:id="5"/>
      </w:r>
      <w:r w:rsidRPr="00E82715">
        <w:t xml:space="preserve">  Importantly, the price variation test is centred on reducing the potential for any future significant price changes for consumers.</w:t>
      </w:r>
    </w:p>
    <w:p w:rsidR="009916C7" w:rsidRPr="00E82715" w:rsidRDefault="009916C7" w:rsidP="009916C7">
      <w:r w:rsidRPr="00E82715">
        <w:t>Where relevant, we have set out the manner in which the constituent components of the decision relate to each other in our reasons. We have indicated the manner in which that interrelationship has been taken into account in our decision.</w:t>
      </w:r>
    </w:p>
    <w:p w:rsidR="009916C7" w:rsidRPr="00E82715" w:rsidRDefault="009916C7" w:rsidP="009916C7">
      <w:r w:rsidRPr="00E82715">
        <w:t>In this determination we have made the decision that we are satisfied would, or is likely to contribute to the achievement of the NEO to the greatest degree, and we have included our reasons as to why we are satisfied that our decision is the preferable decision.</w:t>
      </w:r>
      <w:r w:rsidRPr="00E82715">
        <w:rPr>
          <w:rStyle w:val="FootnoteReference"/>
        </w:rPr>
        <w:footnoteReference w:id="6"/>
      </w:r>
    </w:p>
    <w:p w:rsidR="009916C7" w:rsidRPr="00724615" w:rsidRDefault="009916C7" w:rsidP="002401A5">
      <w:pPr>
        <w:pStyle w:val="HeadingBoldBlue"/>
        <w:rPr>
          <w:rStyle w:val="AERtextbold"/>
          <w:b/>
        </w:rPr>
      </w:pPr>
      <w:r w:rsidRPr="00724615">
        <w:rPr>
          <w:rStyle w:val="AERtextbold"/>
          <w:b/>
        </w:rPr>
        <w:lastRenderedPageBreak/>
        <w:t>Transitional year review process</w:t>
      </w:r>
    </w:p>
    <w:p w:rsidR="009916C7" w:rsidRPr="00CD5734" w:rsidRDefault="009916C7" w:rsidP="009916C7">
      <w:pPr>
        <w:pStyle w:val="AERbodytext"/>
        <w:numPr>
          <w:ilvl w:val="0"/>
          <w:numId w:val="6"/>
        </w:numPr>
      </w:pPr>
      <w:r w:rsidRPr="00CD5734">
        <w:t xml:space="preserve">The </w:t>
      </w:r>
      <w:r>
        <w:t>transitional regulatory proposals (</w:t>
      </w:r>
      <w:r w:rsidRPr="00CD5734">
        <w:t>TRPs</w:t>
      </w:r>
      <w:r>
        <w:t>)</w:t>
      </w:r>
      <w:r w:rsidRPr="00CD5734">
        <w:t xml:space="preserve"> were submitted to us on 31 January 2014 and we are required to publish our </w:t>
      </w:r>
      <w:r w:rsidR="00E05D13">
        <w:t>placeholder</w:t>
      </w:r>
      <w:r w:rsidR="00E05D13" w:rsidDel="00E05D13">
        <w:t xml:space="preserve"> </w:t>
      </w:r>
      <w:r w:rsidRPr="00CD5734">
        <w:t>determination by 3</w:t>
      </w:r>
      <w:r>
        <w:t>0 April</w:t>
      </w:r>
      <w:r w:rsidRPr="00CD5734">
        <w:t xml:space="preserve"> 2014. This</w:t>
      </w:r>
      <w:r>
        <w:t xml:space="preserve"> has been intentionally designed as a streamlined process, with no draft decision as would normally be the case with our regulatory determinations. Consistent with this approach, the </w:t>
      </w:r>
      <w:r w:rsidRPr="00CD5734">
        <w:t xml:space="preserve">consultation period we were required to undertake for the placeholder determination is shorter than the consultation undertaken for a full determination. Submissions on the TRPs closed </w:t>
      </w:r>
      <w:r>
        <w:t>on 3 </w:t>
      </w:r>
      <w:r w:rsidRPr="00CD5734">
        <w:t xml:space="preserve">March 2014. </w:t>
      </w:r>
    </w:p>
    <w:p w:rsidR="009916C7" w:rsidRPr="00CD5734" w:rsidRDefault="009916C7" w:rsidP="009916C7">
      <w:pPr>
        <w:pStyle w:val="AERbodytext"/>
        <w:numPr>
          <w:ilvl w:val="0"/>
          <w:numId w:val="6"/>
        </w:numPr>
      </w:pPr>
      <w:r>
        <w:t>The NSW/ACT DNSPs</w:t>
      </w:r>
      <w:r w:rsidRPr="00CD5734">
        <w:t xml:space="preserve"> were required to submit </w:t>
      </w:r>
      <w:r>
        <w:t xml:space="preserve">an indicative range of revenue requirements and other relevant information </w:t>
      </w:r>
      <w:r w:rsidRPr="00CD5734">
        <w:t xml:space="preserve">for the purposes of this </w:t>
      </w:r>
      <w:r w:rsidR="00E05D13">
        <w:t xml:space="preserve">placeholder </w:t>
      </w:r>
      <w:r w:rsidRPr="00CD5734">
        <w:t>determination.</w:t>
      </w:r>
      <w:r>
        <w:rPr>
          <w:rStyle w:val="FootnoteReference"/>
        </w:rPr>
        <w:footnoteReference w:id="7"/>
      </w:r>
      <w:r w:rsidRPr="00CD5734">
        <w:t xml:space="preserve"> We are required to make a high level assessment of the proposed revenue estimate, having regard to the fact that it is an estimate </w:t>
      </w:r>
      <w:r>
        <w:t xml:space="preserve">based on indicative inputs </w:t>
      </w:r>
      <w:r w:rsidRPr="00CD5734">
        <w:t xml:space="preserve">and that </w:t>
      </w:r>
      <w:r>
        <w:t xml:space="preserve">any </w:t>
      </w:r>
      <w:r w:rsidRPr="00CD5734">
        <w:t>adjustments</w:t>
      </w:r>
      <w:r>
        <w:t xml:space="preserve"> will be</w:t>
      </w:r>
      <w:r w:rsidRPr="00CD5734">
        <w:t xml:space="preserve"> made </w:t>
      </w:r>
      <w:r>
        <w:t>to the annual revenue requirement</w:t>
      </w:r>
      <w:r w:rsidRPr="00CD5734">
        <w:t xml:space="preserve"> in the subsequent regulatory control period.</w:t>
      </w:r>
      <w:r>
        <w:t xml:space="preserve"> Importantly, we are not required to make a determination based on a detailed assessment of the building block methodology.</w:t>
      </w:r>
    </w:p>
    <w:p w:rsidR="009916C7" w:rsidRPr="00724615" w:rsidRDefault="009916C7" w:rsidP="002401A5">
      <w:pPr>
        <w:pStyle w:val="HeadingBoldBlue"/>
        <w:rPr>
          <w:rStyle w:val="AERtextbold"/>
          <w:b/>
        </w:rPr>
      </w:pPr>
      <w:r w:rsidRPr="00724615">
        <w:rPr>
          <w:rStyle w:val="AERtextbold"/>
          <w:b/>
        </w:rPr>
        <w:t xml:space="preserve">Our approach </w:t>
      </w:r>
    </w:p>
    <w:p w:rsidR="009916C7" w:rsidRDefault="009916C7" w:rsidP="009916C7">
      <w:pPr>
        <w:pStyle w:val="AERbodytext"/>
        <w:numPr>
          <w:ilvl w:val="0"/>
          <w:numId w:val="6"/>
        </w:numPr>
      </w:pPr>
      <w:r w:rsidRPr="00CD5734">
        <w:t xml:space="preserve">Our decision to approve or not approve </w:t>
      </w:r>
      <w:r>
        <w:t>the proposed annual revenue requirement for the transitional regulatory control period requires us</w:t>
      </w:r>
      <w:r w:rsidRPr="00CD5734">
        <w:t xml:space="preserve"> to form a view about </w:t>
      </w:r>
      <w:r>
        <w:t xml:space="preserve">the expected movement of </w:t>
      </w:r>
      <w:r w:rsidRPr="00CD5734">
        <w:t>prices</w:t>
      </w:r>
      <w:r>
        <w:t xml:space="preserve"> not just for the transitional year but from 2013 to 2014, 2014 to 2015 and so on until 2019. This view</w:t>
      </w:r>
      <w:r w:rsidRPr="00CD5734">
        <w:t xml:space="preserve"> </w:t>
      </w:r>
      <w:r>
        <w:t>in turn must necessarily reflect our</w:t>
      </w:r>
      <w:r w:rsidRPr="00CD5734">
        <w:t xml:space="preserve"> expectations of future revenues and demand. </w:t>
      </w:r>
    </w:p>
    <w:p w:rsidR="009916C7" w:rsidRDefault="009916C7" w:rsidP="009916C7">
      <w:pPr>
        <w:pStyle w:val="AERbodytext"/>
        <w:numPr>
          <w:ilvl w:val="0"/>
          <w:numId w:val="6"/>
        </w:numPr>
      </w:pPr>
      <w:r w:rsidRPr="00B14192">
        <w:t xml:space="preserve">Our expectations of future revenues are based on our assessment of the information currently available to us which includes indicative estimates or ranges of key inputs as submitted by </w:t>
      </w:r>
      <w:r>
        <w:t>the NSW/ACT DNSPs.</w:t>
      </w:r>
      <w:r w:rsidRPr="00B14192">
        <w:t xml:space="preserve"> </w:t>
      </w:r>
    </w:p>
    <w:p w:rsidR="009916C7" w:rsidRDefault="009916C7" w:rsidP="009916C7">
      <w:pPr>
        <w:pStyle w:val="AERbodytext"/>
        <w:numPr>
          <w:ilvl w:val="0"/>
          <w:numId w:val="6"/>
        </w:numPr>
      </w:pPr>
      <w:r>
        <w:t>In considering the various inputs used to calculate prices, we have largely relied upon the indicative inputs provided by the NSW/ACT DNSPs to support their proposals.  We have had regard to the fact that our determination of revenue is an estimate only. An adjustment will be made to future revenue requirements in accordance with the transitional rules to account for the revenue we approve in this transitional year. In the absence of detailed information about particular building blocks, we are generally not able to undertake the rigorous kind of analysis that would be required to be satisfied that the NSW/ACT DNSPs’ indicative inputs are accurate or inaccurate.</w:t>
      </w:r>
    </w:p>
    <w:p w:rsidR="009916C7" w:rsidRDefault="009916C7" w:rsidP="009916C7">
      <w:pPr>
        <w:pStyle w:val="AERbodytext"/>
        <w:numPr>
          <w:ilvl w:val="0"/>
          <w:numId w:val="6"/>
        </w:numPr>
      </w:pPr>
      <w:r>
        <w:t xml:space="preserve">Nevertheless, while we have used most of the inputs provided by NSW/ACT DNSPs in making our assessment, we have paid particular attention to the indicative rate of return and ‘tax imputation credits’ (gamma) proposed by the NSW/ACT DNSPs in support of their proposals. Given the significance of the rate of return in calculating revenue, small changes in the rate of return can have significant implications for prices. If the NSW/ACT DNSPs have proposed a rate of return that we consider is likely to be too high, proposed prices, based on the energy forecasts provided by NSW/ACT DNSPs, will also be too high.  </w:t>
      </w:r>
    </w:p>
    <w:p w:rsidR="009916C7" w:rsidRDefault="009916C7" w:rsidP="009916C7">
      <w:pPr>
        <w:pStyle w:val="AERbodytext"/>
        <w:numPr>
          <w:ilvl w:val="0"/>
          <w:numId w:val="6"/>
        </w:numPr>
      </w:pPr>
      <w:r>
        <w:t xml:space="preserve">In considering a reasonable indicative rate of return, we have had regard to the proposals, to our own guideline, to available market information and expected market trends, and are aware that the rate of return is subject to movement. After making an appropriate adjustment to the rate of return and to the </w:t>
      </w:r>
      <w:r>
        <w:lastRenderedPageBreak/>
        <w:t>value of imputation credits (gamma)</w:t>
      </w:r>
      <w:r>
        <w:rPr>
          <w:rStyle w:val="FootnoteReference"/>
        </w:rPr>
        <w:footnoteReference w:id="8"/>
      </w:r>
      <w:r>
        <w:t xml:space="preserve"> used to support the NSW/ACT DNSPs’ proposals, we then consider the transitional revenue proposals in the context of the price variation test taking into account the NEO and RPPs.</w:t>
      </w:r>
    </w:p>
    <w:p w:rsidR="009916C7" w:rsidRDefault="009916C7" w:rsidP="009916C7">
      <w:pPr>
        <w:pStyle w:val="AERbodytext"/>
        <w:numPr>
          <w:ilvl w:val="0"/>
          <w:numId w:val="6"/>
        </w:numPr>
      </w:pPr>
      <w:r>
        <w:t>We consider this approach should not, in any way, be taken as an indication of our assessment of the full proposals in which a true-up of revenue for the transitional regulatory control period will be conducted. The approach and conclusions in this determination are purely for the purposes of making the required assessment we must make for this transitional regulatory control period under the transitional rules.</w:t>
      </w:r>
    </w:p>
    <w:p w:rsidR="009916C7" w:rsidRPr="00724615" w:rsidRDefault="009916C7" w:rsidP="002401A5">
      <w:pPr>
        <w:pStyle w:val="HeadingBoldBlue"/>
        <w:rPr>
          <w:rStyle w:val="AERtextbold"/>
          <w:b/>
        </w:rPr>
      </w:pPr>
      <w:r w:rsidRPr="00724615">
        <w:rPr>
          <w:rStyle w:val="AERtextbold"/>
          <w:b/>
        </w:rPr>
        <w:t>AER reasons</w:t>
      </w:r>
    </w:p>
    <w:p w:rsidR="009916C7" w:rsidRPr="00C6304B" w:rsidRDefault="009916C7" w:rsidP="009916C7">
      <w:pPr>
        <w:pStyle w:val="AERbodytext"/>
        <w:numPr>
          <w:ilvl w:val="0"/>
          <w:numId w:val="6"/>
        </w:numPr>
      </w:pPr>
      <w:r w:rsidRPr="00C6304B">
        <w:t xml:space="preserve">Our reasons for not accepting the TRPs are summarised below. We have assessed whether the proposals are likely to satisfy the price variation test by considering key inputs into the proposed indicative ranges for the </w:t>
      </w:r>
      <w:r>
        <w:t>annual revenue requirement</w:t>
      </w:r>
      <w:r w:rsidRPr="00C6304B">
        <w:t xml:space="preserve">. In particular, we have focused on the rate of return element in the </w:t>
      </w:r>
      <w:r>
        <w:t>annual revenue requirement</w:t>
      </w:r>
      <w:r w:rsidRPr="00C6304B">
        <w:t xml:space="preserve"> in the context of whether the proposals are likely to minimise </w:t>
      </w:r>
      <w:r>
        <w:t xml:space="preserve">variations in </w:t>
      </w:r>
      <w:r w:rsidR="00430DA5">
        <w:t>distribution</w:t>
      </w:r>
      <w:r w:rsidRPr="00C6304B">
        <w:t xml:space="preserve"> prices over </w:t>
      </w:r>
      <w:r>
        <w:t>the relevant</w:t>
      </w:r>
      <w:r w:rsidRPr="00C6304B">
        <w:t xml:space="preserve"> regulatory control periods</w:t>
      </w:r>
      <w:r>
        <w:t xml:space="preserve"> and years. In line with the price variation test, this is with a view to reducing the potential for any future significant price changes</w:t>
      </w:r>
      <w:r w:rsidRPr="00C6304B">
        <w:t>.</w:t>
      </w:r>
    </w:p>
    <w:p w:rsidR="009916C7" w:rsidRPr="00D96557" w:rsidRDefault="009916C7" w:rsidP="009916C7">
      <w:pPr>
        <w:pStyle w:val="AERbodytext"/>
        <w:numPr>
          <w:ilvl w:val="0"/>
          <w:numId w:val="6"/>
        </w:numPr>
      </w:pPr>
      <w:r>
        <w:t>For the rate of return</w:t>
      </w:r>
      <w:r w:rsidR="00DF2B46">
        <w:t>, NSW/ACT DNSPs</w:t>
      </w:r>
      <w:r>
        <w:t xml:space="preserve"> were required to submit an indicative range that</w:t>
      </w:r>
      <w:r w:rsidR="007331B6">
        <w:t>:</w:t>
      </w:r>
      <w:r w:rsidR="007331B6" w:rsidRPr="008A3B54">
        <w:rPr>
          <w:rStyle w:val="FootnoteReference"/>
        </w:rPr>
        <w:footnoteReference w:id="9"/>
      </w:r>
    </w:p>
    <w:p w:rsidR="009916C7" w:rsidRPr="00E82715" w:rsidRDefault="009916C7" w:rsidP="00C23850">
      <w:pPr>
        <w:pStyle w:val="AERbulletlistfirststyle"/>
      </w:pPr>
      <w:r w:rsidRPr="00E82715">
        <w:t>takes into account available market information</w:t>
      </w:r>
    </w:p>
    <w:p w:rsidR="009916C7" w:rsidRPr="00E82715" w:rsidRDefault="009916C7" w:rsidP="00C23850">
      <w:pPr>
        <w:pStyle w:val="AERbulletlistfirststyle"/>
      </w:pPr>
      <w:r w:rsidRPr="00E82715">
        <w:t xml:space="preserve">takes into account expected market trends </w:t>
      </w:r>
    </w:p>
    <w:p w:rsidR="009916C7" w:rsidRPr="00E82715" w:rsidRDefault="009916C7" w:rsidP="00C23850">
      <w:pPr>
        <w:pStyle w:val="AERbulletlistfirststyle"/>
      </w:pPr>
      <w:r w:rsidRPr="00E82715">
        <w:t>has regard to the rate of return guideline published by the AER.</w:t>
      </w:r>
      <w:r w:rsidR="007129F8">
        <w:rPr>
          <w:rStyle w:val="FootnoteReference"/>
        </w:rPr>
        <w:footnoteReference w:id="10"/>
      </w:r>
    </w:p>
    <w:p w:rsidR="009916C7" w:rsidRDefault="009916C7" w:rsidP="009916C7">
      <w:pPr>
        <w:pStyle w:val="AERbodytext"/>
        <w:numPr>
          <w:ilvl w:val="0"/>
          <w:numId w:val="6"/>
        </w:numPr>
      </w:pPr>
      <w:r w:rsidRPr="00120C42">
        <w:t xml:space="preserve">The indicative ranges for </w:t>
      </w:r>
      <w:r>
        <w:t>rate of return</w:t>
      </w:r>
      <w:r w:rsidRPr="00120C42">
        <w:t xml:space="preserve"> parameters proposed in the TRPs are higher than</w:t>
      </w:r>
      <w:r w:rsidRPr="00E50C09">
        <w:t xml:space="preserve"> the ranges that we would have expected</w:t>
      </w:r>
      <w:r>
        <w:t>. If o</w:t>
      </w:r>
      <w:r w:rsidRPr="00E50C09">
        <w:t>ur foundation model set out in our guideline had been applied</w:t>
      </w:r>
      <w:r>
        <w:t>, this would have resulted in a range outside of and lower than the ranges proposed by each of the NSW/ACT DNSPs</w:t>
      </w:r>
      <w:r w:rsidRPr="00E50C09">
        <w:t xml:space="preserve">. </w:t>
      </w:r>
    </w:p>
    <w:p w:rsidR="009916C7" w:rsidRDefault="009916C7" w:rsidP="00395DED">
      <w:pPr>
        <w:pStyle w:val="AERbodytext"/>
        <w:numPr>
          <w:ilvl w:val="0"/>
          <w:numId w:val="6"/>
        </w:numPr>
      </w:pPr>
      <w:r>
        <w:t>W</w:t>
      </w:r>
      <w:r w:rsidRPr="00E82715">
        <w:t xml:space="preserve">e have been guided by the methods and point estimates established in the guideline process in making this decision, given the limited scope of this </w:t>
      </w:r>
      <w:r w:rsidR="00E05D13">
        <w:t>placeholder</w:t>
      </w:r>
      <w:r w:rsidR="00E05D13" w:rsidRPr="00E82715">
        <w:t xml:space="preserve"> </w:t>
      </w:r>
      <w:r w:rsidRPr="00E82715">
        <w:t xml:space="preserve">determination. </w:t>
      </w:r>
      <w:r w:rsidR="00DF2B46">
        <w:t>T</w:t>
      </w:r>
      <w:r w:rsidRPr="00E50C09">
        <w:t xml:space="preserve">he rate of return guideline was published in December 2013. It was informed by extensive public consultation and based on robust engagement with consumers, </w:t>
      </w:r>
      <w:r w:rsidR="000565BE">
        <w:t>NSW/ACT DNSP</w:t>
      </w:r>
      <w:r w:rsidRPr="00E50C09">
        <w:t>s and other interested stakeholders.</w:t>
      </w:r>
      <w:r w:rsidR="00267720">
        <w:rPr>
          <w:rStyle w:val="FootnoteReference"/>
        </w:rPr>
        <w:footnoteReference w:id="11"/>
      </w:r>
      <w:r w:rsidRPr="00E50C09">
        <w:t xml:space="preserve"> We consider the guideline encapsulates an outcome reached after careful consideration and deliberation with stakeholders across the market. Further, we consider that the approaches set out in our guideline take into account available market information and expected market trends. We therefore consider that </w:t>
      </w:r>
      <w:r>
        <w:t xml:space="preserve">to the extent that we have utilised </w:t>
      </w:r>
      <w:r w:rsidRPr="00E50C09">
        <w:t xml:space="preserve">the approaches and principles </w:t>
      </w:r>
      <w:r>
        <w:t>from</w:t>
      </w:r>
      <w:r w:rsidRPr="00E50C09">
        <w:t xml:space="preserve"> the guideline </w:t>
      </w:r>
      <w:r>
        <w:t xml:space="preserve">in our foundation model analysis for assessing the rate of return, this </w:t>
      </w:r>
      <w:r w:rsidRPr="00E50C09">
        <w:t>meet</w:t>
      </w:r>
      <w:r>
        <w:t>s</w:t>
      </w:r>
      <w:r w:rsidRPr="00E50C09">
        <w:t xml:space="preserve"> the NER</w:t>
      </w:r>
      <w:r>
        <w:t xml:space="preserve"> and the NEL</w:t>
      </w:r>
      <w:r w:rsidRPr="00E50C09">
        <w:t xml:space="preserve"> requirements</w:t>
      </w:r>
      <w:r w:rsidR="00B4117E">
        <w:t>. Therefore, this</w:t>
      </w:r>
      <w:r w:rsidRPr="00E50C09">
        <w:t xml:space="preserve"> </w:t>
      </w:r>
      <w:r>
        <w:t>is</w:t>
      </w:r>
      <w:r w:rsidRPr="00E50C09">
        <w:t xml:space="preserve"> most likely to result in outcomes that are in the long-term interests of consumers. </w:t>
      </w:r>
      <w:r>
        <w:t xml:space="preserve">For the same reasons, we have adopted a value of gamma that is consistent with our rate of return guideline.  Given this analysis, we consider that the higher indicative rate of return ranges proposed by the NSW/ACT DNSPs result in higher or overstated annual revenue </w:t>
      </w:r>
      <w:r>
        <w:lastRenderedPageBreak/>
        <w:t xml:space="preserve">requirements, the recovery of which would not be consistent with the price variation test taking into account the NEO and RPPs. Accepting the proposed annual revenue requirements would mean that the NSW/ACT DNSPs' prices are likely to be higher in the transitional and subsequent regulatory control periods than is likely to be the case based on our rate of return analysis for the limited purpose of this determination. As such, </w:t>
      </w:r>
      <w:r w:rsidR="00395DED">
        <w:t>e</w:t>
      </w:r>
      <w:r w:rsidR="00A54270">
        <w:t xml:space="preserve">ach DNSP's </w:t>
      </w:r>
      <w:r>
        <w:t xml:space="preserve">proposed </w:t>
      </w:r>
      <w:r w:rsidR="00A54270">
        <w:t xml:space="preserve">annual revenue requirement </w:t>
      </w:r>
      <w:r>
        <w:t>is not likely to contribute to the achievement of the NEO to the greatest degree and is not consistent with the RPPs in terms of promoting efficient investment.</w:t>
      </w:r>
      <w:r>
        <w:rPr>
          <w:rStyle w:val="FootnoteReference"/>
        </w:rPr>
        <w:footnoteReference w:id="12"/>
      </w:r>
      <w:r>
        <w:t xml:space="preserve"> </w:t>
      </w:r>
    </w:p>
    <w:p w:rsidR="009916C7" w:rsidRDefault="009916C7" w:rsidP="009916C7">
      <w:pPr>
        <w:pStyle w:val="AERbodytext"/>
        <w:numPr>
          <w:ilvl w:val="0"/>
          <w:numId w:val="6"/>
        </w:numPr>
      </w:pPr>
      <w:r>
        <w:t xml:space="preserve">Accordingly, we are not satisfied that the proposed annual revenue requirements are reasonably likely to minimise price variations between the relevant periods and years because of the extent of this likely price difference as set out in our analysis. This has the potential to lead to a greater risk of more significant price changes for consumers contrary to the objective of the price variation test, which is intended to avoid such changes.   </w:t>
      </w:r>
    </w:p>
    <w:p w:rsidR="009916C7" w:rsidRDefault="009916C7" w:rsidP="009916C7">
      <w:pPr>
        <w:pStyle w:val="AERbodytext"/>
        <w:numPr>
          <w:ilvl w:val="0"/>
          <w:numId w:val="6"/>
        </w:numPr>
      </w:pPr>
      <w:r>
        <w:t xml:space="preserve">Apart from the rate of return and the value of gamma, we undertook a preliminary review of the other information that the NSW/ACT DNSPs were required to submit to us including their indicative estimates of forecast operating expenditure (opex) and capital expenditure (capex) for the transitional regulatory control period and their planned expenditures for the years 2015 to 2019. We are not required to conduct a building block assessment for this determination. We will assess opex and capex as proposed by the NSW/ACT DNSPs in their </w:t>
      </w:r>
      <w:r w:rsidR="00223E46">
        <w:t xml:space="preserve">regulatory </w:t>
      </w:r>
      <w:r>
        <w:t xml:space="preserve">proposals (which are yet to be received) for the subsequent regulatory control period at the time of the full determination. In this determination, </w:t>
      </w:r>
      <w:r w:rsidRPr="0022499F">
        <w:t xml:space="preserve">for the </w:t>
      </w:r>
      <w:r>
        <w:t xml:space="preserve">very </w:t>
      </w:r>
      <w:r w:rsidRPr="0022499F">
        <w:t xml:space="preserve">limited purpose of </w:t>
      </w:r>
      <w:r>
        <w:t>determining a placeholder annual revenue requirement</w:t>
      </w:r>
      <w:r w:rsidRPr="0022499F">
        <w:t xml:space="preserve">, </w:t>
      </w:r>
      <w:r>
        <w:t xml:space="preserve">we </w:t>
      </w:r>
      <w:r w:rsidRPr="0022499F">
        <w:t xml:space="preserve">have used the proposed </w:t>
      </w:r>
      <w:r>
        <w:t xml:space="preserve">indicative estimates of </w:t>
      </w:r>
      <w:r w:rsidRPr="0022499F">
        <w:t>opex</w:t>
      </w:r>
      <w:r>
        <w:t>,</w:t>
      </w:r>
      <w:r w:rsidRPr="0022499F">
        <w:t xml:space="preserve"> capex </w:t>
      </w:r>
      <w:r>
        <w:t xml:space="preserve">and the value of the opening regulatory asset base (RAB) as </w:t>
      </w:r>
      <w:r w:rsidRPr="0022499F">
        <w:t>inputs in our price variation test analysis</w:t>
      </w:r>
      <w:r>
        <w:t>. We recognise that these inputs may not ultimately be reflected in the annual revenue requirement approved in the full determination. However, taking into account the RPPs, we consider that for the purpose of the placeholder annual revenue requirement, this approach will provide the NSW/ACT DNSPs with a reasonable opportunity to recover at least the efficient costs incurred in providing prescribed services in the transitional year under this placeholder determination given our adjustment to the rate of return and the value of gamma.</w:t>
      </w:r>
      <w:r>
        <w:rPr>
          <w:rStyle w:val="FootnoteReference"/>
        </w:rPr>
        <w:footnoteReference w:id="13"/>
      </w:r>
      <w:r>
        <w:t xml:space="preserve"> </w:t>
      </w:r>
    </w:p>
    <w:p w:rsidR="009916C7" w:rsidRPr="00724615" w:rsidRDefault="009916C7" w:rsidP="002401A5">
      <w:pPr>
        <w:pStyle w:val="HeadingBoldBlue"/>
        <w:rPr>
          <w:rStyle w:val="AERtextbold"/>
          <w:b/>
        </w:rPr>
      </w:pPr>
      <w:r w:rsidRPr="00724615">
        <w:rPr>
          <w:rStyle w:val="AERtextbold"/>
          <w:b/>
        </w:rPr>
        <w:t>Accept, or reject and substitute annual revenue requirement</w:t>
      </w:r>
    </w:p>
    <w:p w:rsidR="009916C7" w:rsidRDefault="009916C7" w:rsidP="009916C7">
      <w:pPr>
        <w:pStyle w:val="AERbodytext"/>
        <w:numPr>
          <w:ilvl w:val="0"/>
          <w:numId w:val="6"/>
        </w:numPr>
      </w:pPr>
      <w:r w:rsidRPr="00CD5734">
        <w:t xml:space="preserve">We </w:t>
      </w:r>
      <w:r>
        <w:t>are not satisfied</w:t>
      </w:r>
      <w:r w:rsidRPr="00CD5734">
        <w:t xml:space="preserve"> that </w:t>
      </w:r>
      <w:r>
        <w:t xml:space="preserve">the annual revenue requirements </w:t>
      </w:r>
      <w:r w:rsidRPr="00CD5734">
        <w:t xml:space="preserve">proposed in the respective TRPs of </w:t>
      </w:r>
      <w:r>
        <w:t>the NSW/ACT DNSPs are such that the recovery of those amounts is reasonably likely to minimise variations in prices between the relevant periods and years</w:t>
      </w:r>
      <w:r w:rsidRPr="00CD5734">
        <w:t xml:space="preserve">. We therefore </w:t>
      </w:r>
      <w:r>
        <w:t>do not accept</w:t>
      </w:r>
      <w:r w:rsidRPr="00CD5734">
        <w:t xml:space="preserve"> the proposed </w:t>
      </w:r>
      <w:r>
        <w:t xml:space="preserve">annual revenue requirements in the </w:t>
      </w:r>
      <w:r w:rsidRPr="00CD5734">
        <w:t>TRPs</w:t>
      </w:r>
      <w:r>
        <w:t xml:space="preserve"> of Ausgrid, Endeavour Energy, Essential Energy or ActewAGL. We approve instead amounts</w:t>
      </w:r>
      <w:r w:rsidRPr="00CD5734">
        <w:t xml:space="preserve"> which </w:t>
      </w:r>
      <w:r>
        <w:t xml:space="preserve">we are satisfied are reasonably likely to minimise variations in prices.  </w:t>
      </w:r>
    </w:p>
    <w:p w:rsidR="009916C7" w:rsidRDefault="009916C7" w:rsidP="009916C7">
      <w:pPr>
        <w:pStyle w:val="AERbodytext"/>
        <w:numPr>
          <w:ilvl w:val="0"/>
          <w:numId w:val="6"/>
        </w:numPr>
      </w:pPr>
      <w:r>
        <w:t>In particular, we are rejecting and substituting</w:t>
      </w:r>
      <w:r w:rsidR="002C7E6A">
        <w:t xml:space="preserve"> the</w:t>
      </w:r>
      <w:r w:rsidRPr="00231D1F">
        <w:t xml:space="preserve"> </w:t>
      </w:r>
      <w:r>
        <w:t>NSW/ACT DNSPs' proposed indicative annual revenue requirements with those based on revised inputs to the placeholder annual revenue requirements that have regard to our rate of return guideline and current available market information and trends.</w:t>
      </w:r>
      <w:r w:rsidRPr="003951CC">
        <w:t xml:space="preserve"> </w:t>
      </w:r>
      <w:r>
        <w:t xml:space="preserve">The rate of return guideline was published in December 2013 and was informed by extensive public consultation and rigorous analysis and debate. In arriving at our substitute annual revenue requirements, we have also adopted a value for gamma that is founded on our extensive analysis in that guideline.  </w:t>
      </w:r>
    </w:p>
    <w:p w:rsidR="009916C7" w:rsidRDefault="009916C7" w:rsidP="009916C7">
      <w:pPr>
        <w:pStyle w:val="AERbodytext"/>
        <w:numPr>
          <w:ilvl w:val="0"/>
          <w:numId w:val="6"/>
        </w:numPr>
      </w:pPr>
      <w:r>
        <w:lastRenderedPageBreak/>
        <w:t xml:space="preserve">We consider these substitute annual revenue requirements are reasonably likely to minimise price variations between and within the relevant regulatory control periods and years. </w:t>
      </w:r>
    </w:p>
    <w:p w:rsidR="00663454" w:rsidRDefault="009916C7" w:rsidP="00267720">
      <w:pPr>
        <w:pStyle w:val="AERbodytext"/>
      </w:pPr>
      <w:r>
        <w:t xml:space="preserve">Our conclusion, based on our high level </w:t>
      </w:r>
      <w:r w:rsidRPr="009916C7">
        <w:t>analysis, takes into account insofar as is possible that the annual revenue requirement is made up of several constituent components. However, we are not tasked with conducting a building block analysis of these components for this determination</w:t>
      </w:r>
      <w:r w:rsidR="009F4A60">
        <w:t>. Further,</w:t>
      </w:r>
      <w:r w:rsidRPr="009916C7">
        <w:t xml:space="preserve"> decisions </w:t>
      </w:r>
      <w:r w:rsidR="009F4A60">
        <w:t xml:space="preserve">on </w:t>
      </w:r>
      <w:r w:rsidRPr="009916C7">
        <w:t xml:space="preserve">other components have been prescribed or fixed under the transitional rules such that we are not required to exercise any discretion on those aspects. The approved annual revenue requirements, with the exception of the indicative ranges for the rate of return and the value of gamma, adopts all inputs into the annual revenue requirements proposed by </w:t>
      </w:r>
      <w:r w:rsidR="009F4A60">
        <w:t>the NSW/ACT DNSPs</w:t>
      </w:r>
      <w:r w:rsidRPr="009916C7">
        <w:t xml:space="preserve"> in the knowledge that these are unassessed estimates only and the annual revenue requirements will be subject to a true up. At the same time, our application of the price variation test takes into account the long-term interests of consumers by applying a rate of return that has regard to our guideline and takes into account expected market trends and available information, and a value of gamma that we are satisfied is </w:t>
      </w:r>
      <w:r w:rsidR="00267720">
        <w:t xml:space="preserve">a </w:t>
      </w:r>
      <w:r w:rsidR="00267720" w:rsidRPr="00267720">
        <w:t>reason</w:t>
      </w:r>
      <w:r w:rsidR="00267720">
        <w:t>able estimate based on</w:t>
      </w:r>
      <w:r w:rsidRPr="009916C7">
        <w:t xml:space="preserve"> the analysis undertaken for our guideline. Our approved annual revenue requirement recognises the interrelationship between these unassessed components and a rate of return based on our guideline to the extent possible, and a value for gamma that is also consistent with the guideline. It provides the NSW/ACT DNSPs with a reasonable opportunity to recover at least efficient costs and further, is likely to contribute to the NEO by promoting efficient investment in, and the efficient operation and use of, electricity services for the long-term interests of consumers particularly with respect to price. </w:t>
      </w:r>
    </w:p>
    <w:p w:rsidR="009916C7" w:rsidRPr="009916C7" w:rsidRDefault="00FA0348" w:rsidP="00997B98">
      <w:pPr>
        <w:pStyle w:val="AERbodytext"/>
        <w:tabs>
          <w:tab w:val="left" w:pos="5529"/>
        </w:tabs>
      </w:pPr>
      <w:r>
        <w:fldChar w:fldCharType="begin"/>
      </w:r>
      <w:r>
        <w:instrText xml:space="preserve"> REF _Ref383697605 \h </w:instrText>
      </w:r>
      <w:r>
        <w:fldChar w:fldCharType="separate"/>
      </w:r>
      <w:r w:rsidR="00E313D7">
        <w:t xml:space="preserve">Table </w:t>
      </w:r>
      <w:r w:rsidR="00E313D7">
        <w:rPr>
          <w:noProof/>
        </w:rPr>
        <w:t>1</w:t>
      </w:r>
      <w:r w:rsidR="00E313D7">
        <w:t>.</w:t>
      </w:r>
      <w:r w:rsidR="00E313D7">
        <w:rPr>
          <w:noProof/>
        </w:rPr>
        <w:t>1</w:t>
      </w:r>
      <w:r>
        <w:fldChar w:fldCharType="end"/>
      </w:r>
      <w:r>
        <w:t xml:space="preserve"> </w:t>
      </w:r>
      <w:r w:rsidR="00E52E96">
        <w:t>to</w:t>
      </w:r>
      <w:r>
        <w:t xml:space="preserve"> </w:t>
      </w:r>
      <w:r>
        <w:fldChar w:fldCharType="begin"/>
      </w:r>
      <w:r>
        <w:instrText xml:space="preserve"> REF _Ref385251732 \h </w:instrText>
      </w:r>
      <w:r>
        <w:fldChar w:fldCharType="separate"/>
      </w:r>
      <w:r w:rsidR="00E313D7">
        <w:t xml:space="preserve">Table </w:t>
      </w:r>
      <w:r w:rsidR="00E313D7">
        <w:rPr>
          <w:noProof/>
        </w:rPr>
        <w:t>1</w:t>
      </w:r>
      <w:r w:rsidR="00E313D7">
        <w:t>.</w:t>
      </w:r>
      <w:r w:rsidR="00E313D7">
        <w:rPr>
          <w:noProof/>
        </w:rPr>
        <w:t>6</w:t>
      </w:r>
      <w:r>
        <w:fldChar w:fldCharType="end"/>
      </w:r>
      <w:r>
        <w:t xml:space="preserve"> </w:t>
      </w:r>
      <w:r w:rsidR="009916C7" w:rsidRPr="009916C7">
        <w:t>show</w:t>
      </w:r>
      <w:r w:rsidR="00663454">
        <w:t xml:space="preserve"> the NSW/ACT DNSPs’</w:t>
      </w:r>
      <w:r w:rsidR="009916C7" w:rsidRPr="009916C7">
        <w:t xml:space="preserve"> proposed revenue</w:t>
      </w:r>
      <w:r w:rsidR="00663454">
        <w:t>s</w:t>
      </w:r>
      <w:r w:rsidR="009916C7" w:rsidRPr="009916C7">
        <w:t xml:space="preserve"> (and price path</w:t>
      </w:r>
      <w:r w:rsidR="00663454">
        <w:t>s</w:t>
      </w:r>
      <w:r w:rsidR="009916C7" w:rsidRPr="009916C7">
        <w:t>) for the transitional regulatory control period and our substituted revenue</w:t>
      </w:r>
      <w:r w:rsidR="00663454">
        <w:t>s</w:t>
      </w:r>
      <w:r w:rsidR="009916C7" w:rsidRPr="009916C7">
        <w:t xml:space="preserve"> (and price path</w:t>
      </w:r>
      <w:r w:rsidR="00663454">
        <w:t>s</w:t>
      </w:r>
      <w:r w:rsidR="009916C7" w:rsidRPr="009916C7">
        <w:t>) for the transitional regulatory control period.</w:t>
      </w:r>
    </w:p>
    <w:p w:rsidR="009916C7" w:rsidRDefault="00D35C6D" w:rsidP="00D35C6D">
      <w:pPr>
        <w:pStyle w:val="Caption"/>
        <w:jc w:val="left"/>
      </w:pPr>
      <w:bookmarkStart w:id="11" w:name="_Ref383697605"/>
      <w:r>
        <w:t xml:space="preserve">Table </w:t>
      </w:r>
      <w:r w:rsidR="00DD155E">
        <w:fldChar w:fldCharType="begin"/>
      </w:r>
      <w:r w:rsidR="00DD155E">
        <w:instrText xml:space="preserve"> STYLEREF 1 \s </w:instrText>
      </w:r>
      <w:r w:rsidR="00DD155E">
        <w:fldChar w:fldCharType="separate"/>
      </w:r>
      <w:r w:rsidR="00E313D7">
        <w:rPr>
          <w:noProof/>
        </w:rPr>
        <w:t>1</w:t>
      </w:r>
      <w:r w:rsidR="00DD155E">
        <w:rPr>
          <w:noProof/>
        </w:rPr>
        <w:fldChar w:fldCharType="end"/>
      </w:r>
      <w:r w:rsidR="00804FE8">
        <w:t>.</w:t>
      </w:r>
      <w:r w:rsidR="00DD155E">
        <w:fldChar w:fldCharType="begin"/>
      </w:r>
      <w:r w:rsidR="00DD155E">
        <w:instrText xml:space="preserve"> SEQ Table \* ARABIC \s 1 </w:instrText>
      </w:r>
      <w:r w:rsidR="00DD155E">
        <w:fldChar w:fldCharType="separate"/>
      </w:r>
      <w:r w:rsidR="00E313D7">
        <w:rPr>
          <w:noProof/>
        </w:rPr>
        <w:t>1</w:t>
      </w:r>
      <w:r w:rsidR="00DD155E">
        <w:rPr>
          <w:noProof/>
        </w:rPr>
        <w:fldChar w:fldCharType="end"/>
      </w:r>
      <w:bookmarkEnd w:id="11"/>
      <w:r w:rsidR="009916C7">
        <w:tab/>
        <w:t xml:space="preserve">Ausgrid's </w:t>
      </w:r>
      <w:r w:rsidR="009916C7" w:rsidRPr="00D452AD">
        <w:t>proposed revenue and price path and AER substituted revenue and price path</w:t>
      </w:r>
      <w:r w:rsidR="00663454">
        <w:t xml:space="preserve"> – distribution</w:t>
      </w:r>
    </w:p>
    <w:tbl>
      <w:tblPr>
        <w:tblStyle w:val="AERtable-numbers"/>
        <w:tblW w:w="9240" w:type="dxa"/>
        <w:tblInd w:w="-34" w:type="dxa"/>
        <w:tblLook w:val="04A0" w:firstRow="1" w:lastRow="0" w:firstColumn="1" w:lastColumn="0" w:noHBand="0" w:noVBand="1"/>
      </w:tblPr>
      <w:tblGrid>
        <w:gridCol w:w="2100"/>
        <w:gridCol w:w="192"/>
        <w:gridCol w:w="1623"/>
        <w:gridCol w:w="1272"/>
        <w:gridCol w:w="1258"/>
        <w:gridCol w:w="1398"/>
        <w:gridCol w:w="1397"/>
      </w:tblGrid>
      <w:tr w:rsidR="00663454" w:rsidTr="005E15B8">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100" w:type="dxa"/>
            <w:noWrap/>
            <w:hideMark/>
          </w:tcPr>
          <w:p w:rsidR="00663454" w:rsidRDefault="00663454" w:rsidP="00997B98">
            <w:pPr>
              <w:pStyle w:val="AERbodytext"/>
              <w:keepNext/>
              <w:keepLines/>
              <w:spacing w:after="120" w:line="240" w:lineRule="auto"/>
              <w:rPr>
                <w:rFonts w:eastAsia="MS PGothic" w:hint="eastAsia"/>
                <w:b w:val="0"/>
                <w:lang w:eastAsia="en-AU"/>
              </w:rPr>
            </w:pPr>
            <w:r>
              <w:rPr>
                <w:lang w:eastAsia="en-AU"/>
              </w:rPr>
              <w:t> </w:t>
            </w:r>
          </w:p>
        </w:tc>
        <w:tc>
          <w:tcPr>
            <w:tcW w:w="1815" w:type="dxa"/>
            <w:gridSpan w:val="2"/>
            <w:noWrap/>
            <w:hideMark/>
          </w:tcPr>
          <w:p w:rsidR="00663454" w:rsidRDefault="00663454" w:rsidP="00997B98">
            <w:pPr>
              <w:keepNext/>
              <w:keepLines/>
              <w:spacing w:after="120" w:line="240" w:lineRule="auto"/>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color w:val="000000"/>
                <w:lang w:eastAsia="en-AU"/>
              </w:rPr>
            </w:pPr>
            <w:r>
              <w:rPr>
                <w:bCs/>
                <w:color w:val="000000"/>
                <w:lang w:eastAsia="en-AU"/>
              </w:rPr>
              <w:t> </w:t>
            </w:r>
          </w:p>
        </w:tc>
        <w:tc>
          <w:tcPr>
            <w:tcW w:w="1272" w:type="dxa"/>
            <w:noWrap/>
            <w:hideMark/>
          </w:tcPr>
          <w:p w:rsidR="00663454" w:rsidRDefault="00663454" w:rsidP="00997B98">
            <w:pPr>
              <w:keepNext/>
              <w:keepLines/>
              <w:spacing w:after="120" w:line="240" w:lineRule="auto"/>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2013–14</w:t>
            </w:r>
          </w:p>
        </w:tc>
        <w:tc>
          <w:tcPr>
            <w:tcW w:w="1258" w:type="dxa"/>
            <w:noWrap/>
            <w:hideMark/>
          </w:tcPr>
          <w:p w:rsidR="00663454" w:rsidRDefault="00663454" w:rsidP="00997B98">
            <w:pPr>
              <w:keepNext/>
              <w:keepLines/>
              <w:spacing w:after="120" w:line="240" w:lineRule="auto"/>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2014–15</w:t>
            </w:r>
          </w:p>
        </w:tc>
        <w:tc>
          <w:tcPr>
            <w:tcW w:w="1398" w:type="dxa"/>
            <w:noWrap/>
            <w:hideMark/>
          </w:tcPr>
          <w:p w:rsidR="00663454" w:rsidRDefault="00663454" w:rsidP="00997B98">
            <w:pPr>
              <w:keepNext/>
              <w:keepLines/>
              <w:spacing w:after="120" w:line="240" w:lineRule="auto"/>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Change (%)</w:t>
            </w:r>
          </w:p>
        </w:tc>
        <w:tc>
          <w:tcPr>
            <w:tcW w:w="1397" w:type="dxa"/>
            <w:hideMark/>
          </w:tcPr>
          <w:p w:rsidR="00663454" w:rsidRDefault="00663454" w:rsidP="00997B98">
            <w:pPr>
              <w:keepNext/>
              <w:keepLines/>
              <w:spacing w:after="120" w:line="240" w:lineRule="auto"/>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 xml:space="preserve">Difference from proposed 2014–15 </w:t>
            </w:r>
            <w:r>
              <w:rPr>
                <w:lang w:eastAsia="en-AU"/>
              </w:rPr>
              <w:t>(%)</w:t>
            </w:r>
          </w:p>
        </w:tc>
      </w:tr>
      <w:tr w:rsidR="00663454" w:rsidTr="005E15B8">
        <w:trPr>
          <w:trHeight w:val="202"/>
        </w:trPr>
        <w:tc>
          <w:tcPr>
            <w:cnfStyle w:val="001000000000" w:firstRow="0" w:lastRow="0" w:firstColumn="1" w:lastColumn="0" w:oddVBand="0" w:evenVBand="0" w:oddHBand="0" w:evenHBand="0" w:firstRowFirstColumn="0" w:firstRowLastColumn="0" w:lastRowFirstColumn="0" w:lastRowLastColumn="0"/>
            <w:tcW w:w="9240" w:type="dxa"/>
            <w:gridSpan w:val="7"/>
            <w:noWrap/>
            <w:hideMark/>
          </w:tcPr>
          <w:p w:rsidR="00663454" w:rsidRDefault="00663454" w:rsidP="00997B98">
            <w:pPr>
              <w:keepNext/>
              <w:keepLines/>
              <w:spacing w:after="120" w:line="240" w:lineRule="auto"/>
              <w:rPr>
                <w:rFonts w:ascii="Times New Roman" w:eastAsia="MS PGothic" w:hAnsi="Times New Roman"/>
                <w:color w:val="000000"/>
                <w:lang w:eastAsia="en-AU"/>
              </w:rPr>
            </w:pPr>
            <w:r>
              <w:rPr>
                <w:b/>
                <w:bCs/>
                <w:color w:val="000000"/>
                <w:lang w:eastAsia="en-AU"/>
              </w:rPr>
              <w:t>Proposed revenue and price path</w:t>
            </w:r>
          </w:p>
        </w:tc>
      </w:tr>
      <w:tr w:rsidR="00663454" w:rsidTr="005E15B8">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915" w:type="dxa"/>
            <w:gridSpan w:val="3"/>
            <w:noWrap/>
            <w:hideMark/>
          </w:tcPr>
          <w:p w:rsidR="00663454" w:rsidRDefault="00663454" w:rsidP="00997B98">
            <w:pPr>
              <w:keepNext/>
              <w:keepLines/>
              <w:spacing w:after="120" w:line="240" w:lineRule="auto"/>
              <w:rPr>
                <w:rFonts w:eastAsia="MS PGothic" w:hint="eastAsia"/>
                <w:color w:val="000000"/>
                <w:lang w:eastAsia="en-AU"/>
              </w:rPr>
            </w:pPr>
            <w:r>
              <w:rPr>
                <w:color w:val="000000"/>
                <w:lang w:eastAsia="en-AU"/>
              </w:rPr>
              <w:t>Revenue ($m, nominal)</w:t>
            </w:r>
          </w:p>
        </w:tc>
        <w:tc>
          <w:tcPr>
            <w:tcW w:w="1272" w:type="dxa"/>
            <w:noWrap/>
            <w:hideMark/>
          </w:tcPr>
          <w:p w:rsidR="00663454" w:rsidRPr="007F0D5E" w:rsidRDefault="00663454" w:rsidP="00997B98">
            <w:pPr>
              <w:keepNext/>
              <w:keepLines/>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vertAlign w:val="superscript"/>
                <w:lang w:eastAsia="en-AU"/>
              </w:rPr>
            </w:pPr>
            <w:r>
              <w:rPr>
                <w:color w:val="000000"/>
                <w:lang w:eastAsia="en-AU"/>
              </w:rPr>
              <w:t>2109</w:t>
            </w:r>
          </w:p>
        </w:tc>
        <w:tc>
          <w:tcPr>
            <w:tcW w:w="1258" w:type="dxa"/>
            <w:noWrap/>
            <w:hideMark/>
          </w:tcPr>
          <w:p w:rsidR="00663454" w:rsidRDefault="00663454" w:rsidP="00997B98">
            <w:pPr>
              <w:keepNext/>
              <w:keepLines/>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2076</w:t>
            </w:r>
            <w:r w:rsidR="000C4A19" w:rsidRPr="000C4A19">
              <w:rPr>
                <w:rStyle w:val="AERsuperscript"/>
              </w:rPr>
              <w:t>a</w:t>
            </w:r>
          </w:p>
        </w:tc>
        <w:tc>
          <w:tcPr>
            <w:tcW w:w="1398" w:type="dxa"/>
            <w:noWrap/>
            <w:hideMark/>
          </w:tcPr>
          <w:p w:rsidR="00663454" w:rsidRDefault="00243EA5" w:rsidP="00997B98">
            <w:pPr>
              <w:keepNext/>
              <w:keepLines/>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t>–</w:t>
            </w:r>
            <w:r w:rsidR="00663454">
              <w:rPr>
                <w:color w:val="000000"/>
                <w:lang w:eastAsia="en-AU"/>
              </w:rPr>
              <w:t>1.5%</w:t>
            </w:r>
          </w:p>
        </w:tc>
        <w:tc>
          <w:tcPr>
            <w:tcW w:w="1397" w:type="dxa"/>
            <w:noWrap/>
            <w:hideMark/>
          </w:tcPr>
          <w:p w:rsidR="00663454" w:rsidRDefault="00663454" w:rsidP="00997B98">
            <w:pPr>
              <w:keepNext/>
              <w:keepLines/>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n/a</w:t>
            </w:r>
          </w:p>
        </w:tc>
      </w:tr>
      <w:tr w:rsidR="00663454" w:rsidTr="005E15B8">
        <w:trPr>
          <w:trHeight w:val="202"/>
        </w:trPr>
        <w:tc>
          <w:tcPr>
            <w:cnfStyle w:val="001000000000" w:firstRow="0" w:lastRow="0" w:firstColumn="1" w:lastColumn="0" w:oddVBand="0" w:evenVBand="0" w:oddHBand="0" w:evenHBand="0" w:firstRowFirstColumn="0" w:firstRowLastColumn="0" w:lastRowFirstColumn="0" w:lastRowLastColumn="0"/>
            <w:tcW w:w="3915" w:type="dxa"/>
            <w:gridSpan w:val="3"/>
            <w:noWrap/>
            <w:hideMark/>
          </w:tcPr>
          <w:p w:rsidR="00663454" w:rsidRDefault="00663454" w:rsidP="00997B98">
            <w:pPr>
              <w:keepNext/>
              <w:keepLines/>
              <w:spacing w:after="120" w:line="240" w:lineRule="auto"/>
              <w:rPr>
                <w:rFonts w:eastAsia="MS PGothic" w:hint="eastAsia"/>
                <w:color w:val="000000"/>
                <w:lang w:eastAsia="en-AU"/>
              </w:rPr>
            </w:pPr>
            <w:r>
              <w:rPr>
                <w:color w:val="000000"/>
                <w:lang w:eastAsia="en-AU"/>
              </w:rPr>
              <w:t>Price path (</w:t>
            </w:r>
            <w:r w:rsidRPr="00814805">
              <w:rPr>
                <w:color w:val="000000"/>
                <w:lang w:eastAsia="en-AU"/>
              </w:rPr>
              <w:t>nominal</w:t>
            </w:r>
            <w:r>
              <w:rPr>
                <w:color w:val="000000"/>
                <w:lang w:eastAsia="en-AU"/>
              </w:rPr>
              <w:t xml:space="preserve"> index</w:t>
            </w:r>
            <w:r w:rsidRPr="00814805">
              <w:rPr>
                <w:color w:val="000000"/>
                <w:lang w:eastAsia="en-AU"/>
              </w:rPr>
              <w:t>)</w:t>
            </w:r>
          </w:p>
        </w:tc>
        <w:tc>
          <w:tcPr>
            <w:tcW w:w="1272" w:type="dxa"/>
            <w:noWrap/>
            <w:hideMark/>
          </w:tcPr>
          <w:p w:rsidR="00663454" w:rsidRDefault="00663454" w:rsidP="00997B98">
            <w:pPr>
              <w:keepNext/>
              <w:keepLines/>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rFonts w:eastAsia="MS PGothic"/>
                <w:color w:val="000000"/>
                <w:lang w:eastAsia="en-AU"/>
              </w:rPr>
              <w:t>1.00</w:t>
            </w:r>
          </w:p>
        </w:tc>
        <w:tc>
          <w:tcPr>
            <w:tcW w:w="1258" w:type="dxa"/>
            <w:noWrap/>
            <w:hideMark/>
          </w:tcPr>
          <w:p w:rsidR="00663454" w:rsidRDefault="00663454" w:rsidP="00997B98">
            <w:pPr>
              <w:keepNext/>
              <w:keepLines/>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color w:val="000000"/>
                <w:lang w:eastAsia="en-AU"/>
              </w:rPr>
              <w:t>1.00</w:t>
            </w:r>
          </w:p>
        </w:tc>
        <w:tc>
          <w:tcPr>
            <w:tcW w:w="1398" w:type="dxa"/>
            <w:noWrap/>
            <w:hideMark/>
          </w:tcPr>
          <w:p w:rsidR="00663454" w:rsidRDefault="00663454" w:rsidP="00997B98">
            <w:pPr>
              <w:keepNext/>
              <w:keepLines/>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color w:val="000000"/>
                <w:lang w:eastAsia="en-AU"/>
              </w:rPr>
              <w:t>0.3%</w:t>
            </w:r>
          </w:p>
        </w:tc>
        <w:tc>
          <w:tcPr>
            <w:tcW w:w="1397" w:type="dxa"/>
            <w:noWrap/>
            <w:hideMark/>
          </w:tcPr>
          <w:p w:rsidR="00663454" w:rsidRDefault="00663454" w:rsidP="00997B98">
            <w:pPr>
              <w:keepNext/>
              <w:keepLines/>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color w:val="000000"/>
                <w:lang w:eastAsia="en-AU"/>
              </w:rPr>
              <w:t>n/a</w:t>
            </w:r>
          </w:p>
        </w:tc>
      </w:tr>
      <w:tr w:rsidR="00663454" w:rsidTr="005E15B8">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9240" w:type="dxa"/>
            <w:gridSpan w:val="7"/>
            <w:noWrap/>
            <w:hideMark/>
          </w:tcPr>
          <w:p w:rsidR="00663454" w:rsidRDefault="00663454" w:rsidP="00997B98">
            <w:pPr>
              <w:keepNext/>
              <w:keepLines/>
              <w:spacing w:after="120" w:line="240" w:lineRule="auto"/>
              <w:rPr>
                <w:rFonts w:ascii="Times New Roman" w:eastAsia="MS PGothic" w:hAnsi="Times New Roman"/>
                <w:color w:val="000000"/>
                <w:lang w:eastAsia="en-AU"/>
              </w:rPr>
            </w:pPr>
            <w:r>
              <w:rPr>
                <w:b/>
                <w:bCs/>
                <w:color w:val="000000"/>
                <w:lang w:eastAsia="en-AU"/>
              </w:rPr>
              <w:t>AER substitute revenue and price path</w:t>
            </w:r>
          </w:p>
        </w:tc>
      </w:tr>
      <w:tr w:rsidR="00663454" w:rsidTr="005E15B8">
        <w:trPr>
          <w:trHeight w:val="202"/>
        </w:trPr>
        <w:tc>
          <w:tcPr>
            <w:cnfStyle w:val="001000000000" w:firstRow="0" w:lastRow="0" w:firstColumn="1" w:lastColumn="0" w:oddVBand="0" w:evenVBand="0" w:oddHBand="0" w:evenHBand="0" w:firstRowFirstColumn="0" w:firstRowLastColumn="0" w:lastRowFirstColumn="0" w:lastRowLastColumn="0"/>
            <w:tcW w:w="2292" w:type="dxa"/>
            <w:gridSpan w:val="2"/>
            <w:noWrap/>
          </w:tcPr>
          <w:p w:rsidR="00663454" w:rsidRDefault="00663454" w:rsidP="00997B98">
            <w:pPr>
              <w:pStyle w:val="AERtabletextleft"/>
              <w:keepNext/>
              <w:keepLines/>
              <w:spacing w:before="120" w:line="240" w:lineRule="auto"/>
              <w:rPr>
                <w:rFonts w:eastAsia="MS PGothic" w:hint="eastAsia"/>
                <w:lang w:eastAsia="en-AU"/>
              </w:rPr>
            </w:pPr>
            <w:r>
              <w:rPr>
                <w:lang w:eastAsia="en-AU"/>
              </w:rPr>
              <w:t>Revenue ($m, nominal)</w:t>
            </w:r>
          </w:p>
        </w:tc>
        <w:tc>
          <w:tcPr>
            <w:tcW w:w="1623" w:type="dxa"/>
            <w:noWrap/>
          </w:tcPr>
          <w:p w:rsidR="00663454" w:rsidRDefault="00663454" w:rsidP="00997B98">
            <w:pPr>
              <w:keepNext/>
              <w:keepLines/>
              <w:spacing w:after="120" w:line="240" w:lineRule="auto"/>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p>
        </w:tc>
        <w:tc>
          <w:tcPr>
            <w:tcW w:w="1272" w:type="dxa"/>
            <w:noWrap/>
            <w:hideMark/>
          </w:tcPr>
          <w:p w:rsidR="00663454" w:rsidRPr="007F0D5E" w:rsidRDefault="00663454" w:rsidP="00997B98">
            <w:pPr>
              <w:keepNext/>
              <w:keepLines/>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vertAlign w:val="superscript"/>
                <w:lang w:eastAsia="en-AU"/>
              </w:rPr>
            </w:pPr>
            <w:r>
              <w:rPr>
                <w:color w:val="000000"/>
                <w:lang w:eastAsia="en-AU"/>
              </w:rPr>
              <w:t>2109</w:t>
            </w:r>
          </w:p>
        </w:tc>
        <w:tc>
          <w:tcPr>
            <w:tcW w:w="1258" w:type="dxa"/>
            <w:noWrap/>
          </w:tcPr>
          <w:p w:rsidR="00663454" w:rsidRDefault="00663454" w:rsidP="00997B98">
            <w:pPr>
              <w:keepNext/>
              <w:keepLines/>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rFonts w:eastAsia="MS PGothic"/>
                <w:color w:val="000000"/>
                <w:lang w:eastAsia="en-AU"/>
              </w:rPr>
              <w:t>195</w:t>
            </w:r>
            <w:r w:rsidR="00F1545B">
              <w:t>8</w:t>
            </w:r>
            <w:r w:rsidR="000C4A19" w:rsidRPr="000C4A19">
              <w:rPr>
                <w:rStyle w:val="AERsuperscript"/>
              </w:rPr>
              <w:t>a</w:t>
            </w:r>
          </w:p>
        </w:tc>
        <w:tc>
          <w:tcPr>
            <w:tcW w:w="1398" w:type="dxa"/>
            <w:noWrap/>
          </w:tcPr>
          <w:p w:rsidR="00663454" w:rsidRDefault="00663454" w:rsidP="00997B98">
            <w:pPr>
              <w:keepNext/>
              <w:keepLines/>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rFonts w:eastAsia="MS PGothic"/>
                <w:color w:val="000000"/>
                <w:lang w:eastAsia="en-AU"/>
              </w:rPr>
              <w:t>–7.2%</w:t>
            </w:r>
          </w:p>
        </w:tc>
        <w:tc>
          <w:tcPr>
            <w:tcW w:w="1397" w:type="dxa"/>
            <w:noWrap/>
          </w:tcPr>
          <w:p w:rsidR="00663454" w:rsidRDefault="00663454" w:rsidP="00997B98">
            <w:pPr>
              <w:pStyle w:val="AERtabletextleft"/>
              <w:keepNext/>
              <w:keepLines/>
              <w:spacing w:before="120" w:line="240" w:lineRule="auto"/>
              <w:cnfStyle w:val="000000000000" w:firstRow="0" w:lastRow="0" w:firstColumn="0" w:lastColumn="0" w:oddVBand="0" w:evenVBand="0" w:oddHBand="0" w:evenHBand="0" w:firstRowFirstColumn="0" w:firstRowLastColumn="0" w:lastRowFirstColumn="0" w:lastRowLastColumn="0"/>
              <w:rPr>
                <w:rFonts w:eastAsia="MS PGothic" w:hint="eastAsia"/>
                <w:lang w:eastAsia="en-AU"/>
              </w:rPr>
            </w:pPr>
            <w:r>
              <w:rPr>
                <w:rFonts w:eastAsia="MS PGothic"/>
                <w:lang w:eastAsia="en-AU"/>
              </w:rPr>
              <w:t>–5.</w:t>
            </w:r>
            <w:r w:rsidR="00352BF7">
              <w:rPr>
                <w:rFonts w:eastAsia="MS PGothic"/>
              </w:rPr>
              <w:t>8</w:t>
            </w:r>
            <w:r>
              <w:rPr>
                <w:rFonts w:eastAsia="MS PGothic"/>
                <w:lang w:eastAsia="en-AU"/>
              </w:rPr>
              <w:t>%</w:t>
            </w:r>
          </w:p>
        </w:tc>
      </w:tr>
      <w:tr w:rsidR="00663454" w:rsidTr="005E15B8">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915" w:type="dxa"/>
            <w:gridSpan w:val="3"/>
            <w:noWrap/>
          </w:tcPr>
          <w:p w:rsidR="00663454" w:rsidRDefault="00663454" w:rsidP="00997B98">
            <w:pPr>
              <w:keepNext/>
              <w:keepLines/>
              <w:spacing w:after="120" w:line="240" w:lineRule="auto"/>
              <w:rPr>
                <w:rFonts w:eastAsia="MS PGothic" w:hint="eastAsia"/>
                <w:color w:val="000000"/>
                <w:lang w:eastAsia="en-AU"/>
              </w:rPr>
            </w:pPr>
            <w:r>
              <w:rPr>
                <w:color w:val="000000"/>
                <w:lang w:eastAsia="en-AU"/>
              </w:rPr>
              <w:t>Price path</w:t>
            </w:r>
            <w:r w:rsidRPr="00814805">
              <w:rPr>
                <w:color w:val="000000"/>
                <w:lang w:eastAsia="en-AU"/>
              </w:rPr>
              <w:t xml:space="preserve"> (nominal</w:t>
            </w:r>
            <w:r>
              <w:rPr>
                <w:color w:val="000000"/>
                <w:lang w:eastAsia="en-AU"/>
              </w:rPr>
              <w:t xml:space="preserve"> index</w:t>
            </w:r>
            <w:r w:rsidRPr="00814805">
              <w:rPr>
                <w:color w:val="000000"/>
                <w:lang w:eastAsia="en-AU"/>
              </w:rPr>
              <w:t>)</w:t>
            </w:r>
          </w:p>
        </w:tc>
        <w:tc>
          <w:tcPr>
            <w:tcW w:w="1272" w:type="dxa"/>
            <w:noWrap/>
            <w:hideMark/>
          </w:tcPr>
          <w:p w:rsidR="00663454" w:rsidRDefault="00663454" w:rsidP="00997B98">
            <w:pPr>
              <w:keepNext/>
              <w:keepLines/>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1.00</w:t>
            </w:r>
          </w:p>
        </w:tc>
        <w:tc>
          <w:tcPr>
            <w:tcW w:w="1258" w:type="dxa"/>
            <w:noWrap/>
          </w:tcPr>
          <w:p w:rsidR="00663454" w:rsidRDefault="00663454" w:rsidP="00997B98">
            <w:pPr>
              <w:keepNext/>
              <w:keepLines/>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rFonts w:eastAsia="MS PGothic"/>
                <w:color w:val="000000"/>
                <w:lang w:eastAsia="en-AU"/>
              </w:rPr>
              <w:t>0.95</w:t>
            </w:r>
          </w:p>
        </w:tc>
        <w:tc>
          <w:tcPr>
            <w:tcW w:w="1398" w:type="dxa"/>
            <w:noWrap/>
          </w:tcPr>
          <w:p w:rsidR="00663454" w:rsidRDefault="00663454" w:rsidP="00997B98">
            <w:pPr>
              <w:keepNext/>
              <w:keepLines/>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rFonts w:eastAsia="MS PGothic"/>
                <w:color w:val="000000"/>
                <w:lang w:eastAsia="en-AU"/>
              </w:rPr>
              <w:t>–5.4%</w:t>
            </w:r>
          </w:p>
        </w:tc>
        <w:tc>
          <w:tcPr>
            <w:tcW w:w="1397" w:type="dxa"/>
            <w:noWrap/>
          </w:tcPr>
          <w:p w:rsidR="00663454" w:rsidRDefault="00663454" w:rsidP="00997B98">
            <w:pPr>
              <w:pStyle w:val="AERtabletextleft"/>
              <w:keepNext/>
              <w:keepLines/>
              <w:spacing w:before="120" w:line="240" w:lineRule="auto"/>
              <w:cnfStyle w:val="000000010000" w:firstRow="0" w:lastRow="0" w:firstColumn="0" w:lastColumn="0" w:oddVBand="0" w:evenVBand="0" w:oddHBand="0" w:evenHBand="1" w:firstRowFirstColumn="0" w:firstRowLastColumn="0" w:lastRowFirstColumn="0" w:lastRowLastColumn="0"/>
              <w:rPr>
                <w:rFonts w:eastAsia="MS PGothic" w:hint="eastAsia"/>
                <w:lang w:eastAsia="en-AU"/>
              </w:rPr>
            </w:pPr>
            <w:r>
              <w:rPr>
                <w:rFonts w:eastAsia="MS PGothic"/>
                <w:lang w:eastAsia="en-AU"/>
              </w:rPr>
              <w:t>–5.7%</w:t>
            </w:r>
          </w:p>
        </w:tc>
      </w:tr>
    </w:tbl>
    <w:p w:rsidR="00F231D1" w:rsidRDefault="00F231D1" w:rsidP="00D35C6D">
      <w:pPr>
        <w:pStyle w:val="AERtablesource"/>
        <w:tabs>
          <w:tab w:val="clear" w:pos="794"/>
          <w:tab w:val="left" w:pos="851"/>
          <w:tab w:val="left" w:pos="1134"/>
        </w:tabs>
        <w:ind w:left="1134" w:hanging="1134"/>
        <w:jc w:val="left"/>
      </w:pPr>
      <w:r>
        <w:t>Source:</w:t>
      </w:r>
      <w:r>
        <w:tab/>
        <w:t>AER analysis.</w:t>
      </w:r>
    </w:p>
    <w:p w:rsidR="000C4A19" w:rsidRPr="00122D4A" w:rsidRDefault="00997B98" w:rsidP="00D35C6D">
      <w:pPr>
        <w:pStyle w:val="AERtablesource"/>
        <w:tabs>
          <w:tab w:val="clear" w:pos="794"/>
          <w:tab w:val="left" w:pos="851"/>
          <w:tab w:val="left" w:pos="1134"/>
        </w:tabs>
        <w:ind w:left="1134" w:hanging="1134"/>
        <w:jc w:val="left"/>
      </w:pPr>
      <w:r>
        <w:t xml:space="preserve">Notes: </w:t>
      </w:r>
      <w:r>
        <w:tab/>
      </w:r>
      <w:r w:rsidR="000C4A19" w:rsidRPr="00122D4A">
        <w:t>a.</w:t>
      </w:r>
      <w:r w:rsidR="000C4A19" w:rsidRPr="00122D4A">
        <w:tab/>
        <w:t>Revenue figures include</w:t>
      </w:r>
      <w:r w:rsidR="009D6E12" w:rsidRPr="00BD3BF0">
        <w:t xml:space="preserve"> costs</w:t>
      </w:r>
      <w:r w:rsidR="009D6E12" w:rsidRPr="00122D4A">
        <w:t xml:space="preserve"> </w:t>
      </w:r>
      <w:r w:rsidR="000C4A19" w:rsidRPr="00122D4A">
        <w:t xml:space="preserve">arising from </w:t>
      </w:r>
      <w:r w:rsidR="00243EA5" w:rsidRPr="00122D4A">
        <w:t>ancillary network services and emergency recoverable works</w:t>
      </w:r>
      <w:r w:rsidR="000C4A19" w:rsidRPr="00122D4A">
        <w:t xml:space="preserve">. </w:t>
      </w:r>
      <w:r w:rsidR="009D6E12" w:rsidRPr="00122D4A">
        <w:t xml:space="preserve">Some of these costs are recovered through separate charges as discussed in section </w:t>
      </w:r>
      <w:r w:rsidR="00540B22">
        <w:fldChar w:fldCharType="begin"/>
      </w:r>
      <w:r w:rsidR="00540B22">
        <w:instrText xml:space="preserve"> REF _Ref384824380 \r \h </w:instrText>
      </w:r>
      <w:r w:rsidR="00540B22">
        <w:fldChar w:fldCharType="separate"/>
      </w:r>
      <w:r w:rsidR="00E313D7">
        <w:t>4.1</w:t>
      </w:r>
      <w:r w:rsidR="00540B22">
        <w:fldChar w:fldCharType="end"/>
      </w:r>
      <w:r w:rsidR="009D6E12" w:rsidRPr="00122D4A">
        <w:t>.</w:t>
      </w:r>
    </w:p>
    <w:p w:rsidR="007331B6" w:rsidRDefault="007331B6" w:rsidP="00D35C6D">
      <w:pPr>
        <w:pStyle w:val="Caption"/>
        <w:jc w:val="left"/>
      </w:pPr>
    </w:p>
    <w:p w:rsidR="007331B6" w:rsidRDefault="007331B6" w:rsidP="00D35C6D">
      <w:pPr>
        <w:pStyle w:val="Caption"/>
        <w:jc w:val="left"/>
      </w:pPr>
    </w:p>
    <w:p w:rsidR="009916C7" w:rsidRDefault="00D35C6D" w:rsidP="00D35C6D">
      <w:pPr>
        <w:pStyle w:val="Caption"/>
        <w:jc w:val="left"/>
      </w:pPr>
      <w:r>
        <w:t xml:space="preserve">Table </w:t>
      </w:r>
      <w:r w:rsidR="00DD155E">
        <w:fldChar w:fldCharType="begin"/>
      </w:r>
      <w:r w:rsidR="00DD155E">
        <w:instrText xml:space="preserve"> STYLEREF 1 \s </w:instrText>
      </w:r>
      <w:r w:rsidR="00DD155E">
        <w:fldChar w:fldCharType="separate"/>
      </w:r>
      <w:r w:rsidR="00E313D7">
        <w:rPr>
          <w:noProof/>
        </w:rPr>
        <w:t>1</w:t>
      </w:r>
      <w:r w:rsidR="00DD155E">
        <w:rPr>
          <w:noProof/>
        </w:rPr>
        <w:fldChar w:fldCharType="end"/>
      </w:r>
      <w:r w:rsidR="00804FE8">
        <w:t>.</w:t>
      </w:r>
      <w:r w:rsidR="00DD155E">
        <w:fldChar w:fldCharType="begin"/>
      </w:r>
      <w:r w:rsidR="00DD155E">
        <w:instrText xml:space="preserve"> SEQ Table \* ARABIC \s 1 </w:instrText>
      </w:r>
      <w:r w:rsidR="00DD155E">
        <w:fldChar w:fldCharType="separate"/>
      </w:r>
      <w:r w:rsidR="00E313D7">
        <w:rPr>
          <w:noProof/>
        </w:rPr>
        <w:t>2</w:t>
      </w:r>
      <w:r w:rsidR="00DD155E">
        <w:rPr>
          <w:noProof/>
        </w:rPr>
        <w:fldChar w:fldCharType="end"/>
      </w:r>
      <w:r w:rsidR="009916C7">
        <w:tab/>
      </w:r>
      <w:r w:rsidR="009916C7" w:rsidRPr="00972BC0">
        <w:t xml:space="preserve">Ausgrid’s proposed revenue and price path and AER substituted revenue and price path </w:t>
      </w:r>
      <w:r w:rsidR="009916C7">
        <w:t>–</w:t>
      </w:r>
      <w:r w:rsidR="009916C7" w:rsidRPr="00972BC0">
        <w:t xml:space="preserve"> </w:t>
      </w:r>
      <w:r w:rsidR="009916C7">
        <w:t>transmission</w:t>
      </w:r>
    </w:p>
    <w:tbl>
      <w:tblPr>
        <w:tblStyle w:val="AERtable-numbers"/>
        <w:tblW w:w="9024" w:type="dxa"/>
        <w:tblInd w:w="-34" w:type="dxa"/>
        <w:tblLook w:val="04A0" w:firstRow="1" w:lastRow="0" w:firstColumn="1" w:lastColumn="0" w:noHBand="0" w:noVBand="1"/>
      </w:tblPr>
      <w:tblGrid>
        <w:gridCol w:w="1884"/>
        <w:gridCol w:w="192"/>
        <w:gridCol w:w="1623"/>
        <w:gridCol w:w="1272"/>
        <w:gridCol w:w="1258"/>
        <w:gridCol w:w="1398"/>
        <w:gridCol w:w="1397"/>
      </w:tblGrid>
      <w:tr w:rsidR="00997B98" w:rsidTr="005E15B8">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884" w:type="dxa"/>
            <w:noWrap/>
            <w:hideMark/>
          </w:tcPr>
          <w:p w:rsidR="00663454" w:rsidRDefault="00663454" w:rsidP="00997B98">
            <w:pPr>
              <w:pStyle w:val="AERbodytext"/>
              <w:spacing w:after="120" w:line="240" w:lineRule="auto"/>
              <w:rPr>
                <w:rFonts w:eastAsia="MS PGothic" w:hint="eastAsia"/>
                <w:b w:val="0"/>
                <w:lang w:eastAsia="en-AU"/>
              </w:rPr>
            </w:pPr>
            <w:r>
              <w:rPr>
                <w:lang w:eastAsia="en-AU"/>
              </w:rPr>
              <w:t> </w:t>
            </w:r>
          </w:p>
        </w:tc>
        <w:tc>
          <w:tcPr>
            <w:tcW w:w="1815" w:type="dxa"/>
            <w:gridSpan w:val="2"/>
            <w:noWrap/>
            <w:hideMark/>
          </w:tcPr>
          <w:p w:rsidR="00663454" w:rsidRDefault="00663454" w:rsidP="00997B98">
            <w:pPr>
              <w:spacing w:after="120" w:line="240" w:lineRule="auto"/>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color w:val="000000"/>
                <w:lang w:eastAsia="en-AU"/>
              </w:rPr>
            </w:pPr>
            <w:r>
              <w:rPr>
                <w:bCs/>
                <w:color w:val="000000"/>
                <w:lang w:eastAsia="en-AU"/>
              </w:rPr>
              <w:t> </w:t>
            </w:r>
          </w:p>
        </w:tc>
        <w:tc>
          <w:tcPr>
            <w:tcW w:w="1272" w:type="dxa"/>
            <w:noWrap/>
            <w:hideMark/>
          </w:tcPr>
          <w:p w:rsidR="00663454" w:rsidRDefault="00663454" w:rsidP="00997B98">
            <w:pPr>
              <w:spacing w:after="120" w:line="240" w:lineRule="auto"/>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2013–14</w:t>
            </w:r>
          </w:p>
        </w:tc>
        <w:tc>
          <w:tcPr>
            <w:tcW w:w="1258" w:type="dxa"/>
            <w:noWrap/>
            <w:hideMark/>
          </w:tcPr>
          <w:p w:rsidR="00663454" w:rsidRDefault="00663454" w:rsidP="00997B98">
            <w:pPr>
              <w:spacing w:after="120" w:line="240" w:lineRule="auto"/>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2014–15</w:t>
            </w:r>
          </w:p>
        </w:tc>
        <w:tc>
          <w:tcPr>
            <w:tcW w:w="1398" w:type="dxa"/>
            <w:noWrap/>
            <w:hideMark/>
          </w:tcPr>
          <w:p w:rsidR="00663454" w:rsidRDefault="00663454" w:rsidP="00997B98">
            <w:pPr>
              <w:spacing w:after="120" w:line="240" w:lineRule="auto"/>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Change (%)</w:t>
            </w:r>
          </w:p>
        </w:tc>
        <w:tc>
          <w:tcPr>
            <w:tcW w:w="1397" w:type="dxa"/>
            <w:hideMark/>
          </w:tcPr>
          <w:p w:rsidR="00663454" w:rsidRDefault="00663454" w:rsidP="00997B98">
            <w:pPr>
              <w:spacing w:after="120" w:line="240" w:lineRule="auto"/>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 xml:space="preserve">Difference from proposed 2014–15 </w:t>
            </w:r>
            <w:r>
              <w:rPr>
                <w:lang w:eastAsia="en-AU"/>
              </w:rPr>
              <w:t>(%)</w:t>
            </w:r>
          </w:p>
        </w:tc>
      </w:tr>
      <w:tr w:rsidR="00663454" w:rsidTr="005E15B8">
        <w:trPr>
          <w:trHeight w:val="202"/>
        </w:trPr>
        <w:tc>
          <w:tcPr>
            <w:cnfStyle w:val="001000000000" w:firstRow="0" w:lastRow="0" w:firstColumn="1" w:lastColumn="0" w:oddVBand="0" w:evenVBand="0" w:oddHBand="0" w:evenHBand="0" w:firstRowFirstColumn="0" w:firstRowLastColumn="0" w:lastRowFirstColumn="0" w:lastRowLastColumn="0"/>
            <w:tcW w:w="9024" w:type="dxa"/>
            <w:gridSpan w:val="7"/>
            <w:noWrap/>
            <w:hideMark/>
          </w:tcPr>
          <w:p w:rsidR="00663454" w:rsidRDefault="00663454" w:rsidP="00997B98">
            <w:pPr>
              <w:spacing w:after="120" w:line="240" w:lineRule="auto"/>
              <w:rPr>
                <w:rFonts w:ascii="Times New Roman" w:eastAsia="MS PGothic" w:hAnsi="Times New Roman"/>
                <w:color w:val="000000"/>
                <w:lang w:eastAsia="en-AU"/>
              </w:rPr>
            </w:pPr>
            <w:r>
              <w:rPr>
                <w:b/>
                <w:bCs/>
                <w:color w:val="000000"/>
                <w:lang w:eastAsia="en-AU"/>
              </w:rPr>
              <w:t>Proposed revenue and price path</w:t>
            </w:r>
          </w:p>
        </w:tc>
      </w:tr>
      <w:tr w:rsidR="00997B98" w:rsidTr="005E15B8">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699" w:type="dxa"/>
            <w:gridSpan w:val="3"/>
            <w:noWrap/>
            <w:hideMark/>
          </w:tcPr>
          <w:p w:rsidR="00663454" w:rsidRDefault="00663454" w:rsidP="00997B98">
            <w:pPr>
              <w:spacing w:after="120" w:line="240" w:lineRule="auto"/>
              <w:rPr>
                <w:rFonts w:eastAsia="MS PGothic" w:hint="eastAsia"/>
                <w:color w:val="000000"/>
                <w:lang w:eastAsia="en-AU"/>
              </w:rPr>
            </w:pPr>
            <w:r>
              <w:rPr>
                <w:color w:val="000000"/>
                <w:lang w:eastAsia="en-AU"/>
              </w:rPr>
              <w:t>Revenue ($m, nominal)</w:t>
            </w:r>
          </w:p>
        </w:tc>
        <w:tc>
          <w:tcPr>
            <w:tcW w:w="1272" w:type="dxa"/>
            <w:noWrap/>
            <w:hideMark/>
          </w:tcPr>
          <w:p w:rsidR="00663454" w:rsidRPr="007F0D5E" w:rsidRDefault="00663454" w:rsidP="00997B98">
            <w:pPr>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vertAlign w:val="superscript"/>
                <w:lang w:eastAsia="en-AU"/>
              </w:rPr>
            </w:pPr>
            <w:r>
              <w:rPr>
                <w:color w:val="000000"/>
                <w:lang w:eastAsia="en-AU"/>
              </w:rPr>
              <w:t>268</w:t>
            </w:r>
          </w:p>
        </w:tc>
        <w:tc>
          <w:tcPr>
            <w:tcW w:w="1258" w:type="dxa"/>
            <w:noWrap/>
            <w:hideMark/>
          </w:tcPr>
          <w:p w:rsidR="00663454" w:rsidRDefault="00663454" w:rsidP="00997B98">
            <w:pPr>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270</w:t>
            </w:r>
          </w:p>
        </w:tc>
        <w:tc>
          <w:tcPr>
            <w:tcW w:w="1398" w:type="dxa"/>
            <w:noWrap/>
            <w:hideMark/>
          </w:tcPr>
          <w:p w:rsidR="00663454" w:rsidRDefault="00663454" w:rsidP="00997B98">
            <w:pPr>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0.5%</w:t>
            </w:r>
          </w:p>
        </w:tc>
        <w:tc>
          <w:tcPr>
            <w:tcW w:w="1397" w:type="dxa"/>
            <w:noWrap/>
            <w:hideMark/>
          </w:tcPr>
          <w:p w:rsidR="00663454" w:rsidRDefault="00663454" w:rsidP="00997B98">
            <w:pPr>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n/a</w:t>
            </w:r>
          </w:p>
        </w:tc>
      </w:tr>
      <w:tr w:rsidR="00663454" w:rsidTr="005E15B8">
        <w:trPr>
          <w:trHeight w:val="202"/>
        </w:trPr>
        <w:tc>
          <w:tcPr>
            <w:cnfStyle w:val="001000000000" w:firstRow="0" w:lastRow="0" w:firstColumn="1" w:lastColumn="0" w:oddVBand="0" w:evenVBand="0" w:oddHBand="0" w:evenHBand="0" w:firstRowFirstColumn="0" w:firstRowLastColumn="0" w:lastRowFirstColumn="0" w:lastRowLastColumn="0"/>
            <w:tcW w:w="3699" w:type="dxa"/>
            <w:gridSpan w:val="3"/>
            <w:noWrap/>
            <w:hideMark/>
          </w:tcPr>
          <w:p w:rsidR="00663454" w:rsidRDefault="00663454" w:rsidP="00997B98">
            <w:pPr>
              <w:spacing w:after="120" w:line="240" w:lineRule="auto"/>
              <w:rPr>
                <w:rFonts w:eastAsia="MS PGothic" w:hint="eastAsia"/>
                <w:color w:val="000000"/>
                <w:lang w:eastAsia="en-AU"/>
              </w:rPr>
            </w:pPr>
            <w:r>
              <w:rPr>
                <w:color w:val="000000"/>
                <w:lang w:eastAsia="en-AU"/>
              </w:rPr>
              <w:t>Price path (</w:t>
            </w:r>
            <w:r w:rsidRPr="00814805">
              <w:rPr>
                <w:color w:val="000000"/>
                <w:lang w:eastAsia="en-AU"/>
              </w:rPr>
              <w:t>nominal</w:t>
            </w:r>
            <w:r>
              <w:rPr>
                <w:color w:val="000000"/>
                <w:lang w:eastAsia="en-AU"/>
              </w:rPr>
              <w:t xml:space="preserve"> index</w:t>
            </w:r>
            <w:r w:rsidRPr="00814805">
              <w:rPr>
                <w:color w:val="000000"/>
                <w:lang w:eastAsia="en-AU"/>
              </w:rPr>
              <w:t>)</w:t>
            </w:r>
          </w:p>
        </w:tc>
        <w:tc>
          <w:tcPr>
            <w:tcW w:w="1272" w:type="dxa"/>
            <w:noWrap/>
            <w:hideMark/>
          </w:tcPr>
          <w:p w:rsidR="00663454" w:rsidRDefault="00663454" w:rsidP="00997B98">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rFonts w:eastAsia="MS PGothic"/>
                <w:color w:val="000000"/>
                <w:lang w:eastAsia="en-AU"/>
              </w:rPr>
              <w:t>1.00</w:t>
            </w:r>
          </w:p>
        </w:tc>
        <w:tc>
          <w:tcPr>
            <w:tcW w:w="1258" w:type="dxa"/>
            <w:noWrap/>
            <w:hideMark/>
          </w:tcPr>
          <w:p w:rsidR="00663454" w:rsidRDefault="00663454" w:rsidP="00997B98">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color w:val="000000"/>
                <w:lang w:eastAsia="en-AU"/>
              </w:rPr>
              <w:t>1.00</w:t>
            </w:r>
          </w:p>
        </w:tc>
        <w:tc>
          <w:tcPr>
            <w:tcW w:w="1398" w:type="dxa"/>
            <w:noWrap/>
            <w:hideMark/>
          </w:tcPr>
          <w:p w:rsidR="00663454" w:rsidRDefault="00663454" w:rsidP="00997B98">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color w:val="000000"/>
                <w:lang w:eastAsia="en-AU"/>
              </w:rPr>
              <w:t>0.2%</w:t>
            </w:r>
          </w:p>
        </w:tc>
        <w:tc>
          <w:tcPr>
            <w:tcW w:w="1397" w:type="dxa"/>
            <w:noWrap/>
            <w:hideMark/>
          </w:tcPr>
          <w:p w:rsidR="00663454" w:rsidRDefault="00663454" w:rsidP="00997B98">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color w:val="000000"/>
                <w:lang w:eastAsia="en-AU"/>
              </w:rPr>
              <w:t>n/a</w:t>
            </w:r>
          </w:p>
        </w:tc>
      </w:tr>
      <w:tr w:rsidR="00663454" w:rsidTr="005E15B8">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9024" w:type="dxa"/>
            <w:gridSpan w:val="7"/>
            <w:noWrap/>
            <w:hideMark/>
          </w:tcPr>
          <w:p w:rsidR="00663454" w:rsidRDefault="00663454" w:rsidP="00997B98">
            <w:pPr>
              <w:spacing w:after="120" w:line="240" w:lineRule="auto"/>
              <w:rPr>
                <w:rFonts w:ascii="Times New Roman" w:eastAsia="MS PGothic" w:hAnsi="Times New Roman"/>
                <w:color w:val="000000"/>
                <w:lang w:eastAsia="en-AU"/>
              </w:rPr>
            </w:pPr>
            <w:r>
              <w:rPr>
                <w:b/>
                <w:bCs/>
                <w:color w:val="000000"/>
                <w:lang w:eastAsia="en-AU"/>
              </w:rPr>
              <w:t>AER substitute revenue and price path</w:t>
            </w:r>
          </w:p>
        </w:tc>
      </w:tr>
      <w:tr w:rsidR="00663454" w:rsidTr="005E15B8">
        <w:trPr>
          <w:trHeight w:val="202"/>
        </w:trPr>
        <w:tc>
          <w:tcPr>
            <w:cnfStyle w:val="001000000000" w:firstRow="0" w:lastRow="0" w:firstColumn="1" w:lastColumn="0" w:oddVBand="0" w:evenVBand="0" w:oddHBand="0" w:evenHBand="0" w:firstRowFirstColumn="0" w:firstRowLastColumn="0" w:lastRowFirstColumn="0" w:lastRowLastColumn="0"/>
            <w:tcW w:w="2076" w:type="dxa"/>
            <w:gridSpan w:val="2"/>
            <w:noWrap/>
          </w:tcPr>
          <w:p w:rsidR="00663454" w:rsidRDefault="00663454" w:rsidP="00997B98">
            <w:pPr>
              <w:pStyle w:val="AERtabletextleft"/>
              <w:spacing w:before="120" w:line="240" w:lineRule="auto"/>
              <w:rPr>
                <w:rFonts w:eastAsia="MS PGothic" w:hint="eastAsia"/>
                <w:lang w:eastAsia="en-AU"/>
              </w:rPr>
            </w:pPr>
            <w:r>
              <w:rPr>
                <w:lang w:eastAsia="en-AU"/>
              </w:rPr>
              <w:t>Revenue ($m, nominal)</w:t>
            </w:r>
          </w:p>
        </w:tc>
        <w:tc>
          <w:tcPr>
            <w:tcW w:w="1623" w:type="dxa"/>
            <w:noWrap/>
          </w:tcPr>
          <w:p w:rsidR="00663454" w:rsidRDefault="00663454" w:rsidP="00997B98">
            <w:pPr>
              <w:spacing w:after="120" w:line="240" w:lineRule="auto"/>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p>
        </w:tc>
        <w:tc>
          <w:tcPr>
            <w:tcW w:w="1272" w:type="dxa"/>
            <w:noWrap/>
            <w:hideMark/>
          </w:tcPr>
          <w:p w:rsidR="00663454" w:rsidRPr="007F0D5E" w:rsidRDefault="00663454" w:rsidP="00997B98">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vertAlign w:val="superscript"/>
                <w:lang w:eastAsia="en-AU"/>
              </w:rPr>
            </w:pPr>
            <w:r>
              <w:rPr>
                <w:color w:val="000000"/>
                <w:lang w:eastAsia="en-AU"/>
              </w:rPr>
              <w:t>268</w:t>
            </w:r>
          </w:p>
        </w:tc>
        <w:tc>
          <w:tcPr>
            <w:tcW w:w="1258" w:type="dxa"/>
            <w:noWrap/>
          </w:tcPr>
          <w:p w:rsidR="00663454" w:rsidRDefault="00663454" w:rsidP="00997B98">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rFonts w:eastAsia="MS PGothic"/>
                <w:color w:val="000000"/>
                <w:lang w:eastAsia="en-AU"/>
              </w:rPr>
              <w:t>252</w:t>
            </w:r>
          </w:p>
        </w:tc>
        <w:tc>
          <w:tcPr>
            <w:tcW w:w="1398" w:type="dxa"/>
            <w:noWrap/>
          </w:tcPr>
          <w:p w:rsidR="00663454" w:rsidRDefault="00663454" w:rsidP="00997B98">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rFonts w:eastAsia="MS PGothic"/>
                <w:color w:val="000000"/>
                <w:lang w:eastAsia="en-AU"/>
              </w:rPr>
              <w:t>–</w:t>
            </w:r>
            <w:r w:rsidR="00CA0579">
              <w:t>6</w:t>
            </w:r>
            <w:r>
              <w:rPr>
                <w:rFonts w:eastAsia="MS PGothic"/>
                <w:color w:val="000000"/>
                <w:lang w:eastAsia="en-AU"/>
              </w:rPr>
              <w:t>.</w:t>
            </w:r>
            <w:r w:rsidR="00CA0579">
              <w:t>0</w:t>
            </w:r>
            <w:r>
              <w:rPr>
                <w:rFonts w:eastAsia="MS PGothic"/>
                <w:color w:val="000000"/>
                <w:lang w:eastAsia="en-AU"/>
              </w:rPr>
              <w:t>%</w:t>
            </w:r>
          </w:p>
        </w:tc>
        <w:tc>
          <w:tcPr>
            <w:tcW w:w="1397" w:type="dxa"/>
            <w:noWrap/>
          </w:tcPr>
          <w:p w:rsidR="00663454" w:rsidRDefault="00663454" w:rsidP="00997B98">
            <w:pPr>
              <w:pStyle w:val="AERtabletextleft"/>
              <w:spacing w:before="120" w:line="240" w:lineRule="auto"/>
              <w:cnfStyle w:val="000000000000" w:firstRow="0" w:lastRow="0" w:firstColumn="0" w:lastColumn="0" w:oddVBand="0" w:evenVBand="0" w:oddHBand="0" w:evenHBand="0" w:firstRowFirstColumn="0" w:firstRowLastColumn="0" w:lastRowFirstColumn="0" w:lastRowLastColumn="0"/>
              <w:rPr>
                <w:rFonts w:eastAsia="MS PGothic" w:hint="eastAsia"/>
                <w:lang w:eastAsia="en-AU"/>
              </w:rPr>
            </w:pPr>
            <w:r>
              <w:rPr>
                <w:rFonts w:eastAsia="MS PGothic"/>
                <w:lang w:eastAsia="en-AU"/>
              </w:rPr>
              <w:t>–6.5%</w:t>
            </w:r>
          </w:p>
        </w:tc>
      </w:tr>
      <w:tr w:rsidR="00997B98" w:rsidTr="005E15B8">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699" w:type="dxa"/>
            <w:gridSpan w:val="3"/>
            <w:noWrap/>
          </w:tcPr>
          <w:p w:rsidR="00663454" w:rsidRDefault="00663454" w:rsidP="00997B98">
            <w:pPr>
              <w:spacing w:after="120" w:line="240" w:lineRule="auto"/>
              <w:rPr>
                <w:rFonts w:eastAsia="MS PGothic" w:hint="eastAsia"/>
                <w:color w:val="000000"/>
                <w:lang w:eastAsia="en-AU"/>
              </w:rPr>
            </w:pPr>
            <w:r>
              <w:rPr>
                <w:color w:val="000000"/>
                <w:lang w:eastAsia="en-AU"/>
              </w:rPr>
              <w:t>Price path</w:t>
            </w:r>
            <w:r w:rsidRPr="00814805">
              <w:rPr>
                <w:color w:val="000000"/>
                <w:lang w:eastAsia="en-AU"/>
              </w:rPr>
              <w:t xml:space="preserve"> (nominal</w:t>
            </w:r>
            <w:r>
              <w:rPr>
                <w:color w:val="000000"/>
                <w:lang w:eastAsia="en-AU"/>
              </w:rPr>
              <w:t xml:space="preserve"> index</w:t>
            </w:r>
            <w:r w:rsidRPr="00814805">
              <w:rPr>
                <w:color w:val="000000"/>
                <w:lang w:eastAsia="en-AU"/>
              </w:rPr>
              <w:t>)</w:t>
            </w:r>
          </w:p>
        </w:tc>
        <w:tc>
          <w:tcPr>
            <w:tcW w:w="1272" w:type="dxa"/>
            <w:noWrap/>
            <w:hideMark/>
          </w:tcPr>
          <w:p w:rsidR="00663454" w:rsidRDefault="00663454" w:rsidP="00997B98">
            <w:pPr>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1.00</w:t>
            </w:r>
          </w:p>
        </w:tc>
        <w:tc>
          <w:tcPr>
            <w:tcW w:w="1258" w:type="dxa"/>
            <w:noWrap/>
          </w:tcPr>
          <w:p w:rsidR="00663454" w:rsidRDefault="00663454" w:rsidP="00997B98">
            <w:pPr>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rFonts w:eastAsia="MS PGothic"/>
                <w:color w:val="000000"/>
                <w:lang w:eastAsia="en-AU"/>
              </w:rPr>
              <w:t>0.94</w:t>
            </w:r>
          </w:p>
        </w:tc>
        <w:tc>
          <w:tcPr>
            <w:tcW w:w="1398" w:type="dxa"/>
            <w:noWrap/>
          </w:tcPr>
          <w:p w:rsidR="00663454" w:rsidRDefault="00663454" w:rsidP="00997B98">
            <w:pPr>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rFonts w:eastAsia="MS PGothic"/>
                <w:color w:val="000000"/>
                <w:lang w:eastAsia="en-AU"/>
              </w:rPr>
              <w:t>–6.3%</w:t>
            </w:r>
          </w:p>
        </w:tc>
        <w:tc>
          <w:tcPr>
            <w:tcW w:w="1397" w:type="dxa"/>
            <w:noWrap/>
          </w:tcPr>
          <w:p w:rsidR="00663454" w:rsidRDefault="00663454" w:rsidP="00997B98">
            <w:pPr>
              <w:pStyle w:val="AERtabletextleft"/>
              <w:spacing w:before="120" w:line="240" w:lineRule="auto"/>
              <w:cnfStyle w:val="000000010000" w:firstRow="0" w:lastRow="0" w:firstColumn="0" w:lastColumn="0" w:oddVBand="0" w:evenVBand="0" w:oddHBand="0" w:evenHBand="1" w:firstRowFirstColumn="0" w:firstRowLastColumn="0" w:lastRowFirstColumn="0" w:lastRowLastColumn="0"/>
              <w:rPr>
                <w:rFonts w:eastAsia="MS PGothic" w:hint="eastAsia"/>
                <w:lang w:eastAsia="en-AU"/>
              </w:rPr>
            </w:pPr>
            <w:r>
              <w:rPr>
                <w:rFonts w:eastAsia="MS PGothic"/>
                <w:lang w:eastAsia="en-AU"/>
              </w:rPr>
              <w:t>–6.5%</w:t>
            </w:r>
          </w:p>
        </w:tc>
      </w:tr>
    </w:tbl>
    <w:p w:rsidR="00997B98" w:rsidRDefault="00F231D1" w:rsidP="00F231D1">
      <w:pPr>
        <w:pStyle w:val="AERtablesource"/>
      </w:pPr>
      <w:r>
        <w:t>Source:</w:t>
      </w:r>
      <w:r>
        <w:tab/>
        <w:t>AER analysis.</w:t>
      </w:r>
    </w:p>
    <w:p w:rsidR="009916C7" w:rsidRDefault="00D35C6D" w:rsidP="00D35C6D">
      <w:pPr>
        <w:pStyle w:val="Caption"/>
        <w:jc w:val="left"/>
      </w:pPr>
      <w:r>
        <w:t xml:space="preserve">Table </w:t>
      </w:r>
      <w:r w:rsidR="00DD155E">
        <w:fldChar w:fldCharType="begin"/>
      </w:r>
      <w:r w:rsidR="00DD155E">
        <w:instrText xml:space="preserve"> STYLEREF 1 \s </w:instrText>
      </w:r>
      <w:r w:rsidR="00DD155E">
        <w:fldChar w:fldCharType="separate"/>
      </w:r>
      <w:r w:rsidR="00E313D7">
        <w:rPr>
          <w:noProof/>
        </w:rPr>
        <w:t>1</w:t>
      </w:r>
      <w:r w:rsidR="00DD155E">
        <w:rPr>
          <w:noProof/>
        </w:rPr>
        <w:fldChar w:fldCharType="end"/>
      </w:r>
      <w:r w:rsidR="00804FE8">
        <w:t>.</w:t>
      </w:r>
      <w:r w:rsidR="00DD155E">
        <w:fldChar w:fldCharType="begin"/>
      </w:r>
      <w:r w:rsidR="00DD155E">
        <w:instrText xml:space="preserve"> SEQ Table \* ARABIC \s 1 </w:instrText>
      </w:r>
      <w:r w:rsidR="00DD155E">
        <w:fldChar w:fldCharType="separate"/>
      </w:r>
      <w:r w:rsidR="00E313D7">
        <w:rPr>
          <w:noProof/>
        </w:rPr>
        <w:t>3</w:t>
      </w:r>
      <w:r w:rsidR="00DD155E">
        <w:rPr>
          <w:noProof/>
        </w:rPr>
        <w:fldChar w:fldCharType="end"/>
      </w:r>
      <w:r>
        <w:tab/>
      </w:r>
      <w:r w:rsidR="009916C7">
        <w:t>Essential Energy's</w:t>
      </w:r>
      <w:r w:rsidR="009916C7" w:rsidRPr="00970990">
        <w:t xml:space="preserve"> proposed revenue and price path and AER substituted revenue and price path</w:t>
      </w:r>
    </w:p>
    <w:tbl>
      <w:tblPr>
        <w:tblStyle w:val="AERtable-numbers"/>
        <w:tblW w:w="9240" w:type="dxa"/>
        <w:tblInd w:w="-34" w:type="dxa"/>
        <w:tblLook w:val="04A0" w:firstRow="1" w:lastRow="0" w:firstColumn="1" w:lastColumn="0" w:noHBand="0" w:noVBand="1"/>
      </w:tblPr>
      <w:tblGrid>
        <w:gridCol w:w="2100"/>
        <w:gridCol w:w="192"/>
        <w:gridCol w:w="1623"/>
        <w:gridCol w:w="1272"/>
        <w:gridCol w:w="1258"/>
        <w:gridCol w:w="1398"/>
        <w:gridCol w:w="1397"/>
      </w:tblGrid>
      <w:tr w:rsidR="00663454" w:rsidTr="005E15B8">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100" w:type="dxa"/>
            <w:noWrap/>
            <w:hideMark/>
          </w:tcPr>
          <w:p w:rsidR="00663454" w:rsidRDefault="00663454" w:rsidP="00984186">
            <w:pPr>
              <w:pStyle w:val="AERbodytext"/>
              <w:keepNext/>
              <w:keepLines/>
              <w:spacing w:after="120" w:line="240" w:lineRule="auto"/>
              <w:rPr>
                <w:rFonts w:eastAsia="MS PGothic" w:hint="eastAsia"/>
                <w:b w:val="0"/>
                <w:lang w:eastAsia="en-AU"/>
              </w:rPr>
            </w:pPr>
            <w:r>
              <w:rPr>
                <w:lang w:eastAsia="en-AU"/>
              </w:rPr>
              <w:t> </w:t>
            </w:r>
          </w:p>
        </w:tc>
        <w:tc>
          <w:tcPr>
            <w:tcW w:w="1815" w:type="dxa"/>
            <w:gridSpan w:val="2"/>
            <w:noWrap/>
            <w:hideMark/>
          </w:tcPr>
          <w:p w:rsidR="00663454" w:rsidRDefault="00663454" w:rsidP="00984186">
            <w:pPr>
              <w:keepNext/>
              <w:keepLines/>
              <w:spacing w:after="120" w:line="240" w:lineRule="auto"/>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color w:val="000000"/>
                <w:lang w:eastAsia="en-AU"/>
              </w:rPr>
            </w:pPr>
            <w:r>
              <w:rPr>
                <w:bCs/>
                <w:color w:val="000000"/>
                <w:lang w:eastAsia="en-AU"/>
              </w:rPr>
              <w:t> </w:t>
            </w:r>
          </w:p>
        </w:tc>
        <w:tc>
          <w:tcPr>
            <w:tcW w:w="1272" w:type="dxa"/>
            <w:noWrap/>
            <w:hideMark/>
          </w:tcPr>
          <w:p w:rsidR="00663454" w:rsidRDefault="00663454" w:rsidP="00984186">
            <w:pPr>
              <w:keepNext/>
              <w:keepLines/>
              <w:spacing w:after="120" w:line="240" w:lineRule="auto"/>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2013–14</w:t>
            </w:r>
          </w:p>
        </w:tc>
        <w:tc>
          <w:tcPr>
            <w:tcW w:w="1258" w:type="dxa"/>
            <w:noWrap/>
            <w:hideMark/>
          </w:tcPr>
          <w:p w:rsidR="00663454" w:rsidRDefault="00663454" w:rsidP="00984186">
            <w:pPr>
              <w:keepNext/>
              <w:keepLines/>
              <w:spacing w:after="120" w:line="240" w:lineRule="auto"/>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2014–15</w:t>
            </w:r>
          </w:p>
        </w:tc>
        <w:tc>
          <w:tcPr>
            <w:tcW w:w="1398" w:type="dxa"/>
            <w:noWrap/>
            <w:hideMark/>
          </w:tcPr>
          <w:p w:rsidR="00663454" w:rsidRDefault="00663454" w:rsidP="00984186">
            <w:pPr>
              <w:keepNext/>
              <w:keepLines/>
              <w:spacing w:after="120" w:line="240" w:lineRule="auto"/>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Change (%)</w:t>
            </w:r>
          </w:p>
        </w:tc>
        <w:tc>
          <w:tcPr>
            <w:tcW w:w="1397" w:type="dxa"/>
            <w:hideMark/>
          </w:tcPr>
          <w:p w:rsidR="00663454" w:rsidRDefault="00663454" w:rsidP="00984186">
            <w:pPr>
              <w:keepNext/>
              <w:keepLines/>
              <w:spacing w:after="120" w:line="240" w:lineRule="auto"/>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 xml:space="preserve">Difference from proposed 2014–15 </w:t>
            </w:r>
            <w:r>
              <w:rPr>
                <w:lang w:eastAsia="en-AU"/>
              </w:rPr>
              <w:t>(%)</w:t>
            </w:r>
          </w:p>
        </w:tc>
      </w:tr>
      <w:tr w:rsidR="00663454" w:rsidTr="005E15B8">
        <w:trPr>
          <w:trHeight w:val="202"/>
        </w:trPr>
        <w:tc>
          <w:tcPr>
            <w:cnfStyle w:val="001000000000" w:firstRow="0" w:lastRow="0" w:firstColumn="1" w:lastColumn="0" w:oddVBand="0" w:evenVBand="0" w:oddHBand="0" w:evenHBand="0" w:firstRowFirstColumn="0" w:firstRowLastColumn="0" w:lastRowFirstColumn="0" w:lastRowLastColumn="0"/>
            <w:tcW w:w="9240" w:type="dxa"/>
            <w:gridSpan w:val="7"/>
            <w:noWrap/>
            <w:hideMark/>
          </w:tcPr>
          <w:p w:rsidR="00663454" w:rsidRDefault="00663454" w:rsidP="00984186">
            <w:pPr>
              <w:keepNext/>
              <w:keepLines/>
              <w:spacing w:after="120" w:line="240" w:lineRule="auto"/>
              <w:rPr>
                <w:rFonts w:ascii="Times New Roman" w:eastAsia="MS PGothic" w:hAnsi="Times New Roman"/>
                <w:color w:val="000000"/>
                <w:lang w:eastAsia="en-AU"/>
              </w:rPr>
            </w:pPr>
            <w:r>
              <w:rPr>
                <w:b/>
                <w:bCs/>
                <w:color w:val="000000"/>
                <w:lang w:eastAsia="en-AU"/>
              </w:rPr>
              <w:t>Proposed revenue and price path</w:t>
            </w:r>
          </w:p>
        </w:tc>
      </w:tr>
      <w:tr w:rsidR="00663454" w:rsidTr="005E15B8">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915" w:type="dxa"/>
            <w:gridSpan w:val="3"/>
            <w:noWrap/>
            <w:hideMark/>
          </w:tcPr>
          <w:p w:rsidR="00663454" w:rsidRDefault="00663454" w:rsidP="00984186">
            <w:pPr>
              <w:keepNext/>
              <w:keepLines/>
              <w:spacing w:after="120" w:line="240" w:lineRule="auto"/>
              <w:rPr>
                <w:rFonts w:eastAsia="MS PGothic" w:hint="eastAsia"/>
                <w:color w:val="000000"/>
                <w:lang w:eastAsia="en-AU"/>
              </w:rPr>
            </w:pPr>
            <w:r>
              <w:rPr>
                <w:color w:val="000000"/>
                <w:lang w:eastAsia="en-AU"/>
              </w:rPr>
              <w:t>Revenue ($m, nominal)</w:t>
            </w:r>
          </w:p>
        </w:tc>
        <w:tc>
          <w:tcPr>
            <w:tcW w:w="1272" w:type="dxa"/>
            <w:noWrap/>
            <w:hideMark/>
          </w:tcPr>
          <w:p w:rsidR="00663454" w:rsidRPr="007F0D5E" w:rsidRDefault="00663454" w:rsidP="00984186">
            <w:pPr>
              <w:keepNext/>
              <w:keepLines/>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vertAlign w:val="superscript"/>
                <w:lang w:eastAsia="en-AU"/>
              </w:rPr>
            </w:pPr>
            <w:r>
              <w:rPr>
                <w:color w:val="000000"/>
                <w:lang w:eastAsia="en-AU"/>
              </w:rPr>
              <w:t>1361</w:t>
            </w:r>
          </w:p>
        </w:tc>
        <w:tc>
          <w:tcPr>
            <w:tcW w:w="1258" w:type="dxa"/>
            <w:noWrap/>
            <w:hideMark/>
          </w:tcPr>
          <w:p w:rsidR="00663454" w:rsidRDefault="00663454" w:rsidP="00984186">
            <w:pPr>
              <w:keepNext/>
              <w:keepLines/>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1363</w:t>
            </w:r>
          </w:p>
        </w:tc>
        <w:tc>
          <w:tcPr>
            <w:tcW w:w="1398" w:type="dxa"/>
            <w:noWrap/>
            <w:hideMark/>
          </w:tcPr>
          <w:p w:rsidR="00663454" w:rsidRDefault="00663454" w:rsidP="00984186">
            <w:pPr>
              <w:keepNext/>
              <w:keepLines/>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0.1%</w:t>
            </w:r>
          </w:p>
        </w:tc>
        <w:tc>
          <w:tcPr>
            <w:tcW w:w="1397" w:type="dxa"/>
            <w:noWrap/>
            <w:hideMark/>
          </w:tcPr>
          <w:p w:rsidR="00663454" w:rsidRDefault="00663454" w:rsidP="00984186">
            <w:pPr>
              <w:keepNext/>
              <w:keepLines/>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n/a</w:t>
            </w:r>
          </w:p>
        </w:tc>
      </w:tr>
      <w:tr w:rsidR="00663454" w:rsidTr="005E15B8">
        <w:trPr>
          <w:trHeight w:val="202"/>
        </w:trPr>
        <w:tc>
          <w:tcPr>
            <w:cnfStyle w:val="001000000000" w:firstRow="0" w:lastRow="0" w:firstColumn="1" w:lastColumn="0" w:oddVBand="0" w:evenVBand="0" w:oddHBand="0" w:evenHBand="0" w:firstRowFirstColumn="0" w:firstRowLastColumn="0" w:lastRowFirstColumn="0" w:lastRowLastColumn="0"/>
            <w:tcW w:w="3915" w:type="dxa"/>
            <w:gridSpan w:val="3"/>
            <w:noWrap/>
            <w:hideMark/>
          </w:tcPr>
          <w:p w:rsidR="00663454" w:rsidRDefault="00663454" w:rsidP="00984186">
            <w:pPr>
              <w:keepNext/>
              <w:keepLines/>
              <w:spacing w:after="120" w:line="240" w:lineRule="auto"/>
              <w:rPr>
                <w:rFonts w:eastAsia="MS PGothic" w:hint="eastAsia"/>
                <w:color w:val="000000"/>
                <w:lang w:eastAsia="en-AU"/>
              </w:rPr>
            </w:pPr>
            <w:r>
              <w:rPr>
                <w:color w:val="000000"/>
                <w:lang w:eastAsia="en-AU"/>
              </w:rPr>
              <w:t>Price path (</w:t>
            </w:r>
            <w:r w:rsidRPr="00814805">
              <w:rPr>
                <w:color w:val="000000"/>
                <w:lang w:eastAsia="en-AU"/>
              </w:rPr>
              <w:t>nominal</w:t>
            </w:r>
            <w:r>
              <w:rPr>
                <w:color w:val="000000"/>
                <w:lang w:eastAsia="en-AU"/>
              </w:rPr>
              <w:t xml:space="preserve"> index</w:t>
            </w:r>
            <w:r w:rsidRPr="00814805">
              <w:rPr>
                <w:color w:val="000000"/>
                <w:lang w:eastAsia="en-AU"/>
              </w:rPr>
              <w:t>)</w:t>
            </w:r>
          </w:p>
        </w:tc>
        <w:tc>
          <w:tcPr>
            <w:tcW w:w="1272" w:type="dxa"/>
            <w:noWrap/>
            <w:hideMark/>
          </w:tcPr>
          <w:p w:rsidR="00663454" w:rsidRDefault="00663454" w:rsidP="00984186">
            <w:pPr>
              <w:keepNext/>
              <w:keepLines/>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rFonts w:eastAsia="MS PGothic"/>
                <w:color w:val="000000"/>
                <w:lang w:eastAsia="en-AU"/>
              </w:rPr>
              <w:t>1.00</w:t>
            </w:r>
          </w:p>
        </w:tc>
        <w:tc>
          <w:tcPr>
            <w:tcW w:w="1258" w:type="dxa"/>
            <w:noWrap/>
            <w:hideMark/>
          </w:tcPr>
          <w:p w:rsidR="00663454" w:rsidRDefault="00663454" w:rsidP="00984186">
            <w:pPr>
              <w:keepNext/>
              <w:keepLines/>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color w:val="000000"/>
                <w:lang w:eastAsia="en-AU"/>
              </w:rPr>
              <w:t>1.02</w:t>
            </w:r>
          </w:p>
        </w:tc>
        <w:tc>
          <w:tcPr>
            <w:tcW w:w="1398" w:type="dxa"/>
            <w:noWrap/>
            <w:hideMark/>
          </w:tcPr>
          <w:p w:rsidR="00663454" w:rsidRDefault="00663454" w:rsidP="00984186">
            <w:pPr>
              <w:keepNext/>
              <w:keepLines/>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color w:val="000000"/>
                <w:lang w:eastAsia="en-AU"/>
              </w:rPr>
              <w:t>2.5%</w:t>
            </w:r>
          </w:p>
        </w:tc>
        <w:tc>
          <w:tcPr>
            <w:tcW w:w="1397" w:type="dxa"/>
            <w:noWrap/>
            <w:hideMark/>
          </w:tcPr>
          <w:p w:rsidR="00663454" w:rsidRDefault="00663454" w:rsidP="00984186">
            <w:pPr>
              <w:keepNext/>
              <w:keepLines/>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color w:val="000000"/>
                <w:lang w:eastAsia="en-AU"/>
              </w:rPr>
              <w:t>n/a</w:t>
            </w:r>
          </w:p>
        </w:tc>
      </w:tr>
      <w:tr w:rsidR="00663454" w:rsidTr="005E15B8">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9240" w:type="dxa"/>
            <w:gridSpan w:val="7"/>
            <w:noWrap/>
            <w:hideMark/>
          </w:tcPr>
          <w:p w:rsidR="00663454" w:rsidRDefault="00663454" w:rsidP="00984186">
            <w:pPr>
              <w:keepNext/>
              <w:keepLines/>
              <w:spacing w:after="120" w:line="240" w:lineRule="auto"/>
              <w:rPr>
                <w:rFonts w:ascii="Times New Roman" w:eastAsia="MS PGothic" w:hAnsi="Times New Roman"/>
                <w:color w:val="000000"/>
                <w:lang w:eastAsia="en-AU"/>
              </w:rPr>
            </w:pPr>
            <w:r>
              <w:rPr>
                <w:b/>
                <w:bCs/>
                <w:color w:val="000000"/>
                <w:lang w:eastAsia="en-AU"/>
              </w:rPr>
              <w:t>AER substitute revenue and price path</w:t>
            </w:r>
          </w:p>
        </w:tc>
      </w:tr>
      <w:tr w:rsidR="00663454" w:rsidTr="005E15B8">
        <w:trPr>
          <w:trHeight w:val="202"/>
        </w:trPr>
        <w:tc>
          <w:tcPr>
            <w:cnfStyle w:val="001000000000" w:firstRow="0" w:lastRow="0" w:firstColumn="1" w:lastColumn="0" w:oddVBand="0" w:evenVBand="0" w:oddHBand="0" w:evenHBand="0" w:firstRowFirstColumn="0" w:firstRowLastColumn="0" w:lastRowFirstColumn="0" w:lastRowLastColumn="0"/>
            <w:tcW w:w="2292" w:type="dxa"/>
            <w:gridSpan w:val="2"/>
            <w:noWrap/>
          </w:tcPr>
          <w:p w:rsidR="00663454" w:rsidRDefault="00663454" w:rsidP="00984186">
            <w:pPr>
              <w:pStyle w:val="AERtabletextleft"/>
              <w:keepNext/>
              <w:keepLines/>
              <w:spacing w:before="120" w:line="240" w:lineRule="auto"/>
              <w:rPr>
                <w:rFonts w:eastAsia="MS PGothic" w:hint="eastAsia"/>
                <w:lang w:eastAsia="en-AU"/>
              </w:rPr>
            </w:pPr>
            <w:r>
              <w:rPr>
                <w:lang w:eastAsia="en-AU"/>
              </w:rPr>
              <w:t>Revenue ($m, nominal)</w:t>
            </w:r>
          </w:p>
        </w:tc>
        <w:tc>
          <w:tcPr>
            <w:tcW w:w="1623" w:type="dxa"/>
            <w:noWrap/>
          </w:tcPr>
          <w:p w:rsidR="00663454" w:rsidRDefault="00663454" w:rsidP="00984186">
            <w:pPr>
              <w:keepNext/>
              <w:keepLines/>
              <w:spacing w:after="120" w:line="240" w:lineRule="auto"/>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p>
        </w:tc>
        <w:tc>
          <w:tcPr>
            <w:tcW w:w="1272" w:type="dxa"/>
            <w:noWrap/>
            <w:hideMark/>
          </w:tcPr>
          <w:p w:rsidR="00663454" w:rsidRPr="007F0D5E" w:rsidRDefault="00663454" w:rsidP="00984186">
            <w:pPr>
              <w:keepNext/>
              <w:keepLines/>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vertAlign w:val="superscript"/>
                <w:lang w:eastAsia="en-AU"/>
              </w:rPr>
            </w:pPr>
            <w:r>
              <w:rPr>
                <w:color w:val="000000"/>
                <w:lang w:eastAsia="en-AU"/>
              </w:rPr>
              <w:t>1361</w:t>
            </w:r>
          </w:p>
        </w:tc>
        <w:tc>
          <w:tcPr>
            <w:tcW w:w="1258" w:type="dxa"/>
            <w:noWrap/>
          </w:tcPr>
          <w:p w:rsidR="00663454" w:rsidRDefault="00663454" w:rsidP="00984186">
            <w:pPr>
              <w:keepNext/>
              <w:keepLines/>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rFonts w:eastAsia="MS PGothic"/>
                <w:color w:val="000000"/>
                <w:lang w:eastAsia="en-AU"/>
              </w:rPr>
              <w:t>1292</w:t>
            </w:r>
          </w:p>
        </w:tc>
        <w:tc>
          <w:tcPr>
            <w:tcW w:w="1398" w:type="dxa"/>
            <w:noWrap/>
          </w:tcPr>
          <w:p w:rsidR="00663454" w:rsidRDefault="00663454" w:rsidP="00984186">
            <w:pPr>
              <w:keepNext/>
              <w:keepLines/>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rFonts w:eastAsia="MS PGothic"/>
                <w:color w:val="000000"/>
                <w:lang w:eastAsia="en-AU"/>
              </w:rPr>
              <w:t>–5.1%</w:t>
            </w:r>
          </w:p>
        </w:tc>
        <w:tc>
          <w:tcPr>
            <w:tcW w:w="1397" w:type="dxa"/>
            <w:noWrap/>
          </w:tcPr>
          <w:p w:rsidR="00663454" w:rsidRDefault="00663454" w:rsidP="00984186">
            <w:pPr>
              <w:pStyle w:val="AERtabletextleft"/>
              <w:keepNext/>
              <w:keepLines/>
              <w:spacing w:before="120" w:line="240" w:lineRule="auto"/>
              <w:cnfStyle w:val="000000000000" w:firstRow="0" w:lastRow="0" w:firstColumn="0" w:lastColumn="0" w:oddVBand="0" w:evenVBand="0" w:oddHBand="0" w:evenHBand="0" w:firstRowFirstColumn="0" w:firstRowLastColumn="0" w:lastRowFirstColumn="0" w:lastRowLastColumn="0"/>
              <w:rPr>
                <w:rFonts w:eastAsia="MS PGothic" w:hint="eastAsia"/>
                <w:lang w:eastAsia="en-AU"/>
              </w:rPr>
            </w:pPr>
            <w:r>
              <w:rPr>
                <w:rFonts w:eastAsia="MS PGothic"/>
                <w:lang w:eastAsia="en-AU"/>
              </w:rPr>
              <w:t>–5.2%</w:t>
            </w:r>
          </w:p>
        </w:tc>
      </w:tr>
      <w:tr w:rsidR="00663454" w:rsidTr="005E15B8">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915" w:type="dxa"/>
            <w:gridSpan w:val="3"/>
            <w:noWrap/>
          </w:tcPr>
          <w:p w:rsidR="00663454" w:rsidRDefault="00663454" w:rsidP="00984186">
            <w:pPr>
              <w:keepNext/>
              <w:keepLines/>
              <w:spacing w:after="120" w:line="240" w:lineRule="auto"/>
              <w:rPr>
                <w:rFonts w:eastAsia="MS PGothic" w:hint="eastAsia"/>
                <w:color w:val="000000"/>
                <w:lang w:eastAsia="en-AU"/>
              </w:rPr>
            </w:pPr>
            <w:r>
              <w:rPr>
                <w:color w:val="000000"/>
                <w:lang w:eastAsia="en-AU"/>
              </w:rPr>
              <w:t>Price path</w:t>
            </w:r>
            <w:r w:rsidRPr="00814805">
              <w:rPr>
                <w:color w:val="000000"/>
                <w:lang w:eastAsia="en-AU"/>
              </w:rPr>
              <w:t xml:space="preserve"> (nominal</w:t>
            </w:r>
            <w:r>
              <w:rPr>
                <w:color w:val="000000"/>
                <w:lang w:eastAsia="en-AU"/>
              </w:rPr>
              <w:t xml:space="preserve"> index</w:t>
            </w:r>
            <w:r w:rsidRPr="00814805">
              <w:rPr>
                <w:color w:val="000000"/>
                <w:lang w:eastAsia="en-AU"/>
              </w:rPr>
              <w:t>)</w:t>
            </w:r>
          </w:p>
        </w:tc>
        <w:tc>
          <w:tcPr>
            <w:tcW w:w="1272" w:type="dxa"/>
            <w:noWrap/>
            <w:hideMark/>
          </w:tcPr>
          <w:p w:rsidR="00663454" w:rsidRDefault="00663454" w:rsidP="00984186">
            <w:pPr>
              <w:keepNext/>
              <w:keepLines/>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1.00</w:t>
            </w:r>
          </w:p>
        </w:tc>
        <w:tc>
          <w:tcPr>
            <w:tcW w:w="1258" w:type="dxa"/>
            <w:noWrap/>
          </w:tcPr>
          <w:p w:rsidR="00663454" w:rsidRDefault="00663454" w:rsidP="00984186">
            <w:pPr>
              <w:keepNext/>
              <w:keepLines/>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rFonts w:eastAsia="MS PGothic"/>
                <w:color w:val="000000"/>
                <w:lang w:eastAsia="en-AU"/>
              </w:rPr>
              <w:t>0.97</w:t>
            </w:r>
          </w:p>
        </w:tc>
        <w:tc>
          <w:tcPr>
            <w:tcW w:w="1398" w:type="dxa"/>
            <w:noWrap/>
          </w:tcPr>
          <w:p w:rsidR="00663454" w:rsidRDefault="00663454" w:rsidP="00984186">
            <w:pPr>
              <w:keepNext/>
              <w:keepLines/>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rFonts w:eastAsia="MS PGothic"/>
                <w:color w:val="000000"/>
                <w:lang w:eastAsia="en-AU"/>
              </w:rPr>
              <w:t>–2.8%</w:t>
            </w:r>
          </w:p>
        </w:tc>
        <w:tc>
          <w:tcPr>
            <w:tcW w:w="1397" w:type="dxa"/>
            <w:noWrap/>
          </w:tcPr>
          <w:p w:rsidR="00663454" w:rsidRDefault="00663454" w:rsidP="00984186">
            <w:pPr>
              <w:pStyle w:val="AERtabletextleft"/>
              <w:keepNext/>
              <w:keepLines/>
              <w:spacing w:before="120" w:line="240" w:lineRule="auto"/>
              <w:cnfStyle w:val="000000010000" w:firstRow="0" w:lastRow="0" w:firstColumn="0" w:lastColumn="0" w:oddVBand="0" w:evenVBand="0" w:oddHBand="0" w:evenHBand="1" w:firstRowFirstColumn="0" w:firstRowLastColumn="0" w:lastRowFirstColumn="0" w:lastRowLastColumn="0"/>
              <w:rPr>
                <w:rFonts w:eastAsia="MS PGothic" w:hint="eastAsia"/>
                <w:lang w:eastAsia="en-AU"/>
              </w:rPr>
            </w:pPr>
            <w:r>
              <w:rPr>
                <w:rFonts w:eastAsia="MS PGothic"/>
                <w:lang w:eastAsia="en-AU"/>
              </w:rPr>
              <w:t>–5.2%</w:t>
            </w:r>
          </w:p>
        </w:tc>
      </w:tr>
    </w:tbl>
    <w:p w:rsidR="007331B6" w:rsidRDefault="007331B6" w:rsidP="007331B6">
      <w:pPr>
        <w:pStyle w:val="AERtablesource"/>
      </w:pPr>
      <w:r>
        <w:t>Source:</w:t>
      </w:r>
      <w:r>
        <w:tab/>
        <w:t>AER analysis.</w:t>
      </w:r>
    </w:p>
    <w:p w:rsidR="00635F22" w:rsidRDefault="00635F22" w:rsidP="00635F22">
      <w:pPr>
        <w:pStyle w:val="AERtablesource"/>
      </w:pPr>
    </w:p>
    <w:p w:rsidR="009916C7" w:rsidRDefault="00D35C6D" w:rsidP="009D768F">
      <w:pPr>
        <w:pStyle w:val="Caption"/>
        <w:jc w:val="left"/>
      </w:pPr>
      <w:r>
        <w:lastRenderedPageBreak/>
        <w:t xml:space="preserve">Table </w:t>
      </w:r>
      <w:r w:rsidR="00DD155E">
        <w:fldChar w:fldCharType="begin"/>
      </w:r>
      <w:r w:rsidR="00DD155E">
        <w:instrText xml:space="preserve"> STYLEREF 1 \s </w:instrText>
      </w:r>
      <w:r w:rsidR="00DD155E">
        <w:fldChar w:fldCharType="separate"/>
      </w:r>
      <w:r w:rsidR="00E313D7">
        <w:rPr>
          <w:noProof/>
        </w:rPr>
        <w:t>1</w:t>
      </w:r>
      <w:r w:rsidR="00DD155E">
        <w:rPr>
          <w:noProof/>
        </w:rPr>
        <w:fldChar w:fldCharType="end"/>
      </w:r>
      <w:r w:rsidR="00804FE8">
        <w:t>.</w:t>
      </w:r>
      <w:r w:rsidR="00DD155E">
        <w:fldChar w:fldCharType="begin"/>
      </w:r>
      <w:r w:rsidR="00DD155E">
        <w:instrText xml:space="preserve"> SEQ Table \* ARABIC \s 1 </w:instrText>
      </w:r>
      <w:r w:rsidR="00DD155E">
        <w:fldChar w:fldCharType="separate"/>
      </w:r>
      <w:r w:rsidR="00E313D7">
        <w:rPr>
          <w:noProof/>
        </w:rPr>
        <w:t>4</w:t>
      </w:r>
      <w:r w:rsidR="00DD155E">
        <w:rPr>
          <w:noProof/>
        </w:rPr>
        <w:fldChar w:fldCharType="end"/>
      </w:r>
      <w:r>
        <w:tab/>
      </w:r>
      <w:r w:rsidR="009916C7">
        <w:t>Endeavour Energy's</w:t>
      </w:r>
      <w:r w:rsidR="009916C7" w:rsidRPr="00970990">
        <w:t xml:space="preserve"> proposed revenue and price path and AER substituted revenue and price path</w:t>
      </w:r>
    </w:p>
    <w:tbl>
      <w:tblPr>
        <w:tblStyle w:val="AERtable-numbers"/>
        <w:tblW w:w="9206" w:type="dxa"/>
        <w:tblLook w:val="04A0" w:firstRow="1" w:lastRow="0" w:firstColumn="1" w:lastColumn="0" w:noHBand="0" w:noVBand="1"/>
      </w:tblPr>
      <w:tblGrid>
        <w:gridCol w:w="2066"/>
        <w:gridCol w:w="192"/>
        <w:gridCol w:w="1623"/>
        <w:gridCol w:w="1272"/>
        <w:gridCol w:w="1258"/>
        <w:gridCol w:w="1398"/>
        <w:gridCol w:w="1397"/>
      </w:tblGrid>
      <w:tr w:rsidR="00663454" w:rsidTr="005E15B8">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066" w:type="dxa"/>
            <w:noWrap/>
            <w:hideMark/>
          </w:tcPr>
          <w:p w:rsidR="00663454" w:rsidRDefault="00663454" w:rsidP="009D768F">
            <w:pPr>
              <w:pStyle w:val="AERbodytext"/>
              <w:keepNext/>
              <w:spacing w:after="120" w:line="240" w:lineRule="auto"/>
              <w:rPr>
                <w:rFonts w:eastAsia="MS PGothic" w:hint="eastAsia"/>
                <w:b w:val="0"/>
                <w:lang w:eastAsia="en-AU"/>
              </w:rPr>
            </w:pPr>
            <w:r>
              <w:rPr>
                <w:lang w:eastAsia="en-AU"/>
              </w:rPr>
              <w:t> </w:t>
            </w:r>
          </w:p>
        </w:tc>
        <w:tc>
          <w:tcPr>
            <w:tcW w:w="1815" w:type="dxa"/>
            <w:gridSpan w:val="2"/>
            <w:noWrap/>
            <w:hideMark/>
          </w:tcPr>
          <w:p w:rsidR="00663454" w:rsidRDefault="00663454" w:rsidP="009D768F">
            <w:pPr>
              <w:keepNext/>
              <w:spacing w:after="120" w:line="240" w:lineRule="auto"/>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color w:val="000000"/>
                <w:lang w:eastAsia="en-AU"/>
              </w:rPr>
            </w:pPr>
            <w:r>
              <w:rPr>
                <w:bCs/>
                <w:color w:val="000000"/>
                <w:lang w:eastAsia="en-AU"/>
              </w:rPr>
              <w:t> </w:t>
            </w:r>
          </w:p>
        </w:tc>
        <w:tc>
          <w:tcPr>
            <w:tcW w:w="1272" w:type="dxa"/>
            <w:noWrap/>
            <w:hideMark/>
          </w:tcPr>
          <w:p w:rsidR="00663454" w:rsidRDefault="00663454" w:rsidP="009D768F">
            <w:pPr>
              <w:keepNext/>
              <w:spacing w:after="120" w:line="240" w:lineRule="auto"/>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2013–14</w:t>
            </w:r>
          </w:p>
        </w:tc>
        <w:tc>
          <w:tcPr>
            <w:tcW w:w="1258" w:type="dxa"/>
            <w:noWrap/>
            <w:hideMark/>
          </w:tcPr>
          <w:p w:rsidR="00663454" w:rsidRDefault="00663454" w:rsidP="009D768F">
            <w:pPr>
              <w:keepNext/>
              <w:spacing w:after="120" w:line="240" w:lineRule="auto"/>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2014–15</w:t>
            </w:r>
          </w:p>
        </w:tc>
        <w:tc>
          <w:tcPr>
            <w:tcW w:w="1398" w:type="dxa"/>
            <w:noWrap/>
            <w:hideMark/>
          </w:tcPr>
          <w:p w:rsidR="00663454" w:rsidRDefault="00663454" w:rsidP="009D768F">
            <w:pPr>
              <w:keepNext/>
              <w:spacing w:after="120" w:line="240" w:lineRule="auto"/>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Change (%)</w:t>
            </w:r>
          </w:p>
        </w:tc>
        <w:tc>
          <w:tcPr>
            <w:tcW w:w="1397" w:type="dxa"/>
            <w:hideMark/>
          </w:tcPr>
          <w:p w:rsidR="00663454" w:rsidRDefault="00663454" w:rsidP="009D768F">
            <w:pPr>
              <w:keepNext/>
              <w:spacing w:after="120" w:line="240" w:lineRule="auto"/>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 xml:space="preserve">Difference from proposed 2014–15 </w:t>
            </w:r>
            <w:r>
              <w:rPr>
                <w:lang w:eastAsia="en-AU"/>
              </w:rPr>
              <w:t>(%)</w:t>
            </w:r>
          </w:p>
        </w:tc>
      </w:tr>
      <w:tr w:rsidR="00663454" w:rsidTr="005E15B8">
        <w:trPr>
          <w:trHeight w:val="202"/>
        </w:trPr>
        <w:tc>
          <w:tcPr>
            <w:cnfStyle w:val="001000000000" w:firstRow="0" w:lastRow="0" w:firstColumn="1" w:lastColumn="0" w:oddVBand="0" w:evenVBand="0" w:oddHBand="0" w:evenHBand="0" w:firstRowFirstColumn="0" w:firstRowLastColumn="0" w:lastRowFirstColumn="0" w:lastRowLastColumn="0"/>
            <w:tcW w:w="9206" w:type="dxa"/>
            <w:gridSpan w:val="7"/>
            <w:noWrap/>
            <w:hideMark/>
          </w:tcPr>
          <w:p w:rsidR="00663454" w:rsidRDefault="00663454" w:rsidP="009D768F">
            <w:pPr>
              <w:keepNext/>
              <w:spacing w:after="120" w:line="240" w:lineRule="auto"/>
              <w:rPr>
                <w:rFonts w:ascii="Times New Roman" w:eastAsia="MS PGothic" w:hAnsi="Times New Roman"/>
                <w:color w:val="000000"/>
                <w:lang w:eastAsia="en-AU"/>
              </w:rPr>
            </w:pPr>
            <w:r>
              <w:rPr>
                <w:b/>
                <w:bCs/>
                <w:color w:val="000000"/>
                <w:lang w:eastAsia="en-AU"/>
              </w:rPr>
              <w:t>Proposed revenue and price path</w:t>
            </w:r>
          </w:p>
        </w:tc>
      </w:tr>
      <w:tr w:rsidR="00663454" w:rsidTr="005E15B8">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881" w:type="dxa"/>
            <w:gridSpan w:val="3"/>
            <w:noWrap/>
            <w:hideMark/>
          </w:tcPr>
          <w:p w:rsidR="00663454" w:rsidRDefault="00663454" w:rsidP="009D768F">
            <w:pPr>
              <w:keepNext/>
              <w:spacing w:after="120" w:line="240" w:lineRule="auto"/>
              <w:rPr>
                <w:rFonts w:eastAsia="MS PGothic" w:hint="eastAsia"/>
                <w:color w:val="000000"/>
                <w:lang w:eastAsia="en-AU"/>
              </w:rPr>
            </w:pPr>
            <w:r>
              <w:rPr>
                <w:color w:val="000000"/>
                <w:lang w:eastAsia="en-AU"/>
              </w:rPr>
              <w:t>Revenue ($m, nominal)</w:t>
            </w:r>
          </w:p>
        </w:tc>
        <w:tc>
          <w:tcPr>
            <w:tcW w:w="1272" w:type="dxa"/>
            <w:noWrap/>
            <w:hideMark/>
          </w:tcPr>
          <w:p w:rsidR="00663454" w:rsidRPr="007F0D5E" w:rsidRDefault="00663454" w:rsidP="009D768F">
            <w:pPr>
              <w:keepNext/>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vertAlign w:val="superscript"/>
                <w:lang w:eastAsia="en-AU"/>
              </w:rPr>
            </w:pPr>
            <w:r>
              <w:rPr>
                <w:color w:val="000000"/>
                <w:lang w:eastAsia="en-AU"/>
              </w:rPr>
              <w:t>1015</w:t>
            </w:r>
          </w:p>
        </w:tc>
        <w:tc>
          <w:tcPr>
            <w:tcW w:w="1258" w:type="dxa"/>
            <w:noWrap/>
            <w:hideMark/>
          </w:tcPr>
          <w:p w:rsidR="00663454" w:rsidRDefault="00663454" w:rsidP="009D768F">
            <w:pPr>
              <w:keepNext/>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1007</w:t>
            </w:r>
            <w:r w:rsidR="000C4A19" w:rsidRPr="000C4A19">
              <w:rPr>
                <w:rStyle w:val="AERsuperscript"/>
              </w:rPr>
              <w:t>a</w:t>
            </w:r>
          </w:p>
        </w:tc>
        <w:tc>
          <w:tcPr>
            <w:tcW w:w="1398" w:type="dxa"/>
            <w:noWrap/>
            <w:hideMark/>
          </w:tcPr>
          <w:p w:rsidR="00663454" w:rsidRDefault="00663454" w:rsidP="009D768F">
            <w:pPr>
              <w:keepNext/>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–0.8%</w:t>
            </w:r>
          </w:p>
        </w:tc>
        <w:tc>
          <w:tcPr>
            <w:tcW w:w="1397" w:type="dxa"/>
            <w:noWrap/>
            <w:hideMark/>
          </w:tcPr>
          <w:p w:rsidR="00663454" w:rsidRDefault="00663454" w:rsidP="009D768F">
            <w:pPr>
              <w:keepNext/>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n/a</w:t>
            </w:r>
          </w:p>
        </w:tc>
      </w:tr>
      <w:tr w:rsidR="00663454" w:rsidTr="005E15B8">
        <w:trPr>
          <w:trHeight w:val="202"/>
        </w:trPr>
        <w:tc>
          <w:tcPr>
            <w:cnfStyle w:val="001000000000" w:firstRow="0" w:lastRow="0" w:firstColumn="1" w:lastColumn="0" w:oddVBand="0" w:evenVBand="0" w:oddHBand="0" w:evenHBand="0" w:firstRowFirstColumn="0" w:firstRowLastColumn="0" w:lastRowFirstColumn="0" w:lastRowLastColumn="0"/>
            <w:tcW w:w="3881" w:type="dxa"/>
            <w:gridSpan w:val="3"/>
            <w:noWrap/>
            <w:hideMark/>
          </w:tcPr>
          <w:p w:rsidR="00663454" w:rsidRDefault="00663454" w:rsidP="009D768F">
            <w:pPr>
              <w:keepNext/>
              <w:spacing w:after="120" w:line="240" w:lineRule="auto"/>
              <w:rPr>
                <w:rFonts w:eastAsia="MS PGothic" w:hint="eastAsia"/>
                <w:color w:val="000000"/>
                <w:lang w:eastAsia="en-AU"/>
              </w:rPr>
            </w:pPr>
            <w:r>
              <w:rPr>
                <w:color w:val="000000"/>
                <w:lang w:eastAsia="en-AU"/>
              </w:rPr>
              <w:t>Price path (</w:t>
            </w:r>
            <w:r w:rsidRPr="00814805">
              <w:rPr>
                <w:color w:val="000000"/>
                <w:lang w:eastAsia="en-AU"/>
              </w:rPr>
              <w:t>nominal</w:t>
            </w:r>
            <w:r>
              <w:rPr>
                <w:color w:val="000000"/>
                <w:lang w:eastAsia="en-AU"/>
              </w:rPr>
              <w:t xml:space="preserve"> index</w:t>
            </w:r>
            <w:r w:rsidRPr="00814805">
              <w:rPr>
                <w:color w:val="000000"/>
                <w:lang w:eastAsia="en-AU"/>
              </w:rPr>
              <w:t>)</w:t>
            </w:r>
          </w:p>
        </w:tc>
        <w:tc>
          <w:tcPr>
            <w:tcW w:w="1272" w:type="dxa"/>
            <w:noWrap/>
            <w:hideMark/>
          </w:tcPr>
          <w:p w:rsidR="00663454" w:rsidRDefault="00663454" w:rsidP="009D768F">
            <w:pPr>
              <w:keepNext/>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rFonts w:eastAsia="MS PGothic"/>
                <w:color w:val="000000"/>
                <w:lang w:eastAsia="en-AU"/>
              </w:rPr>
              <w:t>1.00</w:t>
            </w:r>
          </w:p>
        </w:tc>
        <w:tc>
          <w:tcPr>
            <w:tcW w:w="1258" w:type="dxa"/>
            <w:noWrap/>
            <w:hideMark/>
          </w:tcPr>
          <w:p w:rsidR="00663454" w:rsidRDefault="00663454" w:rsidP="009D768F">
            <w:pPr>
              <w:keepNext/>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color w:val="000000"/>
                <w:lang w:eastAsia="en-AU"/>
              </w:rPr>
              <w:t>1.00</w:t>
            </w:r>
          </w:p>
        </w:tc>
        <w:tc>
          <w:tcPr>
            <w:tcW w:w="1398" w:type="dxa"/>
            <w:noWrap/>
            <w:hideMark/>
          </w:tcPr>
          <w:p w:rsidR="00663454" w:rsidRDefault="00663454" w:rsidP="009D768F">
            <w:pPr>
              <w:keepNext/>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color w:val="000000"/>
                <w:lang w:eastAsia="en-AU"/>
              </w:rPr>
              <w:t>–0.2%</w:t>
            </w:r>
          </w:p>
        </w:tc>
        <w:tc>
          <w:tcPr>
            <w:tcW w:w="1397" w:type="dxa"/>
            <w:noWrap/>
            <w:hideMark/>
          </w:tcPr>
          <w:p w:rsidR="00663454" w:rsidRDefault="00663454" w:rsidP="009D768F">
            <w:pPr>
              <w:keepNext/>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color w:val="000000"/>
                <w:lang w:eastAsia="en-AU"/>
              </w:rPr>
              <w:t>n/a</w:t>
            </w:r>
          </w:p>
        </w:tc>
      </w:tr>
      <w:tr w:rsidR="00663454" w:rsidTr="005E15B8">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9206" w:type="dxa"/>
            <w:gridSpan w:val="7"/>
            <w:noWrap/>
            <w:hideMark/>
          </w:tcPr>
          <w:p w:rsidR="00663454" w:rsidRDefault="00663454" w:rsidP="009D768F">
            <w:pPr>
              <w:keepNext/>
              <w:spacing w:after="120" w:line="240" w:lineRule="auto"/>
              <w:rPr>
                <w:rFonts w:ascii="Times New Roman" w:eastAsia="MS PGothic" w:hAnsi="Times New Roman"/>
                <w:color w:val="000000"/>
                <w:lang w:eastAsia="en-AU"/>
              </w:rPr>
            </w:pPr>
            <w:r>
              <w:rPr>
                <w:b/>
                <w:bCs/>
                <w:color w:val="000000"/>
                <w:lang w:eastAsia="en-AU"/>
              </w:rPr>
              <w:t>AER substitute revenue and price path</w:t>
            </w:r>
          </w:p>
        </w:tc>
      </w:tr>
      <w:tr w:rsidR="00663454" w:rsidTr="005E15B8">
        <w:trPr>
          <w:trHeight w:val="202"/>
        </w:trPr>
        <w:tc>
          <w:tcPr>
            <w:cnfStyle w:val="001000000000" w:firstRow="0" w:lastRow="0" w:firstColumn="1" w:lastColumn="0" w:oddVBand="0" w:evenVBand="0" w:oddHBand="0" w:evenHBand="0" w:firstRowFirstColumn="0" w:firstRowLastColumn="0" w:lastRowFirstColumn="0" w:lastRowLastColumn="0"/>
            <w:tcW w:w="2258" w:type="dxa"/>
            <w:gridSpan w:val="2"/>
            <w:noWrap/>
          </w:tcPr>
          <w:p w:rsidR="00663454" w:rsidRDefault="00663454" w:rsidP="009D768F">
            <w:pPr>
              <w:pStyle w:val="AERtabletextleft"/>
              <w:keepNext/>
              <w:spacing w:before="120" w:line="240" w:lineRule="auto"/>
              <w:rPr>
                <w:rFonts w:eastAsia="MS PGothic" w:hint="eastAsia"/>
                <w:lang w:eastAsia="en-AU"/>
              </w:rPr>
            </w:pPr>
            <w:r>
              <w:rPr>
                <w:lang w:eastAsia="en-AU"/>
              </w:rPr>
              <w:t>Revenue ($m, nominal)</w:t>
            </w:r>
          </w:p>
        </w:tc>
        <w:tc>
          <w:tcPr>
            <w:tcW w:w="1623" w:type="dxa"/>
            <w:noWrap/>
          </w:tcPr>
          <w:p w:rsidR="00663454" w:rsidRDefault="00663454" w:rsidP="009D768F">
            <w:pPr>
              <w:keepNext/>
              <w:spacing w:after="120" w:line="240" w:lineRule="auto"/>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p>
        </w:tc>
        <w:tc>
          <w:tcPr>
            <w:tcW w:w="1272" w:type="dxa"/>
            <w:noWrap/>
            <w:hideMark/>
          </w:tcPr>
          <w:p w:rsidR="00663454" w:rsidRPr="007F0D5E" w:rsidRDefault="00663454" w:rsidP="009D768F">
            <w:pPr>
              <w:keepNext/>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vertAlign w:val="superscript"/>
                <w:lang w:eastAsia="en-AU"/>
              </w:rPr>
            </w:pPr>
            <w:r>
              <w:rPr>
                <w:color w:val="000000"/>
                <w:lang w:eastAsia="en-AU"/>
              </w:rPr>
              <w:t>1015</w:t>
            </w:r>
          </w:p>
        </w:tc>
        <w:tc>
          <w:tcPr>
            <w:tcW w:w="1258" w:type="dxa"/>
            <w:noWrap/>
          </w:tcPr>
          <w:p w:rsidR="00663454" w:rsidRDefault="00663454" w:rsidP="009D768F">
            <w:pPr>
              <w:keepNext/>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rFonts w:eastAsia="MS PGothic"/>
                <w:color w:val="000000"/>
                <w:lang w:eastAsia="en-AU"/>
              </w:rPr>
              <w:t>949</w:t>
            </w:r>
            <w:r w:rsidR="000C4A19" w:rsidRPr="000C4A19">
              <w:rPr>
                <w:rStyle w:val="AERsuperscript"/>
              </w:rPr>
              <w:t>a</w:t>
            </w:r>
          </w:p>
        </w:tc>
        <w:tc>
          <w:tcPr>
            <w:tcW w:w="1398" w:type="dxa"/>
            <w:noWrap/>
          </w:tcPr>
          <w:p w:rsidR="00663454" w:rsidRDefault="00663454" w:rsidP="009D768F">
            <w:pPr>
              <w:keepNext/>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rFonts w:eastAsia="MS PGothic"/>
                <w:color w:val="000000"/>
                <w:lang w:eastAsia="en-AU"/>
              </w:rPr>
              <w:t>–6.5%</w:t>
            </w:r>
          </w:p>
        </w:tc>
        <w:tc>
          <w:tcPr>
            <w:tcW w:w="1397" w:type="dxa"/>
            <w:noWrap/>
          </w:tcPr>
          <w:p w:rsidR="00663454" w:rsidRDefault="00663454" w:rsidP="009D768F">
            <w:pPr>
              <w:pStyle w:val="AERtabletextleft"/>
              <w:keepNext/>
              <w:spacing w:before="120" w:line="240" w:lineRule="auto"/>
              <w:cnfStyle w:val="000000000000" w:firstRow="0" w:lastRow="0" w:firstColumn="0" w:lastColumn="0" w:oddVBand="0" w:evenVBand="0" w:oddHBand="0" w:evenHBand="0" w:firstRowFirstColumn="0" w:firstRowLastColumn="0" w:lastRowFirstColumn="0" w:lastRowLastColumn="0"/>
              <w:rPr>
                <w:rFonts w:eastAsia="MS PGothic" w:hint="eastAsia"/>
                <w:lang w:eastAsia="en-AU"/>
              </w:rPr>
            </w:pPr>
            <w:r>
              <w:rPr>
                <w:rFonts w:eastAsia="MS PGothic"/>
                <w:lang w:eastAsia="en-AU"/>
              </w:rPr>
              <w:t>–5.</w:t>
            </w:r>
            <w:r w:rsidR="00916BC8">
              <w:rPr>
                <w:rFonts w:eastAsia="MS PGothic"/>
              </w:rPr>
              <w:t>8</w:t>
            </w:r>
            <w:r>
              <w:rPr>
                <w:rFonts w:eastAsia="MS PGothic"/>
                <w:lang w:eastAsia="en-AU"/>
              </w:rPr>
              <w:t>%</w:t>
            </w:r>
          </w:p>
        </w:tc>
      </w:tr>
      <w:tr w:rsidR="00663454" w:rsidTr="005E15B8">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881" w:type="dxa"/>
            <w:gridSpan w:val="3"/>
            <w:noWrap/>
          </w:tcPr>
          <w:p w:rsidR="00663454" w:rsidRDefault="00663454" w:rsidP="009D768F">
            <w:pPr>
              <w:keepNext/>
              <w:spacing w:after="120" w:line="240" w:lineRule="auto"/>
              <w:rPr>
                <w:rFonts w:eastAsia="MS PGothic" w:hint="eastAsia"/>
                <w:color w:val="000000"/>
                <w:lang w:eastAsia="en-AU"/>
              </w:rPr>
            </w:pPr>
            <w:r>
              <w:rPr>
                <w:color w:val="000000"/>
                <w:lang w:eastAsia="en-AU"/>
              </w:rPr>
              <w:t>Price path</w:t>
            </w:r>
            <w:r w:rsidRPr="00814805">
              <w:rPr>
                <w:color w:val="000000"/>
                <w:lang w:eastAsia="en-AU"/>
              </w:rPr>
              <w:t xml:space="preserve"> (nominal</w:t>
            </w:r>
            <w:r>
              <w:rPr>
                <w:color w:val="000000"/>
                <w:lang w:eastAsia="en-AU"/>
              </w:rPr>
              <w:t xml:space="preserve"> index</w:t>
            </w:r>
            <w:r w:rsidRPr="00814805">
              <w:rPr>
                <w:color w:val="000000"/>
                <w:lang w:eastAsia="en-AU"/>
              </w:rPr>
              <w:t>)</w:t>
            </w:r>
          </w:p>
        </w:tc>
        <w:tc>
          <w:tcPr>
            <w:tcW w:w="1272" w:type="dxa"/>
            <w:noWrap/>
            <w:hideMark/>
          </w:tcPr>
          <w:p w:rsidR="00663454" w:rsidRDefault="00663454" w:rsidP="009D768F">
            <w:pPr>
              <w:keepNext/>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1.00</w:t>
            </w:r>
          </w:p>
        </w:tc>
        <w:tc>
          <w:tcPr>
            <w:tcW w:w="1258" w:type="dxa"/>
            <w:noWrap/>
          </w:tcPr>
          <w:p w:rsidR="00663454" w:rsidRDefault="00663454" w:rsidP="009D768F">
            <w:pPr>
              <w:keepNext/>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rFonts w:eastAsia="MS PGothic"/>
                <w:color w:val="000000"/>
                <w:lang w:eastAsia="en-AU"/>
              </w:rPr>
              <w:t>0.94</w:t>
            </w:r>
          </w:p>
        </w:tc>
        <w:tc>
          <w:tcPr>
            <w:tcW w:w="1398" w:type="dxa"/>
            <w:noWrap/>
          </w:tcPr>
          <w:p w:rsidR="00663454" w:rsidRDefault="00663454" w:rsidP="009D768F">
            <w:pPr>
              <w:keepNext/>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rFonts w:eastAsia="MS PGothic"/>
                <w:color w:val="000000"/>
                <w:lang w:eastAsia="en-AU"/>
              </w:rPr>
              <w:t>–6.0%</w:t>
            </w:r>
          </w:p>
        </w:tc>
        <w:tc>
          <w:tcPr>
            <w:tcW w:w="1397" w:type="dxa"/>
            <w:noWrap/>
          </w:tcPr>
          <w:p w:rsidR="00663454" w:rsidRDefault="00663454" w:rsidP="009D768F">
            <w:pPr>
              <w:pStyle w:val="AERtabletextleft"/>
              <w:keepNext/>
              <w:spacing w:before="120" w:line="240" w:lineRule="auto"/>
              <w:cnfStyle w:val="000000010000" w:firstRow="0" w:lastRow="0" w:firstColumn="0" w:lastColumn="0" w:oddVBand="0" w:evenVBand="0" w:oddHBand="0" w:evenHBand="1" w:firstRowFirstColumn="0" w:firstRowLastColumn="0" w:lastRowFirstColumn="0" w:lastRowLastColumn="0"/>
              <w:rPr>
                <w:rFonts w:eastAsia="MS PGothic" w:hint="eastAsia"/>
                <w:lang w:eastAsia="en-AU"/>
              </w:rPr>
            </w:pPr>
            <w:r>
              <w:rPr>
                <w:rFonts w:eastAsia="MS PGothic"/>
                <w:lang w:eastAsia="en-AU"/>
              </w:rPr>
              <w:t>–5.7%</w:t>
            </w:r>
          </w:p>
        </w:tc>
      </w:tr>
    </w:tbl>
    <w:p w:rsidR="007331B6" w:rsidRDefault="007331B6" w:rsidP="009D768F">
      <w:pPr>
        <w:pStyle w:val="AERtablesource"/>
        <w:keepNext/>
      </w:pPr>
      <w:r>
        <w:t>Source:</w:t>
      </w:r>
      <w:r>
        <w:tab/>
        <w:t>AER analysis.</w:t>
      </w:r>
    </w:p>
    <w:p w:rsidR="000C4A19" w:rsidRPr="009D768F" w:rsidRDefault="00984186" w:rsidP="0023073C">
      <w:pPr>
        <w:pStyle w:val="AERtablesource"/>
        <w:spacing w:after="120"/>
      </w:pPr>
      <w:r w:rsidRPr="009D768F">
        <w:t>Notes</w:t>
      </w:r>
      <w:r w:rsidR="00CB2977" w:rsidRPr="009D768F">
        <w:t>:</w:t>
      </w:r>
      <w:r w:rsidR="007331B6" w:rsidRPr="009D768F">
        <w:tab/>
      </w:r>
      <w:r w:rsidR="000C4A19" w:rsidRPr="009D768F">
        <w:t>a.</w:t>
      </w:r>
      <w:r w:rsidR="000C4A19" w:rsidRPr="009D768F">
        <w:tab/>
        <w:t xml:space="preserve">Revenue figures include </w:t>
      </w:r>
      <w:r w:rsidR="009D6E12" w:rsidRPr="009D768F">
        <w:t>costs</w:t>
      </w:r>
      <w:r w:rsidR="000C4A19" w:rsidRPr="009D768F">
        <w:t xml:space="preserve"> arising from </w:t>
      </w:r>
      <w:r w:rsidR="00243EA5" w:rsidRPr="009D768F">
        <w:t>ancillary network services</w:t>
      </w:r>
      <w:r w:rsidR="000C4A19" w:rsidRPr="009D768F">
        <w:t xml:space="preserve">. </w:t>
      </w:r>
      <w:r w:rsidR="009D6E12" w:rsidRPr="009D768F">
        <w:t xml:space="preserve">Some of these costs are recovered </w:t>
      </w:r>
      <w:r w:rsidR="0023073C">
        <w:tab/>
      </w:r>
      <w:r w:rsidR="009D6E12" w:rsidRPr="009D768F">
        <w:t xml:space="preserve">through separate charges as discussed in section </w:t>
      </w:r>
      <w:r w:rsidR="00540B22" w:rsidRPr="009D768F">
        <w:fldChar w:fldCharType="begin"/>
      </w:r>
      <w:r w:rsidR="00540B22" w:rsidRPr="009D768F">
        <w:instrText xml:space="preserve"> REF _Ref384824411 \r \h </w:instrText>
      </w:r>
      <w:r w:rsidR="00540B22" w:rsidRPr="009D768F">
        <w:fldChar w:fldCharType="separate"/>
      </w:r>
      <w:r w:rsidR="00E313D7">
        <w:t>4.1</w:t>
      </w:r>
      <w:r w:rsidR="00540B22" w:rsidRPr="009D768F">
        <w:fldChar w:fldCharType="end"/>
      </w:r>
      <w:r w:rsidR="009D6E12" w:rsidRPr="009D768F">
        <w:t>.</w:t>
      </w:r>
    </w:p>
    <w:p w:rsidR="009916C7" w:rsidRDefault="00D35C6D" w:rsidP="00EE6780">
      <w:pPr>
        <w:pStyle w:val="Caption"/>
        <w:jc w:val="left"/>
      </w:pPr>
      <w:r>
        <w:t xml:space="preserve">Table </w:t>
      </w:r>
      <w:r w:rsidR="00DD155E">
        <w:fldChar w:fldCharType="begin"/>
      </w:r>
      <w:r w:rsidR="00DD155E">
        <w:instrText xml:space="preserve"> STYLEREF 1 \s </w:instrText>
      </w:r>
      <w:r w:rsidR="00DD155E">
        <w:fldChar w:fldCharType="separate"/>
      </w:r>
      <w:r w:rsidR="00E313D7">
        <w:rPr>
          <w:noProof/>
        </w:rPr>
        <w:t>1</w:t>
      </w:r>
      <w:r w:rsidR="00DD155E">
        <w:rPr>
          <w:noProof/>
        </w:rPr>
        <w:fldChar w:fldCharType="end"/>
      </w:r>
      <w:r w:rsidR="00804FE8">
        <w:t>.</w:t>
      </w:r>
      <w:r w:rsidR="00DD155E">
        <w:fldChar w:fldCharType="begin"/>
      </w:r>
      <w:r w:rsidR="00DD155E">
        <w:instrText xml:space="preserve"> SEQ Table \* ARABIC \s 1 </w:instrText>
      </w:r>
      <w:r w:rsidR="00DD155E">
        <w:fldChar w:fldCharType="separate"/>
      </w:r>
      <w:r w:rsidR="00E313D7">
        <w:rPr>
          <w:noProof/>
        </w:rPr>
        <w:t>5</w:t>
      </w:r>
      <w:r w:rsidR="00DD155E">
        <w:rPr>
          <w:noProof/>
        </w:rPr>
        <w:fldChar w:fldCharType="end"/>
      </w:r>
      <w:r>
        <w:tab/>
      </w:r>
      <w:r w:rsidR="009916C7">
        <w:t>ActewAGL</w:t>
      </w:r>
      <w:r w:rsidR="009916C7" w:rsidRPr="00292418">
        <w:t>’s proposed revenue and price path and AER substituted revenue and price path</w:t>
      </w:r>
      <w:r w:rsidR="009916C7">
        <w:t xml:space="preserve"> – distribution</w:t>
      </w:r>
    </w:p>
    <w:tbl>
      <w:tblPr>
        <w:tblStyle w:val="AERtable-numbers"/>
        <w:tblW w:w="9206" w:type="dxa"/>
        <w:tblLook w:val="04A0" w:firstRow="1" w:lastRow="0" w:firstColumn="1" w:lastColumn="0" w:noHBand="0" w:noVBand="1"/>
      </w:tblPr>
      <w:tblGrid>
        <w:gridCol w:w="2066"/>
        <w:gridCol w:w="192"/>
        <w:gridCol w:w="1623"/>
        <w:gridCol w:w="1272"/>
        <w:gridCol w:w="1258"/>
        <w:gridCol w:w="1398"/>
        <w:gridCol w:w="1397"/>
      </w:tblGrid>
      <w:tr w:rsidR="00663454" w:rsidTr="00984186">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066" w:type="dxa"/>
            <w:noWrap/>
            <w:hideMark/>
          </w:tcPr>
          <w:p w:rsidR="00663454" w:rsidRDefault="00663454" w:rsidP="00EE6780">
            <w:pPr>
              <w:pStyle w:val="AERbodytext"/>
              <w:keepNext/>
              <w:spacing w:after="120" w:line="240" w:lineRule="auto"/>
              <w:rPr>
                <w:rFonts w:eastAsia="MS PGothic" w:hint="eastAsia"/>
                <w:b w:val="0"/>
                <w:lang w:eastAsia="en-AU"/>
              </w:rPr>
            </w:pPr>
            <w:r>
              <w:rPr>
                <w:lang w:eastAsia="en-AU"/>
              </w:rPr>
              <w:t> </w:t>
            </w:r>
          </w:p>
        </w:tc>
        <w:tc>
          <w:tcPr>
            <w:tcW w:w="1815" w:type="dxa"/>
            <w:gridSpan w:val="2"/>
            <w:noWrap/>
            <w:hideMark/>
          </w:tcPr>
          <w:p w:rsidR="00663454" w:rsidRDefault="00663454" w:rsidP="00EE6780">
            <w:pPr>
              <w:keepNext/>
              <w:spacing w:after="120" w:line="240" w:lineRule="auto"/>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color w:val="000000"/>
                <w:lang w:eastAsia="en-AU"/>
              </w:rPr>
            </w:pPr>
            <w:r>
              <w:rPr>
                <w:bCs/>
                <w:color w:val="000000"/>
                <w:lang w:eastAsia="en-AU"/>
              </w:rPr>
              <w:t> </w:t>
            </w:r>
          </w:p>
        </w:tc>
        <w:tc>
          <w:tcPr>
            <w:tcW w:w="1272" w:type="dxa"/>
            <w:noWrap/>
            <w:hideMark/>
          </w:tcPr>
          <w:p w:rsidR="00663454" w:rsidRDefault="00663454" w:rsidP="00EE6780">
            <w:pPr>
              <w:keepNext/>
              <w:spacing w:after="120" w:line="240" w:lineRule="auto"/>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2013–14</w:t>
            </w:r>
          </w:p>
        </w:tc>
        <w:tc>
          <w:tcPr>
            <w:tcW w:w="1258" w:type="dxa"/>
            <w:noWrap/>
            <w:hideMark/>
          </w:tcPr>
          <w:p w:rsidR="00663454" w:rsidRDefault="00663454" w:rsidP="00EE6780">
            <w:pPr>
              <w:keepNext/>
              <w:spacing w:after="120" w:line="240" w:lineRule="auto"/>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2014–15</w:t>
            </w:r>
          </w:p>
        </w:tc>
        <w:tc>
          <w:tcPr>
            <w:tcW w:w="1398" w:type="dxa"/>
            <w:noWrap/>
            <w:hideMark/>
          </w:tcPr>
          <w:p w:rsidR="00663454" w:rsidRDefault="00663454" w:rsidP="00EE6780">
            <w:pPr>
              <w:keepNext/>
              <w:spacing w:after="120" w:line="240" w:lineRule="auto"/>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Change (%)</w:t>
            </w:r>
          </w:p>
        </w:tc>
        <w:tc>
          <w:tcPr>
            <w:tcW w:w="1397" w:type="dxa"/>
            <w:hideMark/>
          </w:tcPr>
          <w:p w:rsidR="00663454" w:rsidRDefault="00663454" w:rsidP="00EE6780">
            <w:pPr>
              <w:keepNext/>
              <w:spacing w:after="120" w:line="240" w:lineRule="auto"/>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 xml:space="preserve">Difference from proposed 2014–15 </w:t>
            </w:r>
            <w:r>
              <w:rPr>
                <w:lang w:eastAsia="en-AU"/>
              </w:rPr>
              <w:t>(%)</w:t>
            </w:r>
          </w:p>
        </w:tc>
      </w:tr>
      <w:tr w:rsidR="00663454" w:rsidTr="00984186">
        <w:trPr>
          <w:trHeight w:val="202"/>
        </w:trPr>
        <w:tc>
          <w:tcPr>
            <w:cnfStyle w:val="001000000000" w:firstRow="0" w:lastRow="0" w:firstColumn="1" w:lastColumn="0" w:oddVBand="0" w:evenVBand="0" w:oddHBand="0" w:evenHBand="0" w:firstRowFirstColumn="0" w:firstRowLastColumn="0" w:lastRowFirstColumn="0" w:lastRowLastColumn="0"/>
            <w:tcW w:w="9206" w:type="dxa"/>
            <w:gridSpan w:val="7"/>
            <w:noWrap/>
            <w:hideMark/>
          </w:tcPr>
          <w:p w:rsidR="00663454" w:rsidRDefault="00663454" w:rsidP="00EE6780">
            <w:pPr>
              <w:keepNext/>
              <w:spacing w:after="120" w:line="240" w:lineRule="auto"/>
              <w:rPr>
                <w:rFonts w:ascii="Times New Roman" w:eastAsia="MS PGothic" w:hAnsi="Times New Roman"/>
                <w:color w:val="000000"/>
                <w:lang w:eastAsia="en-AU"/>
              </w:rPr>
            </w:pPr>
            <w:r>
              <w:rPr>
                <w:b/>
                <w:bCs/>
                <w:color w:val="000000"/>
                <w:lang w:eastAsia="en-AU"/>
              </w:rPr>
              <w:t>Proposed revenue and price path</w:t>
            </w:r>
          </w:p>
        </w:tc>
      </w:tr>
      <w:tr w:rsidR="00663454" w:rsidTr="00984186">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881" w:type="dxa"/>
            <w:gridSpan w:val="3"/>
            <w:noWrap/>
            <w:hideMark/>
          </w:tcPr>
          <w:p w:rsidR="00663454" w:rsidRDefault="00663454" w:rsidP="00EE6780">
            <w:pPr>
              <w:keepNext/>
              <w:spacing w:after="120" w:line="240" w:lineRule="auto"/>
              <w:rPr>
                <w:rFonts w:eastAsia="MS PGothic" w:hint="eastAsia"/>
                <w:color w:val="000000"/>
                <w:lang w:eastAsia="en-AU"/>
              </w:rPr>
            </w:pPr>
            <w:r>
              <w:rPr>
                <w:color w:val="000000"/>
                <w:lang w:eastAsia="en-AU"/>
              </w:rPr>
              <w:t>Revenue ($m, nominal)</w:t>
            </w:r>
          </w:p>
        </w:tc>
        <w:tc>
          <w:tcPr>
            <w:tcW w:w="1272" w:type="dxa"/>
            <w:noWrap/>
            <w:hideMark/>
          </w:tcPr>
          <w:p w:rsidR="00663454" w:rsidRPr="002D4199" w:rsidRDefault="00663454" w:rsidP="00EE6780">
            <w:pPr>
              <w:keepNext/>
              <w:spacing w:after="120" w:line="240" w:lineRule="auto"/>
              <w:jc w:val="right"/>
              <w:cnfStyle w:val="000000010000" w:firstRow="0" w:lastRow="0" w:firstColumn="0" w:lastColumn="0" w:oddVBand="0" w:evenVBand="0" w:oddHBand="0" w:evenHBand="1" w:firstRowFirstColumn="0" w:firstRowLastColumn="0" w:lastRowFirstColumn="0" w:lastRowLastColumn="0"/>
              <w:rPr>
                <w:rStyle w:val="AERsuperscript"/>
              </w:rPr>
            </w:pPr>
            <w:r>
              <w:rPr>
                <w:color w:val="000000"/>
                <w:lang w:eastAsia="en-AU"/>
              </w:rPr>
              <w:t>152</w:t>
            </w:r>
            <w:r>
              <w:rPr>
                <w:rStyle w:val="AERsuperscript"/>
              </w:rPr>
              <w:t>a</w:t>
            </w:r>
          </w:p>
        </w:tc>
        <w:tc>
          <w:tcPr>
            <w:tcW w:w="1258" w:type="dxa"/>
            <w:noWrap/>
            <w:hideMark/>
          </w:tcPr>
          <w:p w:rsidR="00663454" w:rsidRDefault="00663454" w:rsidP="00EE6780">
            <w:pPr>
              <w:keepNext/>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156</w:t>
            </w:r>
          </w:p>
        </w:tc>
        <w:tc>
          <w:tcPr>
            <w:tcW w:w="1398" w:type="dxa"/>
            <w:noWrap/>
            <w:hideMark/>
          </w:tcPr>
          <w:p w:rsidR="00663454" w:rsidRDefault="00663454" w:rsidP="00EE6780">
            <w:pPr>
              <w:keepNext/>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2.3%</w:t>
            </w:r>
          </w:p>
        </w:tc>
        <w:tc>
          <w:tcPr>
            <w:tcW w:w="1397" w:type="dxa"/>
            <w:noWrap/>
            <w:hideMark/>
          </w:tcPr>
          <w:p w:rsidR="00663454" w:rsidRDefault="00663454" w:rsidP="00EE6780">
            <w:pPr>
              <w:keepNext/>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n/a</w:t>
            </w:r>
          </w:p>
        </w:tc>
      </w:tr>
      <w:tr w:rsidR="00663454" w:rsidTr="00984186">
        <w:trPr>
          <w:trHeight w:val="202"/>
        </w:trPr>
        <w:tc>
          <w:tcPr>
            <w:cnfStyle w:val="001000000000" w:firstRow="0" w:lastRow="0" w:firstColumn="1" w:lastColumn="0" w:oddVBand="0" w:evenVBand="0" w:oddHBand="0" w:evenHBand="0" w:firstRowFirstColumn="0" w:firstRowLastColumn="0" w:lastRowFirstColumn="0" w:lastRowLastColumn="0"/>
            <w:tcW w:w="3881" w:type="dxa"/>
            <w:gridSpan w:val="3"/>
            <w:noWrap/>
            <w:hideMark/>
          </w:tcPr>
          <w:p w:rsidR="00663454" w:rsidRDefault="00663454" w:rsidP="00EE6780">
            <w:pPr>
              <w:keepNext/>
              <w:spacing w:after="120" w:line="240" w:lineRule="auto"/>
              <w:rPr>
                <w:rFonts w:eastAsia="MS PGothic" w:hint="eastAsia"/>
                <w:color w:val="000000"/>
                <w:lang w:eastAsia="en-AU"/>
              </w:rPr>
            </w:pPr>
            <w:r>
              <w:rPr>
                <w:color w:val="000000"/>
                <w:lang w:eastAsia="en-AU"/>
              </w:rPr>
              <w:t>Price path (</w:t>
            </w:r>
            <w:r w:rsidRPr="00814805">
              <w:rPr>
                <w:color w:val="000000"/>
                <w:lang w:eastAsia="en-AU"/>
              </w:rPr>
              <w:t>nominal</w:t>
            </w:r>
            <w:r>
              <w:rPr>
                <w:color w:val="000000"/>
                <w:lang w:eastAsia="en-AU"/>
              </w:rPr>
              <w:t xml:space="preserve"> index</w:t>
            </w:r>
            <w:r w:rsidRPr="00814805">
              <w:rPr>
                <w:color w:val="000000"/>
                <w:lang w:eastAsia="en-AU"/>
              </w:rPr>
              <w:t>)</w:t>
            </w:r>
          </w:p>
        </w:tc>
        <w:tc>
          <w:tcPr>
            <w:tcW w:w="1272" w:type="dxa"/>
            <w:noWrap/>
            <w:hideMark/>
          </w:tcPr>
          <w:p w:rsidR="00663454" w:rsidRDefault="00663454" w:rsidP="00EE6780">
            <w:pPr>
              <w:keepNext/>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rFonts w:eastAsia="MS PGothic"/>
                <w:color w:val="000000"/>
                <w:lang w:eastAsia="en-AU"/>
              </w:rPr>
              <w:t>1.00</w:t>
            </w:r>
          </w:p>
        </w:tc>
        <w:tc>
          <w:tcPr>
            <w:tcW w:w="1258" w:type="dxa"/>
            <w:noWrap/>
            <w:hideMark/>
          </w:tcPr>
          <w:p w:rsidR="00663454" w:rsidRDefault="00663454" w:rsidP="00EE6780">
            <w:pPr>
              <w:keepNext/>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color w:val="000000"/>
                <w:lang w:eastAsia="en-AU"/>
              </w:rPr>
              <w:t>1.05</w:t>
            </w:r>
          </w:p>
        </w:tc>
        <w:tc>
          <w:tcPr>
            <w:tcW w:w="1398" w:type="dxa"/>
            <w:noWrap/>
            <w:hideMark/>
          </w:tcPr>
          <w:p w:rsidR="00663454" w:rsidRDefault="00663454" w:rsidP="00EE6780">
            <w:pPr>
              <w:keepNext/>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color w:val="000000"/>
                <w:lang w:eastAsia="en-AU"/>
              </w:rPr>
              <w:t>4.8%</w:t>
            </w:r>
          </w:p>
        </w:tc>
        <w:tc>
          <w:tcPr>
            <w:tcW w:w="1397" w:type="dxa"/>
            <w:noWrap/>
            <w:hideMark/>
          </w:tcPr>
          <w:p w:rsidR="00663454" w:rsidRDefault="00663454" w:rsidP="00EE6780">
            <w:pPr>
              <w:keepNext/>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color w:val="000000"/>
                <w:lang w:eastAsia="en-AU"/>
              </w:rPr>
              <w:t>n/a</w:t>
            </w:r>
          </w:p>
        </w:tc>
      </w:tr>
      <w:tr w:rsidR="00663454" w:rsidTr="00984186">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9206" w:type="dxa"/>
            <w:gridSpan w:val="7"/>
            <w:noWrap/>
            <w:hideMark/>
          </w:tcPr>
          <w:p w:rsidR="00663454" w:rsidRDefault="00663454" w:rsidP="00EE6780">
            <w:pPr>
              <w:keepNext/>
              <w:spacing w:after="120" w:line="240" w:lineRule="auto"/>
              <w:rPr>
                <w:rFonts w:ascii="Times New Roman" w:eastAsia="MS PGothic" w:hAnsi="Times New Roman"/>
                <w:color w:val="000000"/>
                <w:lang w:eastAsia="en-AU"/>
              </w:rPr>
            </w:pPr>
            <w:r>
              <w:rPr>
                <w:b/>
                <w:bCs/>
                <w:color w:val="000000"/>
                <w:lang w:eastAsia="en-AU"/>
              </w:rPr>
              <w:t>AER substitute revenue and price path</w:t>
            </w:r>
          </w:p>
        </w:tc>
      </w:tr>
      <w:tr w:rsidR="00663454" w:rsidTr="00984186">
        <w:trPr>
          <w:trHeight w:val="202"/>
        </w:trPr>
        <w:tc>
          <w:tcPr>
            <w:cnfStyle w:val="001000000000" w:firstRow="0" w:lastRow="0" w:firstColumn="1" w:lastColumn="0" w:oddVBand="0" w:evenVBand="0" w:oddHBand="0" w:evenHBand="0" w:firstRowFirstColumn="0" w:firstRowLastColumn="0" w:lastRowFirstColumn="0" w:lastRowLastColumn="0"/>
            <w:tcW w:w="2258" w:type="dxa"/>
            <w:gridSpan w:val="2"/>
            <w:noWrap/>
          </w:tcPr>
          <w:p w:rsidR="00663454" w:rsidRDefault="00663454" w:rsidP="00EE6780">
            <w:pPr>
              <w:pStyle w:val="AERtabletextleft"/>
              <w:keepNext/>
              <w:spacing w:before="120" w:line="240" w:lineRule="auto"/>
              <w:rPr>
                <w:rFonts w:eastAsia="MS PGothic" w:hint="eastAsia"/>
                <w:lang w:eastAsia="en-AU"/>
              </w:rPr>
            </w:pPr>
            <w:r>
              <w:rPr>
                <w:lang w:eastAsia="en-AU"/>
              </w:rPr>
              <w:t>Revenue ($m, nominal)</w:t>
            </w:r>
          </w:p>
        </w:tc>
        <w:tc>
          <w:tcPr>
            <w:tcW w:w="1623" w:type="dxa"/>
            <w:noWrap/>
          </w:tcPr>
          <w:p w:rsidR="00663454" w:rsidRDefault="00663454" w:rsidP="00EE6780">
            <w:pPr>
              <w:keepNext/>
              <w:spacing w:after="120" w:line="240" w:lineRule="auto"/>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p>
        </w:tc>
        <w:tc>
          <w:tcPr>
            <w:tcW w:w="1272" w:type="dxa"/>
            <w:noWrap/>
            <w:hideMark/>
          </w:tcPr>
          <w:p w:rsidR="00663454" w:rsidRPr="002D4199" w:rsidRDefault="00663454" w:rsidP="00EE6780">
            <w:pPr>
              <w:keepNext/>
              <w:spacing w:after="120" w:line="240" w:lineRule="auto"/>
              <w:jc w:val="right"/>
              <w:cnfStyle w:val="000000000000" w:firstRow="0" w:lastRow="0" w:firstColumn="0" w:lastColumn="0" w:oddVBand="0" w:evenVBand="0" w:oddHBand="0" w:evenHBand="0" w:firstRowFirstColumn="0" w:firstRowLastColumn="0" w:lastRowFirstColumn="0" w:lastRowLastColumn="0"/>
              <w:rPr>
                <w:rStyle w:val="AERsuperscript"/>
              </w:rPr>
            </w:pPr>
            <w:r>
              <w:rPr>
                <w:color w:val="000000"/>
                <w:lang w:eastAsia="en-AU"/>
              </w:rPr>
              <w:t>152</w:t>
            </w:r>
            <w:r>
              <w:rPr>
                <w:rStyle w:val="AERsuperscript"/>
              </w:rPr>
              <w:t>a</w:t>
            </w:r>
          </w:p>
        </w:tc>
        <w:tc>
          <w:tcPr>
            <w:tcW w:w="1258" w:type="dxa"/>
            <w:noWrap/>
          </w:tcPr>
          <w:p w:rsidR="00663454" w:rsidRDefault="00663454" w:rsidP="00EE6780">
            <w:pPr>
              <w:keepNext/>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rFonts w:eastAsia="MS PGothic"/>
                <w:color w:val="000000"/>
                <w:lang w:eastAsia="en-AU"/>
              </w:rPr>
              <w:t>145</w:t>
            </w:r>
          </w:p>
        </w:tc>
        <w:tc>
          <w:tcPr>
            <w:tcW w:w="1398" w:type="dxa"/>
            <w:noWrap/>
          </w:tcPr>
          <w:p w:rsidR="00663454" w:rsidRDefault="00663454" w:rsidP="00EE6780">
            <w:pPr>
              <w:keepNext/>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rFonts w:eastAsia="MS PGothic"/>
                <w:color w:val="000000"/>
                <w:lang w:eastAsia="en-AU"/>
              </w:rPr>
              <w:t>–4.8%</w:t>
            </w:r>
          </w:p>
        </w:tc>
        <w:tc>
          <w:tcPr>
            <w:tcW w:w="1397" w:type="dxa"/>
            <w:noWrap/>
          </w:tcPr>
          <w:p w:rsidR="00663454" w:rsidRDefault="00663454" w:rsidP="00EE6780">
            <w:pPr>
              <w:pStyle w:val="AERtabletextleft"/>
              <w:keepNext/>
              <w:spacing w:before="120" w:line="240" w:lineRule="auto"/>
              <w:cnfStyle w:val="000000000000" w:firstRow="0" w:lastRow="0" w:firstColumn="0" w:lastColumn="0" w:oddVBand="0" w:evenVBand="0" w:oddHBand="0" w:evenHBand="0" w:firstRowFirstColumn="0" w:firstRowLastColumn="0" w:lastRowFirstColumn="0" w:lastRowLastColumn="0"/>
              <w:rPr>
                <w:rFonts w:eastAsia="MS PGothic" w:hint="eastAsia"/>
                <w:lang w:eastAsia="en-AU"/>
              </w:rPr>
            </w:pPr>
            <w:r>
              <w:rPr>
                <w:rFonts w:eastAsia="MS PGothic"/>
                <w:lang w:eastAsia="en-AU"/>
              </w:rPr>
              <w:t>–6.9%</w:t>
            </w:r>
          </w:p>
        </w:tc>
      </w:tr>
      <w:tr w:rsidR="00663454" w:rsidTr="00984186">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881" w:type="dxa"/>
            <w:gridSpan w:val="3"/>
            <w:noWrap/>
          </w:tcPr>
          <w:p w:rsidR="00663454" w:rsidRDefault="00663454" w:rsidP="00EE6780">
            <w:pPr>
              <w:keepNext/>
              <w:spacing w:after="120" w:line="240" w:lineRule="auto"/>
              <w:rPr>
                <w:rFonts w:eastAsia="MS PGothic" w:hint="eastAsia"/>
                <w:color w:val="000000"/>
                <w:lang w:eastAsia="en-AU"/>
              </w:rPr>
            </w:pPr>
            <w:r>
              <w:rPr>
                <w:color w:val="000000"/>
                <w:lang w:eastAsia="en-AU"/>
              </w:rPr>
              <w:t>Price path</w:t>
            </w:r>
            <w:r w:rsidRPr="00814805">
              <w:rPr>
                <w:color w:val="000000"/>
                <w:lang w:eastAsia="en-AU"/>
              </w:rPr>
              <w:t xml:space="preserve"> (nominal</w:t>
            </w:r>
            <w:r>
              <w:rPr>
                <w:color w:val="000000"/>
                <w:lang w:eastAsia="en-AU"/>
              </w:rPr>
              <w:t xml:space="preserve"> index</w:t>
            </w:r>
            <w:r w:rsidRPr="00814805">
              <w:rPr>
                <w:color w:val="000000"/>
                <w:lang w:eastAsia="en-AU"/>
              </w:rPr>
              <w:t>)</w:t>
            </w:r>
          </w:p>
        </w:tc>
        <w:tc>
          <w:tcPr>
            <w:tcW w:w="1272" w:type="dxa"/>
            <w:noWrap/>
            <w:hideMark/>
          </w:tcPr>
          <w:p w:rsidR="00663454" w:rsidRDefault="00663454" w:rsidP="00EE6780">
            <w:pPr>
              <w:keepNext/>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1.00</w:t>
            </w:r>
          </w:p>
        </w:tc>
        <w:tc>
          <w:tcPr>
            <w:tcW w:w="1258" w:type="dxa"/>
            <w:noWrap/>
          </w:tcPr>
          <w:p w:rsidR="00663454" w:rsidRDefault="00663454" w:rsidP="00EE6780">
            <w:pPr>
              <w:keepNext/>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rFonts w:eastAsia="MS PGothic"/>
                <w:color w:val="000000"/>
                <w:lang w:eastAsia="en-AU"/>
              </w:rPr>
              <w:t>0.98</w:t>
            </w:r>
          </w:p>
        </w:tc>
        <w:tc>
          <w:tcPr>
            <w:tcW w:w="1398" w:type="dxa"/>
            <w:noWrap/>
          </w:tcPr>
          <w:p w:rsidR="00663454" w:rsidRDefault="00663454" w:rsidP="00EE6780">
            <w:pPr>
              <w:keepNext/>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rFonts w:eastAsia="MS PGothic"/>
                <w:color w:val="000000"/>
                <w:lang w:eastAsia="en-AU"/>
              </w:rPr>
              <w:t>–2.5%</w:t>
            </w:r>
          </w:p>
        </w:tc>
        <w:tc>
          <w:tcPr>
            <w:tcW w:w="1397" w:type="dxa"/>
            <w:noWrap/>
          </w:tcPr>
          <w:p w:rsidR="00663454" w:rsidRDefault="00663454" w:rsidP="00EE6780">
            <w:pPr>
              <w:pStyle w:val="AERtabletextleft"/>
              <w:keepNext/>
              <w:spacing w:before="120" w:line="240" w:lineRule="auto"/>
              <w:cnfStyle w:val="000000010000" w:firstRow="0" w:lastRow="0" w:firstColumn="0" w:lastColumn="0" w:oddVBand="0" w:evenVBand="0" w:oddHBand="0" w:evenHBand="1" w:firstRowFirstColumn="0" w:firstRowLastColumn="0" w:lastRowFirstColumn="0" w:lastRowLastColumn="0"/>
              <w:rPr>
                <w:rFonts w:eastAsia="MS PGothic" w:hint="eastAsia"/>
                <w:lang w:eastAsia="en-AU"/>
              </w:rPr>
            </w:pPr>
            <w:r>
              <w:rPr>
                <w:rFonts w:eastAsia="MS PGothic"/>
                <w:lang w:eastAsia="en-AU"/>
              </w:rPr>
              <w:t>–6.9%</w:t>
            </w:r>
          </w:p>
        </w:tc>
      </w:tr>
    </w:tbl>
    <w:p w:rsidR="007331B6" w:rsidRDefault="007331B6" w:rsidP="007331B6">
      <w:pPr>
        <w:pStyle w:val="AERtablesource"/>
      </w:pPr>
      <w:r>
        <w:t>Source:</w:t>
      </w:r>
      <w:r>
        <w:tab/>
        <w:t>AER analysis.</w:t>
      </w:r>
    </w:p>
    <w:p w:rsidR="00663454" w:rsidRPr="009D768F" w:rsidRDefault="00984186" w:rsidP="0023073C">
      <w:pPr>
        <w:pStyle w:val="AERtablesource"/>
        <w:spacing w:after="120"/>
      </w:pPr>
      <w:r w:rsidRPr="009D768F">
        <w:t>Notes</w:t>
      </w:r>
      <w:r w:rsidR="00CB2977" w:rsidRPr="009D768F">
        <w:t>:</w:t>
      </w:r>
      <w:r w:rsidRPr="009D768F">
        <w:tab/>
      </w:r>
      <w:r w:rsidR="00663454" w:rsidRPr="009D768F">
        <w:t>a.</w:t>
      </w:r>
      <w:r w:rsidR="00663454" w:rsidRPr="009D768F">
        <w:tab/>
        <w:t xml:space="preserve">This figure has been adjusted to reflect only the (notional) distribution component of 2013–14 revenue. </w:t>
      </w:r>
      <w:r w:rsidR="0023073C" w:rsidRPr="0023073C">
        <w:t xml:space="preserve">The </w:t>
      </w:r>
      <w:r w:rsidR="0023073C">
        <w:tab/>
      </w:r>
      <w:r w:rsidR="0023073C" w:rsidRPr="0023073C">
        <w:t xml:space="preserve">X factor </w:t>
      </w:r>
      <w:r w:rsidR="0023073C">
        <w:t xml:space="preserve">to apply </w:t>
      </w:r>
      <w:r w:rsidR="0023073C" w:rsidRPr="0023073C">
        <w:t xml:space="preserve"> in adjusting distribution revenues from 2013</w:t>
      </w:r>
      <w:r w:rsidR="0023073C">
        <w:t>–</w:t>
      </w:r>
      <w:r w:rsidR="0023073C" w:rsidRPr="0023073C">
        <w:t>14 to 2014</w:t>
      </w:r>
      <w:r w:rsidR="0023073C">
        <w:t>–15 is discussed in chapter 4.</w:t>
      </w:r>
    </w:p>
    <w:p w:rsidR="009916C7" w:rsidRDefault="00D35C6D" w:rsidP="00D35C6D">
      <w:pPr>
        <w:pStyle w:val="Caption"/>
        <w:jc w:val="left"/>
      </w:pPr>
      <w:bookmarkStart w:id="12" w:name="_Ref385251732"/>
      <w:bookmarkStart w:id="13" w:name="_Ref384724589"/>
      <w:r>
        <w:t xml:space="preserve">Table </w:t>
      </w:r>
      <w:r w:rsidR="00DD155E">
        <w:fldChar w:fldCharType="begin"/>
      </w:r>
      <w:r w:rsidR="00DD155E">
        <w:instrText xml:space="preserve"> STYLEREF 1 \s </w:instrText>
      </w:r>
      <w:r w:rsidR="00DD155E">
        <w:fldChar w:fldCharType="separate"/>
      </w:r>
      <w:r w:rsidR="00E313D7">
        <w:rPr>
          <w:noProof/>
        </w:rPr>
        <w:t>1</w:t>
      </w:r>
      <w:r w:rsidR="00DD155E">
        <w:rPr>
          <w:noProof/>
        </w:rPr>
        <w:fldChar w:fldCharType="end"/>
      </w:r>
      <w:r w:rsidR="00804FE8">
        <w:t>.</w:t>
      </w:r>
      <w:fldSimple w:instr=" SEQ Table \* ARABIC \s 1 ">
        <w:r w:rsidR="00E313D7">
          <w:rPr>
            <w:noProof/>
          </w:rPr>
          <w:t>6</w:t>
        </w:r>
      </w:fldSimple>
      <w:bookmarkEnd w:id="12"/>
      <w:r>
        <w:tab/>
      </w:r>
      <w:bookmarkEnd w:id="13"/>
      <w:r w:rsidR="009916C7" w:rsidRPr="00292418">
        <w:t xml:space="preserve">ActewAGL’s proposed revenue and price path and AER substituted revenue and price path – </w:t>
      </w:r>
      <w:r w:rsidR="009916C7">
        <w:t>transmission</w:t>
      </w:r>
    </w:p>
    <w:tbl>
      <w:tblPr>
        <w:tblStyle w:val="AERtable-numbers"/>
        <w:tblW w:w="9206" w:type="dxa"/>
        <w:tblLook w:val="04A0" w:firstRow="1" w:lastRow="0" w:firstColumn="1" w:lastColumn="0" w:noHBand="0" w:noVBand="1"/>
      </w:tblPr>
      <w:tblGrid>
        <w:gridCol w:w="2066"/>
        <w:gridCol w:w="192"/>
        <w:gridCol w:w="1623"/>
        <w:gridCol w:w="1272"/>
        <w:gridCol w:w="1258"/>
        <w:gridCol w:w="1398"/>
        <w:gridCol w:w="1397"/>
      </w:tblGrid>
      <w:tr w:rsidR="00663454" w:rsidTr="00984186">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066" w:type="dxa"/>
            <w:noWrap/>
            <w:hideMark/>
          </w:tcPr>
          <w:p w:rsidR="00663454" w:rsidRDefault="00663454" w:rsidP="00984186">
            <w:pPr>
              <w:pStyle w:val="AERbodytext"/>
              <w:spacing w:after="120" w:line="240" w:lineRule="auto"/>
              <w:rPr>
                <w:rFonts w:eastAsia="MS PGothic" w:hint="eastAsia"/>
                <w:b w:val="0"/>
                <w:lang w:eastAsia="en-AU"/>
              </w:rPr>
            </w:pPr>
            <w:r>
              <w:rPr>
                <w:lang w:eastAsia="en-AU"/>
              </w:rPr>
              <w:t> </w:t>
            </w:r>
          </w:p>
        </w:tc>
        <w:tc>
          <w:tcPr>
            <w:tcW w:w="1815" w:type="dxa"/>
            <w:gridSpan w:val="2"/>
            <w:noWrap/>
            <w:hideMark/>
          </w:tcPr>
          <w:p w:rsidR="00663454" w:rsidRDefault="00663454" w:rsidP="00984186">
            <w:pPr>
              <w:spacing w:after="120" w:line="240" w:lineRule="auto"/>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color w:val="000000"/>
                <w:lang w:eastAsia="en-AU"/>
              </w:rPr>
            </w:pPr>
            <w:r>
              <w:rPr>
                <w:bCs/>
                <w:color w:val="000000"/>
                <w:lang w:eastAsia="en-AU"/>
              </w:rPr>
              <w:t> </w:t>
            </w:r>
          </w:p>
        </w:tc>
        <w:tc>
          <w:tcPr>
            <w:tcW w:w="1272" w:type="dxa"/>
            <w:noWrap/>
            <w:hideMark/>
          </w:tcPr>
          <w:p w:rsidR="00663454" w:rsidRDefault="00663454" w:rsidP="00984186">
            <w:pPr>
              <w:spacing w:after="120" w:line="240" w:lineRule="auto"/>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2013–14</w:t>
            </w:r>
          </w:p>
        </w:tc>
        <w:tc>
          <w:tcPr>
            <w:tcW w:w="1258" w:type="dxa"/>
            <w:noWrap/>
            <w:hideMark/>
          </w:tcPr>
          <w:p w:rsidR="00663454" w:rsidRDefault="00663454" w:rsidP="00984186">
            <w:pPr>
              <w:spacing w:after="120" w:line="240" w:lineRule="auto"/>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2014–15</w:t>
            </w:r>
          </w:p>
        </w:tc>
        <w:tc>
          <w:tcPr>
            <w:tcW w:w="1398" w:type="dxa"/>
            <w:noWrap/>
            <w:hideMark/>
          </w:tcPr>
          <w:p w:rsidR="00663454" w:rsidRDefault="00663454" w:rsidP="00984186">
            <w:pPr>
              <w:spacing w:after="120" w:line="240" w:lineRule="auto"/>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Change (%)</w:t>
            </w:r>
          </w:p>
        </w:tc>
        <w:tc>
          <w:tcPr>
            <w:tcW w:w="1397" w:type="dxa"/>
            <w:hideMark/>
          </w:tcPr>
          <w:p w:rsidR="00663454" w:rsidRDefault="00663454" w:rsidP="00984186">
            <w:pPr>
              <w:spacing w:after="120" w:line="240" w:lineRule="auto"/>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 xml:space="preserve">Difference from proposed 2014–15 </w:t>
            </w:r>
            <w:r>
              <w:rPr>
                <w:lang w:eastAsia="en-AU"/>
              </w:rPr>
              <w:t>(%)</w:t>
            </w:r>
          </w:p>
        </w:tc>
      </w:tr>
      <w:tr w:rsidR="00663454" w:rsidTr="00984186">
        <w:trPr>
          <w:trHeight w:val="202"/>
        </w:trPr>
        <w:tc>
          <w:tcPr>
            <w:cnfStyle w:val="001000000000" w:firstRow="0" w:lastRow="0" w:firstColumn="1" w:lastColumn="0" w:oddVBand="0" w:evenVBand="0" w:oddHBand="0" w:evenHBand="0" w:firstRowFirstColumn="0" w:firstRowLastColumn="0" w:lastRowFirstColumn="0" w:lastRowLastColumn="0"/>
            <w:tcW w:w="9206" w:type="dxa"/>
            <w:gridSpan w:val="7"/>
            <w:noWrap/>
            <w:hideMark/>
          </w:tcPr>
          <w:p w:rsidR="00663454" w:rsidRDefault="00663454" w:rsidP="00984186">
            <w:pPr>
              <w:spacing w:after="120" w:line="240" w:lineRule="auto"/>
              <w:rPr>
                <w:rFonts w:ascii="Times New Roman" w:eastAsia="MS PGothic" w:hAnsi="Times New Roman"/>
                <w:color w:val="000000"/>
                <w:lang w:eastAsia="en-AU"/>
              </w:rPr>
            </w:pPr>
            <w:r>
              <w:rPr>
                <w:b/>
                <w:bCs/>
                <w:color w:val="000000"/>
                <w:lang w:eastAsia="en-AU"/>
              </w:rPr>
              <w:t>Proposed revenue and price path</w:t>
            </w:r>
          </w:p>
        </w:tc>
      </w:tr>
      <w:tr w:rsidR="00663454" w:rsidTr="00984186">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881" w:type="dxa"/>
            <w:gridSpan w:val="3"/>
            <w:noWrap/>
            <w:hideMark/>
          </w:tcPr>
          <w:p w:rsidR="00663454" w:rsidRDefault="00663454" w:rsidP="00984186">
            <w:pPr>
              <w:spacing w:after="120" w:line="240" w:lineRule="auto"/>
              <w:rPr>
                <w:rFonts w:eastAsia="MS PGothic" w:hint="eastAsia"/>
                <w:color w:val="000000"/>
                <w:lang w:eastAsia="en-AU"/>
              </w:rPr>
            </w:pPr>
            <w:r>
              <w:rPr>
                <w:color w:val="000000"/>
                <w:lang w:eastAsia="en-AU"/>
              </w:rPr>
              <w:t>Revenue ($m, nominal)</w:t>
            </w:r>
          </w:p>
        </w:tc>
        <w:tc>
          <w:tcPr>
            <w:tcW w:w="1272" w:type="dxa"/>
            <w:noWrap/>
            <w:hideMark/>
          </w:tcPr>
          <w:p w:rsidR="00663454" w:rsidRPr="002D4199" w:rsidRDefault="00663454" w:rsidP="00984186">
            <w:pPr>
              <w:spacing w:after="120" w:line="240" w:lineRule="auto"/>
              <w:jc w:val="right"/>
              <w:cnfStyle w:val="000000010000" w:firstRow="0" w:lastRow="0" w:firstColumn="0" w:lastColumn="0" w:oddVBand="0" w:evenVBand="0" w:oddHBand="0" w:evenHBand="1" w:firstRowFirstColumn="0" w:firstRowLastColumn="0" w:lastRowFirstColumn="0" w:lastRowLastColumn="0"/>
              <w:rPr>
                <w:rStyle w:val="AERsuperscript"/>
              </w:rPr>
            </w:pPr>
            <w:r>
              <w:rPr>
                <w:color w:val="000000"/>
                <w:lang w:eastAsia="en-AU"/>
              </w:rPr>
              <w:t>28</w:t>
            </w:r>
            <w:r>
              <w:rPr>
                <w:rStyle w:val="AERsuperscript"/>
              </w:rPr>
              <w:t>a</w:t>
            </w:r>
          </w:p>
        </w:tc>
        <w:tc>
          <w:tcPr>
            <w:tcW w:w="1258" w:type="dxa"/>
            <w:noWrap/>
            <w:hideMark/>
          </w:tcPr>
          <w:p w:rsidR="00663454" w:rsidRDefault="00663454" w:rsidP="00984186">
            <w:pPr>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30</w:t>
            </w:r>
          </w:p>
        </w:tc>
        <w:tc>
          <w:tcPr>
            <w:tcW w:w="1398" w:type="dxa"/>
            <w:noWrap/>
            <w:hideMark/>
          </w:tcPr>
          <w:p w:rsidR="00663454" w:rsidRDefault="00663454" w:rsidP="00984186">
            <w:pPr>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7.8%</w:t>
            </w:r>
          </w:p>
        </w:tc>
        <w:tc>
          <w:tcPr>
            <w:tcW w:w="1397" w:type="dxa"/>
            <w:noWrap/>
            <w:hideMark/>
          </w:tcPr>
          <w:p w:rsidR="00663454" w:rsidRDefault="00663454" w:rsidP="00984186">
            <w:pPr>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n/a</w:t>
            </w:r>
          </w:p>
        </w:tc>
      </w:tr>
      <w:tr w:rsidR="00663454" w:rsidTr="00984186">
        <w:trPr>
          <w:trHeight w:val="202"/>
        </w:trPr>
        <w:tc>
          <w:tcPr>
            <w:cnfStyle w:val="001000000000" w:firstRow="0" w:lastRow="0" w:firstColumn="1" w:lastColumn="0" w:oddVBand="0" w:evenVBand="0" w:oddHBand="0" w:evenHBand="0" w:firstRowFirstColumn="0" w:firstRowLastColumn="0" w:lastRowFirstColumn="0" w:lastRowLastColumn="0"/>
            <w:tcW w:w="3881" w:type="dxa"/>
            <w:gridSpan w:val="3"/>
            <w:noWrap/>
            <w:hideMark/>
          </w:tcPr>
          <w:p w:rsidR="00663454" w:rsidRDefault="00663454" w:rsidP="00984186">
            <w:pPr>
              <w:spacing w:after="120" w:line="240" w:lineRule="auto"/>
              <w:rPr>
                <w:rFonts w:eastAsia="MS PGothic" w:hint="eastAsia"/>
                <w:color w:val="000000"/>
                <w:lang w:eastAsia="en-AU"/>
              </w:rPr>
            </w:pPr>
            <w:r>
              <w:rPr>
                <w:color w:val="000000"/>
                <w:lang w:eastAsia="en-AU"/>
              </w:rPr>
              <w:t>Price path (</w:t>
            </w:r>
            <w:r w:rsidRPr="00814805">
              <w:rPr>
                <w:color w:val="000000"/>
                <w:lang w:eastAsia="en-AU"/>
              </w:rPr>
              <w:t>nominal</w:t>
            </w:r>
            <w:r>
              <w:rPr>
                <w:color w:val="000000"/>
                <w:lang w:eastAsia="en-AU"/>
              </w:rPr>
              <w:t xml:space="preserve"> index</w:t>
            </w:r>
            <w:r w:rsidRPr="00814805">
              <w:rPr>
                <w:color w:val="000000"/>
                <w:lang w:eastAsia="en-AU"/>
              </w:rPr>
              <w:t>)</w:t>
            </w:r>
          </w:p>
        </w:tc>
        <w:tc>
          <w:tcPr>
            <w:tcW w:w="1272" w:type="dxa"/>
            <w:noWrap/>
            <w:hideMark/>
          </w:tcPr>
          <w:p w:rsidR="00663454" w:rsidRDefault="00663454" w:rsidP="00984186">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rFonts w:eastAsia="MS PGothic"/>
                <w:color w:val="000000"/>
                <w:lang w:eastAsia="en-AU"/>
              </w:rPr>
              <w:t>1.00</w:t>
            </w:r>
          </w:p>
        </w:tc>
        <w:tc>
          <w:tcPr>
            <w:tcW w:w="1258" w:type="dxa"/>
            <w:noWrap/>
            <w:hideMark/>
          </w:tcPr>
          <w:p w:rsidR="00663454" w:rsidRDefault="00663454" w:rsidP="00984186">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color w:val="000000"/>
                <w:lang w:eastAsia="en-AU"/>
              </w:rPr>
              <w:t>1.07</w:t>
            </w:r>
          </w:p>
        </w:tc>
        <w:tc>
          <w:tcPr>
            <w:tcW w:w="1398" w:type="dxa"/>
            <w:noWrap/>
            <w:hideMark/>
          </w:tcPr>
          <w:p w:rsidR="00663454" w:rsidRDefault="00663454" w:rsidP="00984186">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color w:val="000000"/>
                <w:lang w:eastAsia="en-AU"/>
              </w:rPr>
              <w:t>7.5%</w:t>
            </w:r>
          </w:p>
        </w:tc>
        <w:tc>
          <w:tcPr>
            <w:tcW w:w="1397" w:type="dxa"/>
            <w:noWrap/>
            <w:hideMark/>
          </w:tcPr>
          <w:p w:rsidR="00663454" w:rsidRDefault="00663454" w:rsidP="00984186">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color w:val="000000"/>
                <w:lang w:eastAsia="en-AU"/>
              </w:rPr>
              <w:t>n/a</w:t>
            </w:r>
          </w:p>
        </w:tc>
      </w:tr>
      <w:tr w:rsidR="00663454" w:rsidTr="00984186">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9206" w:type="dxa"/>
            <w:gridSpan w:val="7"/>
            <w:noWrap/>
            <w:hideMark/>
          </w:tcPr>
          <w:p w:rsidR="00663454" w:rsidRDefault="00663454" w:rsidP="00984186">
            <w:pPr>
              <w:spacing w:after="120" w:line="240" w:lineRule="auto"/>
              <w:rPr>
                <w:rFonts w:ascii="Times New Roman" w:eastAsia="MS PGothic" w:hAnsi="Times New Roman"/>
                <w:color w:val="000000"/>
                <w:lang w:eastAsia="en-AU"/>
              </w:rPr>
            </w:pPr>
            <w:r>
              <w:rPr>
                <w:b/>
                <w:bCs/>
                <w:color w:val="000000"/>
                <w:lang w:eastAsia="en-AU"/>
              </w:rPr>
              <w:t>AER substitute revenue and price path</w:t>
            </w:r>
          </w:p>
        </w:tc>
      </w:tr>
      <w:tr w:rsidR="00663454" w:rsidTr="00984186">
        <w:trPr>
          <w:trHeight w:val="202"/>
        </w:trPr>
        <w:tc>
          <w:tcPr>
            <w:cnfStyle w:val="001000000000" w:firstRow="0" w:lastRow="0" w:firstColumn="1" w:lastColumn="0" w:oddVBand="0" w:evenVBand="0" w:oddHBand="0" w:evenHBand="0" w:firstRowFirstColumn="0" w:firstRowLastColumn="0" w:lastRowFirstColumn="0" w:lastRowLastColumn="0"/>
            <w:tcW w:w="2258" w:type="dxa"/>
            <w:gridSpan w:val="2"/>
            <w:noWrap/>
          </w:tcPr>
          <w:p w:rsidR="00663454" w:rsidRDefault="00663454" w:rsidP="00984186">
            <w:pPr>
              <w:pStyle w:val="AERtabletextleft"/>
              <w:spacing w:before="120" w:line="240" w:lineRule="auto"/>
              <w:rPr>
                <w:rFonts w:eastAsia="MS PGothic" w:hint="eastAsia"/>
                <w:lang w:eastAsia="en-AU"/>
              </w:rPr>
            </w:pPr>
            <w:r>
              <w:rPr>
                <w:lang w:eastAsia="en-AU"/>
              </w:rPr>
              <w:t>Revenue ($m, nominal)</w:t>
            </w:r>
          </w:p>
        </w:tc>
        <w:tc>
          <w:tcPr>
            <w:tcW w:w="1623" w:type="dxa"/>
            <w:noWrap/>
          </w:tcPr>
          <w:p w:rsidR="00663454" w:rsidRDefault="00663454" w:rsidP="00984186">
            <w:pPr>
              <w:spacing w:after="120" w:line="240" w:lineRule="auto"/>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p>
        </w:tc>
        <w:tc>
          <w:tcPr>
            <w:tcW w:w="1272" w:type="dxa"/>
            <w:noWrap/>
            <w:hideMark/>
          </w:tcPr>
          <w:p w:rsidR="00663454" w:rsidRPr="002D4199" w:rsidRDefault="00663454" w:rsidP="00984186">
            <w:pPr>
              <w:spacing w:after="120" w:line="240" w:lineRule="auto"/>
              <w:jc w:val="right"/>
              <w:cnfStyle w:val="000000000000" w:firstRow="0" w:lastRow="0" w:firstColumn="0" w:lastColumn="0" w:oddVBand="0" w:evenVBand="0" w:oddHBand="0" w:evenHBand="0" w:firstRowFirstColumn="0" w:firstRowLastColumn="0" w:lastRowFirstColumn="0" w:lastRowLastColumn="0"/>
              <w:rPr>
                <w:rStyle w:val="AERsuperscript"/>
              </w:rPr>
            </w:pPr>
            <w:r>
              <w:rPr>
                <w:color w:val="000000"/>
                <w:lang w:eastAsia="en-AU"/>
              </w:rPr>
              <w:t>28</w:t>
            </w:r>
            <w:r>
              <w:rPr>
                <w:rStyle w:val="AERsuperscript"/>
              </w:rPr>
              <w:t>a</w:t>
            </w:r>
          </w:p>
        </w:tc>
        <w:tc>
          <w:tcPr>
            <w:tcW w:w="1258" w:type="dxa"/>
            <w:noWrap/>
          </w:tcPr>
          <w:p w:rsidR="00663454" w:rsidRDefault="00663454" w:rsidP="00984186">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rFonts w:eastAsia="MS PGothic"/>
                <w:color w:val="000000"/>
                <w:lang w:eastAsia="en-AU"/>
              </w:rPr>
              <w:t>28</w:t>
            </w:r>
          </w:p>
        </w:tc>
        <w:tc>
          <w:tcPr>
            <w:tcW w:w="1398" w:type="dxa"/>
            <w:noWrap/>
          </w:tcPr>
          <w:p w:rsidR="00663454" w:rsidRDefault="00663454" w:rsidP="00984186">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rFonts w:eastAsia="MS PGothic"/>
                <w:color w:val="000000"/>
                <w:lang w:eastAsia="en-AU"/>
              </w:rPr>
              <w:t>0.4%</w:t>
            </w:r>
          </w:p>
        </w:tc>
        <w:tc>
          <w:tcPr>
            <w:tcW w:w="1397" w:type="dxa"/>
            <w:noWrap/>
          </w:tcPr>
          <w:p w:rsidR="00663454" w:rsidRDefault="00663454" w:rsidP="00984186">
            <w:pPr>
              <w:pStyle w:val="AERtabletextleft"/>
              <w:spacing w:before="120" w:line="240" w:lineRule="auto"/>
              <w:cnfStyle w:val="000000000000" w:firstRow="0" w:lastRow="0" w:firstColumn="0" w:lastColumn="0" w:oddVBand="0" w:evenVBand="0" w:oddHBand="0" w:evenHBand="0" w:firstRowFirstColumn="0" w:firstRowLastColumn="0" w:lastRowFirstColumn="0" w:lastRowLastColumn="0"/>
              <w:rPr>
                <w:rFonts w:eastAsia="MS PGothic" w:hint="eastAsia"/>
                <w:lang w:eastAsia="en-AU"/>
              </w:rPr>
            </w:pPr>
            <w:r>
              <w:rPr>
                <w:rFonts w:eastAsia="MS PGothic"/>
                <w:lang w:eastAsia="en-AU"/>
              </w:rPr>
              <w:t>–6.8%</w:t>
            </w:r>
          </w:p>
        </w:tc>
      </w:tr>
      <w:tr w:rsidR="00663454" w:rsidTr="00984186">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881" w:type="dxa"/>
            <w:gridSpan w:val="3"/>
            <w:noWrap/>
          </w:tcPr>
          <w:p w:rsidR="00663454" w:rsidRDefault="00663454" w:rsidP="00984186">
            <w:pPr>
              <w:spacing w:after="120" w:line="240" w:lineRule="auto"/>
              <w:rPr>
                <w:rFonts w:eastAsia="MS PGothic" w:hint="eastAsia"/>
                <w:color w:val="000000"/>
                <w:lang w:eastAsia="en-AU"/>
              </w:rPr>
            </w:pPr>
            <w:r>
              <w:rPr>
                <w:color w:val="000000"/>
                <w:lang w:eastAsia="en-AU"/>
              </w:rPr>
              <w:t>Price path</w:t>
            </w:r>
            <w:r w:rsidRPr="00814805">
              <w:rPr>
                <w:color w:val="000000"/>
                <w:lang w:eastAsia="en-AU"/>
              </w:rPr>
              <w:t xml:space="preserve"> (nominal</w:t>
            </w:r>
            <w:r>
              <w:rPr>
                <w:color w:val="000000"/>
                <w:lang w:eastAsia="en-AU"/>
              </w:rPr>
              <w:t xml:space="preserve"> index</w:t>
            </w:r>
            <w:r w:rsidRPr="00814805">
              <w:rPr>
                <w:color w:val="000000"/>
                <w:lang w:eastAsia="en-AU"/>
              </w:rPr>
              <w:t>)</w:t>
            </w:r>
          </w:p>
        </w:tc>
        <w:tc>
          <w:tcPr>
            <w:tcW w:w="1272" w:type="dxa"/>
            <w:noWrap/>
            <w:hideMark/>
          </w:tcPr>
          <w:p w:rsidR="00663454" w:rsidRDefault="00663454" w:rsidP="00984186">
            <w:pPr>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1.00</w:t>
            </w:r>
          </w:p>
        </w:tc>
        <w:tc>
          <w:tcPr>
            <w:tcW w:w="1258" w:type="dxa"/>
            <w:noWrap/>
          </w:tcPr>
          <w:p w:rsidR="00663454" w:rsidRDefault="00663454" w:rsidP="00984186">
            <w:pPr>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rFonts w:eastAsia="MS PGothic"/>
                <w:color w:val="000000"/>
                <w:lang w:eastAsia="en-AU"/>
              </w:rPr>
              <w:t>1.00</w:t>
            </w:r>
          </w:p>
        </w:tc>
        <w:tc>
          <w:tcPr>
            <w:tcW w:w="1398" w:type="dxa"/>
            <w:noWrap/>
          </w:tcPr>
          <w:p w:rsidR="00663454" w:rsidRDefault="00663454" w:rsidP="00984186">
            <w:pPr>
              <w:spacing w:after="120" w:line="240" w:lineRule="auto"/>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rFonts w:eastAsia="MS PGothic"/>
                <w:color w:val="000000"/>
                <w:lang w:eastAsia="en-AU"/>
              </w:rPr>
              <w:t>0.1%</w:t>
            </w:r>
          </w:p>
        </w:tc>
        <w:tc>
          <w:tcPr>
            <w:tcW w:w="1397" w:type="dxa"/>
            <w:noWrap/>
          </w:tcPr>
          <w:p w:rsidR="00663454" w:rsidRDefault="00663454" w:rsidP="00984186">
            <w:pPr>
              <w:pStyle w:val="AERtabletextleft"/>
              <w:spacing w:before="120" w:line="240" w:lineRule="auto"/>
              <w:cnfStyle w:val="000000010000" w:firstRow="0" w:lastRow="0" w:firstColumn="0" w:lastColumn="0" w:oddVBand="0" w:evenVBand="0" w:oddHBand="0" w:evenHBand="1" w:firstRowFirstColumn="0" w:firstRowLastColumn="0" w:lastRowFirstColumn="0" w:lastRowLastColumn="0"/>
              <w:rPr>
                <w:rFonts w:eastAsia="MS PGothic" w:hint="eastAsia"/>
                <w:lang w:eastAsia="en-AU"/>
              </w:rPr>
            </w:pPr>
            <w:r>
              <w:rPr>
                <w:rFonts w:eastAsia="MS PGothic"/>
                <w:lang w:eastAsia="en-AU"/>
              </w:rPr>
              <w:t>–6.8%</w:t>
            </w:r>
          </w:p>
        </w:tc>
      </w:tr>
    </w:tbl>
    <w:p w:rsidR="007331B6" w:rsidRDefault="007331B6" w:rsidP="007331B6">
      <w:pPr>
        <w:pStyle w:val="AERtablesource"/>
      </w:pPr>
      <w:r>
        <w:t>Source:</w:t>
      </w:r>
      <w:r>
        <w:tab/>
        <w:t>AER analysis.</w:t>
      </w:r>
    </w:p>
    <w:p w:rsidR="00663454" w:rsidRPr="009D768F" w:rsidRDefault="00984186" w:rsidP="009D768F">
      <w:pPr>
        <w:pStyle w:val="AERtablesource"/>
      </w:pPr>
      <w:r w:rsidRPr="009D768F">
        <w:t xml:space="preserve">Notes </w:t>
      </w:r>
      <w:r w:rsidRPr="009D768F">
        <w:tab/>
      </w:r>
      <w:r w:rsidR="00663454" w:rsidRPr="009D768F">
        <w:t>a.</w:t>
      </w:r>
      <w:r w:rsidR="00663454" w:rsidRPr="009D768F">
        <w:tab/>
        <w:t xml:space="preserve">This figure has been adjusted to reflect only the (notional) transmission component of 2013–14 revenue. </w:t>
      </w:r>
    </w:p>
    <w:p w:rsidR="003F0974" w:rsidRPr="009D768F" w:rsidRDefault="003F0974" w:rsidP="009D768F">
      <w:pPr>
        <w:pStyle w:val="AERtablesource"/>
        <w:sectPr w:rsidR="003F0974" w:rsidRPr="009D768F" w:rsidSect="00452420">
          <w:footerReference w:type="even" r:id="rId16"/>
          <w:footerReference w:type="default" r:id="rId17"/>
          <w:pgSz w:w="11906" w:h="16838" w:code="9"/>
          <w:pgMar w:top="1440" w:right="1440" w:bottom="1440" w:left="1440" w:header="709" w:footer="709" w:gutter="0"/>
          <w:cols w:space="708"/>
          <w:docGrid w:linePitch="360"/>
        </w:sectPr>
      </w:pPr>
      <w:bookmarkStart w:id="14" w:name="_Toc383436053"/>
      <w:bookmarkStart w:id="15" w:name="_Toc384716211"/>
    </w:p>
    <w:p w:rsidR="009916C7" w:rsidRDefault="009916C7" w:rsidP="003F0974">
      <w:pPr>
        <w:pStyle w:val="Heading1"/>
      </w:pPr>
      <w:bookmarkStart w:id="16" w:name="_Toc385326306"/>
      <w:r>
        <w:lastRenderedPageBreak/>
        <w:t>About this review</w:t>
      </w:r>
      <w:bookmarkEnd w:id="14"/>
      <w:bookmarkEnd w:id="15"/>
      <w:bookmarkEnd w:id="16"/>
    </w:p>
    <w:p w:rsidR="009916C7" w:rsidRDefault="009916C7" w:rsidP="009916C7">
      <w:pPr>
        <w:pStyle w:val="AERbodytext"/>
        <w:numPr>
          <w:ilvl w:val="0"/>
          <w:numId w:val="6"/>
        </w:numPr>
      </w:pPr>
      <w:r>
        <w:t xml:space="preserve">This chapter provides an overview of the NSW/ACT DNSPs and an outline of </w:t>
      </w:r>
      <w:r w:rsidR="00E92578">
        <w:t>our</w:t>
      </w:r>
      <w:r>
        <w:t xml:space="preserve"> approach for making a </w:t>
      </w:r>
      <w:r w:rsidR="00E05D13">
        <w:t xml:space="preserve">placeholder </w:t>
      </w:r>
      <w:r>
        <w:t>det</w:t>
      </w:r>
      <w:r w:rsidR="00635F22">
        <w:t>ermination for the transitional</w:t>
      </w:r>
      <w:r w:rsidR="00E222F7">
        <w:t xml:space="preserve"> regulatory control period</w:t>
      </w:r>
      <w:r>
        <w:t>.</w:t>
      </w:r>
    </w:p>
    <w:p w:rsidR="009916C7" w:rsidRDefault="009916C7" w:rsidP="003F0974">
      <w:pPr>
        <w:pStyle w:val="Heading2"/>
      </w:pPr>
      <w:bookmarkStart w:id="17" w:name="_Toc374450115"/>
      <w:bookmarkStart w:id="18" w:name="_Toc374450366"/>
      <w:bookmarkStart w:id="19" w:name="_Toc374450487"/>
      <w:bookmarkStart w:id="20" w:name="_Toc374451127"/>
      <w:bookmarkStart w:id="21" w:name="_Toc383436054"/>
      <w:bookmarkStart w:id="22" w:name="_Toc384716212"/>
      <w:bookmarkStart w:id="23" w:name="_Toc385326307"/>
      <w:r>
        <w:t xml:space="preserve">Overview of </w:t>
      </w:r>
      <w:bookmarkEnd w:id="17"/>
      <w:bookmarkEnd w:id="18"/>
      <w:bookmarkEnd w:id="19"/>
      <w:bookmarkEnd w:id="20"/>
      <w:r>
        <w:t xml:space="preserve">the </w:t>
      </w:r>
      <w:bookmarkEnd w:id="21"/>
      <w:r>
        <w:t>NSW/ACT DNSPs</w:t>
      </w:r>
      <w:bookmarkEnd w:id="22"/>
      <w:bookmarkEnd w:id="23"/>
    </w:p>
    <w:p w:rsidR="009916C7" w:rsidRPr="00230079" w:rsidRDefault="009916C7" w:rsidP="009916C7">
      <w:pPr>
        <w:pStyle w:val="AERbodytext"/>
        <w:numPr>
          <w:ilvl w:val="0"/>
          <w:numId w:val="6"/>
        </w:numPr>
      </w:pPr>
      <w:r>
        <w:t xml:space="preserve">Ausgrid, Endeavour Energy and Essential </w:t>
      </w:r>
      <w:r w:rsidRPr="00230079">
        <w:t xml:space="preserve">Energy in NSW and ActewAGL in the ACT are </w:t>
      </w:r>
      <w:r>
        <w:t xml:space="preserve">the </w:t>
      </w:r>
      <w:r w:rsidRPr="00230079">
        <w:t xml:space="preserve">subject </w:t>
      </w:r>
      <w:r>
        <w:t xml:space="preserve">of this </w:t>
      </w:r>
      <w:r w:rsidR="00E05D13">
        <w:t>placeholder</w:t>
      </w:r>
      <w:r w:rsidR="00E05D13" w:rsidRPr="00230079">
        <w:t xml:space="preserve"> </w:t>
      </w:r>
      <w:r w:rsidRPr="00230079">
        <w:t>determination</w:t>
      </w:r>
      <w:r>
        <w:t>.</w:t>
      </w:r>
    </w:p>
    <w:p w:rsidR="009916C7" w:rsidRPr="00230079" w:rsidRDefault="009916C7" w:rsidP="00C23850">
      <w:pPr>
        <w:pStyle w:val="AERbulletlistfirststyle"/>
      </w:pPr>
      <w:r>
        <w:t xml:space="preserve">Ausgrid operates the </w:t>
      </w:r>
      <w:r w:rsidRPr="00230079">
        <w:t>densest electricity distribution network in NSW providing services to over 1.6 million customers in Sydney, the Central Coast and the Hunter Region. Ausgrid’s opening asset base for the current regulatory control period (in June 2012 dollars) is over $9</w:t>
      </w:r>
      <w:r w:rsidR="00635F22">
        <w:t> </w:t>
      </w:r>
      <w:r w:rsidRPr="00230079">
        <w:t xml:space="preserve">billion. It is the largest </w:t>
      </w:r>
      <w:r>
        <w:t>RAB</w:t>
      </w:r>
      <w:r w:rsidRPr="00230079">
        <w:t xml:space="preserve"> of all the distribution businesses in the NEM. </w:t>
      </w:r>
    </w:p>
    <w:p w:rsidR="009916C7" w:rsidRPr="00230079" w:rsidRDefault="009916C7" w:rsidP="00C23850">
      <w:pPr>
        <w:pStyle w:val="AERbulletlistfirststyle"/>
      </w:pPr>
      <w:r>
        <w:t xml:space="preserve">Endeavour Energy’s network spans 24,500 square kilometres </w:t>
      </w:r>
      <w:r w:rsidRPr="00230079">
        <w:t xml:space="preserve">covering Sydney’s Greater West, the Illawarra and South Coast, the Blue Mountains, the Southern Highlands and Shoalhaven. </w:t>
      </w:r>
      <w:r>
        <w:t>Endeavour Energy</w:t>
      </w:r>
      <w:r w:rsidRPr="00230079">
        <w:t xml:space="preserve"> services </w:t>
      </w:r>
      <w:r>
        <w:t xml:space="preserve">over </w:t>
      </w:r>
      <w:r w:rsidRPr="00230079">
        <w:t>88</w:t>
      </w:r>
      <w:r>
        <w:t>0,000</w:t>
      </w:r>
      <w:r w:rsidRPr="00230079">
        <w:t xml:space="preserve"> customers. </w:t>
      </w:r>
    </w:p>
    <w:p w:rsidR="009916C7" w:rsidRPr="00230079" w:rsidRDefault="009916C7" w:rsidP="00C23850">
      <w:pPr>
        <w:pStyle w:val="AERbulletlistfirststyle"/>
      </w:pPr>
      <w:r>
        <w:t xml:space="preserve">Essential Energy </w:t>
      </w:r>
      <w:r w:rsidRPr="00230079">
        <w:t xml:space="preserve">operates one of the geographically largest distribution networks in Australia. Its network consists of 190,777 kilometres of distribution lines which cover three quarters of NSW and parts of southern Queensland. </w:t>
      </w:r>
      <w:r>
        <w:t xml:space="preserve">Essential Energy services </w:t>
      </w:r>
      <w:r w:rsidR="00267720">
        <w:t>approximately 800</w:t>
      </w:r>
      <w:r>
        <w:t>,000 customers.</w:t>
      </w:r>
    </w:p>
    <w:p w:rsidR="009916C7" w:rsidRPr="00230079" w:rsidRDefault="009916C7" w:rsidP="00C23850">
      <w:pPr>
        <w:pStyle w:val="AERbulletlistfirststyle"/>
      </w:pPr>
      <w:r>
        <w:t xml:space="preserve">In July 2012, </w:t>
      </w:r>
      <w:r w:rsidRPr="00230079">
        <w:t xml:space="preserve">Ausgrid, Essential Energy and Endeavour Energy merged to form the state-owned entity, Networks NSW. The three businesses are run by the same CEO and senior management but remain functionally and legally separate. For this reason, Ausgrid, Essential Energy and Endeavour Energy submitted separate </w:t>
      </w:r>
      <w:r>
        <w:t>TRPs</w:t>
      </w:r>
      <w:r w:rsidRPr="00230079">
        <w:t xml:space="preserve"> to the AER.</w:t>
      </w:r>
    </w:p>
    <w:p w:rsidR="009916C7" w:rsidRPr="00230079" w:rsidRDefault="009916C7" w:rsidP="00C23850">
      <w:pPr>
        <w:pStyle w:val="AERbulletlistfirststyle"/>
      </w:pPr>
      <w:r>
        <w:t xml:space="preserve">ActewAGL </w:t>
      </w:r>
      <w:r w:rsidRPr="00230079">
        <w:t xml:space="preserve">is a joint public-private company. It is the only electricity </w:t>
      </w:r>
      <w:r w:rsidR="000565BE">
        <w:t>DNSP</w:t>
      </w:r>
      <w:r w:rsidRPr="00230079">
        <w:t xml:space="preserve"> in the ACT. It services </w:t>
      </w:r>
      <w:r>
        <w:t xml:space="preserve">over </w:t>
      </w:r>
      <w:r w:rsidRPr="00230079">
        <w:t>17</w:t>
      </w:r>
      <w:r>
        <w:t>0</w:t>
      </w:r>
      <w:r w:rsidRPr="00230079">
        <w:t>,</w:t>
      </w:r>
      <w:r>
        <w:t>000</w:t>
      </w:r>
      <w:r w:rsidRPr="00230079">
        <w:t xml:space="preserve"> customers. </w:t>
      </w:r>
    </w:p>
    <w:p w:rsidR="009916C7" w:rsidRDefault="009916C7" w:rsidP="00B459BA">
      <w:pPr>
        <w:pStyle w:val="Heading2"/>
      </w:pPr>
      <w:bookmarkStart w:id="24" w:name="_Toc374450119"/>
      <w:bookmarkStart w:id="25" w:name="_Toc374450370"/>
      <w:bookmarkStart w:id="26" w:name="_Toc374450491"/>
      <w:bookmarkStart w:id="27" w:name="_Toc374451131"/>
      <w:bookmarkStart w:id="28" w:name="_Toc383436056"/>
      <w:bookmarkStart w:id="29" w:name="_Toc384716213"/>
      <w:bookmarkStart w:id="30" w:name="_Toc385326308"/>
      <w:r>
        <w:t>Review process</w:t>
      </w:r>
      <w:bookmarkEnd w:id="24"/>
      <w:bookmarkEnd w:id="25"/>
      <w:bookmarkEnd w:id="26"/>
      <w:bookmarkEnd w:id="27"/>
      <w:bookmarkEnd w:id="28"/>
      <w:bookmarkEnd w:id="29"/>
      <w:bookmarkEnd w:id="30"/>
    </w:p>
    <w:p w:rsidR="0016241C" w:rsidRDefault="009916C7" w:rsidP="00DA1375">
      <w:pPr>
        <w:pStyle w:val="AERbodytext"/>
        <w:keepNext/>
        <w:numPr>
          <w:ilvl w:val="0"/>
          <w:numId w:val="6"/>
        </w:numPr>
      </w:pPr>
      <w:r>
        <w:t>The review process for this transitional year differs from our review process under a normal determination. In particular and as shown in</w:t>
      </w:r>
      <w:r w:rsidR="00CB2977">
        <w:t xml:space="preserve"> </w:t>
      </w:r>
      <w:r w:rsidR="00F95820">
        <w:fldChar w:fldCharType="begin"/>
      </w:r>
      <w:r w:rsidR="00F95820">
        <w:instrText xml:space="preserve"> REF  _Ref384817653 \* FirstCap \h </w:instrText>
      </w:r>
      <w:r w:rsidR="00F95820">
        <w:fldChar w:fldCharType="separate"/>
      </w:r>
      <w:r w:rsidR="00E313D7">
        <w:t xml:space="preserve">Table </w:t>
      </w:r>
      <w:r w:rsidR="00E313D7">
        <w:rPr>
          <w:noProof/>
        </w:rPr>
        <w:t>2</w:t>
      </w:r>
      <w:r w:rsidR="00E313D7">
        <w:t>.</w:t>
      </w:r>
      <w:r w:rsidR="00E313D7">
        <w:rPr>
          <w:noProof/>
        </w:rPr>
        <w:t>1</w:t>
      </w:r>
      <w:r w:rsidR="00F95820">
        <w:fldChar w:fldCharType="end"/>
      </w:r>
      <w:r>
        <w:t>, the timeframes are considerably condensed, with the rev</w:t>
      </w:r>
      <w:r w:rsidR="00E92578">
        <w:t>iew from start to finish being three</w:t>
      </w:r>
      <w:r>
        <w:t xml:space="preserve"> months. We had a single consultation period, during which we sought submissions during a period of 20 business days. All submissions received are available on our website and are listed at</w:t>
      </w:r>
      <w:r w:rsidR="00711465">
        <w:t xml:space="preserve"> Appendix</w:t>
      </w:r>
      <w:r w:rsidR="005F1985">
        <w:t xml:space="preserve"> </w:t>
      </w:r>
      <w:r w:rsidR="005F1985">
        <w:fldChar w:fldCharType="begin"/>
      </w:r>
      <w:r w:rsidR="005F1985">
        <w:instrText xml:space="preserve"> REF _Ref384818470 \r \h </w:instrText>
      </w:r>
      <w:r w:rsidR="005F1985">
        <w:fldChar w:fldCharType="separate"/>
      </w:r>
      <w:r w:rsidR="00E313D7">
        <w:t>A</w:t>
      </w:r>
      <w:r w:rsidR="005F1985">
        <w:fldChar w:fldCharType="end"/>
      </w:r>
      <w:r>
        <w:t>. We also consulted with</w:t>
      </w:r>
      <w:r w:rsidR="0016241C">
        <w:t>:</w:t>
      </w:r>
    </w:p>
    <w:p w:rsidR="0016241C" w:rsidRDefault="0016241C" w:rsidP="00DA1375">
      <w:pPr>
        <w:pStyle w:val="AERbulletlistfirststyle"/>
        <w:keepNext/>
      </w:pPr>
      <w:r>
        <w:t>our NSW and ACT jurisdictional consumer groups</w:t>
      </w:r>
    </w:p>
    <w:p w:rsidR="0016241C" w:rsidRDefault="0016241C" w:rsidP="00DA1375">
      <w:pPr>
        <w:pStyle w:val="AERbulletlistfirststyle"/>
        <w:keepNext/>
      </w:pPr>
      <w:r>
        <w:t>our Consumer Challenge Panel (CCP) subpanel, formed for the NSW/ACT electrici</w:t>
      </w:r>
      <w:r w:rsidR="007331B6">
        <w:t>ty distribution determinations</w:t>
      </w:r>
    </w:p>
    <w:p w:rsidR="009916C7" w:rsidRDefault="0016241C" w:rsidP="00DA1375">
      <w:pPr>
        <w:pStyle w:val="AERbulletlistfirststyle"/>
      </w:pPr>
      <w:r>
        <w:t xml:space="preserve">the </w:t>
      </w:r>
      <w:r w:rsidR="009916C7">
        <w:t xml:space="preserve">NSW/ACT DNSPs. </w:t>
      </w:r>
    </w:p>
    <w:p w:rsidR="0073374C" w:rsidRDefault="009916C7" w:rsidP="0073374C">
      <w:pPr>
        <w:pStyle w:val="AERbodytext"/>
        <w:numPr>
          <w:ilvl w:val="0"/>
          <w:numId w:val="6"/>
        </w:numPr>
      </w:pPr>
      <w:r>
        <w:t xml:space="preserve">The NSW/ACT DNSPs submitted TRPs to the AER on 31 January 2014. </w:t>
      </w:r>
      <w:r w:rsidRPr="00B45603">
        <w:t>In accordance with the transitional rules,</w:t>
      </w:r>
      <w:r>
        <w:t xml:space="preserve"> the NSW/ACT DNSPs</w:t>
      </w:r>
      <w:r w:rsidRPr="00B45603">
        <w:t xml:space="preserve"> w</w:t>
      </w:r>
      <w:r>
        <w:t>ere</w:t>
      </w:r>
      <w:r w:rsidRPr="00B45603">
        <w:t xml:space="preserve"> not required to submit the kind of information that is required for a</w:t>
      </w:r>
      <w:r>
        <w:t xml:space="preserve"> full five year determination. </w:t>
      </w:r>
      <w:r w:rsidRPr="00B45603">
        <w:t xml:space="preserve">Information of that kind, such as details about particular expenditure projects and demand forecasts, must be submitted as part of </w:t>
      </w:r>
      <w:r>
        <w:t>their</w:t>
      </w:r>
      <w:r w:rsidRPr="00B45603">
        <w:t xml:space="preserve"> </w:t>
      </w:r>
      <w:r>
        <w:t xml:space="preserve">regulatory </w:t>
      </w:r>
      <w:r w:rsidRPr="00B45603">
        <w:t>proposal</w:t>
      </w:r>
      <w:r>
        <w:t>s</w:t>
      </w:r>
      <w:r w:rsidRPr="00B45603">
        <w:t xml:space="preserve"> for the full determination.</w:t>
      </w:r>
      <w:r>
        <w:t xml:space="preserve"> A brief summary of the information contained in the TRPs can be found in</w:t>
      </w:r>
      <w:r w:rsidR="009903EE">
        <w:t xml:space="preserve"> Appendix</w:t>
      </w:r>
      <w:r w:rsidR="005F1985">
        <w:t xml:space="preserve"> </w:t>
      </w:r>
      <w:r w:rsidR="005F1985">
        <w:fldChar w:fldCharType="begin"/>
      </w:r>
      <w:r w:rsidR="005F1985">
        <w:instrText xml:space="preserve"> REF _Ref384818511 \r \h </w:instrText>
      </w:r>
      <w:r w:rsidR="005F1985">
        <w:fldChar w:fldCharType="separate"/>
      </w:r>
      <w:r w:rsidR="00E313D7">
        <w:t>B</w:t>
      </w:r>
      <w:r w:rsidR="005F1985">
        <w:fldChar w:fldCharType="end"/>
      </w:r>
      <w:r>
        <w:t xml:space="preserve">. </w:t>
      </w:r>
    </w:p>
    <w:p w:rsidR="00B459BA" w:rsidRDefault="00B459BA" w:rsidP="00DA1375">
      <w:pPr>
        <w:pStyle w:val="HeadingBoldBlue"/>
      </w:pPr>
      <w:r>
        <w:lastRenderedPageBreak/>
        <w:t>Consumer Challenge Panel</w:t>
      </w:r>
    </w:p>
    <w:p w:rsidR="00B459BA" w:rsidRDefault="00830076" w:rsidP="00830076">
      <w:pPr>
        <w:pStyle w:val="AERbodytext"/>
        <w:numPr>
          <w:ilvl w:val="0"/>
          <w:numId w:val="6"/>
        </w:numPr>
      </w:pPr>
      <w:r>
        <w:t xml:space="preserve">We have formed a </w:t>
      </w:r>
      <w:r w:rsidR="00673DC3">
        <w:t>CCP subpanel for the NSW/ACT electricity distribution</w:t>
      </w:r>
      <w:r w:rsidR="009D0D0C">
        <w:t xml:space="preserve"> determinations</w:t>
      </w:r>
      <w:r w:rsidR="0016504C">
        <w:t xml:space="preserve"> (the CCP subpanel)</w:t>
      </w:r>
      <w:r>
        <w:t xml:space="preserve">. </w:t>
      </w:r>
      <w:r w:rsidR="0073374C">
        <w:t>The CCP</w:t>
      </w:r>
      <w:r w:rsidR="0016241C">
        <w:t xml:space="preserve"> subpanel</w:t>
      </w:r>
      <w:r w:rsidR="0073374C">
        <w:t xml:space="preserve"> </w:t>
      </w:r>
      <w:r w:rsidR="0016241C">
        <w:t>met with AER staff</w:t>
      </w:r>
      <w:r w:rsidR="00673DC3">
        <w:t xml:space="preserve"> on several occasions</w:t>
      </w:r>
      <w:r w:rsidR="0016241C">
        <w:t xml:space="preserve"> during our consideration of the TRPs. </w:t>
      </w:r>
      <w:r w:rsidR="00B459BA">
        <w:t>It</w:t>
      </w:r>
      <w:r w:rsidR="0016241C">
        <w:t xml:space="preserve"> also met with all of the NSW/ACT DNSPs after they submitted their TRPs. </w:t>
      </w:r>
      <w:r w:rsidR="00B459BA">
        <w:t>It considered the TRPs in the context of the broader review of the NSW/ACT DNSPs subsequent regulatory proposals.</w:t>
      </w:r>
    </w:p>
    <w:p w:rsidR="00673DC3" w:rsidRDefault="0016241C" w:rsidP="0029053E">
      <w:pPr>
        <w:pStyle w:val="AERbodytext"/>
        <w:numPr>
          <w:ilvl w:val="0"/>
          <w:numId w:val="6"/>
        </w:numPr>
      </w:pPr>
      <w:r>
        <w:t xml:space="preserve">The subpanel </w:t>
      </w:r>
      <w:r w:rsidR="0073374C">
        <w:t xml:space="preserve">provided advice to </w:t>
      </w:r>
      <w:r w:rsidR="00673DC3">
        <w:t>us</w:t>
      </w:r>
      <w:r w:rsidR="0073374C">
        <w:t xml:space="preserve"> on the </w:t>
      </w:r>
      <w:r w:rsidR="00B459BA">
        <w:t>TRPs</w:t>
      </w:r>
      <w:r w:rsidR="0073374C">
        <w:t xml:space="preserve">. </w:t>
      </w:r>
      <w:r w:rsidR="00B459BA">
        <w:t>In their advice, the</w:t>
      </w:r>
      <w:r w:rsidR="0073374C">
        <w:t xml:space="preserve"> subpanel expressed the view that it</w:t>
      </w:r>
      <w:r w:rsidR="0073374C" w:rsidRPr="00947A42">
        <w:t xml:space="preserve"> has an expectation that distribution prices will decrease, preferably in nominal terms</w:t>
      </w:r>
      <w:r w:rsidR="0073374C">
        <w:t xml:space="preserve"> over the 2014–19 period.</w:t>
      </w:r>
      <w:r w:rsidR="00673DC3">
        <w:t xml:space="preserve"> In discussions with the NSW/ACT DNSPs and AER staff, the CCP</w:t>
      </w:r>
      <w:r w:rsidR="0016504C">
        <w:t xml:space="preserve"> subpanel</w:t>
      </w:r>
      <w:r w:rsidR="00673DC3">
        <w:t xml:space="preserve"> </w:t>
      </w:r>
      <w:r w:rsidR="0016504C">
        <w:t>indicated they would like the NSW/ACT DNSPs to improve their</w:t>
      </w:r>
      <w:r w:rsidR="00673DC3">
        <w:t xml:space="preserve"> consumer engagement.</w:t>
      </w:r>
    </w:p>
    <w:p w:rsidR="00B459BA" w:rsidRDefault="00B459BA" w:rsidP="00DA1375">
      <w:pPr>
        <w:pStyle w:val="HeadingBoldBlue"/>
      </w:pPr>
      <w:r>
        <w:t>Submissions</w:t>
      </w:r>
    </w:p>
    <w:p w:rsidR="0016504C" w:rsidRDefault="00B459BA" w:rsidP="00DA1375">
      <w:pPr>
        <w:pStyle w:val="AERbodytext"/>
      </w:pPr>
      <w:r>
        <w:t>We received</w:t>
      </w:r>
      <w:r w:rsidR="00673DC3">
        <w:t xml:space="preserve"> a total of ten submission</w:t>
      </w:r>
      <w:r w:rsidR="00B92507">
        <w:t>s</w:t>
      </w:r>
      <w:r w:rsidR="00673DC3">
        <w:t xml:space="preserve"> on the TRPs. </w:t>
      </w:r>
      <w:r w:rsidR="00B92507">
        <w:t xml:space="preserve">All submissions received are available on our website and are listed at Appendix </w:t>
      </w:r>
      <w:r w:rsidR="00B92507">
        <w:fldChar w:fldCharType="begin"/>
      </w:r>
      <w:r w:rsidR="00B92507">
        <w:instrText xml:space="preserve"> REF _Ref384818470 \r \h </w:instrText>
      </w:r>
      <w:r w:rsidR="00B92507">
        <w:fldChar w:fldCharType="separate"/>
      </w:r>
      <w:r w:rsidR="00E313D7">
        <w:t>A</w:t>
      </w:r>
      <w:r w:rsidR="00B92507">
        <w:fldChar w:fldCharType="end"/>
      </w:r>
      <w:r w:rsidR="00B92507">
        <w:t xml:space="preserve">. In making our determination we have had regard to these submissions. </w:t>
      </w:r>
      <w:r w:rsidR="0016504C">
        <w:t>We received submissions on the following issues:</w:t>
      </w:r>
    </w:p>
    <w:p w:rsidR="00345281" w:rsidRDefault="00345281" w:rsidP="00DA1375">
      <w:pPr>
        <w:pStyle w:val="AERbulletlistfirststyle"/>
      </w:pPr>
      <w:r>
        <w:t>Revenues</w:t>
      </w:r>
    </w:p>
    <w:p w:rsidR="0016504C" w:rsidRDefault="0016504C" w:rsidP="00DA1375">
      <w:pPr>
        <w:pStyle w:val="AERbulletlistfirststyle"/>
      </w:pPr>
      <w:r>
        <w:t>Capex</w:t>
      </w:r>
    </w:p>
    <w:p w:rsidR="0016504C" w:rsidRDefault="0016504C" w:rsidP="00DA1375">
      <w:pPr>
        <w:pStyle w:val="AERbulletlistfirststyle"/>
      </w:pPr>
      <w:r>
        <w:t>Opex</w:t>
      </w:r>
      <w:r w:rsidR="00345281">
        <w:t xml:space="preserve"> (including EBSS)</w:t>
      </w:r>
    </w:p>
    <w:p w:rsidR="0016504C" w:rsidRDefault="0016504C" w:rsidP="00DA1375">
      <w:pPr>
        <w:pStyle w:val="AERbulletlistfirststyle"/>
      </w:pPr>
      <w:r>
        <w:t>WACC</w:t>
      </w:r>
    </w:p>
    <w:p w:rsidR="0016504C" w:rsidRDefault="00345281" w:rsidP="00DA1375">
      <w:pPr>
        <w:pStyle w:val="AERbulletlistfirststyle"/>
      </w:pPr>
      <w:r>
        <w:t>Metering services (including smart meters)</w:t>
      </w:r>
    </w:p>
    <w:p w:rsidR="00345281" w:rsidRDefault="00345281" w:rsidP="00DA1375">
      <w:pPr>
        <w:pStyle w:val="AERbulletlistfirststyle"/>
      </w:pPr>
      <w:r>
        <w:t>Demand management</w:t>
      </w:r>
    </w:p>
    <w:p w:rsidR="00345281" w:rsidRDefault="00345281" w:rsidP="00DA1375">
      <w:pPr>
        <w:pStyle w:val="AERbulletlistfirststyle"/>
      </w:pPr>
      <w:r>
        <w:t>Tariff structures</w:t>
      </w:r>
    </w:p>
    <w:p w:rsidR="00345281" w:rsidRDefault="00345281" w:rsidP="00DA1375">
      <w:pPr>
        <w:pStyle w:val="AERbulletlistfirststyle"/>
      </w:pPr>
      <w:r>
        <w:t>Control mechanism</w:t>
      </w:r>
    </w:p>
    <w:p w:rsidR="00345281" w:rsidRDefault="00345281" w:rsidP="00DA1375">
      <w:pPr>
        <w:pStyle w:val="AERbulletlistfirststyle"/>
      </w:pPr>
      <w:r>
        <w:t>Service standards</w:t>
      </w:r>
    </w:p>
    <w:p w:rsidR="00345281" w:rsidRDefault="00345281" w:rsidP="00DA1375">
      <w:pPr>
        <w:pStyle w:val="AERbulletlistfirststyle"/>
      </w:pPr>
      <w:r>
        <w:t>Pricing methodology</w:t>
      </w:r>
    </w:p>
    <w:p w:rsidR="00B459BA" w:rsidRPr="0029053E" w:rsidRDefault="00345281" w:rsidP="00DA1375">
      <w:pPr>
        <w:pStyle w:val="AERbodytext"/>
      </w:pPr>
      <w:r>
        <w:t xml:space="preserve">We have incorporated references to and discussion of these submissions in this decision document. </w:t>
      </w:r>
      <w:r w:rsidR="00223E46">
        <w:t>W</w:t>
      </w:r>
      <w:r>
        <w:t xml:space="preserve">e will be able to respond more appropriately to </w:t>
      </w:r>
      <w:r w:rsidR="00223E46">
        <w:t xml:space="preserve">some of these </w:t>
      </w:r>
      <w:r>
        <w:t xml:space="preserve">submissions in </w:t>
      </w:r>
      <w:r w:rsidR="00223E46">
        <w:t>our</w:t>
      </w:r>
      <w:r>
        <w:t xml:space="preserve"> draft determination</w:t>
      </w:r>
      <w:r w:rsidR="00223E46">
        <w:t>s for the subsequent regulatory control period</w:t>
      </w:r>
      <w:r>
        <w:t>.</w:t>
      </w:r>
    </w:p>
    <w:p w:rsidR="009916C7" w:rsidRDefault="00D35C6D" w:rsidP="0029053E">
      <w:pPr>
        <w:pStyle w:val="Caption"/>
        <w:jc w:val="left"/>
      </w:pPr>
      <w:bookmarkStart w:id="31" w:name="_Ref384817653"/>
      <w:r>
        <w:t xml:space="preserve">Table </w:t>
      </w:r>
      <w:r w:rsidR="00DD155E">
        <w:fldChar w:fldCharType="begin"/>
      </w:r>
      <w:r w:rsidR="00DD155E">
        <w:instrText xml:space="preserve"> </w:instrText>
      </w:r>
      <w:r w:rsidR="00DD155E">
        <w:instrText xml:space="preserve">STYLEREF 1 \s </w:instrText>
      </w:r>
      <w:r w:rsidR="00DD155E">
        <w:fldChar w:fldCharType="separate"/>
      </w:r>
      <w:r w:rsidR="00E313D7">
        <w:rPr>
          <w:noProof/>
        </w:rPr>
        <w:t>2</w:t>
      </w:r>
      <w:r w:rsidR="00DD155E">
        <w:rPr>
          <w:noProof/>
        </w:rPr>
        <w:fldChar w:fldCharType="end"/>
      </w:r>
      <w:r w:rsidR="00804FE8">
        <w:t>.</w:t>
      </w:r>
      <w:r w:rsidR="00DD155E">
        <w:fldChar w:fldCharType="begin"/>
      </w:r>
      <w:r w:rsidR="00DD155E">
        <w:instrText xml:space="preserve"> SEQ Table \* ARABIC \s 1 </w:instrText>
      </w:r>
      <w:r w:rsidR="00DD155E">
        <w:fldChar w:fldCharType="separate"/>
      </w:r>
      <w:r w:rsidR="00E313D7">
        <w:rPr>
          <w:noProof/>
        </w:rPr>
        <w:t>1</w:t>
      </w:r>
      <w:r w:rsidR="00DD155E">
        <w:rPr>
          <w:noProof/>
        </w:rPr>
        <w:fldChar w:fldCharType="end"/>
      </w:r>
      <w:bookmarkEnd w:id="31"/>
      <w:r>
        <w:tab/>
      </w:r>
      <w:r w:rsidR="009916C7">
        <w:t>Key dates in the AER's transitional decision making process</w:t>
      </w:r>
    </w:p>
    <w:tbl>
      <w:tblPr>
        <w:tblStyle w:val="AERtable-text"/>
        <w:tblW w:w="0" w:type="auto"/>
        <w:tblLook w:val="04A0" w:firstRow="1" w:lastRow="0" w:firstColumn="1" w:lastColumn="0" w:noHBand="0" w:noVBand="1"/>
      </w:tblPr>
      <w:tblGrid>
        <w:gridCol w:w="6771"/>
        <w:gridCol w:w="2471"/>
      </w:tblGrid>
      <w:tr w:rsidR="009916C7" w:rsidTr="00B64FA8">
        <w:trPr>
          <w:cnfStyle w:val="100000000000" w:firstRow="1" w:lastRow="0" w:firstColumn="0" w:lastColumn="0" w:oddVBand="0" w:evenVBand="0" w:oddHBand="0" w:evenHBand="0" w:firstRowFirstColumn="0" w:firstRowLastColumn="0" w:lastRowFirstColumn="0" w:lastRowLastColumn="0"/>
        </w:trPr>
        <w:tc>
          <w:tcPr>
            <w:tcW w:w="6771" w:type="dxa"/>
          </w:tcPr>
          <w:p w:rsidR="009916C7" w:rsidRPr="00230079" w:rsidRDefault="009916C7" w:rsidP="00E05D13">
            <w:pPr>
              <w:pStyle w:val="AERbodytext"/>
              <w:keepNext/>
              <w:numPr>
                <w:ilvl w:val="0"/>
                <w:numId w:val="6"/>
              </w:numPr>
              <w:spacing w:after="120"/>
              <w:rPr>
                <w:b w:val="0"/>
                <w:color w:val="auto"/>
                <w:sz w:val="20"/>
              </w:rPr>
            </w:pPr>
            <w:r w:rsidRPr="00D94BDF">
              <w:t>Key stages in the decision making process</w:t>
            </w:r>
          </w:p>
        </w:tc>
        <w:tc>
          <w:tcPr>
            <w:tcW w:w="2471" w:type="dxa"/>
          </w:tcPr>
          <w:p w:rsidR="009916C7" w:rsidRPr="00230079" w:rsidRDefault="009916C7" w:rsidP="00E05D13">
            <w:pPr>
              <w:pStyle w:val="AERbodytext"/>
              <w:keepNext/>
              <w:numPr>
                <w:ilvl w:val="0"/>
                <w:numId w:val="6"/>
              </w:numPr>
              <w:spacing w:after="120"/>
              <w:rPr>
                <w:b w:val="0"/>
                <w:color w:val="auto"/>
                <w:sz w:val="20"/>
              </w:rPr>
            </w:pPr>
            <w:r w:rsidRPr="00D94BDF">
              <w:t>Date</w:t>
            </w:r>
          </w:p>
        </w:tc>
      </w:tr>
      <w:tr w:rsidR="009916C7" w:rsidTr="00B64FA8">
        <w:tc>
          <w:tcPr>
            <w:tcW w:w="6771" w:type="dxa"/>
          </w:tcPr>
          <w:p w:rsidR="009916C7" w:rsidRPr="009916C7" w:rsidRDefault="009916C7" w:rsidP="00E05D13">
            <w:pPr>
              <w:pStyle w:val="AERtabletextleft"/>
              <w:keepNext/>
              <w:spacing w:before="120"/>
            </w:pPr>
            <w:r>
              <w:t xml:space="preserve">Submission of </w:t>
            </w:r>
            <w:r w:rsidR="005F1985">
              <w:t>NSW/ACT DNSP</w:t>
            </w:r>
            <w:r w:rsidRPr="009916C7">
              <w:t>s’ transitional regulatory proposal</w:t>
            </w:r>
            <w:r w:rsidR="005F1985">
              <w:t>s</w:t>
            </w:r>
            <w:r w:rsidRPr="009916C7">
              <w:t xml:space="preserve"> to the AER</w:t>
            </w:r>
          </w:p>
        </w:tc>
        <w:tc>
          <w:tcPr>
            <w:tcW w:w="2471" w:type="dxa"/>
          </w:tcPr>
          <w:p w:rsidR="009916C7" w:rsidRPr="009916C7" w:rsidRDefault="009916C7" w:rsidP="00E05D13">
            <w:pPr>
              <w:pStyle w:val="AERtabletextleft"/>
              <w:keepNext/>
              <w:spacing w:before="120"/>
            </w:pPr>
            <w:r>
              <w:t>31</w:t>
            </w:r>
            <w:r w:rsidRPr="009916C7">
              <w:t xml:space="preserve"> January 2014</w:t>
            </w:r>
          </w:p>
        </w:tc>
      </w:tr>
      <w:tr w:rsidR="009916C7" w:rsidTr="00B64FA8">
        <w:trPr>
          <w:cnfStyle w:val="000000010000" w:firstRow="0" w:lastRow="0" w:firstColumn="0" w:lastColumn="0" w:oddVBand="0" w:evenVBand="0" w:oddHBand="0" w:evenHBand="1" w:firstRowFirstColumn="0" w:firstRowLastColumn="0" w:lastRowFirstColumn="0" w:lastRowLastColumn="0"/>
        </w:trPr>
        <w:tc>
          <w:tcPr>
            <w:tcW w:w="6771" w:type="dxa"/>
          </w:tcPr>
          <w:p w:rsidR="009916C7" w:rsidRPr="009916C7" w:rsidRDefault="009916C7" w:rsidP="00E05D13">
            <w:pPr>
              <w:pStyle w:val="AERtabletextleft"/>
              <w:keepNext/>
              <w:spacing w:before="120"/>
            </w:pPr>
            <w:r>
              <w:t xml:space="preserve">Publication of </w:t>
            </w:r>
            <w:r w:rsidR="005F1985">
              <w:t>NSW/ACT DNSP</w:t>
            </w:r>
            <w:r w:rsidR="005F1985" w:rsidRPr="009916C7">
              <w:t xml:space="preserve">s’ </w:t>
            </w:r>
            <w:r w:rsidRPr="009916C7">
              <w:t>transitional regulatory proposal</w:t>
            </w:r>
            <w:r w:rsidR="005F1985">
              <w:t>s</w:t>
            </w:r>
          </w:p>
        </w:tc>
        <w:tc>
          <w:tcPr>
            <w:tcW w:w="2471" w:type="dxa"/>
          </w:tcPr>
          <w:p w:rsidR="009916C7" w:rsidRPr="009916C7" w:rsidRDefault="009916C7" w:rsidP="00E05D13">
            <w:pPr>
              <w:pStyle w:val="AERtabletextleft"/>
              <w:keepNext/>
              <w:spacing w:before="120"/>
            </w:pPr>
            <w:r>
              <w:t>4</w:t>
            </w:r>
            <w:r w:rsidRPr="009916C7">
              <w:t xml:space="preserve">  February 2014</w:t>
            </w:r>
          </w:p>
        </w:tc>
      </w:tr>
      <w:tr w:rsidR="009916C7" w:rsidTr="00B64FA8">
        <w:tc>
          <w:tcPr>
            <w:tcW w:w="6771" w:type="dxa"/>
          </w:tcPr>
          <w:p w:rsidR="009916C7" w:rsidRPr="009916C7" w:rsidRDefault="009916C7" w:rsidP="00E05D13">
            <w:pPr>
              <w:pStyle w:val="AERtabletextleft"/>
              <w:keepNext/>
              <w:spacing w:before="120"/>
            </w:pPr>
            <w:r w:rsidRPr="00FF35EB">
              <w:t>Submission</w:t>
            </w:r>
            <w:r w:rsidRPr="009916C7">
              <w:t xml:space="preserve">s on </w:t>
            </w:r>
            <w:r w:rsidR="005F1985">
              <w:t>NSW/ACT DNSP</w:t>
            </w:r>
            <w:r w:rsidR="005F1985" w:rsidRPr="009916C7">
              <w:t xml:space="preserve">s’ </w:t>
            </w:r>
            <w:r w:rsidRPr="009916C7">
              <w:t>transitional regulatory proposal</w:t>
            </w:r>
            <w:r w:rsidR="005F1985">
              <w:t>s</w:t>
            </w:r>
            <w:r w:rsidRPr="009916C7">
              <w:t xml:space="preserve"> due</w:t>
            </w:r>
          </w:p>
        </w:tc>
        <w:tc>
          <w:tcPr>
            <w:tcW w:w="2471" w:type="dxa"/>
          </w:tcPr>
          <w:p w:rsidR="009916C7" w:rsidRPr="009916C7" w:rsidRDefault="009916C7" w:rsidP="00E05D13">
            <w:pPr>
              <w:pStyle w:val="AERtabletextleft"/>
              <w:keepNext/>
              <w:spacing w:before="120"/>
            </w:pPr>
            <w:r>
              <w:t>3</w:t>
            </w:r>
            <w:r w:rsidRPr="009916C7">
              <w:t xml:space="preserve"> March 2014</w:t>
            </w:r>
          </w:p>
        </w:tc>
      </w:tr>
      <w:tr w:rsidR="009916C7" w:rsidTr="00B64FA8">
        <w:trPr>
          <w:cnfStyle w:val="000000010000" w:firstRow="0" w:lastRow="0" w:firstColumn="0" w:lastColumn="0" w:oddVBand="0" w:evenVBand="0" w:oddHBand="0" w:evenHBand="1" w:firstRowFirstColumn="0" w:firstRowLastColumn="0" w:lastRowFirstColumn="0" w:lastRowLastColumn="0"/>
        </w:trPr>
        <w:tc>
          <w:tcPr>
            <w:tcW w:w="6771" w:type="dxa"/>
          </w:tcPr>
          <w:p w:rsidR="009916C7" w:rsidRPr="009916C7" w:rsidRDefault="009916C7" w:rsidP="00E05D13">
            <w:pPr>
              <w:pStyle w:val="AERtabletextleft"/>
              <w:keepNext/>
              <w:spacing w:before="120"/>
            </w:pPr>
            <w:r>
              <w:t xml:space="preserve">Publication of AER </w:t>
            </w:r>
            <w:r w:rsidR="00E05D13">
              <w:t xml:space="preserve">placeholder </w:t>
            </w:r>
            <w:r w:rsidR="005F1985">
              <w:t>determination</w:t>
            </w:r>
          </w:p>
        </w:tc>
        <w:tc>
          <w:tcPr>
            <w:tcW w:w="2471" w:type="dxa"/>
          </w:tcPr>
          <w:p w:rsidR="009916C7" w:rsidRPr="009916C7" w:rsidRDefault="00601988" w:rsidP="00E05D13">
            <w:pPr>
              <w:pStyle w:val="AERtabletextleft"/>
              <w:keepNext/>
              <w:spacing w:before="120"/>
            </w:pPr>
            <w:r>
              <w:t xml:space="preserve">By </w:t>
            </w:r>
            <w:r w:rsidR="009916C7">
              <w:t>30</w:t>
            </w:r>
            <w:r w:rsidR="009916C7" w:rsidRPr="009916C7">
              <w:t xml:space="preserve"> April 2014</w:t>
            </w:r>
          </w:p>
        </w:tc>
      </w:tr>
    </w:tbl>
    <w:p w:rsidR="009916C7" w:rsidRPr="009D768F" w:rsidRDefault="00EE6780" w:rsidP="009D768F">
      <w:pPr>
        <w:pStyle w:val="AERtablesource"/>
      </w:pPr>
      <w:bookmarkStart w:id="32" w:name="_Toc374450122"/>
      <w:bookmarkStart w:id="33" w:name="_Toc374450373"/>
      <w:bookmarkStart w:id="34" w:name="_Toc374450494"/>
      <w:bookmarkStart w:id="35" w:name="_Toc374451134"/>
      <w:bookmarkStart w:id="36" w:name="_Toc360024867"/>
      <w:r w:rsidRPr="009D768F">
        <w:t>Source:</w:t>
      </w:r>
      <w:r w:rsidRPr="009D768F">
        <w:tab/>
      </w:r>
      <w:r w:rsidR="00711465" w:rsidRPr="009D768F">
        <w:t>AER analysis.</w:t>
      </w:r>
    </w:p>
    <w:p w:rsidR="009916C7" w:rsidRDefault="009916C7" w:rsidP="003F0974">
      <w:pPr>
        <w:pStyle w:val="Heading3"/>
      </w:pPr>
      <w:bookmarkStart w:id="37" w:name="_Toc383436057"/>
      <w:bookmarkStart w:id="38" w:name="_Toc384716214"/>
      <w:r>
        <w:lastRenderedPageBreak/>
        <w:t>Protected information submitted to the AER</w:t>
      </w:r>
      <w:bookmarkEnd w:id="32"/>
      <w:bookmarkEnd w:id="33"/>
      <w:bookmarkEnd w:id="34"/>
      <w:bookmarkEnd w:id="35"/>
      <w:bookmarkEnd w:id="37"/>
      <w:bookmarkEnd w:id="38"/>
    </w:p>
    <w:p w:rsidR="009916C7" w:rsidRDefault="009916C7" w:rsidP="00EF4259">
      <w:pPr>
        <w:pStyle w:val="AERbodytext"/>
      </w:pPr>
      <w:r>
        <w:t xml:space="preserve">We are committed to treating protected information received from </w:t>
      </w:r>
      <w:r w:rsidR="000565BE">
        <w:t>DNSPs</w:t>
      </w:r>
      <w:r>
        <w:t xml:space="preserve"> and other stakeholders in accordance with the NEL. The NEL allows us to disclose protected information in certain circumstances.</w:t>
      </w:r>
      <w:r>
        <w:rPr>
          <w:rStyle w:val="FootnoteReference"/>
        </w:rPr>
        <w:footnoteReference w:id="14"/>
      </w:r>
      <w:r>
        <w:t xml:space="preserve"> </w:t>
      </w:r>
      <w:r w:rsidR="00451B70">
        <w:t xml:space="preserve">This </w:t>
      </w:r>
      <w:r w:rsidR="00451B70" w:rsidRPr="00EF4259">
        <w:t>decision contains no sensitive information</w:t>
      </w:r>
      <w:r w:rsidR="00451B70">
        <w:t>.</w:t>
      </w:r>
    </w:p>
    <w:p w:rsidR="009916C7" w:rsidRDefault="009916C7" w:rsidP="003F0974">
      <w:pPr>
        <w:pStyle w:val="Heading3"/>
      </w:pPr>
      <w:bookmarkStart w:id="39" w:name="_Toc374450123"/>
      <w:bookmarkStart w:id="40" w:name="_Toc374450374"/>
      <w:bookmarkStart w:id="41" w:name="_Toc374450495"/>
      <w:bookmarkStart w:id="42" w:name="_Toc374451135"/>
      <w:bookmarkStart w:id="43" w:name="_Toc383436058"/>
      <w:bookmarkStart w:id="44" w:name="_Toc384716215"/>
      <w:r>
        <w:t>Structure of this document</w:t>
      </w:r>
      <w:bookmarkEnd w:id="39"/>
      <w:bookmarkEnd w:id="40"/>
      <w:bookmarkEnd w:id="41"/>
      <w:bookmarkEnd w:id="42"/>
      <w:bookmarkEnd w:id="43"/>
      <w:bookmarkEnd w:id="44"/>
    </w:p>
    <w:p w:rsidR="009916C7" w:rsidRPr="005212A7" w:rsidRDefault="009916C7" w:rsidP="009916C7">
      <w:pPr>
        <w:pStyle w:val="AERbodytext"/>
        <w:numPr>
          <w:ilvl w:val="0"/>
          <w:numId w:val="6"/>
        </w:numPr>
      </w:pPr>
      <w:r w:rsidRPr="005212A7">
        <w:t>The remaining part</w:t>
      </w:r>
      <w:r w:rsidR="005F1985">
        <w:t>s</w:t>
      </w:r>
      <w:r w:rsidRPr="005212A7">
        <w:t xml:space="preserve"> of this </w:t>
      </w:r>
      <w:r w:rsidR="00E05D13">
        <w:t>placeholder</w:t>
      </w:r>
      <w:r w:rsidR="00E05D13" w:rsidRPr="005212A7" w:rsidDel="00E05D13">
        <w:t xml:space="preserve"> </w:t>
      </w:r>
      <w:r w:rsidRPr="005212A7">
        <w:t xml:space="preserve">determination </w:t>
      </w:r>
      <w:r w:rsidR="005F1985">
        <w:t>are</w:t>
      </w:r>
      <w:r w:rsidRPr="005212A7">
        <w:t xml:space="preserve"> set out as follows:</w:t>
      </w:r>
    </w:p>
    <w:p w:rsidR="009916C7" w:rsidRDefault="00D35C6D" w:rsidP="009916C7">
      <w:pPr>
        <w:pStyle w:val="AERbodytext"/>
        <w:numPr>
          <w:ilvl w:val="0"/>
          <w:numId w:val="6"/>
        </w:numPr>
      </w:pPr>
      <w:r>
        <w:t xml:space="preserve">Section </w:t>
      </w:r>
      <w:r>
        <w:fldChar w:fldCharType="begin"/>
      </w:r>
      <w:r>
        <w:instrText xml:space="preserve"> REF _Ref384806044 \r \h </w:instrText>
      </w:r>
      <w:r>
        <w:fldChar w:fldCharType="separate"/>
      </w:r>
      <w:r w:rsidR="00E313D7">
        <w:t>3</w:t>
      </w:r>
      <w:r>
        <w:fldChar w:fldCharType="end"/>
      </w:r>
      <w:r w:rsidR="009916C7">
        <w:t>: AER’s approach</w:t>
      </w:r>
    </w:p>
    <w:p w:rsidR="009916C7" w:rsidRDefault="00D35C6D" w:rsidP="009916C7">
      <w:pPr>
        <w:pStyle w:val="AERbodytext"/>
        <w:numPr>
          <w:ilvl w:val="0"/>
          <w:numId w:val="6"/>
        </w:numPr>
      </w:pPr>
      <w:r>
        <w:t>Section</w:t>
      </w:r>
      <w:r w:rsidR="005F1985">
        <w:t xml:space="preserve"> </w:t>
      </w:r>
      <w:r w:rsidR="005F1985">
        <w:fldChar w:fldCharType="begin"/>
      </w:r>
      <w:r w:rsidR="005F1985">
        <w:instrText xml:space="preserve"> REF _Ref384818661 \r \h </w:instrText>
      </w:r>
      <w:r w:rsidR="005F1985">
        <w:fldChar w:fldCharType="separate"/>
      </w:r>
      <w:r w:rsidR="00E313D7">
        <w:t>4</w:t>
      </w:r>
      <w:r w:rsidR="005F1985">
        <w:fldChar w:fldCharType="end"/>
      </w:r>
      <w:r>
        <w:t xml:space="preserve">: </w:t>
      </w:r>
      <w:r w:rsidR="009916C7">
        <w:t>Indicative annual revenue requirement</w:t>
      </w:r>
    </w:p>
    <w:p w:rsidR="009916C7" w:rsidRPr="008C3ABE" w:rsidRDefault="00D35C6D" w:rsidP="009916C7">
      <w:pPr>
        <w:pStyle w:val="AERbodytext"/>
        <w:numPr>
          <w:ilvl w:val="0"/>
          <w:numId w:val="6"/>
        </w:numPr>
      </w:pPr>
      <w:r>
        <w:t>Section</w:t>
      </w:r>
      <w:r w:rsidR="009916C7">
        <w:t xml:space="preserve"> </w:t>
      </w:r>
      <w:r>
        <w:fldChar w:fldCharType="begin"/>
      </w:r>
      <w:r>
        <w:instrText xml:space="preserve"> REF _Ref384806000 \r \h </w:instrText>
      </w:r>
      <w:r>
        <w:fldChar w:fldCharType="separate"/>
      </w:r>
      <w:r w:rsidR="00E313D7">
        <w:t>5</w:t>
      </w:r>
      <w:r>
        <w:fldChar w:fldCharType="end"/>
      </w:r>
      <w:r w:rsidR="009916C7">
        <w:t>: Other constituent decisions</w:t>
      </w:r>
    </w:p>
    <w:p w:rsidR="003F0974" w:rsidRDefault="003F0974" w:rsidP="003F0974">
      <w:pPr>
        <w:pStyle w:val="Heading1"/>
        <w:sectPr w:rsidR="003F0974" w:rsidSect="00C04154">
          <w:footerReference w:type="even" r:id="rId18"/>
          <w:footerReference w:type="default" r:id="rId19"/>
          <w:pgSz w:w="11906" w:h="16838" w:code="9"/>
          <w:pgMar w:top="1440" w:right="1440" w:bottom="1440" w:left="1440" w:header="709" w:footer="709" w:gutter="0"/>
          <w:cols w:space="708"/>
          <w:docGrid w:linePitch="360"/>
        </w:sectPr>
      </w:pPr>
      <w:bookmarkStart w:id="45" w:name="_Ref381337206"/>
      <w:bookmarkStart w:id="46" w:name="_Ref381337221"/>
      <w:bookmarkStart w:id="47" w:name="_Toc383436059"/>
      <w:bookmarkStart w:id="48" w:name="_Toc384716216"/>
      <w:bookmarkEnd w:id="36"/>
    </w:p>
    <w:p w:rsidR="009916C7" w:rsidRDefault="009916C7" w:rsidP="003F0974">
      <w:pPr>
        <w:pStyle w:val="Heading1"/>
      </w:pPr>
      <w:bookmarkStart w:id="49" w:name="_Ref384805973"/>
      <w:bookmarkStart w:id="50" w:name="_Ref384806044"/>
      <w:bookmarkStart w:id="51" w:name="_Toc385326309"/>
      <w:r>
        <w:lastRenderedPageBreak/>
        <w:t>AER's approach</w:t>
      </w:r>
      <w:bookmarkEnd w:id="45"/>
      <w:bookmarkEnd w:id="46"/>
      <w:bookmarkEnd w:id="47"/>
      <w:bookmarkEnd w:id="48"/>
      <w:bookmarkEnd w:id="49"/>
      <w:bookmarkEnd w:id="50"/>
      <w:bookmarkEnd w:id="51"/>
    </w:p>
    <w:p w:rsidR="009916C7" w:rsidRPr="00B00794" w:rsidRDefault="009916C7" w:rsidP="009916C7">
      <w:pPr>
        <w:pStyle w:val="AERbodytext"/>
        <w:numPr>
          <w:ilvl w:val="0"/>
          <w:numId w:val="6"/>
        </w:numPr>
      </w:pPr>
      <w:r>
        <w:t xml:space="preserve">This chapter outlines the legal requirements informing the AER’s decisions and an explanation of the AER’s assessment approach. </w:t>
      </w:r>
    </w:p>
    <w:p w:rsidR="009916C7" w:rsidRDefault="009916C7" w:rsidP="003F0974">
      <w:pPr>
        <w:pStyle w:val="Heading2"/>
      </w:pPr>
      <w:bookmarkStart w:id="52" w:name="_Toc383436060"/>
      <w:bookmarkStart w:id="53" w:name="_Toc384716217"/>
      <w:bookmarkStart w:id="54" w:name="_Toc385326310"/>
      <w:bookmarkStart w:id="55" w:name="_Toc341686704"/>
      <w:r>
        <w:t>Assessment criteria</w:t>
      </w:r>
      <w:bookmarkEnd w:id="52"/>
      <w:bookmarkEnd w:id="53"/>
      <w:bookmarkEnd w:id="54"/>
    </w:p>
    <w:p w:rsidR="009916C7" w:rsidRPr="009C74A7" w:rsidRDefault="009916C7" w:rsidP="009916C7">
      <w:r w:rsidRPr="009C74A7">
        <w:t xml:space="preserve">The AER must first assess whether the </w:t>
      </w:r>
      <w:r w:rsidR="00711465">
        <w:t>TRPs</w:t>
      </w:r>
      <w:r>
        <w:t xml:space="preserve"> </w:t>
      </w:r>
      <w:r w:rsidR="00A622E0" w:rsidRPr="009C74A7">
        <w:t>compl</w:t>
      </w:r>
      <w:r w:rsidR="00A622E0">
        <w:t>y</w:t>
      </w:r>
      <w:r w:rsidR="00A622E0" w:rsidRPr="009C74A7">
        <w:t xml:space="preserve"> </w:t>
      </w:r>
      <w:r w:rsidRPr="009C74A7">
        <w:t>with the content requirements in the transitional rules.</w:t>
      </w:r>
      <w:r>
        <w:rPr>
          <w:rStyle w:val="FootnoteReference"/>
        </w:rPr>
        <w:footnoteReference w:id="15"/>
      </w:r>
      <w:r w:rsidRPr="009C74A7">
        <w:t xml:space="preserve"> The AER must then assess the substantive content of the </w:t>
      </w:r>
      <w:r>
        <w:t>TRP</w:t>
      </w:r>
      <w:r w:rsidR="00711465">
        <w:t>s</w:t>
      </w:r>
      <w:r w:rsidRPr="009C74A7">
        <w:t xml:space="preserve">.  </w:t>
      </w:r>
    </w:p>
    <w:p w:rsidR="009916C7" w:rsidRPr="009C74A7" w:rsidRDefault="009916C7" w:rsidP="009916C7">
      <w:r>
        <w:t>Several of t</w:t>
      </w:r>
      <w:r w:rsidRPr="009C74A7">
        <w:t>he decision</w:t>
      </w:r>
      <w:r>
        <w:t>s</w:t>
      </w:r>
      <w:r w:rsidRPr="009C74A7">
        <w:t xml:space="preserve"> that the AER must make </w:t>
      </w:r>
      <w:r>
        <w:t>are</w:t>
      </w:r>
      <w:r w:rsidRPr="009C74A7">
        <w:t xml:space="preserve"> fixed in the transitional rules. For example, the length of the regulatory control period </w:t>
      </w:r>
      <w:r>
        <w:t>is a</w:t>
      </w:r>
      <w:r w:rsidRPr="009C74A7">
        <w:t xml:space="preserve"> decision that </w:t>
      </w:r>
      <w:r>
        <w:t>is</w:t>
      </w:r>
      <w:r w:rsidRPr="009C74A7">
        <w:t xml:space="preserve"> required to be made in the terms set out in the transitional rules. In these circumstances, the AER must make the decision that is required by the transitional rules without needing to take any further analysis.</w:t>
      </w:r>
    </w:p>
    <w:p w:rsidR="009916C7" w:rsidRPr="009C74A7" w:rsidRDefault="009916C7" w:rsidP="009916C7">
      <w:r w:rsidRPr="009C74A7">
        <w:t xml:space="preserve">Some constituent decisions are required to take </w:t>
      </w:r>
      <w:r>
        <w:t>the</w:t>
      </w:r>
      <w:r w:rsidRPr="009C74A7">
        <w:t xml:space="preserve"> form set out in the transitional rules </w:t>
      </w:r>
      <w:r>
        <w:t>or</w:t>
      </w:r>
      <w:r w:rsidRPr="009C74A7">
        <w:t xml:space="preserve"> in the relevant Framework and Approach paper. This includes decisions on the application of the efficiency benefit sharing scheme</w:t>
      </w:r>
      <w:r>
        <w:t xml:space="preserve"> (EBSS)</w:t>
      </w:r>
      <w:r w:rsidRPr="009C74A7">
        <w:t xml:space="preserve">. The AER must make a decision in </w:t>
      </w:r>
      <w:r>
        <w:t>its</w:t>
      </w:r>
      <w:r w:rsidRPr="009C74A7">
        <w:t xml:space="preserve"> determination that reflects those requirements.</w:t>
      </w:r>
    </w:p>
    <w:p w:rsidR="009916C7" w:rsidRPr="009C74A7" w:rsidRDefault="009916C7" w:rsidP="009916C7">
      <w:r w:rsidRPr="009C74A7">
        <w:t>The AER is required, however, to exercise discretion when assessing the prop</w:t>
      </w:r>
      <w:r>
        <w:t>osed annual revenue requirement</w:t>
      </w:r>
      <w:r w:rsidRPr="009C74A7">
        <w:t xml:space="preserve"> nominated by the </w:t>
      </w:r>
      <w:r>
        <w:t>NSW/ACT DNSPs</w:t>
      </w:r>
      <w:r w:rsidRPr="009C74A7">
        <w:t>.</w:t>
      </w:r>
    </w:p>
    <w:p w:rsidR="009916C7" w:rsidRPr="009C74A7" w:rsidRDefault="009916C7" w:rsidP="009916C7">
      <w:r w:rsidRPr="009C74A7">
        <w:t xml:space="preserve">The criteria applied in this assessment is different to the standard building block approach that is normally applied by us in a full determination. A complete building block assessment will occur </w:t>
      </w:r>
      <w:r>
        <w:t>following receipt of the full regulatory proposals</w:t>
      </w:r>
      <w:r w:rsidRPr="009C74A7">
        <w:t xml:space="preserve">. By contrast, the assessment for the placeholder determination is a much more limited and confined assessment both in time and scope. </w:t>
      </w:r>
      <w:r>
        <w:t>In its final determination in 2012, t</w:t>
      </w:r>
      <w:r w:rsidRPr="009C74A7">
        <w:t xml:space="preserve">he AEMC explained: </w:t>
      </w:r>
    </w:p>
    <w:p w:rsidR="009916C7" w:rsidRPr="009C74A7" w:rsidRDefault="009916C7" w:rsidP="009916C7">
      <w:pPr>
        <w:pStyle w:val="AERquote"/>
      </w:pPr>
      <w:r w:rsidRPr="009C74A7">
        <w:t>…[t]he AER [is] to apply relatively high level criteria when assessing a NSP’s proposal, rather than undertaking a detailed assessment that would usually be required [under] the rules.  Put another way, the AER is not required to justify its decision about the placeholder revenue by applying a building block model to estimate a NSP’s placeholder revenue requirements.</w:t>
      </w:r>
      <w:r w:rsidRPr="009C74A7">
        <w:rPr>
          <w:rStyle w:val="FootnoteReference"/>
        </w:rPr>
        <w:footnoteReference w:id="16"/>
      </w:r>
    </w:p>
    <w:p w:rsidR="009916C7" w:rsidRPr="009C74A7" w:rsidRDefault="009916C7" w:rsidP="009916C7">
      <w:r w:rsidRPr="009C74A7">
        <w:t>We may only approve the amount proposed if we are satisfied that:</w:t>
      </w:r>
    </w:p>
    <w:p w:rsidR="009916C7" w:rsidRPr="009C74A7" w:rsidRDefault="009916C7" w:rsidP="009916C7">
      <w:pPr>
        <w:pStyle w:val="AERquote"/>
      </w:pPr>
      <w:r w:rsidRPr="009C74A7">
        <w:t>“the amount is such that recovery of it by [</w:t>
      </w:r>
      <w:r w:rsidR="00711465">
        <w:t>NSP</w:t>
      </w:r>
      <w:r w:rsidRPr="009C74A7">
        <w:t>]…is reasonably likely to minimise variations in prices between the… current regulatory control period, transitional regulatory control period and subsequent regulatory control period and between the regulatory years of the subsequent regulatory control period.</w:t>
      </w:r>
      <w:r w:rsidRPr="009C74A7">
        <w:rPr>
          <w:rStyle w:val="FootnoteReference"/>
        </w:rPr>
        <w:footnoteReference w:id="17"/>
      </w:r>
      <w:r w:rsidRPr="009C74A7">
        <w:t xml:space="preserve"> </w:t>
      </w:r>
    </w:p>
    <w:p w:rsidR="009916C7" w:rsidRPr="009C74A7" w:rsidRDefault="009916C7" w:rsidP="009916C7">
      <w:r w:rsidRPr="009C74A7">
        <w:t>As to this requirement to minimise price variations, the AEMC noted it was desirable that the transitional rules not give rise to one-off price shocks:</w:t>
      </w:r>
    </w:p>
    <w:p w:rsidR="009916C7" w:rsidRPr="009C74A7" w:rsidRDefault="009916C7" w:rsidP="009916C7">
      <w:pPr>
        <w:pStyle w:val="AERquote"/>
      </w:pPr>
      <w:r w:rsidRPr="009C74A7">
        <w:t>“Prices should not be distorted when moving from the previous rules to the new rules, unless the underlying economic costs of the NSP’s change.  The transitional arrangements seek to minimise the potential for one-off price shocks for consumers in this regard and therefore provide appropriate price signals to consumers.”</w:t>
      </w:r>
      <w:r w:rsidRPr="009C74A7">
        <w:rPr>
          <w:rStyle w:val="FootnoteReference"/>
        </w:rPr>
        <w:footnoteReference w:id="18"/>
      </w:r>
    </w:p>
    <w:p w:rsidR="009916C7" w:rsidRPr="009C74A7" w:rsidRDefault="009916C7" w:rsidP="009916C7">
      <w:r w:rsidRPr="009C74A7">
        <w:lastRenderedPageBreak/>
        <w:t xml:space="preserve">In deciding </w:t>
      </w:r>
      <w:r w:rsidRPr="0063720C">
        <w:t>whether to approve the proposed revenue proposal, we also must take into account the revenue pricing principles (RPPs), and perform</w:t>
      </w:r>
      <w:r w:rsidRPr="009C74A7">
        <w:t xml:space="preserve"> or exercise our functions or powers in a manner that will or is likely to contribute to the achievement of the national electricity objective.</w:t>
      </w:r>
      <w:r w:rsidRPr="009C74A7">
        <w:rPr>
          <w:rStyle w:val="FootnoteReference"/>
        </w:rPr>
        <w:footnoteReference w:id="19"/>
      </w:r>
    </w:p>
    <w:p w:rsidR="009916C7" w:rsidRPr="00D702E7" w:rsidRDefault="009916C7" w:rsidP="009916C7">
      <w:r>
        <w:t xml:space="preserve">The transitional rules expressly require us to have regard to the fact that the </w:t>
      </w:r>
      <w:r w:rsidR="008A08B4">
        <w:t xml:space="preserve">annual </w:t>
      </w:r>
      <w:r>
        <w:t>revenue requirement</w:t>
      </w:r>
      <w:r w:rsidRPr="00D702E7">
        <w:t xml:space="preserve"> for the transitional regulatory control period is an estimate that is based on indicative inputs</w:t>
      </w:r>
      <w:r>
        <w:t>. T</w:t>
      </w:r>
      <w:r w:rsidRPr="00D702E7">
        <w:t>he determination for the subsequent regulatory control period will make an adjustment to the total revenue cap/requirement for the subsequent regulatory control period in accordance with the transitional rules.</w:t>
      </w:r>
    </w:p>
    <w:p w:rsidR="009916C7" w:rsidRPr="00D702E7" w:rsidRDefault="009916C7" w:rsidP="009916C7">
      <w:r w:rsidRPr="00D702E7">
        <w:t>We must also have regard to</w:t>
      </w:r>
      <w:r>
        <w:t>:</w:t>
      </w:r>
    </w:p>
    <w:p w:rsidR="009916C7" w:rsidRPr="009C74A7" w:rsidRDefault="009916C7" w:rsidP="00C23850">
      <w:pPr>
        <w:pStyle w:val="AERbulletlistfirststyle"/>
      </w:pPr>
      <w:r w:rsidRPr="009C74A7">
        <w:t xml:space="preserve">the information included </w:t>
      </w:r>
      <w:r>
        <w:t>in or accompanying the proposal</w:t>
      </w:r>
    </w:p>
    <w:p w:rsidR="009916C7" w:rsidRPr="009C74A7" w:rsidRDefault="009916C7" w:rsidP="00C23850">
      <w:pPr>
        <w:pStyle w:val="AERbulletlistfirststyle"/>
      </w:pPr>
      <w:r w:rsidRPr="009C74A7">
        <w:t>submissions received in the course of</w:t>
      </w:r>
      <w:r>
        <w:t xml:space="preserve"> consulting on the proposal</w:t>
      </w:r>
    </w:p>
    <w:p w:rsidR="009916C7" w:rsidRPr="009C74A7" w:rsidRDefault="009916C7" w:rsidP="00C23850">
      <w:pPr>
        <w:pStyle w:val="AERbulletlistfirststyle"/>
      </w:pPr>
      <w:r w:rsidRPr="009C74A7">
        <w:t>analysis undertaken by or for us in connection with the proposal.</w:t>
      </w:r>
      <w:r w:rsidRPr="009C74A7">
        <w:rPr>
          <w:rStyle w:val="FootnoteReference"/>
        </w:rPr>
        <w:footnoteReference w:id="20"/>
      </w:r>
    </w:p>
    <w:p w:rsidR="009916C7" w:rsidRDefault="009916C7" w:rsidP="009916C7">
      <w:r>
        <w:t xml:space="preserve">If we do not approve the amount proposed for the transitional regulatory control period, then we must approve an amount that we are satisfied is such that the recovery of it by the affected </w:t>
      </w:r>
      <w:r w:rsidR="000565BE">
        <w:t>DNSPs</w:t>
      </w:r>
      <w:r>
        <w:t xml:space="preserve"> reasonably likely to minimise variations in prices between the affected </w:t>
      </w:r>
      <w:r w:rsidR="000565BE">
        <w:t>DNSP</w:t>
      </w:r>
      <w:r>
        <w:t xml:space="preserve">'s current regulatory control period, transitional regulatory control period and subsequent regulatory control period and between the </w:t>
      </w:r>
      <w:r w:rsidRPr="00BF2630">
        <w:t>regulatory years</w:t>
      </w:r>
      <w:r>
        <w:t xml:space="preserve"> of the subsequent regulatory control period.</w:t>
      </w:r>
      <w:r>
        <w:rPr>
          <w:rStyle w:val="FootnoteReference"/>
        </w:rPr>
        <w:footnoteReference w:id="21"/>
      </w:r>
    </w:p>
    <w:p w:rsidR="009916C7" w:rsidRDefault="009916C7" w:rsidP="009916C7">
      <w:r>
        <w:t xml:space="preserve">As required by the transitional rules, our analysis is therefore directed at assessing the </w:t>
      </w:r>
      <w:r w:rsidR="008A08B4">
        <w:t>annual revenue</w:t>
      </w:r>
      <w:r>
        <w:t xml:space="preserve"> requirement proposed by the </w:t>
      </w:r>
      <w:r w:rsidR="000565BE">
        <w:t>DNSP</w:t>
      </w:r>
      <w:r>
        <w:t xml:space="preserve"> against the above criteria aimed at minimising price variations. </w:t>
      </w:r>
    </w:p>
    <w:p w:rsidR="009916C7" w:rsidRDefault="009916C7" w:rsidP="009916C7">
      <w:r w:rsidRPr="00D44499">
        <w:t>More generally, we note that in assessing the proposal we must set out the basis and rational</w:t>
      </w:r>
      <w:r w:rsidR="008A08B4">
        <w:t>e</w:t>
      </w:r>
      <w:r w:rsidRPr="00D44499">
        <w:t xml:space="preserve"> for our decision. This must include details of any qualitative or quantitative methodologies applied by us, the values adopted by us in any calculations and formulae, details of any assumptions made by us and reasons for the making of any decisions, the giving or withholding of any approvals, and the exercise of any discretion.   </w:t>
      </w:r>
    </w:p>
    <w:p w:rsidR="009916C7" w:rsidRDefault="009916C7" w:rsidP="003F0974">
      <w:pPr>
        <w:pStyle w:val="Heading2"/>
      </w:pPr>
      <w:bookmarkStart w:id="56" w:name="_Toc383436061"/>
      <w:bookmarkStart w:id="57" w:name="_Toc384716218"/>
      <w:bookmarkStart w:id="58" w:name="_Toc385326311"/>
      <w:r>
        <w:t>Assessment approach</w:t>
      </w:r>
      <w:bookmarkEnd w:id="56"/>
      <w:bookmarkEnd w:id="57"/>
      <w:bookmarkEnd w:id="58"/>
    </w:p>
    <w:p w:rsidR="009916C7" w:rsidRPr="005212A7" w:rsidRDefault="009916C7" w:rsidP="009916C7">
      <w:pPr>
        <w:pStyle w:val="AERbodytext"/>
        <w:numPr>
          <w:ilvl w:val="0"/>
          <w:numId w:val="6"/>
        </w:numPr>
      </w:pPr>
      <w:r w:rsidRPr="005212A7">
        <w:t xml:space="preserve">Under the price variation test, our decision to approve or not approve the proposed </w:t>
      </w:r>
      <w:r>
        <w:t>annual revenue requirement</w:t>
      </w:r>
      <w:r w:rsidRPr="005212A7">
        <w:t xml:space="preserve"> for the transitional period requires us to form a view about the expected movement of prices from 2013 to 2014, 2014 to 2015 and so on until 2019. This view necessarily reflects our expectations of future revenues and demand. </w:t>
      </w:r>
    </w:p>
    <w:p w:rsidR="009916C7" w:rsidRPr="005212A7" w:rsidRDefault="009916C7" w:rsidP="009916C7">
      <w:pPr>
        <w:pStyle w:val="AERbodytext"/>
        <w:numPr>
          <w:ilvl w:val="0"/>
          <w:numId w:val="6"/>
        </w:numPr>
      </w:pPr>
      <w:r w:rsidRPr="005212A7">
        <w:t xml:space="preserve">Our expectations of future revenues are based on our assessment of the information currently available to us which includes indicative estimates or ranges of key inputs included in the proposals. We have largely relied upon these proposed indicative inputs but have paid particular attention to the indicative rate of return and 'tax imputation credits' (gamma) proposed by the </w:t>
      </w:r>
      <w:r w:rsidR="007B5AA0">
        <w:t>D</w:t>
      </w:r>
      <w:r w:rsidR="007B5AA0" w:rsidRPr="005212A7">
        <w:t xml:space="preserve">NSPs </w:t>
      </w:r>
      <w:r w:rsidRPr="005212A7">
        <w:t xml:space="preserve">in support of their proposals. In considering a reasonable indicative rate of return, we have had regard to the proposals, to our own guideline, to available market information and expected market trends, After making an adjustment to the rate of return and to the value of gamma used to support </w:t>
      </w:r>
      <w:r>
        <w:t xml:space="preserve">NSW/ACT </w:t>
      </w:r>
      <w:r>
        <w:lastRenderedPageBreak/>
        <w:t>D</w:t>
      </w:r>
      <w:r w:rsidRPr="005212A7">
        <w:t xml:space="preserve">NSPs' proposals, we then consider the </w:t>
      </w:r>
      <w:r>
        <w:t>TRPs</w:t>
      </w:r>
      <w:r w:rsidRPr="005212A7">
        <w:t xml:space="preserve"> in the context of the price variation test taking into account the NEO and RPPs.</w:t>
      </w:r>
    </w:p>
    <w:p w:rsidR="009916C7" w:rsidRPr="005212A7" w:rsidRDefault="009916C7" w:rsidP="009916C7">
      <w:pPr>
        <w:pStyle w:val="AERbodytext"/>
        <w:numPr>
          <w:ilvl w:val="0"/>
          <w:numId w:val="6"/>
        </w:numPr>
      </w:pPr>
      <w:r w:rsidRPr="005212A7">
        <w:t xml:space="preserve">We consider this approach should not, in any way, be taken as an indication of our assessment of the full </w:t>
      </w:r>
      <w:r>
        <w:t xml:space="preserve">regulatory </w:t>
      </w:r>
      <w:r w:rsidRPr="005212A7">
        <w:t xml:space="preserve">proposals that </w:t>
      </w:r>
      <w:r>
        <w:t>the NSW/ACT DNSPs</w:t>
      </w:r>
      <w:r w:rsidRPr="005212A7">
        <w:t xml:space="preserve"> have yet to submit for the purposes of the full determination. In that full determination, a true-up of revenue for the transitional period will be conducted. The approach and conclusions in this determination are purely for the limited purposes of making the required assessment we must make for this transitional period under the transitional rules.</w:t>
      </w:r>
    </w:p>
    <w:p w:rsidR="003F0974" w:rsidRDefault="003F0974" w:rsidP="003F0974">
      <w:pPr>
        <w:pStyle w:val="Heading1"/>
        <w:sectPr w:rsidR="003F0974" w:rsidSect="00C04154">
          <w:footerReference w:type="even" r:id="rId20"/>
          <w:footerReference w:type="default" r:id="rId21"/>
          <w:pgSz w:w="11906" w:h="16838" w:code="9"/>
          <w:pgMar w:top="1440" w:right="1440" w:bottom="1440" w:left="1440" w:header="709" w:footer="709" w:gutter="0"/>
          <w:cols w:space="708"/>
          <w:docGrid w:linePitch="360"/>
        </w:sectPr>
      </w:pPr>
      <w:bookmarkStart w:id="59" w:name="_Toc383436062"/>
      <w:bookmarkStart w:id="60" w:name="_Toc384716219"/>
      <w:bookmarkEnd w:id="55"/>
    </w:p>
    <w:p w:rsidR="000B70D8" w:rsidRDefault="000B70D8" w:rsidP="003F0974">
      <w:pPr>
        <w:pStyle w:val="Heading1"/>
        <w:sectPr w:rsidR="000B70D8" w:rsidSect="006A1E04">
          <w:footerReference w:type="even" r:id="rId22"/>
          <w:footerReference w:type="default" r:id="rId23"/>
          <w:type w:val="continuous"/>
          <w:pgSz w:w="11906" w:h="16838" w:code="9"/>
          <w:pgMar w:top="1440" w:right="1440" w:bottom="1440" w:left="1440" w:header="709" w:footer="709" w:gutter="0"/>
          <w:cols w:space="708"/>
          <w:docGrid w:linePitch="360"/>
        </w:sectPr>
      </w:pPr>
      <w:bookmarkStart w:id="61" w:name="_Ref384805989"/>
      <w:bookmarkStart w:id="62" w:name="_Ref384806066"/>
    </w:p>
    <w:p w:rsidR="009916C7" w:rsidRDefault="009916C7" w:rsidP="003F0974">
      <w:pPr>
        <w:pStyle w:val="Heading1"/>
      </w:pPr>
      <w:bookmarkStart w:id="63" w:name="_Ref384818661"/>
      <w:bookmarkStart w:id="64" w:name="_Toc385326312"/>
      <w:r>
        <w:lastRenderedPageBreak/>
        <w:t>Revenues for the transitional year</w:t>
      </w:r>
      <w:bookmarkEnd w:id="59"/>
      <w:bookmarkEnd w:id="60"/>
      <w:bookmarkEnd w:id="61"/>
      <w:bookmarkEnd w:id="62"/>
      <w:bookmarkEnd w:id="63"/>
      <w:bookmarkEnd w:id="64"/>
    </w:p>
    <w:p w:rsidR="009916C7" w:rsidRDefault="009916C7" w:rsidP="009916C7">
      <w:pPr>
        <w:pStyle w:val="AERbodytext"/>
        <w:numPr>
          <w:ilvl w:val="0"/>
          <w:numId w:val="6"/>
        </w:numPr>
      </w:pPr>
      <w:r>
        <w:t>This chapter contains indicative annual revenue requirements for the NSW/ACT DNSPs for 2014–15 and states whether we accepted, or rejected and substituted the DNSP’s revenue proposal. This is followed by an explanation on how the AER reached its decision, including the key drivers of the annual revenue requirement</w:t>
      </w:r>
      <w:r w:rsidR="009D6E12">
        <w:t xml:space="preserve"> and adjustments necessary for revenues recovered through separate fees and charges</w:t>
      </w:r>
      <w:r>
        <w:t xml:space="preserve">. </w:t>
      </w:r>
    </w:p>
    <w:p w:rsidR="009916C7" w:rsidRDefault="009916C7" w:rsidP="003F0974">
      <w:pPr>
        <w:pStyle w:val="Heading2"/>
      </w:pPr>
      <w:bookmarkStart w:id="65" w:name="_Toc383436063"/>
      <w:bookmarkStart w:id="66" w:name="_Toc384716220"/>
      <w:bookmarkStart w:id="67" w:name="_Ref384824380"/>
      <w:bookmarkStart w:id="68" w:name="_Ref384824411"/>
      <w:bookmarkStart w:id="69" w:name="_Toc385326313"/>
      <w:bookmarkStart w:id="70" w:name="_Toc341686705"/>
      <w:bookmarkStart w:id="71" w:name="_Toc365283238"/>
      <w:bookmarkStart w:id="72" w:name="_Toc374450126"/>
      <w:bookmarkStart w:id="73" w:name="_Toc374450377"/>
      <w:bookmarkStart w:id="74" w:name="_Toc374450498"/>
      <w:bookmarkStart w:id="75" w:name="_Toc374451138"/>
      <w:r>
        <w:t>Annual revenue requirement</w:t>
      </w:r>
      <w:r w:rsidRPr="00D44499">
        <w:t xml:space="preserve"> for transitional year</w:t>
      </w:r>
      <w:bookmarkEnd w:id="65"/>
      <w:bookmarkEnd w:id="66"/>
      <w:bookmarkEnd w:id="67"/>
      <w:bookmarkEnd w:id="68"/>
      <w:bookmarkEnd w:id="69"/>
    </w:p>
    <w:bookmarkEnd w:id="70"/>
    <w:bookmarkEnd w:id="71"/>
    <w:bookmarkEnd w:id="72"/>
    <w:bookmarkEnd w:id="73"/>
    <w:bookmarkEnd w:id="74"/>
    <w:bookmarkEnd w:id="75"/>
    <w:p w:rsidR="009916C7" w:rsidRDefault="009916C7" w:rsidP="009916C7">
      <w:pPr>
        <w:pStyle w:val="AERbodytext"/>
        <w:numPr>
          <w:ilvl w:val="0"/>
          <w:numId w:val="6"/>
        </w:numPr>
      </w:pPr>
      <w:r>
        <w:t>We make the following decisions in relation to the annual revenue requirement:</w:t>
      </w:r>
    </w:p>
    <w:p w:rsidR="009903EE" w:rsidRDefault="009916C7" w:rsidP="00C23850">
      <w:pPr>
        <w:pStyle w:val="AERbulletlistfirststyle"/>
      </w:pPr>
      <w:r w:rsidRPr="00214882">
        <w:t xml:space="preserve">We do not approve </w:t>
      </w:r>
      <w:r>
        <w:t>Ausg</w:t>
      </w:r>
      <w:r w:rsidRPr="00214882">
        <w:t xml:space="preserve">rid’s proposed </w:t>
      </w:r>
      <w:r>
        <w:t xml:space="preserve">annual revenue requirement </w:t>
      </w:r>
      <w:r w:rsidRPr="00214882">
        <w:t>of $</w:t>
      </w:r>
      <w:r w:rsidR="009C4F37">
        <w:t>207</w:t>
      </w:r>
      <w:r w:rsidR="00294861">
        <w:t>6</w:t>
      </w:r>
      <w:r w:rsidR="00631E61" w:rsidRPr="00214882">
        <w:t xml:space="preserve"> </w:t>
      </w:r>
      <w:r w:rsidRPr="00214882">
        <w:t>million ($ nominal)</w:t>
      </w:r>
      <w:r>
        <w:t xml:space="preserve"> for distribution network services. </w:t>
      </w:r>
      <w:r w:rsidRPr="00214882">
        <w:t xml:space="preserve">Instead we have substituted a revenue allowance of </w:t>
      </w:r>
      <w:r w:rsidR="00577607">
        <w:t>$</w:t>
      </w:r>
      <w:r w:rsidR="00631E61">
        <w:t>195</w:t>
      </w:r>
      <w:r w:rsidR="00294861">
        <w:t>8</w:t>
      </w:r>
      <w:r w:rsidR="00631E61">
        <w:t xml:space="preserve"> </w:t>
      </w:r>
      <w:r w:rsidRPr="00214882">
        <w:t>million ($ nominal)</w:t>
      </w:r>
      <w:r w:rsidR="00711465">
        <w:t xml:space="preserve">. </w:t>
      </w:r>
      <w:r w:rsidR="009903EE" w:rsidRPr="00214882">
        <w:t xml:space="preserve">We do not approve </w:t>
      </w:r>
      <w:r w:rsidR="009903EE">
        <w:t>Ausg</w:t>
      </w:r>
      <w:r w:rsidR="009903EE" w:rsidRPr="00214882">
        <w:t xml:space="preserve">rid’s proposed </w:t>
      </w:r>
      <w:r w:rsidR="009903EE">
        <w:t xml:space="preserve">annual revenue requirement </w:t>
      </w:r>
      <w:r w:rsidR="009903EE" w:rsidRPr="00214882">
        <w:t>of $</w:t>
      </w:r>
      <w:r w:rsidR="009903EE">
        <w:t>270</w:t>
      </w:r>
      <w:r w:rsidR="009903EE" w:rsidRPr="00214882">
        <w:t xml:space="preserve"> million ($ nominal)</w:t>
      </w:r>
      <w:r w:rsidR="009903EE">
        <w:t xml:space="preserve"> for transmission services. </w:t>
      </w:r>
      <w:r w:rsidR="009903EE" w:rsidRPr="00214882">
        <w:t>Instead we have substituted a revenue allowance of $</w:t>
      </w:r>
      <w:r w:rsidR="009903EE">
        <w:t>252 million ($ </w:t>
      </w:r>
      <w:r w:rsidR="009903EE" w:rsidRPr="00214882">
        <w:t>nominal)</w:t>
      </w:r>
      <w:r w:rsidR="00AF3901">
        <w:t>.</w:t>
      </w:r>
    </w:p>
    <w:p w:rsidR="009916C7" w:rsidRDefault="009916C7" w:rsidP="00C23850">
      <w:pPr>
        <w:pStyle w:val="AERbulletlistfirststyle"/>
      </w:pPr>
      <w:r w:rsidRPr="00214882">
        <w:t xml:space="preserve">We do not approve </w:t>
      </w:r>
      <w:r>
        <w:t>Essential Energy</w:t>
      </w:r>
      <w:r w:rsidRPr="00214882">
        <w:t xml:space="preserve">’s proposed </w:t>
      </w:r>
      <w:r>
        <w:t xml:space="preserve">annual revenue requirement </w:t>
      </w:r>
      <w:r w:rsidRPr="00214882">
        <w:t>of $</w:t>
      </w:r>
      <w:r>
        <w:t>1363</w:t>
      </w:r>
      <w:r w:rsidRPr="00214882">
        <w:t xml:space="preserve"> million ($</w:t>
      </w:r>
      <w:r>
        <w:t> </w:t>
      </w:r>
      <w:r w:rsidRPr="00214882">
        <w:t>nominal)</w:t>
      </w:r>
      <w:r>
        <w:t xml:space="preserve">. </w:t>
      </w:r>
      <w:r w:rsidRPr="00214882">
        <w:t>Instead we have substituted a revenue allowance of $</w:t>
      </w:r>
      <w:r>
        <w:t>1292</w:t>
      </w:r>
      <w:r w:rsidRPr="00214882">
        <w:t xml:space="preserve"> million ($ nominal)</w:t>
      </w:r>
      <w:r w:rsidR="00AF3901">
        <w:t>.</w:t>
      </w:r>
    </w:p>
    <w:p w:rsidR="009916C7" w:rsidRDefault="009916C7" w:rsidP="00C23850">
      <w:pPr>
        <w:pStyle w:val="AERbulletlistfirststyle"/>
      </w:pPr>
      <w:r w:rsidRPr="00214882">
        <w:t xml:space="preserve">We do not approve </w:t>
      </w:r>
      <w:r>
        <w:t>Endeavour Energy</w:t>
      </w:r>
      <w:r w:rsidRPr="00214882">
        <w:t xml:space="preserve">’s proposed </w:t>
      </w:r>
      <w:r>
        <w:t xml:space="preserve">annual revenue requirement </w:t>
      </w:r>
      <w:r w:rsidRPr="00214882">
        <w:t>of $</w:t>
      </w:r>
      <w:r w:rsidR="00294861">
        <w:t>1007 </w:t>
      </w:r>
      <w:r w:rsidRPr="00214882">
        <w:t>million ($</w:t>
      </w:r>
      <w:r>
        <w:t> </w:t>
      </w:r>
      <w:r w:rsidRPr="00214882">
        <w:t>nominal)</w:t>
      </w:r>
      <w:r>
        <w:t xml:space="preserve">. </w:t>
      </w:r>
      <w:r w:rsidRPr="00214882">
        <w:t>Instead we have substituted a revenue allowance of $</w:t>
      </w:r>
      <w:r w:rsidR="00294861">
        <w:t>949</w:t>
      </w:r>
      <w:r w:rsidR="00294861" w:rsidRPr="00214882">
        <w:t xml:space="preserve"> </w:t>
      </w:r>
      <w:r w:rsidRPr="00214882">
        <w:t>million ($ nominal)</w:t>
      </w:r>
      <w:r w:rsidR="00AF3901">
        <w:t>.</w:t>
      </w:r>
    </w:p>
    <w:p w:rsidR="009903EE" w:rsidRDefault="009916C7" w:rsidP="00C23850">
      <w:pPr>
        <w:pStyle w:val="AERbulletlistfirststyle"/>
      </w:pPr>
      <w:r w:rsidRPr="00214882">
        <w:t xml:space="preserve">We do not approve </w:t>
      </w:r>
      <w:r>
        <w:t>ActewAGL</w:t>
      </w:r>
      <w:r w:rsidRPr="00214882">
        <w:t xml:space="preserve">’s proposed </w:t>
      </w:r>
      <w:r>
        <w:t xml:space="preserve">annual revenue requirement </w:t>
      </w:r>
      <w:r w:rsidRPr="00214882">
        <w:t>of $</w:t>
      </w:r>
      <w:r>
        <w:t>156</w:t>
      </w:r>
      <w:r w:rsidRPr="00214882">
        <w:t xml:space="preserve"> million ($</w:t>
      </w:r>
      <w:r>
        <w:t> </w:t>
      </w:r>
      <w:r w:rsidRPr="00214882">
        <w:t>nominal)</w:t>
      </w:r>
      <w:r>
        <w:t xml:space="preserve"> for distribution network services. </w:t>
      </w:r>
      <w:r w:rsidRPr="00214882">
        <w:t>Instead we have substituted a revenue allowance of $</w:t>
      </w:r>
      <w:r>
        <w:t>145</w:t>
      </w:r>
      <w:r w:rsidRPr="00214882">
        <w:t xml:space="preserve"> million ($</w:t>
      </w:r>
      <w:r>
        <w:t> </w:t>
      </w:r>
      <w:r w:rsidRPr="00214882">
        <w:t>nominal)</w:t>
      </w:r>
      <w:r w:rsidR="00711465">
        <w:t xml:space="preserve">. </w:t>
      </w:r>
      <w:r w:rsidR="009903EE" w:rsidRPr="00214882">
        <w:t xml:space="preserve">We do not approve </w:t>
      </w:r>
      <w:r w:rsidR="009903EE">
        <w:t>ActewAGL</w:t>
      </w:r>
      <w:r w:rsidR="009903EE" w:rsidRPr="00214882">
        <w:t xml:space="preserve">’s proposed </w:t>
      </w:r>
      <w:r w:rsidR="009903EE">
        <w:t xml:space="preserve">annual revenue requirement </w:t>
      </w:r>
      <w:r w:rsidR="009903EE" w:rsidRPr="00214882">
        <w:t>of $</w:t>
      </w:r>
      <w:r w:rsidR="009903EE">
        <w:t>30</w:t>
      </w:r>
      <w:r w:rsidR="009903EE" w:rsidRPr="00214882">
        <w:t xml:space="preserve"> million ($</w:t>
      </w:r>
      <w:r w:rsidR="009903EE">
        <w:t> </w:t>
      </w:r>
      <w:r w:rsidR="009903EE" w:rsidRPr="00214882">
        <w:t>nominal)</w:t>
      </w:r>
      <w:r w:rsidR="009903EE">
        <w:t xml:space="preserve"> for transmission services. </w:t>
      </w:r>
      <w:r w:rsidR="009903EE" w:rsidRPr="00214882">
        <w:t>Instead we have substituted a revenue allowance of $</w:t>
      </w:r>
      <w:r w:rsidR="009903EE">
        <w:t>28</w:t>
      </w:r>
      <w:r w:rsidR="009903EE" w:rsidRPr="00214882">
        <w:t xml:space="preserve"> million ($</w:t>
      </w:r>
      <w:r w:rsidR="009903EE">
        <w:t> </w:t>
      </w:r>
      <w:r w:rsidR="009903EE" w:rsidRPr="00214882">
        <w:t>nominal)</w:t>
      </w:r>
      <w:r w:rsidR="00711465">
        <w:t>.</w:t>
      </w:r>
    </w:p>
    <w:p w:rsidR="009916C7" w:rsidRDefault="009916C7" w:rsidP="009916C7">
      <w:pPr>
        <w:pStyle w:val="AERbodytext"/>
        <w:numPr>
          <w:ilvl w:val="0"/>
          <w:numId w:val="6"/>
        </w:numPr>
      </w:pPr>
      <w:r>
        <w:t>This is because recovery of the indicative annual revenue requirements proposed by the NSW/ACT DNSPs is not reasonably likely to minimise price variations between the relevant periods and years as required under the transitional rules.</w:t>
      </w:r>
      <w:r>
        <w:rPr>
          <w:rStyle w:val="FootnoteReference"/>
        </w:rPr>
        <w:footnoteReference w:id="22"/>
      </w:r>
      <w:r>
        <w:t xml:space="preserve"> We are satisfied that our substituted revenues for the NSW/ACT DNSPs are reasonably likely to minimise variations in price consistent with the requirements of the transitional rules.</w:t>
      </w:r>
      <w:r>
        <w:rPr>
          <w:rStyle w:val="FootnoteReference"/>
        </w:rPr>
        <w:footnoteReference w:id="23"/>
      </w:r>
      <w:r>
        <w:t xml:space="preserve"> </w:t>
      </w:r>
    </w:p>
    <w:p w:rsidR="009916C7" w:rsidRDefault="009916C7" w:rsidP="00AA4671">
      <w:pPr>
        <w:pStyle w:val="AERbodytext"/>
      </w:pPr>
      <w:r w:rsidRPr="00123766">
        <w:t xml:space="preserve">Our decision on </w:t>
      </w:r>
      <w:r>
        <w:t>the NSW/ACT DNSPs'</w:t>
      </w:r>
      <w:r w:rsidRPr="00123766">
        <w:t xml:space="preserve"> </w:t>
      </w:r>
      <w:r w:rsidR="00243EA5">
        <w:t>distribution and transmission revenues—</w:t>
      </w:r>
      <w:r w:rsidR="00280960">
        <w:t>distribution use of system (</w:t>
      </w:r>
      <w:r w:rsidR="004F59FB">
        <w:t>DUOS</w:t>
      </w:r>
      <w:r w:rsidR="00280960">
        <w:t>)</w:t>
      </w:r>
      <w:r w:rsidR="004F59FB">
        <w:t xml:space="preserve"> and</w:t>
      </w:r>
      <w:r w:rsidR="00280960">
        <w:t xml:space="preserve"> transmission use of system (</w:t>
      </w:r>
      <w:r w:rsidR="004F59FB">
        <w:t>TUOS</w:t>
      </w:r>
      <w:r w:rsidR="00280960">
        <w:t>)</w:t>
      </w:r>
      <w:r w:rsidR="00243EA5">
        <w:t>—</w:t>
      </w:r>
      <w:r>
        <w:t>for</w:t>
      </w:r>
      <w:r w:rsidRPr="00123766">
        <w:t xml:space="preserve"> the </w:t>
      </w:r>
      <w:r>
        <w:t xml:space="preserve">transitional regulatory control period is as set out at </w:t>
      </w:r>
      <w:r w:rsidR="00F95820">
        <w:fldChar w:fldCharType="begin"/>
      </w:r>
      <w:r w:rsidR="00F95820">
        <w:instrText xml:space="preserve"> REF  _Ref384807608 \* FirstCap \h </w:instrText>
      </w:r>
      <w:r w:rsidR="00F95820">
        <w:fldChar w:fldCharType="separate"/>
      </w:r>
      <w:r w:rsidR="00E313D7">
        <w:t xml:space="preserve">Table </w:t>
      </w:r>
      <w:r w:rsidR="00E313D7">
        <w:rPr>
          <w:noProof/>
        </w:rPr>
        <w:t>4</w:t>
      </w:r>
      <w:r w:rsidR="00E313D7">
        <w:t>.</w:t>
      </w:r>
      <w:r w:rsidR="00E313D7">
        <w:rPr>
          <w:noProof/>
        </w:rPr>
        <w:t>1</w:t>
      </w:r>
      <w:r w:rsidR="00F95820">
        <w:fldChar w:fldCharType="end"/>
      </w:r>
      <w:r w:rsidR="00CB2977">
        <w:t>.</w:t>
      </w:r>
      <w:r w:rsidR="00AA4671">
        <w:t xml:space="preserve"> </w:t>
      </w:r>
      <w:r w:rsidR="00AA4671" w:rsidRPr="00AA4671">
        <w:t xml:space="preserve">For the transitional year, these revenues in some cases need to recover </w:t>
      </w:r>
      <w:r w:rsidR="00AA4671">
        <w:t xml:space="preserve">the </w:t>
      </w:r>
      <w:r w:rsidR="00AA4671" w:rsidRPr="00AA4671">
        <w:t>costs of metering, ancillary network services (ANS) and emergency recoverable works (ERW). However, some of these costs can also be recovered through separate (non-DUOS) charges. Where this occurs, adjustments are made to recognise these other sources of revenue.</w:t>
      </w:r>
    </w:p>
    <w:p w:rsidR="009916C7" w:rsidRDefault="00F27D91" w:rsidP="00F27D91">
      <w:pPr>
        <w:pStyle w:val="Caption"/>
      </w:pPr>
      <w:bookmarkStart w:id="76" w:name="_Ref384807608"/>
      <w:bookmarkStart w:id="77" w:name="_Ref384725412"/>
      <w:r>
        <w:lastRenderedPageBreak/>
        <w:t xml:space="preserve">Table </w:t>
      </w:r>
      <w:r w:rsidR="00DD155E">
        <w:fldChar w:fldCharType="begin"/>
      </w:r>
      <w:r w:rsidR="00DD155E">
        <w:instrText xml:space="preserve"> STYLEREF 1 \s </w:instrText>
      </w:r>
      <w:r w:rsidR="00DD155E">
        <w:fldChar w:fldCharType="separate"/>
      </w:r>
      <w:r w:rsidR="00E313D7">
        <w:rPr>
          <w:noProof/>
        </w:rPr>
        <w:t>4</w:t>
      </w:r>
      <w:r w:rsidR="00DD155E">
        <w:rPr>
          <w:noProof/>
        </w:rPr>
        <w:fldChar w:fldCharType="end"/>
      </w:r>
      <w:r w:rsidR="00804FE8">
        <w:t>.</w:t>
      </w:r>
      <w:r w:rsidR="00DD155E">
        <w:fldChar w:fldCharType="begin"/>
      </w:r>
      <w:r w:rsidR="00DD155E">
        <w:instrText xml:space="preserve"> SEQ Table \* ARABIC \s 1 </w:instrText>
      </w:r>
      <w:r w:rsidR="00DD155E">
        <w:fldChar w:fldCharType="separate"/>
      </w:r>
      <w:r w:rsidR="00E313D7">
        <w:rPr>
          <w:noProof/>
        </w:rPr>
        <w:t>1</w:t>
      </w:r>
      <w:r w:rsidR="00DD155E">
        <w:rPr>
          <w:noProof/>
        </w:rPr>
        <w:fldChar w:fldCharType="end"/>
      </w:r>
      <w:bookmarkEnd w:id="76"/>
      <w:r>
        <w:tab/>
      </w:r>
      <w:bookmarkEnd w:id="77"/>
      <w:r w:rsidR="009F6AB0">
        <w:t>DUOS and TUOS</w:t>
      </w:r>
      <w:r w:rsidR="00337830">
        <w:t xml:space="preserve"> for the transitional regulatory control period ($m, nominal)</w:t>
      </w:r>
    </w:p>
    <w:tbl>
      <w:tblPr>
        <w:tblStyle w:val="AERtable-numbers"/>
        <w:tblW w:w="0" w:type="auto"/>
        <w:tblInd w:w="-34" w:type="dxa"/>
        <w:tblLook w:val="04A0" w:firstRow="1" w:lastRow="0" w:firstColumn="1" w:lastColumn="0" w:noHBand="0" w:noVBand="1"/>
      </w:tblPr>
      <w:tblGrid>
        <w:gridCol w:w="3261"/>
        <w:gridCol w:w="1503"/>
        <w:gridCol w:w="1504"/>
        <w:gridCol w:w="1504"/>
        <w:gridCol w:w="1504"/>
      </w:tblGrid>
      <w:tr w:rsidR="009916C7" w:rsidTr="005E15B8">
        <w:trPr>
          <w:cnfStyle w:val="100000000000" w:firstRow="1" w:lastRow="0" w:firstColumn="0" w:lastColumn="0" w:oddVBand="0" w:evenVBand="0" w:oddHBand="0"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3261" w:type="dxa"/>
          </w:tcPr>
          <w:p w:rsidR="009916C7" w:rsidRPr="009916C7" w:rsidRDefault="000565BE" w:rsidP="00AA355A">
            <w:pPr>
              <w:pStyle w:val="AERtabletextleft"/>
              <w:keepNext/>
              <w:keepLines/>
              <w:spacing w:before="120" w:line="240" w:lineRule="auto"/>
            </w:pPr>
            <w:r>
              <w:t>NSW/ACT DNSP</w:t>
            </w:r>
          </w:p>
        </w:tc>
        <w:tc>
          <w:tcPr>
            <w:tcW w:w="1503" w:type="dxa"/>
          </w:tcPr>
          <w:p w:rsidR="009916C7" w:rsidRPr="009916C7" w:rsidRDefault="009916C7" w:rsidP="00AA355A">
            <w:pPr>
              <w:pStyle w:val="AERtabletextleft"/>
              <w:keepNext/>
              <w:keepLines/>
              <w:spacing w:before="120" w:line="240" w:lineRule="auto"/>
              <w:jc w:val="left"/>
              <w:cnfStyle w:val="100000000000" w:firstRow="1" w:lastRow="0" w:firstColumn="0" w:lastColumn="0" w:oddVBand="0" w:evenVBand="0" w:oddHBand="0" w:evenHBand="0" w:firstRowFirstColumn="0" w:firstRowLastColumn="0" w:lastRowFirstColumn="0" w:lastRowLastColumn="0"/>
            </w:pPr>
            <w:r w:rsidRPr="00AE6BB2">
              <w:t>Network</w:t>
            </w:r>
          </w:p>
        </w:tc>
        <w:tc>
          <w:tcPr>
            <w:tcW w:w="1504" w:type="dxa"/>
          </w:tcPr>
          <w:p w:rsidR="009916C7" w:rsidRPr="009916C7" w:rsidRDefault="009916C7" w:rsidP="00AA355A">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t>Proposed</w:t>
            </w:r>
            <w:r w:rsidRPr="009916C7">
              <w:t xml:space="preserve"> revenue</w:t>
            </w:r>
          </w:p>
        </w:tc>
        <w:tc>
          <w:tcPr>
            <w:tcW w:w="1504" w:type="dxa"/>
          </w:tcPr>
          <w:p w:rsidR="009916C7" w:rsidRPr="009916C7" w:rsidRDefault="009916C7" w:rsidP="00AA355A">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t xml:space="preserve">AER </w:t>
            </w:r>
            <w:r w:rsidRPr="009916C7">
              <w:t>approved revenue</w:t>
            </w:r>
          </w:p>
        </w:tc>
        <w:tc>
          <w:tcPr>
            <w:tcW w:w="1504" w:type="dxa"/>
          </w:tcPr>
          <w:p w:rsidR="009916C7" w:rsidRPr="009916C7" w:rsidRDefault="009916C7" w:rsidP="00AA355A">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t>Difference</w:t>
            </w:r>
            <w:r w:rsidRPr="009916C7">
              <w:t xml:space="preserve"> from proposed  revenue</w:t>
            </w:r>
          </w:p>
        </w:tc>
      </w:tr>
      <w:tr w:rsidR="009916C7" w:rsidTr="005E15B8">
        <w:tc>
          <w:tcPr>
            <w:cnfStyle w:val="001000000000" w:firstRow="0" w:lastRow="0" w:firstColumn="1" w:lastColumn="0" w:oddVBand="0" w:evenVBand="0" w:oddHBand="0" w:evenHBand="0" w:firstRowFirstColumn="0" w:firstRowLastColumn="0" w:lastRowFirstColumn="0" w:lastRowLastColumn="0"/>
            <w:tcW w:w="3261" w:type="dxa"/>
          </w:tcPr>
          <w:p w:rsidR="009916C7" w:rsidRPr="009916C7" w:rsidRDefault="009916C7" w:rsidP="00AA355A">
            <w:pPr>
              <w:pStyle w:val="AERtabletextleft"/>
              <w:keepNext/>
              <w:keepLines/>
              <w:spacing w:before="120" w:line="240" w:lineRule="auto"/>
            </w:pPr>
            <w:r w:rsidRPr="007D192E">
              <w:t>Ausgrid</w:t>
            </w:r>
            <w:r w:rsidRPr="009916C7">
              <w:rPr>
                <w:rStyle w:val="AERsuperscript"/>
              </w:rPr>
              <w:t>a</w:t>
            </w:r>
          </w:p>
        </w:tc>
        <w:tc>
          <w:tcPr>
            <w:tcW w:w="1503" w:type="dxa"/>
          </w:tcPr>
          <w:p w:rsidR="009916C7" w:rsidRPr="009916C7" w:rsidRDefault="009916C7" w:rsidP="00AA355A">
            <w:pPr>
              <w:pStyle w:val="AERtabletextleft"/>
              <w:keepNext/>
              <w:keepLines/>
              <w:spacing w:before="120" w:line="240" w:lineRule="auto"/>
              <w:jc w:val="left"/>
              <w:cnfStyle w:val="000000000000" w:firstRow="0" w:lastRow="0" w:firstColumn="0" w:lastColumn="0" w:oddVBand="0" w:evenVBand="0" w:oddHBand="0" w:evenHBand="0" w:firstRowFirstColumn="0" w:firstRowLastColumn="0" w:lastRowFirstColumn="0" w:lastRowLastColumn="0"/>
            </w:pPr>
            <w:r w:rsidRPr="007D192E">
              <w:t>Distribution</w:t>
            </w:r>
          </w:p>
        </w:tc>
        <w:tc>
          <w:tcPr>
            <w:tcW w:w="1504" w:type="dxa"/>
          </w:tcPr>
          <w:p w:rsidR="009916C7" w:rsidRPr="009916C7" w:rsidRDefault="009916C7" w:rsidP="00AA355A">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superscript"/>
              </w:rPr>
            </w:pPr>
            <w:r w:rsidRPr="007D192E">
              <w:t>20</w:t>
            </w:r>
            <w:r w:rsidR="005649EC">
              <w:t>75</w:t>
            </w:r>
          </w:p>
        </w:tc>
        <w:tc>
          <w:tcPr>
            <w:tcW w:w="1504" w:type="dxa"/>
          </w:tcPr>
          <w:p w:rsidR="009916C7" w:rsidRPr="009916C7" w:rsidRDefault="00E9407A" w:rsidP="00AA355A">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t>19</w:t>
            </w:r>
            <w:r w:rsidR="005649EC">
              <w:t>56</w:t>
            </w:r>
          </w:p>
        </w:tc>
        <w:tc>
          <w:tcPr>
            <w:tcW w:w="1504" w:type="dxa"/>
          </w:tcPr>
          <w:p w:rsidR="009916C7" w:rsidRPr="009916C7" w:rsidRDefault="009916C7" w:rsidP="00AA355A">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t>–</w:t>
            </w:r>
            <w:r w:rsidR="00E9407A">
              <w:t>119</w:t>
            </w:r>
            <w:r w:rsidR="00122D4A">
              <w:t xml:space="preserve"> </w:t>
            </w:r>
            <w:r w:rsidRPr="009916C7">
              <w:t>(–</w:t>
            </w:r>
            <w:r w:rsidR="00E9407A">
              <w:t>5.</w:t>
            </w:r>
            <w:r w:rsidR="005649EC">
              <w:t>7</w:t>
            </w:r>
            <w:r w:rsidRPr="009916C7">
              <w:t>%)</w:t>
            </w:r>
          </w:p>
        </w:tc>
      </w:tr>
      <w:tr w:rsidR="009916C7" w:rsidTr="005E15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9916C7" w:rsidRPr="007D192E" w:rsidRDefault="009916C7" w:rsidP="00AA355A">
            <w:pPr>
              <w:pStyle w:val="AERtabletextleft"/>
              <w:keepNext/>
              <w:keepLines/>
              <w:spacing w:before="120" w:line="240" w:lineRule="auto"/>
            </w:pPr>
          </w:p>
        </w:tc>
        <w:tc>
          <w:tcPr>
            <w:tcW w:w="1503" w:type="dxa"/>
          </w:tcPr>
          <w:p w:rsidR="009916C7" w:rsidRPr="009916C7" w:rsidRDefault="009916C7" w:rsidP="00AA355A">
            <w:pPr>
              <w:pStyle w:val="AERtabletextleft"/>
              <w:keepNext/>
              <w:keepLines/>
              <w:spacing w:before="120" w:line="240" w:lineRule="auto"/>
              <w:jc w:val="left"/>
              <w:cnfStyle w:val="000000010000" w:firstRow="0" w:lastRow="0" w:firstColumn="0" w:lastColumn="0" w:oddVBand="0" w:evenVBand="0" w:oddHBand="0" w:evenHBand="1" w:firstRowFirstColumn="0" w:firstRowLastColumn="0" w:lastRowFirstColumn="0" w:lastRowLastColumn="0"/>
            </w:pPr>
            <w:r w:rsidRPr="007D192E">
              <w:t>Transmission</w:t>
            </w:r>
          </w:p>
        </w:tc>
        <w:tc>
          <w:tcPr>
            <w:tcW w:w="1504" w:type="dxa"/>
          </w:tcPr>
          <w:p w:rsidR="009916C7" w:rsidRPr="009916C7" w:rsidRDefault="009916C7" w:rsidP="00AA355A">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7D192E">
              <w:t>270</w:t>
            </w:r>
          </w:p>
        </w:tc>
        <w:tc>
          <w:tcPr>
            <w:tcW w:w="1504" w:type="dxa"/>
          </w:tcPr>
          <w:p w:rsidR="009916C7" w:rsidRPr="009916C7" w:rsidRDefault="009916C7" w:rsidP="00AA355A">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7D192E">
              <w:t>252</w:t>
            </w:r>
          </w:p>
        </w:tc>
        <w:tc>
          <w:tcPr>
            <w:tcW w:w="1504" w:type="dxa"/>
          </w:tcPr>
          <w:p w:rsidR="009916C7" w:rsidRPr="009916C7" w:rsidRDefault="009916C7" w:rsidP="00AA355A">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t>–</w:t>
            </w:r>
            <w:r w:rsidRPr="009916C7">
              <w:t>18 (–6.5%)</w:t>
            </w:r>
          </w:p>
        </w:tc>
      </w:tr>
      <w:tr w:rsidR="009916C7" w:rsidTr="005E15B8">
        <w:tc>
          <w:tcPr>
            <w:cnfStyle w:val="001000000000" w:firstRow="0" w:lastRow="0" w:firstColumn="1" w:lastColumn="0" w:oddVBand="0" w:evenVBand="0" w:oddHBand="0" w:evenHBand="0" w:firstRowFirstColumn="0" w:firstRowLastColumn="0" w:lastRowFirstColumn="0" w:lastRowLastColumn="0"/>
            <w:tcW w:w="3261" w:type="dxa"/>
          </w:tcPr>
          <w:p w:rsidR="009916C7" w:rsidRPr="009916C7" w:rsidRDefault="009916C7" w:rsidP="00AA355A">
            <w:pPr>
              <w:pStyle w:val="AERtabletextleft"/>
              <w:keepNext/>
              <w:keepLines/>
              <w:spacing w:before="120" w:line="240" w:lineRule="auto"/>
            </w:pPr>
            <w:r w:rsidRPr="007D192E">
              <w:t>Essential Energy</w:t>
            </w:r>
          </w:p>
        </w:tc>
        <w:tc>
          <w:tcPr>
            <w:tcW w:w="1503" w:type="dxa"/>
          </w:tcPr>
          <w:p w:rsidR="009916C7" w:rsidRPr="009916C7" w:rsidRDefault="009916C7" w:rsidP="00AA355A">
            <w:pPr>
              <w:pStyle w:val="AERtabletextleft"/>
              <w:keepNext/>
              <w:keepLines/>
              <w:spacing w:before="120" w:line="240" w:lineRule="auto"/>
              <w:jc w:val="left"/>
              <w:cnfStyle w:val="000000000000" w:firstRow="0" w:lastRow="0" w:firstColumn="0" w:lastColumn="0" w:oddVBand="0" w:evenVBand="0" w:oddHBand="0" w:evenHBand="0" w:firstRowFirstColumn="0" w:firstRowLastColumn="0" w:lastRowFirstColumn="0" w:lastRowLastColumn="0"/>
            </w:pPr>
            <w:r w:rsidRPr="007D192E">
              <w:t>Distribution</w:t>
            </w:r>
          </w:p>
        </w:tc>
        <w:tc>
          <w:tcPr>
            <w:tcW w:w="1504" w:type="dxa"/>
          </w:tcPr>
          <w:p w:rsidR="009916C7" w:rsidRPr="009916C7" w:rsidRDefault="009916C7" w:rsidP="00AA355A">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7D192E">
              <w:t>1363</w:t>
            </w:r>
          </w:p>
        </w:tc>
        <w:tc>
          <w:tcPr>
            <w:tcW w:w="1504" w:type="dxa"/>
          </w:tcPr>
          <w:p w:rsidR="009916C7" w:rsidRPr="009916C7" w:rsidRDefault="009916C7" w:rsidP="00AA355A">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7D192E">
              <w:t>1292</w:t>
            </w:r>
          </w:p>
        </w:tc>
        <w:tc>
          <w:tcPr>
            <w:tcW w:w="1504" w:type="dxa"/>
          </w:tcPr>
          <w:p w:rsidR="009916C7" w:rsidRPr="009916C7" w:rsidRDefault="009916C7" w:rsidP="00AA355A">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t>–</w:t>
            </w:r>
            <w:r w:rsidRPr="009916C7">
              <w:t>71 (–5.2%)</w:t>
            </w:r>
          </w:p>
        </w:tc>
      </w:tr>
      <w:tr w:rsidR="009916C7" w:rsidTr="005E15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9916C7" w:rsidRPr="009916C7" w:rsidRDefault="009916C7" w:rsidP="00AA355A">
            <w:pPr>
              <w:pStyle w:val="AERtabletextleft"/>
              <w:keepNext/>
              <w:keepLines/>
              <w:spacing w:before="120" w:line="240" w:lineRule="auto"/>
            </w:pPr>
            <w:r w:rsidRPr="007D192E">
              <w:t>Endeavour Energy</w:t>
            </w:r>
            <w:r w:rsidRPr="009916C7">
              <w:rPr>
                <w:rStyle w:val="AERsuperscript"/>
              </w:rPr>
              <w:t>a</w:t>
            </w:r>
          </w:p>
        </w:tc>
        <w:tc>
          <w:tcPr>
            <w:tcW w:w="1503" w:type="dxa"/>
          </w:tcPr>
          <w:p w:rsidR="009916C7" w:rsidRPr="009916C7" w:rsidRDefault="009916C7" w:rsidP="00AA355A">
            <w:pPr>
              <w:pStyle w:val="AERtabletextleft"/>
              <w:keepNext/>
              <w:keepLines/>
              <w:spacing w:before="120" w:line="240" w:lineRule="auto"/>
              <w:jc w:val="left"/>
              <w:cnfStyle w:val="000000010000" w:firstRow="0" w:lastRow="0" w:firstColumn="0" w:lastColumn="0" w:oddVBand="0" w:evenVBand="0" w:oddHBand="0" w:evenHBand="1" w:firstRowFirstColumn="0" w:firstRowLastColumn="0" w:lastRowFirstColumn="0" w:lastRowLastColumn="0"/>
            </w:pPr>
            <w:r w:rsidRPr="007D192E">
              <w:t>Distribution</w:t>
            </w:r>
          </w:p>
        </w:tc>
        <w:tc>
          <w:tcPr>
            <w:tcW w:w="1504" w:type="dxa"/>
          </w:tcPr>
          <w:p w:rsidR="009916C7" w:rsidRPr="009916C7" w:rsidRDefault="009916C7" w:rsidP="00AA355A">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rPr>
                <w:rStyle w:val="AERsuperscript"/>
              </w:rPr>
            </w:pPr>
            <w:r w:rsidRPr="007D192E">
              <w:t>998</w:t>
            </w:r>
          </w:p>
        </w:tc>
        <w:tc>
          <w:tcPr>
            <w:tcW w:w="1504" w:type="dxa"/>
          </w:tcPr>
          <w:p w:rsidR="009916C7" w:rsidRPr="009916C7" w:rsidRDefault="009916C7" w:rsidP="00AA355A">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7D192E">
              <w:t>940</w:t>
            </w:r>
          </w:p>
        </w:tc>
        <w:tc>
          <w:tcPr>
            <w:tcW w:w="1504" w:type="dxa"/>
          </w:tcPr>
          <w:p w:rsidR="009916C7" w:rsidRPr="009916C7" w:rsidRDefault="009916C7" w:rsidP="00AA355A">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t>–</w:t>
            </w:r>
            <w:r w:rsidRPr="009916C7">
              <w:t>58 (–5.8%)</w:t>
            </w:r>
          </w:p>
        </w:tc>
      </w:tr>
      <w:tr w:rsidR="009916C7" w:rsidTr="005E15B8">
        <w:tc>
          <w:tcPr>
            <w:cnfStyle w:val="001000000000" w:firstRow="0" w:lastRow="0" w:firstColumn="1" w:lastColumn="0" w:oddVBand="0" w:evenVBand="0" w:oddHBand="0" w:evenHBand="0" w:firstRowFirstColumn="0" w:firstRowLastColumn="0" w:lastRowFirstColumn="0" w:lastRowLastColumn="0"/>
            <w:tcW w:w="3261" w:type="dxa"/>
          </w:tcPr>
          <w:p w:rsidR="009916C7" w:rsidRPr="009916C7" w:rsidRDefault="009916C7" w:rsidP="00AA355A">
            <w:pPr>
              <w:pStyle w:val="AERtabletextleft"/>
              <w:keepNext/>
              <w:keepLines/>
              <w:spacing w:before="120" w:line="240" w:lineRule="auto"/>
            </w:pPr>
            <w:r w:rsidRPr="007D192E">
              <w:t>ActewAGL</w:t>
            </w:r>
          </w:p>
        </w:tc>
        <w:tc>
          <w:tcPr>
            <w:tcW w:w="1503" w:type="dxa"/>
          </w:tcPr>
          <w:p w:rsidR="009916C7" w:rsidRPr="009916C7" w:rsidRDefault="009916C7" w:rsidP="00AA355A">
            <w:pPr>
              <w:pStyle w:val="AERtabletextleft"/>
              <w:keepNext/>
              <w:keepLines/>
              <w:spacing w:before="120" w:line="240" w:lineRule="auto"/>
              <w:jc w:val="left"/>
              <w:cnfStyle w:val="000000000000" w:firstRow="0" w:lastRow="0" w:firstColumn="0" w:lastColumn="0" w:oddVBand="0" w:evenVBand="0" w:oddHBand="0" w:evenHBand="0" w:firstRowFirstColumn="0" w:firstRowLastColumn="0" w:lastRowFirstColumn="0" w:lastRowLastColumn="0"/>
            </w:pPr>
            <w:r w:rsidRPr="007D192E">
              <w:t>Distribution</w:t>
            </w:r>
          </w:p>
        </w:tc>
        <w:tc>
          <w:tcPr>
            <w:tcW w:w="1504" w:type="dxa"/>
          </w:tcPr>
          <w:p w:rsidR="009916C7" w:rsidRPr="009916C7" w:rsidRDefault="009916C7" w:rsidP="00AA355A">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7D192E">
              <w:t>156</w:t>
            </w:r>
          </w:p>
        </w:tc>
        <w:tc>
          <w:tcPr>
            <w:tcW w:w="1504" w:type="dxa"/>
          </w:tcPr>
          <w:p w:rsidR="009916C7" w:rsidRPr="009916C7" w:rsidRDefault="009916C7" w:rsidP="00AA355A">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7D192E">
              <w:t>145</w:t>
            </w:r>
          </w:p>
        </w:tc>
        <w:tc>
          <w:tcPr>
            <w:tcW w:w="1504" w:type="dxa"/>
          </w:tcPr>
          <w:p w:rsidR="009916C7" w:rsidRPr="009916C7" w:rsidRDefault="009916C7" w:rsidP="00AA355A">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t>–</w:t>
            </w:r>
            <w:r w:rsidRPr="009916C7">
              <w:t>11 (–6.9%)</w:t>
            </w:r>
          </w:p>
        </w:tc>
      </w:tr>
      <w:tr w:rsidR="009916C7" w:rsidTr="005E15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9916C7" w:rsidRPr="007D192E" w:rsidRDefault="009916C7" w:rsidP="00AA355A">
            <w:pPr>
              <w:pStyle w:val="AERtabletextleft"/>
              <w:keepNext/>
              <w:keepLines/>
              <w:spacing w:before="120" w:line="240" w:lineRule="auto"/>
            </w:pPr>
          </w:p>
        </w:tc>
        <w:tc>
          <w:tcPr>
            <w:tcW w:w="1503" w:type="dxa"/>
          </w:tcPr>
          <w:p w:rsidR="009916C7" w:rsidRPr="009916C7" w:rsidRDefault="009916C7" w:rsidP="00AA355A">
            <w:pPr>
              <w:pStyle w:val="AERtabletextleft"/>
              <w:keepNext/>
              <w:keepLines/>
              <w:spacing w:before="120" w:line="240" w:lineRule="auto"/>
              <w:jc w:val="left"/>
              <w:cnfStyle w:val="000000010000" w:firstRow="0" w:lastRow="0" w:firstColumn="0" w:lastColumn="0" w:oddVBand="0" w:evenVBand="0" w:oddHBand="0" w:evenHBand="1" w:firstRowFirstColumn="0" w:firstRowLastColumn="0" w:lastRowFirstColumn="0" w:lastRowLastColumn="0"/>
            </w:pPr>
            <w:r w:rsidRPr="007D192E">
              <w:t>Transmission</w:t>
            </w:r>
          </w:p>
        </w:tc>
        <w:tc>
          <w:tcPr>
            <w:tcW w:w="1504" w:type="dxa"/>
          </w:tcPr>
          <w:p w:rsidR="009916C7" w:rsidRPr="009916C7" w:rsidRDefault="009916C7" w:rsidP="00AA355A">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7D192E">
              <w:t>30</w:t>
            </w:r>
          </w:p>
        </w:tc>
        <w:tc>
          <w:tcPr>
            <w:tcW w:w="1504" w:type="dxa"/>
          </w:tcPr>
          <w:p w:rsidR="009916C7" w:rsidRPr="009916C7" w:rsidRDefault="009916C7" w:rsidP="00AA355A">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7D192E">
              <w:t>28</w:t>
            </w:r>
          </w:p>
        </w:tc>
        <w:tc>
          <w:tcPr>
            <w:tcW w:w="1504" w:type="dxa"/>
          </w:tcPr>
          <w:p w:rsidR="009916C7" w:rsidRPr="009916C7" w:rsidRDefault="009916C7" w:rsidP="00AA355A">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t>–</w:t>
            </w:r>
            <w:r w:rsidRPr="009916C7">
              <w:t>2 (–6.8%)</w:t>
            </w:r>
          </w:p>
        </w:tc>
      </w:tr>
    </w:tbl>
    <w:p w:rsidR="009916C7" w:rsidRPr="007D192E" w:rsidRDefault="009916C7" w:rsidP="00EB6D29">
      <w:pPr>
        <w:pStyle w:val="AERtablesource"/>
        <w:keepNext/>
        <w:keepLines/>
      </w:pPr>
      <w:r w:rsidRPr="007D192E">
        <w:t>Source:</w:t>
      </w:r>
      <w:r w:rsidRPr="007D192E">
        <w:tab/>
      </w:r>
      <w:r>
        <w:t>AER analysis.</w:t>
      </w:r>
    </w:p>
    <w:p w:rsidR="007331B6" w:rsidRDefault="009916C7" w:rsidP="00EB6D29">
      <w:pPr>
        <w:pStyle w:val="AERtablesource"/>
        <w:tabs>
          <w:tab w:val="left" w:pos="1134"/>
        </w:tabs>
        <w:ind w:left="1134" w:hanging="1134"/>
      </w:pPr>
      <w:r w:rsidRPr="007D192E">
        <w:t>Notes:</w:t>
      </w:r>
      <w:r w:rsidRPr="007D192E">
        <w:tab/>
      </w:r>
      <w:r w:rsidR="007331B6" w:rsidRPr="00693A45">
        <w:t>Numbers may not sum due to rounding.</w:t>
      </w:r>
    </w:p>
    <w:p w:rsidR="00EB6D29" w:rsidRPr="007D192E" w:rsidRDefault="007331B6" w:rsidP="0011046B">
      <w:pPr>
        <w:pStyle w:val="AERtablesource"/>
        <w:ind w:left="1134" w:hanging="1134"/>
      </w:pPr>
      <w:r w:rsidRPr="009D768F">
        <w:tab/>
      </w:r>
      <w:r w:rsidR="009916C7" w:rsidRPr="009D768F">
        <w:t>a.</w:t>
      </w:r>
      <w:r w:rsidR="009916C7" w:rsidRPr="009D768F">
        <w:tab/>
        <w:t xml:space="preserve">Revenues presented reflect 'DUOS-only' revenue. For Ausgrid (distribution) and Endeavour Energy, expected revenues from ancillary network services (ANS) and/or emergency recoverable works (ERW)—$19 million and $10 million respectively—have been removed for comparison </w:t>
      </w:r>
      <w:r w:rsidR="00243EA5" w:rsidRPr="009D768F">
        <w:t>across</w:t>
      </w:r>
      <w:r w:rsidR="009916C7" w:rsidRPr="009D768F">
        <w:t xml:space="preserve"> DNSPs and to clarify the revenues to be recovered through DUOS charges. A</w:t>
      </w:r>
      <w:r w:rsidR="00243EA5" w:rsidRPr="009D768F">
        <w:t>NS</w:t>
      </w:r>
      <w:r w:rsidR="009916C7" w:rsidRPr="009D768F">
        <w:t xml:space="preserve"> prices for the transitional regulatory control period are discussed in section</w:t>
      </w:r>
      <w:r w:rsidR="00B8662F" w:rsidRPr="009D768F">
        <w:t xml:space="preserve"> </w:t>
      </w:r>
      <w:r w:rsidR="00B8662F" w:rsidRPr="009D768F">
        <w:fldChar w:fldCharType="begin"/>
      </w:r>
      <w:r w:rsidR="00B8662F" w:rsidRPr="009D768F">
        <w:instrText xml:space="preserve"> REF _Ref384119247 \r \h </w:instrText>
      </w:r>
      <w:r w:rsidR="009D768F">
        <w:instrText xml:space="preserve"> \* MERGEFORMAT </w:instrText>
      </w:r>
      <w:r w:rsidR="00B8662F" w:rsidRPr="009D768F">
        <w:fldChar w:fldCharType="separate"/>
      </w:r>
      <w:r w:rsidR="00E313D7">
        <w:t>5.7.2</w:t>
      </w:r>
      <w:r w:rsidR="00B8662F" w:rsidRPr="009D768F">
        <w:fldChar w:fldCharType="end"/>
      </w:r>
      <w:r w:rsidR="009916C7" w:rsidRPr="009D768F">
        <w:t>.</w:t>
      </w:r>
    </w:p>
    <w:p w:rsidR="00AA4671" w:rsidRDefault="009916C7" w:rsidP="001E27FC">
      <w:pPr>
        <w:pStyle w:val="AERbodytext"/>
      </w:pPr>
      <w:r>
        <w:t>Section</w:t>
      </w:r>
      <w:r w:rsidR="009C41FB">
        <w:t xml:space="preserve"> </w:t>
      </w:r>
      <w:r w:rsidR="009C41FB" w:rsidRPr="009C41FB">
        <w:fldChar w:fldCharType="begin"/>
      </w:r>
      <w:r w:rsidR="009C41FB" w:rsidRPr="009C41FB">
        <w:instrText xml:space="preserve"> REF _Ref384726083 \n \h </w:instrText>
      </w:r>
      <w:r w:rsidR="009C41FB">
        <w:instrText xml:space="preserve"> \* MERGEFORMAT </w:instrText>
      </w:r>
      <w:r w:rsidR="009C41FB" w:rsidRPr="009C41FB">
        <w:fldChar w:fldCharType="separate"/>
      </w:r>
      <w:r w:rsidR="00E313D7">
        <w:t>4.1.1</w:t>
      </w:r>
      <w:r w:rsidR="009C41FB" w:rsidRPr="009C41FB">
        <w:fldChar w:fldCharType="end"/>
      </w:r>
      <w:r w:rsidR="009C41FB">
        <w:t xml:space="preserve"> </w:t>
      </w:r>
      <w:r w:rsidRPr="009C41FB">
        <w:t>discuss</w:t>
      </w:r>
      <w:r w:rsidR="00971DBE" w:rsidRPr="009C41FB">
        <w:t>es</w:t>
      </w:r>
      <w:r>
        <w:t xml:space="preserve"> our high level assessment of the proposed indicative revenues and the reasons behind our decision </w:t>
      </w:r>
      <w:r w:rsidR="00971DBE">
        <w:t xml:space="preserve">that are common to </w:t>
      </w:r>
      <w:r>
        <w:t xml:space="preserve">each </w:t>
      </w:r>
      <w:r w:rsidR="000565BE">
        <w:t>DNSP</w:t>
      </w:r>
      <w:r>
        <w:t xml:space="preserve">. </w:t>
      </w:r>
      <w:r w:rsidR="00006A42">
        <w:t>We</w:t>
      </w:r>
      <w:r w:rsidR="00971DBE">
        <w:t xml:space="preserve"> then present </w:t>
      </w:r>
      <w:r w:rsidR="00006A42">
        <w:t>the outcomes of our assessment that are</w:t>
      </w:r>
      <w:r w:rsidR="00971DBE">
        <w:t xml:space="preserve"> specific to each </w:t>
      </w:r>
      <w:r w:rsidR="00006A42">
        <w:t>DNSP</w:t>
      </w:r>
      <w:r w:rsidR="00971DBE">
        <w:t xml:space="preserve">. </w:t>
      </w:r>
      <w:r>
        <w:t>Throughout this section, where we discuss overall revenue, we do so with regard to the context that changes in revenue translate to changes in prices, which is the primary focal point of the price variation test.</w:t>
      </w:r>
      <w:r>
        <w:rPr>
          <w:rStyle w:val="FootnoteReference"/>
        </w:rPr>
        <w:footnoteReference w:id="24"/>
      </w:r>
      <w:r>
        <w:t xml:space="preserve"> </w:t>
      </w:r>
      <w:r w:rsidR="001E27FC">
        <w:t>However, determining a precis</w:t>
      </w:r>
      <w:r w:rsidR="001E27FC" w:rsidRPr="001E27FC">
        <w:t>e price path is not possible</w:t>
      </w:r>
      <w:r w:rsidR="001E27FC">
        <w:t xml:space="preserve"> based on the data before the AER. Prices have various components such as fixed charges, capacity charges, time of use charges and volume charges. Under a revenue cap businesses do not typically provide this data with their </w:t>
      </w:r>
      <w:r w:rsidR="00A27FEB">
        <w:t xml:space="preserve">regulatory </w:t>
      </w:r>
      <w:r w:rsidR="001E27FC">
        <w:t>proposals,</w:t>
      </w:r>
      <w:r w:rsidR="00A27FEB">
        <w:t xml:space="preserve"> whereas under a price cap they would.</w:t>
      </w:r>
      <w:r w:rsidR="001E27FC">
        <w:t xml:space="preserve"> </w:t>
      </w:r>
      <w:r>
        <w:t xml:space="preserve">We </w:t>
      </w:r>
      <w:r w:rsidR="001E27FC">
        <w:t xml:space="preserve">therefore </w:t>
      </w:r>
      <w:r>
        <w:t xml:space="preserve">present indicative price indexes in this section. </w:t>
      </w:r>
    </w:p>
    <w:p w:rsidR="009916C7" w:rsidRDefault="001E27FC" w:rsidP="001E27FC">
      <w:pPr>
        <w:pStyle w:val="AERbodytext"/>
      </w:pPr>
      <w:r>
        <w:t>Endeavour Energy and Essential Energy</w:t>
      </w:r>
      <w:r w:rsidR="0029053E">
        <w:t>’s TRPs included data for</w:t>
      </w:r>
      <w:r>
        <w:t xml:space="preserve"> price cap calculation</w:t>
      </w:r>
      <w:r w:rsidR="0029053E">
        <w:t>s</w:t>
      </w:r>
      <w:r w:rsidR="00A27FEB">
        <w:t xml:space="preserve"> (in addition to the</w:t>
      </w:r>
      <w:r w:rsidR="0029053E">
        <w:t>ir</w:t>
      </w:r>
      <w:r w:rsidR="00A27FEB">
        <w:t xml:space="preserve"> revenue cap calculation</w:t>
      </w:r>
      <w:r w:rsidR="0029053E">
        <w:t>s</w:t>
      </w:r>
      <w:r w:rsidR="00A27FEB">
        <w:t>)</w:t>
      </w:r>
      <w:r w:rsidR="0029053E">
        <w:t xml:space="preserve"> in their PTRMs</w:t>
      </w:r>
      <w:r>
        <w:t xml:space="preserve">, </w:t>
      </w:r>
      <w:r w:rsidR="00A27FEB">
        <w:t>which allowed us to use the overall</w:t>
      </w:r>
      <w:r>
        <w:t xml:space="preserve"> </w:t>
      </w:r>
      <w:r w:rsidR="00A27FEB">
        <w:t>price impact</w:t>
      </w:r>
      <w:r>
        <w:t xml:space="preserve"> from these calculations to determine the movement in prices. </w:t>
      </w:r>
      <w:r w:rsidR="002D3831">
        <w:t>Ausgrid provided data on price changes resulting from its proposed revenue for its distribution network, which appeared to be consistent with price cap calculations. As such, we were able to adopt the overall price impact from these calculations to determine the movement in prices. For ActewAGL</w:t>
      </w:r>
      <w:r w:rsidR="003F2C6E">
        <w:t>’s</w:t>
      </w:r>
      <w:r w:rsidR="002D3831">
        <w:t xml:space="preserve"> and Ausgrid’s transmission </w:t>
      </w:r>
      <w:r w:rsidR="003F2C6E">
        <w:t>networks</w:t>
      </w:r>
      <w:r w:rsidR="009302B0">
        <w:t>,</w:t>
      </w:r>
      <w:r w:rsidR="002D3831">
        <w:t xml:space="preserve"> we determined prices by </w:t>
      </w:r>
      <w:r w:rsidR="00A27FEB">
        <w:t>dividing total</w:t>
      </w:r>
      <w:r w:rsidR="009916C7">
        <w:t xml:space="preserve"> revenue by total energy consumed</w:t>
      </w:r>
      <w:r>
        <w:t xml:space="preserve"> (</w:t>
      </w:r>
      <w:r w:rsidR="002D3831">
        <w:t>KWh</w:t>
      </w:r>
      <w:r>
        <w:t>).</w:t>
      </w:r>
      <w:r w:rsidR="002D3831">
        <w:rPr>
          <w:rStyle w:val="FootnoteReference"/>
        </w:rPr>
        <w:footnoteReference w:id="25"/>
      </w:r>
      <w:r w:rsidR="009916C7">
        <w:t xml:space="preserve"> </w:t>
      </w:r>
      <w:r>
        <w:t>For presentational purposes</w:t>
      </w:r>
      <w:r w:rsidR="00A27FEB">
        <w:t xml:space="preserve"> (and regardless of how the prices were calculated)</w:t>
      </w:r>
      <w:r>
        <w:t xml:space="preserve">, the prices </w:t>
      </w:r>
      <w:r w:rsidR="00A27FEB">
        <w:t>we</w:t>
      </w:r>
      <w:r>
        <w:t>re</w:t>
      </w:r>
      <w:r w:rsidR="009916C7">
        <w:t xml:space="preserve"> scaled so that the price index begins at 1.0 for each network in 2013–14.</w:t>
      </w:r>
      <w:r w:rsidR="009916C7">
        <w:rPr>
          <w:rStyle w:val="FootnoteReference"/>
        </w:rPr>
        <w:footnoteReference w:id="26"/>
      </w:r>
      <w:r w:rsidR="00337830">
        <w:t xml:space="preserve"> These indexes provide a simple overall measure of the relative movement in prices across time.</w:t>
      </w:r>
    </w:p>
    <w:p w:rsidR="00971DBE" w:rsidRPr="00971DBE" w:rsidRDefault="00971DBE" w:rsidP="003F0974">
      <w:pPr>
        <w:pStyle w:val="Heading3"/>
      </w:pPr>
      <w:bookmarkStart w:id="78" w:name="_Toc384716221"/>
      <w:bookmarkStart w:id="79" w:name="_Ref384726073"/>
      <w:bookmarkStart w:id="80" w:name="_Ref384726083"/>
      <w:bookmarkStart w:id="81" w:name="_Ref384818826"/>
      <w:r w:rsidRPr="00971DBE">
        <w:lastRenderedPageBreak/>
        <w:t>AER’s reasons</w:t>
      </w:r>
      <w:bookmarkEnd w:id="78"/>
      <w:bookmarkEnd w:id="79"/>
      <w:bookmarkEnd w:id="80"/>
      <w:bookmarkEnd w:id="81"/>
    </w:p>
    <w:p w:rsidR="00971DBE" w:rsidRDefault="00971DBE" w:rsidP="00971DBE">
      <w:pPr>
        <w:pStyle w:val="AERbodytext"/>
        <w:numPr>
          <w:ilvl w:val="0"/>
          <w:numId w:val="6"/>
        </w:numPr>
      </w:pPr>
      <w:r>
        <w:t>We do not accept the NSW/ACT DNSPs' proposed annual revenue requirements for the transitional regulatory control period. Instead we have substituted revenues as set out below. This is because after considering the key revenue drivers as an input into the annual revenue requirements, our analysis indicates that the proposed annual revenue requirements are likely to be overstated.</w:t>
      </w:r>
    </w:p>
    <w:p w:rsidR="00971DBE" w:rsidRDefault="00971DBE" w:rsidP="00971DBE">
      <w:pPr>
        <w:pStyle w:val="AERbodytext"/>
      </w:pPr>
      <w:r>
        <w:t xml:space="preserve">In particular, based on the rate of return guideline, we expect forecast costs that are influenced by the rate of return on capital and the value of imputation credits (gamma) to be lower than those proposed by the DNSPs. With regard to our </w:t>
      </w:r>
      <w:r w:rsidRPr="00293012">
        <w:t xml:space="preserve">rate of return guideline, and taking into account available market information and expected market trends, we </w:t>
      </w:r>
      <w:r>
        <w:t xml:space="preserve">expect the rate of return to be lower and the value of gamma higher than proposed. This then leads to lower building blocks for the return on </w:t>
      </w:r>
      <w:r w:rsidRPr="00293012">
        <w:t xml:space="preserve">capital and </w:t>
      </w:r>
      <w:r>
        <w:t xml:space="preserve">cost of </w:t>
      </w:r>
      <w:r w:rsidRPr="00293012">
        <w:t>corporate income tax</w:t>
      </w:r>
      <w:r>
        <w:t xml:space="preserve">. Our reasoning on these issues is set out in sections </w:t>
      </w:r>
      <w:r w:rsidR="00984186">
        <w:fldChar w:fldCharType="begin"/>
      </w:r>
      <w:r w:rsidR="00984186">
        <w:instrText xml:space="preserve"> REF _Ref384725533 \r \h </w:instrText>
      </w:r>
      <w:r w:rsidR="00984186">
        <w:fldChar w:fldCharType="separate"/>
      </w:r>
      <w:r w:rsidR="00E313D7">
        <w:t>4.2.1</w:t>
      </w:r>
      <w:r w:rsidR="00984186">
        <w:fldChar w:fldCharType="end"/>
      </w:r>
      <w:r w:rsidR="00984186">
        <w:t xml:space="preserve"> and </w:t>
      </w:r>
      <w:r w:rsidR="00984186">
        <w:fldChar w:fldCharType="begin"/>
      </w:r>
      <w:r w:rsidR="00984186">
        <w:instrText xml:space="preserve"> REF _Ref384725545 \r \h </w:instrText>
      </w:r>
      <w:r w:rsidR="00984186">
        <w:fldChar w:fldCharType="separate"/>
      </w:r>
      <w:r w:rsidR="00E313D7">
        <w:t>4.2.5</w:t>
      </w:r>
      <w:r w:rsidR="00984186">
        <w:fldChar w:fldCharType="end"/>
      </w:r>
      <w:r>
        <w:t xml:space="preserve">, respectively. </w:t>
      </w:r>
    </w:p>
    <w:p w:rsidR="004533BA" w:rsidRDefault="004533BA" w:rsidP="004533BA">
      <w:pPr>
        <w:pStyle w:val="AERbodytext"/>
      </w:pPr>
      <w:r>
        <w:t>We consider that annual revenue requirements that incorporate a rate of return and gamma</w:t>
      </w:r>
      <w:r w:rsidRPr="00603058">
        <w:t xml:space="preserve"> </w:t>
      </w:r>
      <w:r>
        <w:t xml:space="preserve">that more accurately have regard to these factors are reasonably likely to minimise price variations. Given this, our assessment at the time of this </w:t>
      </w:r>
      <w:r w:rsidR="00E05D13">
        <w:t xml:space="preserve">placeholder </w:t>
      </w:r>
      <w:r>
        <w:t xml:space="preserve">determination is that the annual revenue requirements proposed by the DNSPs are not reasonably likely to minimise variations in price. This is because the DNSPs' proposals are not likely to reduce the potential for future significant price changes for consumers. If we did not make the adjustments now to reflect the revenues established in this </w:t>
      </w:r>
      <w:r w:rsidR="00E05D13">
        <w:t xml:space="preserve">placeholder </w:t>
      </w:r>
      <w:r>
        <w:t>determination, but instead waited one year until the full determination, there would be a larger impact on prices. That is, if we were to wait one year before making the same adjustment to these inputs (all else being equal), the impact on revenue</w:t>
      </w:r>
      <w:r w:rsidR="005F1985">
        <w:t>s and prices</w:t>
      </w:r>
      <w:r>
        <w:t xml:space="preserve"> would be larger and so therefore the impact on prices as well. It would be larger because the additional over-recovery of revenue in 2014–15 needs to be accounted for in the remaining four years of the subsequent regulatory control period.</w:t>
      </w:r>
      <w:r>
        <w:rPr>
          <w:rStyle w:val="FootnoteReference"/>
        </w:rPr>
        <w:footnoteReference w:id="27"/>
      </w:r>
    </w:p>
    <w:p w:rsidR="00006A42" w:rsidRDefault="004533BA" w:rsidP="00AF3901">
      <w:pPr>
        <w:pStyle w:val="AERbodytext"/>
        <w:numPr>
          <w:ilvl w:val="0"/>
          <w:numId w:val="0"/>
        </w:numPr>
      </w:pPr>
      <w:r>
        <w:t>With respect to price variations, w</w:t>
      </w:r>
      <w:r w:rsidRPr="003B7C0D">
        <w:t xml:space="preserve">e consider that if the reduction to the revenue is not made in this decision, then any resulting over-recovery in the transitional regulatory control period would be reasonably likely to lead to more significant price variations over the </w:t>
      </w:r>
      <w:r>
        <w:t>relevant</w:t>
      </w:r>
      <w:r w:rsidRPr="003B7C0D">
        <w:t xml:space="preserve"> regulatory control period</w:t>
      </w:r>
      <w:r>
        <w:t>s and years. This would therefore</w:t>
      </w:r>
      <w:r w:rsidRPr="003B7C0D">
        <w:t xml:space="preserve"> not </w:t>
      </w:r>
      <w:r>
        <w:t xml:space="preserve">be </w:t>
      </w:r>
      <w:r w:rsidRPr="003B7C0D">
        <w:t>likely to contribute to the achievement of the NEO</w:t>
      </w:r>
      <w:r>
        <w:t xml:space="preserve"> </w:t>
      </w:r>
      <w:r w:rsidR="00006A42">
        <w:t xml:space="preserve">to the greatest degree </w:t>
      </w:r>
      <w:r>
        <w:t>and is not consistent with the RPPs in terms of promoting efficient investment</w:t>
      </w:r>
      <w:r w:rsidRPr="003B7C0D">
        <w:t>.</w:t>
      </w:r>
      <w:r>
        <w:rPr>
          <w:rStyle w:val="FootnoteReference"/>
        </w:rPr>
        <w:footnoteReference w:id="28"/>
      </w:r>
    </w:p>
    <w:p w:rsidR="00971DBE" w:rsidRDefault="00006A42" w:rsidP="00006A42">
      <w:pPr>
        <w:pStyle w:val="AERbodytext"/>
        <w:numPr>
          <w:ilvl w:val="0"/>
          <w:numId w:val="0"/>
        </w:numPr>
      </w:pPr>
      <w:r w:rsidRPr="00365222">
        <w:t xml:space="preserve">We note </w:t>
      </w:r>
      <w:r>
        <w:t xml:space="preserve">submissions from </w:t>
      </w:r>
      <w:r w:rsidRPr="00365222">
        <w:t xml:space="preserve">the </w:t>
      </w:r>
      <w:r>
        <w:t xml:space="preserve">Public Interest Advocacy Centre and </w:t>
      </w:r>
      <w:r w:rsidRPr="00365222">
        <w:t>Major Energy Users s</w:t>
      </w:r>
      <w:r>
        <w:t>tating</w:t>
      </w:r>
      <w:r w:rsidRPr="00365222">
        <w:t xml:space="preserve"> </w:t>
      </w:r>
      <w:r>
        <w:t>their</w:t>
      </w:r>
      <w:r w:rsidRPr="00365222">
        <w:t xml:space="preserve"> concern</w:t>
      </w:r>
      <w:r>
        <w:t>s</w:t>
      </w:r>
      <w:r w:rsidRPr="00365222">
        <w:t xml:space="preserve"> with </w:t>
      </w:r>
      <w:r>
        <w:t>the DNSPs'</w:t>
      </w:r>
      <w:r w:rsidRPr="00365222">
        <w:t xml:space="preserve"> smoothing approach to derive the placeholder</w:t>
      </w:r>
      <w:r>
        <w:t xml:space="preserve"> determinations.</w:t>
      </w:r>
      <w:r w:rsidRPr="00365222">
        <w:rPr>
          <w:rStyle w:val="FootnoteReference"/>
        </w:rPr>
        <w:footnoteReference w:id="29"/>
      </w:r>
      <w:r w:rsidRPr="00365222">
        <w:t xml:space="preserve"> We agree that only the </w:t>
      </w:r>
      <w:r>
        <w:t>revenue</w:t>
      </w:r>
      <w:r w:rsidRPr="00365222">
        <w:t xml:space="preserve"> for the transitional regulatory control period is being established. However, we must also consider the impact of price variations over the relevant regulatory control periods and years. To this end, we consider that the smoothing approach employed by </w:t>
      </w:r>
      <w:r>
        <w:t xml:space="preserve">the </w:t>
      </w:r>
      <w:r w:rsidR="005F1985">
        <w:t>NSW/ACT DNSPs</w:t>
      </w:r>
      <w:r w:rsidRPr="00365222">
        <w:t xml:space="preserve"> for the subsequent regulatory control period contributes to minimising price variations. For the purposes of this </w:t>
      </w:r>
      <w:r w:rsidR="00E05D13">
        <w:t>placeholder</w:t>
      </w:r>
      <w:r w:rsidR="00E05D13" w:rsidRPr="00365222">
        <w:t xml:space="preserve"> </w:t>
      </w:r>
      <w:r w:rsidRPr="00365222">
        <w:t>determination we have adopted th</w:t>
      </w:r>
      <w:r>
        <w:t>eir</w:t>
      </w:r>
      <w:r w:rsidRPr="00365222">
        <w:t xml:space="preserve"> smoothing approach for the subsequent regulatory control period, but we have adjusted the </w:t>
      </w:r>
      <w:r>
        <w:t>revenue</w:t>
      </w:r>
      <w:r w:rsidRPr="00365222">
        <w:t xml:space="preserve"> for the transitional regulatory control period.</w:t>
      </w:r>
      <w:r>
        <w:rPr>
          <w:rStyle w:val="FootnoteReference"/>
        </w:rPr>
        <w:footnoteReference w:id="30"/>
      </w:r>
      <w:r w:rsidRPr="00365222">
        <w:t xml:space="preserve"> We will have to </w:t>
      </w:r>
      <w:r>
        <w:t>review</w:t>
      </w:r>
      <w:r w:rsidRPr="00365222">
        <w:t xml:space="preserve"> the smoothing approach for the subsequent regulatory control period </w:t>
      </w:r>
      <w:r w:rsidRPr="00365222">
        <w:lastRenderedPageBreak/>
        <w:t xml:space="preserve">as part of the full determination process, just as we will have to consider all other elements of the full proposal before making </w:t>
      </w:r>
      <w:r>
        <w:t>the full</w:t>
      </w:r>
      <w:r w:rsidRPr="00365222">
        <w:t xml:space="preserve"> determination.</w:t>
      </w:r>
      <w:r w:rsidR="004533BA" w:rsidRPr="003B7C0D">
        <w:t xml:space="preserve"> </w:t>
      </w:r>
    </w:p>
    <w:p w:rsidR="00280960" w:rsidRDefault="00AA4671" w:rsidP="0011046B">
      <w:pPr>
        <w:pStyle w:val="HeadingBoldItalic"/>
        <w:keepNext/>
      </w:pPr>
      <w:r>
        <w:t>Determining DUOS and TUOS charges</w:t>
      </w:r>
    </w:p>
    <w:p w:rsidR="00AA4671" w:rsidRDefault="00AA4671" w:rsidP="00AA4671">
      <w:pPr>
        <w:pStyle w:val="AERbodytext"/>
      </w:pPr>
      <w:r>
        <w:t>As noted above, t</w:t>
      </w:r>
      <w:r w:rsidRPr="009D6E12">
        <w:t xml:space="preserve">he </w:t>
      </w:r>
      <w:r>
        <w:t>DUOS revenues for the NSW DNSPs</w:t>
      </w:r>
      <w:r w:rsidRPr="009D6E12">
        <w:t xml:space="preserve"> in </w:t>
      </w:r>
      <w:r w:rsidR="00F95820">
        <w:fldChar w:fldCharType="begin"/>
      </w:r>
      <w:r w:rsidR="00F95820">
        <w:instrText xml:space="preserve"> REF  _Ref384807608 \* FirstCap \h </w:instrText>
      </w:r>
      <w:r w:rsidR="00F95820">
        <w:fldChar w:fldCharType="separate"/>
      </w:r>
      <w:r w:rsidR="00E313D7">
        <w:t xml:space="preserve">Table </w:t>
      </w:r>
      <w:r w:rsidR="00E313D7">
        <w:rPr>
          <w:noProof/>
        </w:rPr>
        <w:t>4</w:t>
      </w:r>
      <w:r w:rsidR="00E313D7">
        <w:t>.</w:t>
      </w:r>
      <w:r w:rsidR="00E313D7">
        <w:rPr>
          <w:noProof/>
        </w:rPr>
        <w:t>1</w:t>
      </w:r>
      <w:r w:rsidR="00F95820">
        <w:fldChar w:fldCharType="end"/>
      </w:r>
      <w:r w:rsidR="00E52E96">
        <w:t xml:space="preserve"> </w:t>
      </w:r>
      <w:r w:rsidRPr="009D6E12">
        <w:t>include</w:t>
      </w:r>
      <w:r>
        <w:t>d</w:t>
      </w:r>
      <w:r w:rsidRPr="009D6E12">
        <w:t xml:space="preserve"> costs associated with metering. These costs are allocated to standard control services in the transitional regulatory control </w:t>
      </w:r>
      <w:r>
        <w:t>period (as required by the NER)</w:t>
      </w:r>
      <w:r w:rsidRPr="009D6E12">
        <w:t xml:space="preserve"> but will not be allocated to standard control services in the subsequent regulatory control period. </w:t>
      </w:r>
    </w:p>
    <w:p w:rsidR="00280960" w:rsidRDefault="00280960" w:rsidP="00006A42">
      <w:pPr>
        <w:pStyle w:val="AERbodytext"/>
        <w:numPr>
          <w:ilvl w:val="0"/>
          <w:numId w:val="0"/>
        </w:numPr>
      </w:pPr>
      <w:r>
        <w:t>The DUOS revenues for the NSW DNSPs in</w:t>
      </w:r>
      <w:r w:rsidR="00F95820">
        <w:t xml:space="preserve"> </w:t>
      </w:r>
      <w:r w:rsidR="00F95820">
        <w:fldChar w:fldCharType="begin"/>
      </w:r>
      <w:r w:rsidR="00F95820">
        <w:instrText xml:space="preserve"> REF _Ref384807608 \h </w:instrText>
      </w:r>
      <w:r w:rsidR="00F95820">
        <w:fldChar w:fldCharType="separate"/>
      </w:r>
      <w:r w:rsidR="00E313D7">
        <w:t xml:space="preserve">Table </w:t>
      </w:r>
      <w:r w:rsidR="00E313D7">
        <w:rPr>
          <w:noProof/>
        </w:rPr>
        <w:t>4</w:t>
      </w:r>
      <w:r w:rsidR="00E313D7">
        <w:t>.</w:t>
      </w:r>
      <w:r w:rsidR="00E313D7">
        <w:rPr>
          <w:noProof/>
        </w:rPr>
        <w:t>1</w:t>
      </w:r>
      <w:r w:rsidR="00F95820">
        <w:fldChar w:fldCharType="end"/>
      </w:r>
      <w:r w:rsidR="00F95820">
        <w:t xml:space="preserve"> </w:t>
      </w:r>
      <w:r w:rsidR="00AA4671">
        <w:t xml:space="preserve">also </w:t>
      </w:r>
      <w:r>
        <w:t>include a certain proportion of costs associated with ANS</w:t>
      </w:r>
      <w:r w:rsidR="00AA4671">
        <w:t xml:space="preserve"> and ERW</w:t>
      </w:r>
      <w:r>
        <w:t>.</w:t>
      </w:r>
      <w:r>
        <w:rPr>
          <w:rStyle w:val="FootnoteReference"/>
        </w:rPr>
        <w:footnoteReference w:id="31"/>
      </w:r>
      <w:r>
        <w:t xml:space="preserve"> The NSW DNSPs stated that the costs of providing ANS and ERW are greater than what is recovered through separate ANS fees and ERW charges.</w:t>
      </w:r>
      <w:r>
        <w:rPr>
          <w:rStyle w:val="FootnoteReference"/>
        </w:rPr>
        <w:footnoteReference w:id="32"/>
      </w:r>
      <w:r>
        <w:t xml:space="preserve"> Therefore, the shortfall from these services in 2014–15 will be recovered through DUOS charges in the transitional regulatory control period.</w:t>
      </w:r>
      <w:r>
        <w:rPr>
          <w:rStyle w:val="FootnoteReference"/>
        </w:rPr>
        <w:footnoteReference w:id="33"/>
      </w:r>
      <w:r>
        <w:t xml:space="preserve"> In the subsequent regulatory control period, cost reflective prices will be introduced for ANS. Each of the NSW DNSPs has accounted for the ANS and ERW costs in a different way. Endeavour Energy has included the full costs associated with </w:t>
      </w:r>
      <w:r w:rsidRPr="00EF5CCB">
        <w:t>ANS and</w:t>
      </w:r>
      <w:r>
        <w:t>/or</w:t>
      </w:r>
      <w:r w:rsidRPr="00EF5CCB">
        <w:t xml:space="preserve"> ERW</w:t>
      </w:r>
      <w:r>
        <w:t xml:space="preserve"> in the building block costs and then deducted from the annual revenue requirement the revenues expected to be recovered through the separate ANS fees and/or ERW charges. In doing so, only the net costs are recovered through DUOS. Essential Energy has instead netted off the revenues recovered through the separate ANS fees and ERW charges from the total costs of ANS and ERW before adding only the net costs to the building block costs. In this case, no further adjustment to the annual revenue requirement is necessary in determining the DUOS charges. Ausgrid has adopted a third approach with the capital costs included in the building block costs) and then netted off the revenues recovered </w:t>
      </w:r>
      <w:r w:rsidRPr="009D3CB5">
        <w:t>through the separate ANS fees and ERW charges</w:t>
      </w:r>
      <w:r>
        <w:t xml:space="preserve"> from the opex costs forecast for these services in 2014–15.</w:t>
      </w:r>
      <w:r>
        <w:rPr>
          <w:rStyle w:val="FootnoteReference"/>
        </w:rPr>
        <w:footnoteReference w:id="34"/>
      </w:r>
      <w:r>
        <w:t xml:space="preserve"> Regardless of the approach adopted, only the net costs of ANS and ERW are included in the DUOS charges for each of the NSW DNSPs.</w:t>
      </w:r>
      <w:r w:rsidRPr="005649EC">
        <w:t xml:space="preserve"> These adjustments (where relevant) are shown in the network specific tables below. </w:t>
      </w:r>
    </w:p>
    <w:p w:rsidR="0011046B" w:rsidRDefault="0011046B" w:rsidP="00006A42">
      <w:pPr>
        <w:pStyle w:val="AERbodytext"/>
        <w:numPr>
          <w:ilvl w:val="0"/>
          <w:numId w:val="0"/>
        </w:numPr>
      </w:pPr>
      <w:r w:rsidRPr="00350E1B">
        <w:t xml:space="preserve">The transmission revenues set out </w:t>
      </w:r>
      <w:r w:rsidR="00AA4671" w:rsidRPr="009D6E12">
        <w:t xml:space="preserve">in </w:t>
      </w:r>
      <w:r w:rsidR="00F95820">
        <w:fldChar w:fldCharType="begin"/>
      </w:r>
      <w:r w:rsidR="00F95820">
        <w:instrText xml:space="preserve"> REF _Ref384807608 \h </w:instrText>
      </w:r>
      <w:r w:rsidR="00F95820">
        <w:fldChar w:fldCharType="separate"/>
      </w:r>
      <w:r w:rsidR="00E313D7">
        <w:t xml:space="preserve">Table </w:t>
      </w:r>
      <w:r w:rsidR="00E313D7">
        <w:rPr>
          <w:noProof/>
        </w:rPr>
        <w:t>4</w:t>
      </w:r>
      <w:r w:rsidR="00E313D7">
        <w:t>.</w:t>
      </w:r>
      <w:r w:rsidR="00E313D7">
        <w:rPr>
          <w:noProof/>
        </w:rPr>
        <w:t>1</w:t>
      </w:r>
      <w:r w:rsidR="00F95820">
        <w:fldChar w:fldCharType="end"/>
      </w:r>
      <w:r w:rsidR="00F95820">
        <w:t xml:space="preserve"> </w:t>
      </w:r>
      <w:r w:rsidRPr="00350E1B">
        <w:t>for</w:t>
      </w:r>
      <w:r>
        <w:t xml:space="preserve"> </w:t>
      </w:r>
      <w:r w:rsidRPr="00350E1B">
        <w:t xml:space="preserve">Ausgrid and ActewAGL relate to dual function assets. Dual function assets are parts of a </w:t>
      </w:r>
      <w:r>
        <w:t>DNSP</w:t>
      </w:r>
      <w:r w:rsidRPr="00350E1B">
        <w:t>’s network that operate in support of the higher voltage transmission network.</w:t>
      </w:r>
      <w:r>
        <w:rPr>
          <w:rStyle w:val="FootnoteReference"/>
        </w:rPr>
        <w:footnoteReference w:id="35"/>
      </w:r>
      <w:r w:rsidRPr="00350E1B">
        <w:t xml:space="preserve"> For dual function assets operated by Ausgrid and ActewAGL, we apply transmission pricing rules instead of distribution pricing rules.</w:t>
      </w:r>
      <w:r>
        <w:rPr>
          <w:rStyle w:val="FootnoteReference"/>
        </w:rPr>
        <w:footnoteReference w:id="36"/>
      </w:r>
      <w:r w:rsidRPr="00350E1B">
        <w:t xml:space="preserve"> </w:t>
      </w:r>
      <w:r>
        <w:t>W</w:t>
      </w:r>
      <w:r w:rsidRPr="00350E1B">
        <w:t xml:space="preserve">e refer to a </w:t>
      </w:r>
      <w:r>
        <w:t>DNSP</w:t>
      </w:r>
      <w:r w:rsidRPr="00350E1B">
        <w:t>'s dual function assets as 'transmission assets' and related costs and revenues as 'transmission' costs and revenues.</w:t>
      </w:r>
    </w:p>
    <w:p w:rsidR="009916C7" w:rsidRPr="009C41FB" w:rsidRDefault="009916C7" w:rsidP="002401A5">
      <w:pPr>
        <w:pStyle w:val="HeadingBoldBlue"/>
        <w:rPr>
          <w:rStyle w:val="AERtextblue"/>
        </w:rPr>
      </w:pPr>
      <w:r w:rsidRPr="009C41FB">
        <w:rPr>
          <w:rStyle w:val="AERtextblue"/>
        </w:rPr>
        <w:t>Ausgrid</w:t>
      </w:r>
    </w:p>
    <w:p w:rsidR="009916C7" w:rsidRDefault="009916C7" w:rsidP="009916C7">
      <w:pPr>
        <w:pStyle w:val="AERbodytext"/>
        <w:numPr>
          <w:ilvl w:val="0"/>
          <w:numId w:val="6"/>
        </w:numPr>
      </w:pPr>
      <w:r>
        <w:t xml:space="preserve">We do not accept Ausgrid's proposed annual revenue requirements for the transitional regulatory control period. Instead, we have substituted annual revenue requirements of </w:t>
      </w:r>
      <w:r w:rsidR="00AF3901">
        <w:t>$1938</w:t>
      </w:r>
      <w:r w:rsidR="005F1985">
        <w:t xml:space="preserve"> million and </w:t>
      </w:r>
      <w:r w:rsidR="005F1985">
        <w:lastRenderedPageBreak/>
        <w:t>$252 </w:t>
      </w:r>
      <w:r>
        <w:t>million (nominal), respectively.</w:t>
      </w:r>
      <w:r>
        <w:rPr>
          <w:rStyle w:val="FootnoteReference"/>
        </w:rPr>
        <w:footnoteReference w:id="37"/>
      </w:r>
      <w:r>
        <w:t xml:space="preserve"> This is </w:t>
      </w:r>
      <w:r w:rsidR="00AF3901">
        <w:t>5.8</w:t>
      </w:r>
      <w:r>
        <w:t> per cent and 6.5 per cent lower than the respective revenue allowances proposed by Ausgrid.</w:t>
      </w:r>
      <w:r w:rsidR="00AF3901">
        <w:rPr>
          <w:rStyle w:val="FootnoteReference"/>
        </w:rPr>
        <w:footnoteReference w:id="38"/>
      </w:r>
      <w:r w:rsidRPr="00B34891">
        <w:t xml:space="preserve"> We consider that th</w:t>
      </w:r>
      <w:r>
        <w:t>ese</w:t>
      </w:r>
      <w:r w:rsidRPr="00B34891">
        <w:t xml:space="preserve"> substituted </w:t>
      </w:r>
      <w:r>
        <w:t>revenues</w:t>
      </w:r>
      <w:r w:rsidRPr="00B34891">
        <w:t xml:space="preserve"> </w:t>
      </w:r>
      <w:r>
        <w:t>are</w:t>
      </w:r>
      <w:r w:rsidRPr="00B34891">
        <w:t xml:space="preserve"> likely to minimise price variations</w:t>
      </w:r>
      <w:r>
        <w:t xml:space="preserve"> and better reflect the efficient costs of the networks</w:t>
      </w:r>
      <w:r w:rsidRPr="00B34891">
        <w:t>.</w:t>
      </w:r>
    </w:p>
    <w:p w:rsidR="00337830" w:rsidRDefault="00337830" w:rsidP="009916C7">
      <w:pPr>
        <w:pStyle w:val="AERbodytext"/>
        <w:numPr>
          <w:ilvl w:val="0"/>
          <w:numId w:val="6"/>
        </w:numPr>
      </w:pPr>
      <w:r>
        <w:t>We note that Ausgrid has forecast under-recovery of 2013–14 revenues for its transmission network of $20 million (nominal).</w:t>
      </w:r>
      <w:r>
        <w:rPr>
          <w:rStyle w:val="FootnoteReference"/>
        </w:rPr>
        <w:footnoteReference w:id="39"/>
      </w:r>
      <w:r>
        <w:t xml:space="preserve"> Under a revenue cap, Ausgrid can recover this amount in later years.</w:t>
      </w:r>
      <w:r>
        <w:rPr>
          <w:rStyle w:val="FootnoteReference"/>
        </w:rPr>
        <w:footnoteReference w:id="40"/>
      </w:r>
      <w:r>
        <w:t xml:space="preserve"> Any decision by Ausgrid to recover this revenue in the transitional regulatory control period would affect transmission prices for its customers independently of </w:t>
      </w:r>
      <w:r w:rsidR="00E05D13">
        <w:t>our placeholder</w:t>
      </w:r>
      <w:r>
        <w:t xml:space="preserve"> determination. The indicative prices submitted by Ausgrid suggest that it will seek to recover this amount in the transitional regulatory control period.</w:t>
      </w:r>
      <w:r w:rsidDel="00431EBE">
        <w:rPr>
          <w:rStyle w:val="FootnoteReference"/>
        </w:rPr>
        <w:t xml:space="preserve"> </w:t>
      </w:r>
    </w:p>
    <w:p w:rsidR="009916C7" w:rsidRDefault="00231883" w:rsidP="009916C7">
      <w:pPr>
        <w:pStyle w:val="AERbodytext"/>
        <w:numPr>
          <w:ilvl w:val="0"/>
          <w:numId w:val="6"/>
        </w:numPr>
      </w:pPr>
      <w:r>
        <w:fldChar w:fldCharType="begin"/>
      </w:r>
      <w:r>
        <w:instrText xml:space="preserve"> REF _Ref384807777 \h </w:instrText>
      </w:r>
      <w:r>
        <w:fldChar w:fldCharType="separate"/>
      </w:r>
      <w:r w:rsidR="00E313D7">
        <w:t xml:space="preserve">Figure </w:t>
      </w:r>
      <w:r w:rsidR="00E313D7">
        <w:rPr>
          <w:noProof/>
        </w:rPr>
        <w:t>4</w:t>
      </w:r>
      <w:r w:rsidR="00E313D7">
        <w:t>.</w:t>
      </w:r>
      <w:r w:rsidR="00E313D7">
        <w:rPr>
          <w:noProof/>
        </w:rPr>
        <w:t>1</w:t>
      </w:r>
      <w:r>
        <w:fldChar w:fldCharType="end"/>
      </w:r>
      <w:r w:rsidR="005F1985">
        <w:t xml:space="preserve"> </w:t>
      </w:r>
      <w:r>
        <w:t xml:space="preserve">and </w:t>
      </w:r>
      <w:r>
        <w:fldChar w:fldCharType="begin"/>
      </w:r>
      <w:r>
        <w:instrText xml:space="preserve"> REF _Ref383702154 \h </w:instrText>
      </w:r>
      <w:r>
        <w:fldChar w:fldCharType="separate"/>
      </w:r>
      <w:r w:rsidR="00E313D7">
        <w:t xml:space="preserve">Figure </w:t>
      </w:r>
      <w:r w:rsidR="00E313D7">
        <w:rPr>
          <w:noProof/>
        </w:rPr>
        <w:t>4</w:t>
      </w:r>
      <w:r w:rsidR="00E313D7">
        <w:t>.</w:t>
      </w:r>
      <w:r w:rsidR="00E313D7">
        <w:rPr>
          <w:noProof/>
        </w:rPr>
        <w:t>2</w:t>
      </w:r>
      <w:r>
        <w:fldChar w:fldCharType="end"/>
      </w:r>
      <w:r w:rsidR="005A5BF0">
        <w:t xml:space="preserve"> </w:t>
      </w:r>
      <w:r w:rsidR="009916C7">
        <w:t xml:space="preserve">respectively </w:t>
      </w:r>
      <w:r w:rsidR="009916C7" w:rsidRPr="004D1FDB">
        <w:t xml:space="preserve">show </w:t>
      </w:r>
      <w:r w:rsidR="009916C7">
        <w:t>Ausgrid</w:t>
      </w:r>
      <w:r w:rsidR="009916C7" w:rsidRPr="004D1FDB">
        <w:t xml:space="preserve">’s </w:t>
      </w:r>
      <w:r w:rsidR="009916C7">
        <w:t xml:space="preserve">indicative </w:t>
      </w:r>
      <w:r w:rsidR="009916C7" w:rsidRPr="004D1FDB">
        <w:t>price path</w:t>
      </w:r>
      <w:r w:rsidR="009916C7">
        <w:t>s</w:t>
      </w:r>
      <w:r w:rsidR="009916C7" w:rsidRPr="004D1FDB">
        <w:t xml:space="preserve"> based on its proposed </w:t>
      </w:r>
      <w:r w:rsidR="009916C7">
        <w:t>revenues</w:t>
      </w:r>
      <w:r w:rsidR="009916C7" w:rsidRPr="004D1FDB">
        <w:t xml:space="preserve"> </w:t>
      </w:r>
      <w:r w:rsidR="009916C7">
        <w:t>for its distribution and transmission networks,</w:t>
      </w:r>
      <w:r w:rsidR="009916C7" w:rsidRPr="004D1FDB">
        <w:t xml:space="preserve"> and the price path</w:t>
      </w:r>
      <w:r w:rsidR="009916C7">
        <w:t>s</w:t>
      </w:r>
      <w:r w:rsidR="009916C7" w:rsidRPr="004D1FDB">
        <w:t xml:space="preserve"> based on our </w:t>
      </w:r>
      <w:r w:rsidR="009916C7">
        <w:t>revenues</w:t>
      </w:r>
      <w:r w:rsidR="009916C7" w:rsidRPr="004D1FDB">
        <w:t xml:space="preserve"> adjusted for the rate of return and gamma.</w:t>
      </w:r>
      <w:r w:rsidR="00337830">
        <w:rPr>
          <w:rStyle w:val="FootnoteReference"/>
        </w:rPr>
        <w:footnoteReference w:id="41"/>
      </w:r>
      <w:r w:rsidR="009916C7" w:rsidRPr="004D1FDB">
        <w:t xml:space="preserve"> </w:t>
      </w:r>
      <w:r w:rsidR="009916C7">
        <w:t>For the reasons discussed above, w</w:t>
      </w:r>
      <w:r w:rsidR="009916C7" w:rsidRPr="004D1FDB">
        <w:t xml:space="preserve">e consider our adjusted </w:t>
      </w:r>
      <w:r w:rsidR="009916C7">
        <w:t>revenues</w:t>
      </w:r>
      <w:r w:rsidR="009916C7" w:rsidRPr="004D1FDB">
        <w:t xml:space="preserve"> for </w:t>
      </w:r>
      <w:r w:rsidR="009916C7">
        <w:t>Ausgrid's distribution and transmission networks</w:t>
      </w:r>
      <w:r w:rsidR="009916C7" w:rsidRPr="004D1FDB">
        <w:t xml:space="preserve"> over the transitional regulatory control period </w:t>
      </w:r>
      <w:r w:rsidR="009916C7">
        <w:t>are</w:t>
      </w:r>
      <w:r w:rsidR="009916C7" w:rsidRPr="004D1FDB">
        <w:t xml:space="preserve"> reasonably likely to result in price path</w:t>
      </w:r>
      <w:r w:rsidR="009916C7">
        <w:t>s</w:t>
      </w:r>
      <w:r w:rsidR="009916C7" w:rsidRPr="004D1FDB">
        <w:t xml:space="preserve"> that minimise price variations. This is because we expect forecast costs to be lower than that proposed by </w:t>
      </w:r>
      <w:r w:rsidR="009916C7">
        <w:t>Ausgrid.</w:t>
      </w:r>
    </w:p>
    <w:p w:rsidR="009916C7" w:rsidRDefault="00612F9D" w:rsidP="00612F9D">
      <w:pPr>
        <w:pStyle w:val="Caption"/>
      </w:pPr>
      <w:bookmarkStart w:id="82" w:name="_Ref384807777"/>
      <w:bookmarkStart w:id="83" w:name="_Ref384720295"/>
      <w:r>
        <w:t xml:space="preserve">Figure </w:t>
      </w:r>
      <w:r w:rsidR="00DD155E">
        <w:fldChar w:fldCharType="begin"/>
      </w:r>
      <w:r w:rsidR="00DD155E">
        <w:instrText xml:space="preserve"> STYLEREF 1 \s </w:instrText>
      </w:r>
      <w:r w:rsidR="00DD155E">
        <w:fldChar w:fldCharType="separate"/>
      </w:r>
      <w:r w:rsidR="00E313D7">
        <w:rPr>
          <w:noProof/>
        </w:rPr>
        <w:t>4</w:t>
      </w:r>
      <w:r w:rsidR="00DD155E">
        <w:rPr>
          <w:noProof/>
        </w:rPr>
        <w:fldChar w:fldCharType="end"/>
      </w:r>
      <w:r w:rsidR="00B460EF">
        <w:t>.</w:t>
      </w:r>
      <w:r w:rsidR="00DD155E">
        <w:fldChar w:fldCharType="begin"/>
      </w:r>
      <w:r w:rsidR="00DD155E">
        <w:instrText xml:space="preserve"> SEQ Figure \* ARABIC \s 1 </w:instrText>
      </w:r>
      <w:r w:rsidR="00DD155E">
        <w:fldChar w:fldCharType="separate"/>
      </w:r>
      <w:r w:rsidR="00E313D7">
        <w:rPr>
          <w:noProof/>
        </w:rPr>
        <w:t>1</w:t>
      </w:r>
      <w:r w:rsidR="00DD155E">
        <w:rPr>
          <w:noProof/>
        </w:rPr>
        <w:fldChar w:fldCharType="end"/>
      </w:r>
      <w:bookmarkEnd w:id="82"/>
      <w:r w:rsidR="009C41FB">
        <w:tab/>
      </w:r>
      <w:r w:rsidR="009916C7" w:rsidRPr="001619A3">
        <w:t>Ausgrid proposed and AER decision indicative price path – distribution (nominal price index)</w:t>
      </w:r>
      <w:bookmarkEnd w:id="83"/>
    </w:p>
    <w:p w:rsidR="009916C7" w:rsidRPr="00947A42" w:rsidRDefault="004533BA" w:rsidP="009916C7">
      <w:pPr>
        <w:pStyle w:val="AERbodytext"/>
        <w:numPr>
          <w:ilvl w:val="0"/>
          <w:numId w:val="6"/>
        </w:numPr>
        <w:rPr>
          <w:rStyle w:val="AERbody"/>
        </w:rPr>
      </w:pPr>
      <w:r>
        <w:rPr>
          <w:noProof/>
          <w:lang w:eastAsia="en-AU"/>
        </w:rPr>
        <w:drawing>
          <wp:inline distT="0" distB="0" distL="0" distR="0" wp14:anchorId="0A737F78" wp14:editId="0BEDC9C2">
            <wp:extent cx="4849574" cy="30110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53405" cy="3013388"/>
                    </a:xfrm>
                    <a:prstGeom prst="rect">
                      <a:avLst/>
                    </a:prstGeom>
                    <a:noFill/>
                  </pic:spPr>
                </pic:pic>
              </a:graphicData>
            </a:graphic>
          </wp:inline>
        </w:drawing>
      </w:r>
    </w:p>
    <w:p w:rsidR="009916C7" w:rsidRPr="00026336" w:rsidRDefault="009916C7" w:rsidP="009916C7">
      <w:pPr>
        <w:pStyle w:val="AERtablesource"/>
      </w:pPr>
      <w:r w:rsidRPr="00026336">
        <w:t>Source:</w:t>
      </w:r>
      <w:r w:rsidRPr="00026336">
        <w:tab/>
        <w:t>AER analysis</w:t>
      </w:r>
      <w:r>
        <w:t>.</w:t>
      </w:r>
    </w:p>
    <w:p w:rsidR="009916C7" w:rsidRDefault="00612F9D" w:rsidP="00612F9D">
      <w:pPr>
        <w:pStyle w:val="Caption"/>
      </w:pPr>
      <w:bookmarkStart w:id="84" w:name="_Ref383702154"/>
      <w:bookmarkStart w:id="85" w:name="_Ref383417612"/>
      <w:r>
        <w:lastRenderedPageBreak/>
        <w:t xml:space="preserve">Figure </w:t>
      </w:r>
      <w:r w:rsidR="00DD155E">
        <w:fldChar w:fldCharType="begin"/>
      </w:r>
      <w:r w:rsidR="00DD155E">
        <w:instrText xml:space="preserve"> STYLEREF 1 \s </w:instrText>
      </w:r>
      <w:r w:rsidR="00DD155E">
        <w:fldChar w:fldCharType="separate"/>
      </w:r>
      <w:r w:rsidR="00E313D7">
        <w:rPr>
          <w:noProof/>
        </w:rPr>
        <w:t>4</w:t>
      </w:r>
      <w:r w:rsidR="00DD155E">
        <w:rPr>
          <w:noProof/>
        </w:rPr>
        <w:fldChar w:fldCharType="end"/>
      </w:r>
      <w:r w:rsidR="00B460EF">
        <w:t>.</w:t>
      </w:r>
      <w:r w:rsidR="00DD155E">
        <w:fldChar w:fldCharType="begin"/>
      </w:r>
      <w:r w:rsidR="00DD155E">
        <w:instrText xml:space="preserve"> SEQ Figure \* ARABIC \s 1 </w:instrText>
      </w:r>
      <w:r w:rsidR="00DD155E">
        <w:fldChar w:fldCharType="separate"/>
      </w:r>
      <w:r w:rsidR="00E313D7">
        <w:rPr>
          <w:noProof/>
        </w:rPr>
        <w:t>2</w:t>
      </w:r>
      <w:r w:rsidR="00DD155E">
        <w:rPr>
          <w:noProof/>
        </w:rPr>
        <w:fldChar w:fldCharType="end"/>
      </w:r>
      <w:bookmarkEnd w:id="84"/>
      <w:bookmarkEnd w:id="85"/>
      <w:r w:rsidR="009916C7">
        <w:tab/>
        <w:t>A</w:t>
      </w:r>
      <w:r w:rsidR="009916C7" w:rsidRPr="00972BC0">
        <w:t xml:space="preserve">usgrid proposed and AER decision indicative price </w:t>
      </w:r>
      <w:r w:rsidR="009916C7">
        <w:t>path</w:t>
      </w:r>
      <w:r w:rsidR="009916C7" w:rsidRPr="00972BC0">
        <w:t xml:space="preserve"> – </w:t>
      </w:r>
      <w:r w:rsidR="009916C7">
        <w:t>transmission</w:t>
      </w:r>
      <w:r w:rsidR="009916C7" w:rsidRPr="00972BC0">
        <w:t xml:space="preserve"> (nominal price index)</w:t>
      </w:r>
    </w:p>
    <w:p w:rsidR="009916C7" w:rsidRPr="00947A42" w:rsidRDefault="009916C7" w:rsidP="009916C7">
      <w:pPr>
        <w:pStyle w:val="AERbodytext"/>
        <w:numPr>
          <w:ilvl w:val="0"/>
          <w:numId w:val="6"/>
        </w:numPr>
      </w:pPr>
      <w:r w:rsidRPr="009916C7">
        <w:rPr>
          <w:noProof/>
          <w:lang w:eastAsia="en-AU"/>
        </w:rPr>
        <w:drawing>
          <wp:inline distT="0" distB="0" distL="0" distR="0" wp14:anchorId="3C61BC91" wp14:editId="0C8BDD26">
            <wp:extent cx="4834255" cy="30054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34255" cy="3005455"/>
                    </a:xfrm>
                    <a:prstGeom prst="rect">
                      <a:avLst/>
                    </a:prstGeom>
                    <a:noFill/>
                  </pic:spPr>
                </pic:pic>
              </a:graphicData>
            </a:graphic>
          </wp:inline>
        </w:drawing>
      </w:r>
    </w:p>
    <w:p w:rsidR="00EB6D29" w:rsidRDefault="009916C7" w:rsidP="009916C7">
      <w:pPr>
        <w:pStyle w:val="AERtablesource"/>
      </w:pPr>
      <w:r w:rsidRPr="00972BC0">
        <w:t>Source:</w:t>
      </w:r>
      <w:r w:rsidRPr="00972BC0">
        <w:tab/>
        <w:t>AER analysis</w:t>
      </w:r>
    </w:p>
    <w:p w:rsidR="009916C7" w:rsidRDefault="00EB6D29" w:rsidP="009916C7">
      <w:pPr>
        <w:pStyle w:val="AERtablesource"/>
      </w:pPr>
      <w:r>
        <w:t>Notes:</w:t>
      </w:r>
      <w:r>
        <w:tab/>
        <w:t xml:space="preserve">Calculated by the AER based on overall revenue and the (state wide) transmission network energy forecasts proposed by TransGrid (the NSW/ACT </w:t>
      </w:r>
      <w:r w:rsidR="000565BE">
        <w:t>TNSP</w:t>
      </w:r>
      <w:r>
        <w:t>).</w:t>
      </w:r>
    </w:p>
    <w:p w:rsidR="009916C7" w:rsidRPr="00947A42" w:rsidRDefault="009D768F" w:rsidP="009916C7">
      <w:pPr>
        <w:pStyle w:val="AERbodytext"/>
        <w:numPr>
          <w:ilvl w:val="0"/>
          <w:numId w:val="6"/>
        </w:numPr>
      </w:pPr>
      <w:r>
        <w:fldChar w:fldCharType="begin"/>
      </w:r>
      <w:r>
        <w:instrText xml:space="preserve"> REF _Ref385252549 \h </w:instrText>
      </w:r>
      <w:r>
        <w:fldChar w:fldCharType="separate"/>
      </w:r>
      <w:r w:rsidR="00E313D7">
        <w:t xml:space="preserve">Table </w:t>
      </w:r>
      <w:r w:rsidR="00E313D7">
        <w:rPr>
          <w:noProof/>
        </w:rPr>
        <w:t>4</w:t>
      </w:r>
      <w:r w:rsidR="00E313D7">
        <w:t>.</w:t>
      </w:r>
      <w:r w:rsidR="00E313D7">
        <w:rPr>
          <w:noProof/>
        </w:rPr>
        <w:t>2</w:t>
      </w:r>
      <w:r>
        <w:fldChar w:fldCharType="end"/>
      </w:r>
      <w:r>
        <w:t xml:space="preserve"> and </w:t>
      </w:r>
      <w:r>
        <w:fldChar w:fldCharType="begin"/>
      </w:r>
      <w:r>
        <w:instrText xml:space="preserve"> REF _Ref385252551 \h </w:instrText>
      </w:r>
      <w:r>
        <w:fldChar w:fldCharType="separate"/>
      </w:r>
      <w:r w:rsidR="00E313D7">
        <w:t xml:space="preserve">Table </w:t>
      </w:r>
      <w:r w:rsidR="00E313D7">
        <w:rPr>
          <w:noProof/>
        </w:rPr>
        <w:t>4</w:t>
      </w:r>
      <w:r w:rsidR="00E313D7">
        <w:t>.</w:t>
      </w:r>
      <w:r w:rsidR="00E313D7">
        <w:rPr>
          <w:noProof/>
        </w:rPr>
        <w:t>3</w:t>
      </w:r>
      <w:r>
        <w:fldChar w:fldCharType="end"/>
      </w:r>
      <w:r>
        <w:t xml:space="preserve"> </w:t>
      </w:r>
      <w:r w:rsidR="009916C7" w:rsidRPr="00947A42">
        <w:t>respectively show Ausgrid’s distribution and transmission networks proposed revenues (and price paths) for the transitional and subsequent regulatory control periods and our substituted revenues (and price paths) for the transitional and subsequent regulatory control periods.</w:t>
      </w:r>
    </w:p>
    <w:p w:rsidR="009916C7" w:rsidRDefault="00F27D91" w:rsidP="00612F9D">
      <w:pPr>
        <w:pStyle w:val="Caption"/>
        <w:keepLines/>
        <w:jc w:val="left"/>
      </w:pPr>
      <w:bookmarkStart w:id="86" w:name="_Ref385252549"/>
      <w:bookmarkStart w:id="87" w:name="_Ref384726152"/>
      <w:r>
        <w:lastRenderedPageBreak/>
        <w:t xml:space="preserve">Table </w:t>
      </w:r>
      <w:r w:rsidR="00DD155E">
        <w:fldChar w:fldCharType="begin"/>
      </w:r>
      <w:r w:rsidR="00DD155E">
        <w:instrText xml:space="preserve"> STYLEREF 1 \s </w:instrText>
      </w:r>
      <w:r w:rsidR="00DD155E">
        <w:fldChar w:fldCharType="separate"/>
      </w:r>
      <w:r w:rsidR="00E313D7">
        <w:rPr>
          <w:noProof/>
        </w:rPr>
        <w:t>4</w:t>
      </w:r>
      <w:r w:rsidR="00DD155E">
        <w:rPr>
          <w:noProof/>
        </w:rPr>
        <w:fldChar w:fldCharType="end"/>
      </w:r>
      <w:r w:rsidR="00804FE8">
        <w:t>.</w:t>
      </w:r>
      <w:r w:rsidR="00DD155E">
        <w:fldChar w:fldCharType="begin"/>
      </w:r>
      <w:r w:rsidR="00DD155E">
        <w:instrText xml:space="preserve"> SEQ Table \* ARABIC \s 1 </w:instrText>
      </w:r>
      <w:r w:rsidR="00DD155E">
        <w:fldChar w:fldCharType="separate"/>
      </w:r>
      <w:r w:rsidR="00E313D7">
        <w:rPr>
          <w:noProof/>
        </w:rPr>
        <w:t>2</w:t>
      </w:r>
      <w:r w:rsidR="00DD155E">
        <w:rPr>
          <w:noProof/>
        </w:rPr>
        <w:fldChar w:fldCharType="end"/>
      </w:r>
      <w:bookmarkEnd w:id="86"/>
      <w:r>
        <w:tab/>
      </w:r>
      <w:bookmarkEnd w:id="87"/>
      <w:r w:rsidR="009916C7">
        <w:t>Ausgrid</w:t>
      </w:r>
      <w:r w:rsidR="009916C7" w:rsidRPr="00972BC0">
        <w:t>’s proposed revenue</w:t>
      </w:r>
      <w:r w:rsidR="00722630" w:rsidRPr="00972BC0">
        <w:t xml:space="preserve"> </w:t>
      </w:r>
      <w:r w:rsidR="009916C7" w:rsidRPr="00972BC0">
        <w:t>and price path and AER substituted revenue and price path</w:t>
      </w:r>
      <w:r w:rsidR="009916C7">
        <w:t xml:space="preserve"> – distribution</w:t>
      </w:r>
    </w:p>
    <w:tbl>
      <w:tblPr>
        <w:tblStyle w:val="AERtable-numbers"/>
        <w:tblW w:w="9214" w:type="dxa"/>
        <w:tblInd w:w="-34" w:type="dxa"/>
        <w:tblLayout w:type="fixed"/>
        <w:tblLook w:val="04A0" w:firstRow="1" w:lastRow="0" w:firstColumn="1" w:lastColumn="0" w:noHBand="0" w:noVBand="1"/>
      </w:tblPr>
      <w:tblGrid>
        <w:gridCol w:w="3094"/>
        <w:gridCol w:w="25"/>
        <w:gridCol w:w="1015"/>
        <w:gridCol w:w="490"/>
        <w:gridCol w:w="526"/>
        <w:gridCol w:w="1004"/>
        <w:gridCol w:w="12"/>
        <w:gridCol w:w="1016"/>
        <w:gridCol w:w="502"/>
        <w:gridCol w:w="514"/>
        <w:gridCol w:w="1016"/>
      </w:tblGrid>
      <w:tr w:rsidR="009916C7" w:rsidRPr="00972BC0" w:rsidTr="005E15B8">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119" w:type="dxa"/>
            <w:gridSpan w:val="2"/>
            <w:noWrap/>
            <w:hideMark/>
          </w:tcPr>
          <w:p w:rsidR="009916C7" w:rsidRPr="00947A42" w:rsidRDefault="009916C7" w:rsidP="00612F9D">
            <w:pPr>
              <w:pStyle w:val="AERtabletextleft"/>
              <w:keepNext/>
              <w:keepLines/>
              <w:spacing w:before="120" w:line="240" w:lineRule="auto"/>
            </w:pPr>
          </w:p>
        </w:tc>
        <w:tc>
          <w:tcPr>
            <w:tcW w:w="1015" w:type="dxa"/>
            <w:noWrap/>
            <w:hideMark/>
          </w:tcPr>
          <w:p w:rsidR="009916C7" w:rsidRPr="00947A42" w:rsidRDefault="009916C7" w:rsidP="00612F9D">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947A42">
              <w:t>2013–14</w:t>
            </w:r>
          </w:p>
        </w:tc>
        <w:tc>
          <w:tcPr>
            <w:tcW w:w="1016" w:type="dxa"/>
            <w:gridSpan w:val="2"/>
            <w:noWrap/>
            <w:hideMark/>
          </w:tcPr>
          <w:p w:rsidR="009916C7" w:rsidRPr="00947A42" w:rsidRDefault="009916C7" w:rsidP="00612F9D">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947A42">
              <w:t>2014–15</w:t>
            </w:r>
          </w:p>
        </w:tc>
        <w:tc>
          <w:tcPr>
            <w:tcW w:w="1016" w:type="dxa"/>
            <w:gridSpan w:val="2"/>
            <w:noWrap/>
            <w:hideMark/>
          </w:tcPr>
          <w:p w:rsidR="009916C7" w:rsidRPr="00947A42" w:rsidRDefault="009916C7" w:rsidP="00612F9D">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947A42">
              <w:t>2015–16</w:t>
            </w:r>
          </w:p>
        </w:tc>
        <w:tc>
          <w:tcPr>
            <w:tcW w:w="1016" w:type="dxa"/>
            <w:noWrap/>
            <w:hideMark/>
          </w:tcPr>
          <w:p w:rsidR="009916C7" w:rsidRPr="00947A42" w:rsidRDefault="009916C7" w:rsidP="00612F9D">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947A42">
              <w:t>2016–17</w:t>
            </w:r>
          </w:p>
        </w:tc>
        <w:tc>
          <w:tcPr>
            <w:tcW w:w="1016" w:type="dxa"/>
            <w:gridSpan w:val="2"/>
            <w:noWrap/>
            <w:hideMark/>
          </w:tcPr>
          <w:p w:rsidR="009916C7" w:rsidRPr="00947A42" w:rsidRDefault="009916C7" w:rsidP="00612F9D">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947A42">
              <w:t>2017–18</w:t>
            </w:r>
          </w:p>
        </w:tc>
        <w:tc>
          <w:tcPr>
            <w:tcW w:w="1016" w:type="dxa"/>
            <w:noWrap/>
            <w:hideMark/>
          </w:tcPr>
          <w:p w:rsidR="009916C7" w:rsidRPr="00947A42" w:rsidRDefault="009916C7" w:rsidP="00612F9D">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947A42">
              <w:t>2018–19</w:t>
            </w:r>
          </w:p>
        </w:tc>
      </w:tr>
      <w:tr w:rsidR="009916C7" w:rsidRPr="001972A0" w:rsidTr="005E15B8">
        <w:trPr>
          <w:trHeight w:val="296"/>
        </w:trPr>
        <w:tc>
          <w:tcPr>
            <w:cnfStyle w:val="001000000000" w:firstRow="0" w:lastRow="0" w:firstColumn="1" w:lastColumn="0" w:oddVBand="0" w:evenVBand="0" w:oddHBand="0" w:evenHBand="0" w:firstRowFirstColumn="0" w:firstRowLastColumn="0" w:lastRowFirstColumn="0" w:lastRowLastColumn="0"/>
            <w:tcW w:w="3094" w:type="dxa"/>
            <w:noWrap/>
            <w:hideMark/>
          </w:tcPr>
          <w:p w:rsidR="009916C7" w:rsidRPr="009916C7" w:rsidRDefault="009916C7" w:rsidP="00612F9D">
            <w:pPr>
              <w:pStyle w:val="AERtabletextleft"/>
              <w:keepNext/>
              <w:keepLines/>
              <w:spacing w:before="120" w:line="240" w:lineRule="auto"/>
              <w:rPr>
                <w:rStyle w:val="AERtextbold"/>
              </w:rPr>
            </w:pPr>
            <w:r w:rsidRPr="001972A0">
              <w:rPr>
                <w:rStyle w:val="AERtextbold"/>
              </w:rPr>
              <w:t>Proposed revenue and price path</w:t>
            </w:r>
          </w:p>
        </w:tc>
        <w:tc>
          <w:tcPr>
            <w:tcW w:w="1530" w:type="dxa"/>
            <w:gridSpan w:val="3"/>
            <w:noWrap/>
            <w:hideMark/>
          </w:tcPr>
          <w:p w:rsidR="009916C7" w:rsidRPr="001972A0" w:rsidRDefault="009916C7" w:rsidP="00612F9D">
            <w:pPr>
              <w:pStyle w:val="AERtabletextleft"/>
              <w:keepNext/>
              <w:keepLines/>
              <w:spacing w:before="120" w:line="240" w:lineRule="auto"/>
              <w:cnfStyle w:val="000000000000" w:firstRow="0" w:lastRow="0" w:firstColumn="0" w:lastColumn="0" w:oddVBand="0" w:evenVBand="0" w:oddHBand="0" w:evenHBand="0" w:firstRowFirstColumn="0" w:firstRowLastColumn="0" w:lastRowFirstColumn="0" w:lastRowLastColumn="0"/>
              <w:rPr>
                <w:rStyle w:val="AERtextbold"/>
              </w:rPr>
            </w:pPr>
          </w:p>
        </w:tc>
        <w:tc>
          <w:tcPr>
            <w:tcW w:w="1530" w:type="dxa"/>
            <w:gridSpan w:val="2"/>
            <w:noWrap/>
            <w:hideMark/>
          </w:tcPr>
          <w:p w:rsidR="009916C7" w:rsidRPr="001972A0" w:rsidRDefault="009916C7" w:rsidP="00612F9D">
            <w:pPr>
              <w:pStyle w:val="AERtabletextleft"/>
              <w:keepNext/>
              <w:keepLines/>
              <w:spacing w:before="120" w:line="240" w:lineRule="auto"/>
              <w:cnfStyle w:val="000000000000" w:firstRow="0" w:lastRow="0" w:firstColumn="0" w:lastColumn="0" w:oddVBand="0" w:evenVBand="0" w:oddHBand="0" w:evenHBand="0" w:firstRowFirstColumn="0" w:firstRowLastColumn="0" w:lastRowFirstColumn="0" w:lastRowLastColumn="0"/>
              <w:rPr>
                <w:rStyle w:val="AERtextbold"/>
              </w:rPr>
            </w:pPr>
          </w:p>
        </w:tc>
        <w:tc>
          <w:tcPr>
            <w:tcW w:w="1530" w:type="dxa"/>
            <w:gridSpan w:val="3"/>
            <w:noWrap/>
            <w:hideMark/>
          </w:tcPr>
          <w:p w:rsidR="009916C7" w:rsidRPr="001972A0" w:rsidRDefault="009916C7" w:rsidP="00612F9D">
            <w:pPr>
              <w:pStyle w:val="AERtabletextleft"/>
              <w:keepNext/>
              <w:keepLines/>
              <w:spacing w:before="120" w:line="240" w:lineRule="auto"/>
              <w:cnfStyle w:val="000000000000" w:firstRow="0" w:lastRow="0" w:firstColumn="0" w:lastColumn="0" w:oddVBand="0" w:evenVBand="0" w:oddHBand="0" w:evenHBand="0" w:firstRowFirstColumn="0" w:firstRowLastColumn="0" w:lastRowFirstColumn="0" w:lastRowLastColumn="0"/>
              <w:rPr>
                <w:rStyle w:val="AERtextbold"/>
              </w:rPr>
            </w:pPr>
          </w:p>
        </w:tc>
        <w:tc>
          <w:tcPr>
            <w:tcW w:w="1530" w:type="dxa"/>
            <w:gridSpan w:val="2"/>
            <w:noWrap/>
            <w:hideMark/>
          </w:tcPr>
          <w:p w:rsidR="009916C7" w:rsidRPr="001972A0" w:rsidRDefault="009916C7" w:rsidP="00612F9D">
            <w:pPr>
              <w:pStyle w:val="AERtabletextleft"/>
              <w:keepNext/>
              <w:keepLines/>
              <w:spacing w:before="120" w:line="240" w:lineRule="auto"/>
              <w:cnfStyle w:val="000000000000" w:firstRow="0" w:lastRow="0" w:firstColumn="0" w:lastColumn="0" w:oddVBand="0" w:evenVBand="0" w:oddHBand="0" w:evenHBand="0" w:firstRowFirstColumn="0" w:firstRowLastColumn="0" w:lastRowFirstColumn="0" w:lastRowLastColumn="0"/>
              <w:rPr>
                <w:rStyle w:val="AERtextbold"/>
              </w:rPr>
            </w:pPr>
          </w:p>
        </w:tc>
      </w:tr>
      <w:tr w:rsidR="009916C7" w:rsidRPr="00972BC0" w:rsidTr="005E15B8">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119" w:type="dxa"/>
            <w:gridSpan w:val="2"/>
            <w:noWrap/>
            <w:hideMark/>
          </w:tcPr>
          <w:p w:rsidR="009916C7" w:rsidRPr="009916C7" w:rsidRDefault="009916C7" w:rsidP="00612F9D">
            <w:pPr>
              <w:pStyle w:val="AERtabletextleft"/>
              <w:keepNext/>
              <w:keepLines/>
              <w:spacing w:before="120" w:line="240" w:lineRule="auto"/>
            </w:pPr>
            <w:r w:rsidRPr="00947A42">
              <w:t>Revenue ($m, nominal)</w:t>
            </w:r>
            <w:r w:rsidRPr="009916C7">
              <w:rPr>
                <w:rStyle w:val="AERsuperscript"/>
              </w:rPr>
              <w:t>a</w:t>
            </w:r>
          </w:p>
        </w:tc>
        <w:tc>
          <w:tcPr>
            <w:tcW w:w="1015" w:type="dxa"/>
            <w:noWrap/>
            <w:hideMark/>
          </w:tcPr>
          <w:p w:rsidR="009916C7" w:rsidRPr="00947A42" w:rsidRDefault="009916C7" w:rsidP="00612F9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2109</w:t>
            </w:r>
          </w:p>
        </w:tc>
        <w:tc>
          <w:tcPr>
            <w:tcW w:w="1016" w:type="dxa"/>
            <w:gridSpan w:val="2"/>
            <w:noWrap/>
            <w:hideMark/>
          </w:tcPr>
          <w:p w:rsidR="009916C7" w:rsidRPr="00947A42" w:rsidRDefault="005340BA" w:rsidP="00612F9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t>2075</w:t>
            </w:r>
          </w:p>
        </w:tc>
        <w:tc>
          <w:tcPr>
            <w:tcW w:w="1016" w:type="dxa"/>
            <w:gridSpan w:val="2"/>
            <w:noWrap/>
            <w:hideMark/>
          </w:tcPr>
          <w:p w:rsidR="009916C7" w:rsidRPr="00947A42" w:rsidRDefault="009916C7" w:rsidP="00612F9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2122</w:t>
            </w:r>
          </w:p>
        </w:tc>
        <w:tc>
          <w:tcPr>
            <w:tcW w:w="1016" w:type="dxa"/>
            <w:noWrap/>
            <w:hideMark/>
          </w:tcPr>
          <w:p w:rsidR="009916C7" w:rsidRPr="00947A42" w:rsidRDefault="009916C7" w:rsidP="00612F9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2168</w:t>
            </w:r>
          </w:p>
        </w:tc>
        <w:tc>
          <w:tcPr>
            <w:tcW w:w="1016" w:type="dxa"/>
            <w:gridSpan w:val="2"/>
            <w:noWrap/>
            <w:hideMark/>
          </w:tcPr>
          <w:p w:rsidR="009916C7" w:rsidRPr="00947A42" w:rsidRDefault="009916C7" w:rsidP="00612F9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2206</w:t>
            </w:r>
          </w:p>
        </w:tc>
        <w:tc>
          <w:tcPr>
            <w:tcW w:w="1016" w:type="dxa"/>
            <w:noWrap/>
            <w:hideMark/>
          </w:tcPr>
          <w:p w:rsidR="009916C7" w:rsidRPr="00947A42" w:rsidRDefault="009916C7" w:rsidP="00612F9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2253</w:t>
            </w:r>
          </w:p>
        </w:tc>
      </w:tr>
      <w:tr w:rsidR="009916C7" w:rsidRPr="00972BC0" w:rsidTr="005E15B8">
        <w:trPr>
          <w:trHeight w:val="296"/>
        </w:trPr>
        <w:tc>
          <w:tcPr>
            <w:cnfStyle w:val="001000000000" w:firstRow="0" w:lastRow="0" w:firstColumn="1" w:lastColumn="0" w:oddVBand="0" w:evenVBand="0" w:oddHBand="0" w:evenHBand="0" w:firstRowFirstColumn="0" w:firstRowLastColumn="0" w:lastRowFirstColumn="0" w:lastRowLastColumn="0"/>
            <w:tcW w:w="3119" w:type="dxa"/>
            <w:gridSpan w:val="2"/>
            <w:noWrap/>
            <w:hideMark/>
          </w:tcPr>
          <w:p w:rsidR="009916C7" w:rsidRPr="009916C7" w:rsidRDefault="009916C7" w:rsidP="00612F9D">
            <w:pPr>
              <w:pStyle w:val="AERtabletextleft"/>
              <w:keepNext/>
              <w:keepLines/>
              <w:spacing w:before="120" w:line="240" w:lineRule="auto"/>
            </w:pPr>
            <w:r w:rsidRPr="00947A42">
              <w:t>Price path (nominal index)</w:t>
            </w:r>
          </w:p>
        </w:tc>
        <w:tc>
          <w:tcPr>
            <w:tcW w:w="1015" w:type="dxa"/>
            <w:noWrap/>
            <w:hideMark/>
          </w:tcPr>
          <w:p w:rsidR="009916C7" w:rsidRPr="00947A42" w:rsidRDefault="009916C7" w:rsidP="00612F9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1.00</w:t>
            </w:r>
          </w:p>
        </w:tc>
        <w:tc>
          <w:tcPr>
            <w:tcW w:w="1016" w:type="dxa"/>
            <w:gridSpan w:val="2"/>
            <w:noWrap/>
            <w:hideMark/>
          </w:tcPr>
          <w:p w:rsidR="009916C7" w:rsidRPr="00947A42" w:rsidRDefault="009916C7" w:rsidP="00612F9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1.00</w:t>
            </w:r>
          </w:p>
        </w:tc>
        <w:tc>
          <w:tcPr>
            <w:tcW w:w="1016" w:type="dxa"/>
            <w:gridSpan w:val="2"/>
            <w:noWrap/>
            <w:hideMark/>
          </w:tcPr>
          <w:p w:rsidR="009916C7" w:rsidRPr="00947A42" w:rsidRDefault="009916C7" w:rsidP="00612F9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1.02</w:t>
            </w:r>
          </w:p>
        </w:tc>
        <w:tc>
          <w:tcPr>
            <w:tcW w:w="1016" w:type="dxa"/>
            <w:noWrap/>
            <w:hideMark/>
          </w:tcPr>
          <w:p w:rsidR="009916C7" w:rsidRPr="00947A42" w:rsidRDefault="009916C7" w:rsidP="00612F9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1.05</w:t>
            </w:r>
          </w:p>
        </w:tc>
        <w:tc>
          <w:tcPr>
            <w:tcW w:w="1016" w:type="dxa"/>
            <w:gridSpan w:val="2"/>
            <w:noWrap/>
            <w:hideMark/>
          </w:tcPr>
          <w:p w:rsidR="009916C7" w:rsidRPr="00947A42" w:rsidRDefault="009916C7" w:rsidP="00612F9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1.06</w:t>
            </w:r>
          </w:p>
        </w:tc>
        <w:tc>
          <w:tcPr>
            <w:tcW w:w="1016" w:type="dxa"/>
            <w:noWrap/>
            <w:hideMark/>
          </w:tcPr>
          <w:p w:rsidR="009916C7" w:rsidRPr="00947A42" w:rsidRDefault="009916C7" w:rsidP="00612F9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1.07</w:t>
            </w:r>
          </w:p>
        </w:tc>
      </w:tr>
      <w:tr w:rsidR="00C16381" w:rsidRPr="00972BC0" w:rsidTr="005E15B8">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119" w:type="dxa"/>
            <w:gridSpan w:val="2"/>
            <w:noWrap/>
            <w:hideMark/>
          </w:tcPr>
          <w:p w:rsidR="00C16381" w:rsidRPr="00947A42" w:rsidRDefault="00C16381" w:rsidP="00612F9D">
            <w:pPr>
              <w:pStyle w:val="AERtabletextleft"/>
              <w:keepNext/>
              <w:keepLines/>
              <w:spacing w:before="120" w:line="240" w:lineRule="auto"/>
            </w:pPr>
            <w:r w:rsidRPr="00947A42">
              <w:t>Revenue (change %)</w:t>
            </w:r>
          </w:p>
        </w:tc>
        <w:tc>
          <w:tcPr>
            <w:tcW w:w="1015" w:type="dxa"/>
            <w:noWrap/>
            <w:hideMark/>
          </w:tcPr>
          <w:p w:rsidR="00C16381" w:rsidRPr="00947A42" w:rsidRDefault="00C16381" w:rsidP="00612F9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n/a</w:t>
            </w:r>
          </w:p>
        </w:tc>
        <w:tc>
          <w:tcPr>
            <w:tcW w:w="1016" w:type="dxa"/>
            <w:gridSpan w:val="2"/>
            <w:noWrap/>
            <w:hideMark/>
          </w:tcPr>
          <w:p w:rsidR="00C16381" w:rsidRPr="00947A42" w:rsidRDefault="00C16381" w:rsidP="00612F9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t>-1.</w:t>
            </w:r>
            <w:r w:rsidR="005340BA">
              <w:t>6</w:t>
            </w:r>
            <w:r>
              <w:t>%</w:t>
            </w:r>
          </w:p>
        </w:tc>
        <w:tc>
          <w:tcPr>
            <w:tcW w:w="1016" w:type="dxa"/>
            <w:gridSpan w:val="2"/>
            <w:noWrap/>
            <w:hideMark/>
          </w:tcPr>
          <w:p w:rsidR="00C16381" w:rsidRPr="00947A42" w:rsidRDefault="00C16381" w:rsidP="00612F9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t>2.</w:t>
            </w:r>
            <w:r w:rsidR="005340BA">
              <w:t>3</w:t>
            </w:r>
            <w:r>
              <w:t>%</w:t>
            </w:r>
          </w:p>
        </w:tc>
        <w:tc>
          <w:tcPr>
            <w:tcW w:w="1016" w:type="dxa"/>
            <w:noWrap/>
            <w:hideMark/>
          </w:tcPr>
          <w:p w:rsidR="00C16381" w:rsidRPr="00947A42" w:rsidRDefault="00C16381" w:rsidP="00612F9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2.2%</w:t>
            </w:r>
          </w:p>
        </w:tc>
        <w:tc>
          <w:tcPr>
            <w:tcW w:w="1016" w:type="dxa"/>
            <w:gridSpan w:val="2"/>
            <w:noWrap/>
            <w:hideMark/>
          </w:tcPr>
          <w:p w:rsidR="00C16381" w:rsidRPr="00947A42" w:rsidRDefault="00C16381" w:rsidP="00612F9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1.7%</w:t>
            </w:r>
          </w:p>
        </w:tc>
        <w:tc>
          <w:tcPr>
            <w:tcW w:w="1016" w:type="dxa"/>
            <w:noWrap/>
            <w:hideMark/>
          </w:tcPr>
          <w:p w:rsidR="00C16381" w:rsidRPr="00947A42" w:rsidRDefault="00C16381" w:rsidP="00612F9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2.1%</w:t>
            </w:r>
          </w:p>
        </w:tc>
      </w:tr>
      <w:tr w:rsidR="00C16381" w:rsidRPr="00972BC0" w:rsidTr="005E15B8">
        <w:trPr>
          <w:trHeight w:val="296"/>
        </w:trPr>
        <w:tc>
          <w:tcPr>
            <w:cnfStyle w:val="001000000000" w:firstRow="0" w:lastRow="0" w:firstColumn="1" w:lastColumn="0" w:oddVBand="0" w:evenVBand="0" w:oddHBand="0" w:evenHBand="0" w:firstRowFirstColumn="0" w:firstRowLastColumn="0" w:lastRowFirstColumn="0" w:lastRowLastColumn="0"/>
            <w:tcW w:w="3119" w:type="dxa"/>
            <w:gridSpan w:val="2"/>
            <w:noWrap/>
            <w:hideMark/>
          </w:tcPr>
          <w:p w:rsidR="00C16381" w:rsidRPr="00947A42" w:rsidRDefault="00C16381" w:rsidP="00612F9D">
            <w:pPr>
              <w:pStyle w:val="AERtabletextleft"/>
              <w:keepNext/>
              <w:keepLines/>
              <w:spacing w:before="120" w:line="240" w:lineRule="auto"/>
            </w:pPr>
            <w:r w:rsidRPr="00947A42">
              <w:t>Price path (change %)</w:t>
            </w:r>
          </w:p>
        </w:tc>
        <w:tc>
          <w:tcPr>
            <w:tcW w:w="1015" w:type="dxa"/>
            <w:noWrap/>
            <w:hideMark/>
          </w:tcPr>
          <w:p w:rsidR="00C16381" w:rsidRPr="00947A42" w:rsidRDefault="00C16381" w:rsidP="00612F9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n/a</w:t>
            </w:r>
          </w:p>
        </w:tc>
        <w:tc>
          <w:tcPr>
            <w:tcW w:w="1016" w:type="dxa"/>
            <w:gridSpan w:val="2"/>
            <w:noWrap/>
            <w:hideMark/>
          </w:tcPr>
          <w:p w:rsidR="00C16381" w:rsidRPr="00947A42" w:rsidRDefault="00C16381" w:rsidP="00612F9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0.3%</w:t>
            </w:r>
          </w:p>
        </w:tc>
        <w:tc>
          <w:tcPr>
            <w:tcW w:w="1016" w:type="dxa"/>
            <w:gridSpan w:val="2"/>
            <w:noWrap/>
            <w:hideMark/>
          </w:tcPr>
          <w:p w:rsidR="00C16381" w:rsidRPr="00947A42" w:rsidRDefault="00C16381" w:rsidP="00612F9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2.1%</w:t>
            </w:r>
          </w:p>
        </w:tc>
        <w:tc>
          <w:tcPr>
            <w:tcW w:w="1016" w:type="dxa"/>
            <w:noWrap/>
            <w:hideMark/>
          </w:tcPr>
          <w:p w:rsidR="00C16381" w:rsidRPr="00947A42" w:rsidRDefault="00C16381" w:rsidP="00612F9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2.4%</w:t>
            </w:r>
          </w:p>
        </w:tc>
        <w:tc>
          <w:tcPr>
            <w:tcW w:w="1016" w:type="dxa"/>
            <w:gridSpan w:val="2"/>
            <w:noWrap/>
            <w:hideMark/>
          </w:tcPr>
          <w:p w:rsidR="00C16381" w:rsidRPr="00947A42" w:rsidRDefault="00C16381" w:rsidP="00612F9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1.0%</w:t>
            </w:r>
          </w:p>
        </w:tc>
        <w:tc>
          <w:tcPr>
            <w:tcW w:w="1016" w:type="dxa"/>
            <w:noWrap/>
            <w:hideMark/>
          </w:tcPr>
          <w:p w:rsidR="00C16381" w:rsidRPr="00947A42" w:rsidRDefault="00C16381" w:rsidP="00612F9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1.2%</w:t>
            </w:r>
          </w:p>
        </w:tc>
      </w:tr>
      <w:tr w:rsidR="003E56EF" w:rsidRPr="001972A0" w:rsidTr="005E15B8">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214" w:type="dxa"/>
            <w:gridSpan w:val="11"/>
            <w:noWrap/>
            <w:hideMark/>
          </w:tcPr>
          <w:p w:rsidR="003E56EF" w:rsidRPr="001972A0" w:rsidRDefault="003E56EF" w:rsidP="00612F9D">
            <w:pPr>
              <w:pStyle w:val="AERtabletextleft"/>
              <w:keepNext/>
              <w:keepLines/>
              <w:spacing w:before="120" w:line="240" w:lineRule="auto"/>
              <w:rPr>
                <w:rStyle w:val="AERtextbold"/>
              </w:rPr>
            </w:pPr>
            <w:r w:rsidRPr="001972A0">
              <w:rPr>
                <w:rStyle w:val="AERtextbold"/>
              </w:rPr>
              <w:t>AER substitute revenue</w:t>
            </w:r>
            <w:r>
              <w:rPr>
                <w:rStyle w:val="AERtextbold"/>
              </w:rPr>
              <w:t xml:space="preserve"> a</w:t>
            </w:r>
            <w:r w:rsidRPr="001972A0">
              <w:rPr>
                <w:rStyle w:val="AERtextbold"/>
              </w:rPr>
              <w:t>nd price path</w:t>
            </w:r>
          </w:p>
        </w:tc>
      </w:tr>
      <w:tr w:rsidR="00C16381" w:rsidRPr="00972BC0" w:rsidTr="005E15B8">
        <w:trPr>
          <w:trHeight w:val="296"/>
        </w:trPr>
        <w:tc>
          <w:tcPr>
            <w:cnfStyle w:val="001000000000" w:firstRow="0" w:lastRow="0" w:firstColumn="1" w:lastColumn="0" w:oddVBand="0" w:evenVBand="0" w:oddHBand="0" w:evenHBand="0" w:firstRowFirstColumn="0" w:firstRowLastColumn="0" w:lastRowFirstColumn="0" w:lastRowLastColumn="0"/>
            <w:tcW w:w="3119" w:type="dxa"/>
            <w:gridSpan w:val="2"/>
            <w:noWrap/>
            <w:hideMark/>
          </w:tcPr>
          <w:p w:rsidR="00C16381" w:rsidRPr="009916C7" w:rsidRDefault="00C16381" w:rsidP="00612F9D">
            <w:pPr>
              <w:pStyle w:val="AERtabletextleft"/>
              <w:keepNext/>
              <w:keepLines/>
              <w:spacing w:before="120" w:line="240" w:lineRule="auto"/>
            </w:pPr>
            <w:r w:rsidRPr="00947A42">
              <w:t>Revenue ($m, nominal)</w:t>
            </w:r>
            <w:r w:rsidRPr="009916C7">
              <w:rPr>
                <w:rStyle w:val="AERsuperscript"/>
              </w:rPr>
              <w:t>a</w:t>
            </w:r>
          </w:p>
        </w:tc>
        <w:tc>
          <w:tcPr>
            <w:tcW w:w="1015" w:type="dxa"/>
            <w:noWrap/>
            <w:hideMark/>
          </w:tcPr>
          <w:p w:rsidR="00C16381" w:rsidRPr="00947A42" w:rsidRDefault="00C16381" w:rsidP="00612F9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2109</w:t>
            </w:r>
          </w:p>
        </w:tc>
        <w:tc>
          <w:tcPr>
            <w:tcW w:w="1016" w:type="dxa"/>
            <w:gridSpan w:val="2"/>
            <w:noWrap/>
            <w:hideMark/>
          </w:tcPr>
          <w:p w:rsidR="00C16381" w:rsidRPr="00947A42" w:rsidRDefault="005340BA" w:rsidP="00612F9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t>1956</w:t>
            </w:r>
          </w:p>
        </w:tc>
        <w:tc>
          <w:tcPr>
            <w:tcW w:w="1016" w:type="dxa"/>
            <w:gridSpan w:val="2"/>
            <w:noWrap/>
            <w:hideMark/>
          </w:tcPr>
          <w:p w:rsidR="00C16381" w:rsidRPr="00947A42" w:rsidRDefault="00C16381" w:rsidP="00612F9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t>2001</w:t>
            </w:r>
          </w:p>
        </w:tc>
        <w:tc>
          <w:tcPr>
            <w:tcW w:w="1016" w:type="dxa"/>
            <w:noWrap/>
            <w:hideMark/>
          </w:tcPr>
          <w:p w:rsidR="00C16381" w:rsidRPr="00947A42" w:rsidRDefault="00C16381" w:rsidP="00612F9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t>2045</w:t>
            </w:r>
          </w:p>
        </w:tc>
        <w:tc>
          <w:tcPr>
            <w:tcW w:w="1016" w:type="dxa"/>
            <w:gridSpan w:val="2"/>
            <w:noWrap/>
            <w:hideMark/>
          </w:tcPr>
          <w:p w:rsidR="00C16381" w:rsidRPr="00947A42" w:rsidRDefault="00C16381" w:rsidP="00612F9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t>2080</w:t>
            </w:r>
          </w:p>
        </w:tc>
        <w:tc>
          <w:tcPr>
            <w:tcW w:w="1016" w:type="dxa"/>
            <w:noWrap/>
            <w:hideMark/>
          </w:tcPr>
          <w:p w:rsidR="00C16381" w:rsidRPr="00947A42" w:rsidRDefault="00C16381" w:rsidP="00612F9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t>2124</w:t>
            </w:r>
          </w:p>
        </w:tc>
      </w:tr>
      <w:tr w:rsidR="00C16381" w:rsidRPr="00972BC0" w:rsidTr="005E15B8">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119" w:type="dxa"/>
            <w:gridSpan w:val="2"/>
            <w:noWrap/>
            <w:hideMark/>
          </w:tcPr>
          <w:p w:rsidR="00C16381" w:rsidRPr="009916C7" w:rsidRDefault="00C16381" w:rsidP="00612F9D">
            <w:pPr>
              <w:pStyle w:val="AERtabletextleft"/>
              <w:keepNext/>
              <w:keepLines/>
              <w:spacing w:before="120" w:line="240" w:lineRule="auto"/>
            </w:pPr>
            <w:r w:rsidRPr="00947A42">
              <w:t>Price path (nominal index)</w:t>
            </w:r>
          </w:p>
        </w:tc>
        <w:tc>
          <w:tcPr>
            <w:tcW w:w="1015" w:type="dxa"/>
            <w:noWrap/>
            <w:hideMark/>
          </w:tcPr>
          <w:p w:rsidR="00C16381" w:rsidRPr="00947A42" w:rsidRDefault="00C16381" w:rsidP="00612F9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1.00</w:t>
            </w:r>
          </w:p>
        </w:tc>
        <w:tc>
          <w:tcPr>
            <w:tcW w:w="1016" w:type="dxa"/>
            <w:gridSpan w:val="2"/>
            <w:noWrap/>
            <w:hideMark/>
          </w:tcPr>
          <w:p w:rsidR="00C16381" w:rsidRPr="00947A42" w:rsidRDefault="00C16381" w:rsidP="00612F9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0.95</w:t>
            </w:r>
          </w:p>
        </w:tc>
        <w:tc>
          <w:tcPr>
            <w:tcW w:w="1016" w:type="dxa"/>
            <w:gridSpan w:val="2"/>
            <w:noWrap/>
            <w:hideMark/>
          </w:tcPr>
          <w:p w:rsidR="00C16381" w:rsidRPr="00947A42" w:rsidRDefault="00C16381" w:rsidP="00612F9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0.97</w:t>
            </w:r>
          </w:p>
        </w:tc>
        <w:tc>
          <w:tcPr>
            <w:tcW w:w="1016" w:type="dxa"/>
            <w:noWrap/>
            <w:hideMark/>
          </w:tcPr>
          <w:p w:rsidR="00C16381" w:rsidRPr="00947A42" w:rsidRDefault="00C16381" w:rsidP="00612F9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0.99</w:t>
            </w:r>
          </w:p>
        </w:tc>
        <w:tc>
          <w:tcPr>
            <w:tcW w:w="1016" w:type="dxa"/>
            <w:gridSpan w:val="2"/>
            <w:noWrap/>
            <w:hideMark/>
          </w:tcPr>
          <w:p w:rsidR="00C16381" w:rsidRPr="00947A42" w:rsidRDefault="00C16381" w:rsidP="00612F9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1.00</w:t>
            </w:r>
          </w:p>
        </w:tc>
        <w:tc>
          <w:tcPr>
            <w:tcW w:w="1016" w:type="dxa"/>
            <w:noWrap/>
            <w:hideMark/>
          </w:tcPr>
          <w:p w:rsidR="00C16381" w:rsidRPr="00947A42" w:rsidRDefault="00C16381" w:rsidP="00612F9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1.01</w:t>
            </w:r>
          </w:p>
        </w:tc>
      </w:tr>
      <w:tr w:rsidR="00C16381" w:rsidRPr="00972BC0" w:rsidTr="005E15B8">
        <w:trPr>
          <w:trHeight w:val="296"/>
        </w:trPr>
        <w:tc>
          <w:tcPr>
            <w:cnfStyle w:val="001000000000" w:firstRow="0" w:lastRow="0" w:firstColumn="1" w:lastColumn="0" w:oddVBand="0" w:evenVBand="0" w:oddHBand="0" w:evenHBand="0" w:firstRowFirstColumn="0" w:firstRowLastColumn="0" w:lastRowFirstColumn="0" w:lastRowLastColumn="0"/>
            <w:tcW w:w="3119" w:type="dxa"/>
            <w:gridSpan w:val="2"/>
            <w:noWrap/>
            <w:hideMark/>
          </w:tcPr>
          <w:p w:rsidR="00C16381" w:rsidRPr="00947A42" w:rsidRDefault="00C16381" w:rsidP="00612F9D">
            <w:pPr>
              <w:pStyle w:val="AERtabletextleft"/>
              <w:keepNext/>
              <w:keepLines/>
              <w:spacing w:before="120" w:line="240" w:lineRule="auto"/>
            </w:pPr>
            <w:r w:rsidRPr="00947A42">
              <w:t>Revenue (change %)</w:t>
            </w:r>
          </w:p>
        </w:tc>
        <w:tc>
          <w:tcPr>
            <w:tcW w:w="1015" w:type="dxa"/>
            <w:noWrap/>
            <w:hideMark/>
          </w:tcPr>
          <w:p w:rsidR="00C16381" w:rsidRPr="00947A42" w:rsidRDefault="00C16381" w:rsidP="00612F9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n/a</w:t>
            </w:r>
          </w:p>
        </w:tc>
        <w:tc>
          <w:tcPr>
            <w:tcW w:w="1016" w:type="dxa"/>
            <w:gridSpan w:val="2"/>
            <w:noWrap/>
            <w:hideMark/>
          </w:tcPr>
          <w:p w:rsidR="00C16381" w:rsidRPr="00947A42" w:rsidRDefault="00C16381" w:rsidP="00612F9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t>-7.2%</w:t>
            </w:r>
          </w:p>
        </w:tc>
        <w:tc>
          <w:tcPr>
            <w:tcW w:w="1016" w:type="dxa"/>
            <w:gridSpan w:val="2"/>
            <w:noWrap/>
            <w:hideMark/>
          </w:tcPr>
          <w:p w:rsidR="00C16381" w:rsidRPr="00947A42" w:rsidRDefault="00C16381" w:rsidP="00612F9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t>2.</w:t>
            </w:r>
            <w:r w:rsidR="005340BA">
              <w:t>3</w:t>
            </w:r>
            <w:r>
              <w:t>%</w:t>
            </w:r>
          </w:p>
        </w:tc>
        <w:tc>
          <w:tcPr>
            <w:tcW w:w="1016" w:type="dxa"/>
            <w:noWrap/>
            <w:hideMark/>
          </w:tcPr>
          <w:p w:rsidR="00C16381" w:rsidRPr="00947A42" w:rsidRDefault="00C16381" w:rsidP="00612F9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t>2.2%</w:t>
            </w:r>
          </w:p>
        </w:tc>
        <w:tc>
          <w:tcPr>
            <w:tcW w:w="1016" w:type="dxa"/>
            <w:gridSpan w:val="2"/>
            <w:noWrap/>
            <w:hideMark/>
          </w:tcPr>
          <w:p w:rsidR="00C16381" w:rsidRPr="00947A42" w:rsidRDefault="00C16381" w:rsidP="00612F9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t>1.7%</w:t>
            </w:r>
          </w:p>
        </w:tc>
        <w:tc>
          <w:tcPr>
            <w:tcW w:w="1016" w:type="dxa"/>
            <w:noWrap/>
            <w:hideMark/>
          </w:tcPr>
          <w:p w:rsidR="00C16381" w:rsidRPr="00947A42" w:rsidRDefault="00C16381" w:rsidP="00612F9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2.1%</w:t>
            </w:r>
          </w:p>
        </w:tc>
      </w:tr>
      <w:tr w:rsidR="00C16381" w:rsidRPr="00972BC0" w:rsidTr="005E15B8">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119" w:type="dxa"/>
            <w:gridSpan w:val="2"/>
            <w:noWrap/>
            <w:hideMark/>
          </w:tcPr>
          <w:p w:rsidR="00C16381" w:rsidRPr="00947A42" w:rsidRDefault="00C16381" w:rsidP="00612F9D">
            <w:pPr>
              <w:pStyle w:val="AERtabletextleft"/>
              <w:keepNext/>
              <w:keepLines/>
              <w:spacing w:before="120" w:line="240" w:lineRule="auto"/>
            </w:pPr>
            <w:r w:rsidRPr="00947A42">
              <w:t>Price path (change %)</w:t>
            </w:r>
          </w:p>
        </w:tc>
        <w:tc>
          <w:tcPr>
            <w:tcW w:w="1015" w:type="dxa"/>
            <w:noWrap/>
            <w:hideMark/>
          </w:tcPr>
          <w:p w:rsidR="00C16381" w:rsidRPr="00947A42" w:rsidRDefault="00C16381" w:rsidP="00612F9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n/a</w:t>
            </w:r>
          </w:p>
        </w:tc>
        <w:tc>
          <w:tcPr>
            <w:tcW w:w="1016" w:type="dxa"/>
            <w:gridSpan w:val="2"/>
            <w:noWrap/>
            <w:hideMark/>
          </w:tcPr>
          <w:p w:rsidR="00C16381" w:rsidRPr="00947A42" w:rsidRDefault="00C16381" w:rsidP="00612F9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-5.4%</w:t>
            </w:r>
          </w:p>
        </w:tc>
        <w:tc>
          <w:tcPr>
            <w:tcW w:w="1016" w:type="dxa"/>
            <w:gridSpan w:val="2"/>
            <w:noWrap/>
            <w:hideMark/>
          </w:tcPr>
          <w:p w:rsidR="00C16381" w:rsidRPr="00947A42" w:rsidRDefault="00C16381" w:rsidP="00612F9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2.1%</w:t>
            </w:r>
          </w:p>
        </w:tc>
        <w:tc>
          <w:tcPr>
            <w:tcW w:w="1016" w:type="dxa"/>
            <w:noWrap/>
            <w:hideMark/>
          </w:tcPr>
          <w:p w:rsidR="00C16381" w:rsidRPr="00947A42" w:rsidRDefault="00C16381" w:rsidP="00612F9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2.4%</w:t>
            </w:r>
          </w:p>
        </w:tc>
        <w:tc>
          <w:tcPr>
            <w:tcW w:w="1016" w:type="dxa"/>
            <w:gridSpan w:val="2"/>
            <w:noWrap/>
            <w:hideMark/>
          </w:tcPr>
          <w:p w:rsidR="00C16381" w:rsidRPr="00947A42" w:rsidRDefault="00C16381" w:rsidP="00612F9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1.0%</w:t>
            </w:r>
          </w:p>
        </w:tc>
        <w:tc>
          <w:tcPr>
            <w:tcW w:w="1016" w:type="dxa"/>
            <w:noWrap/>
            <w:hideMark/>
          </w:tcPr>
          <w:p w:rsidR="00C16381" w:rsidRPr="00947A42" w:rsidRDefault="00C16381" w:rsidP="00612F9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t>1.2%</w:t>
            </w:r>
          </w:p>
        </w:tc>
      </w:tr>
    </w:tbl>
    <w:p w:rsidR="009916C7" w:rsidRPr="00972BC0" w:rsidRDefault="009916C7" w:rsidP="00612F9D">
      <w:pPr>
        <w:pStyle w:val="AERtablesource"/>
        <w:keepNext/>
        <w:keepLines/>
      </w:pPr>
      <w:r w:rsidRPr="00972BC0">
        <w:t>Source:</w:t>
      </w:r>
      <w:r w:rsidRPr="00972BC0">
        <w:tab/>
        <w:t>AER analysis.</w:t>
      </w:r>
    </w:p>
    <w:p w:rsidR="009916C7" w:rsidRPr="00972BC0" w:rsidRDefault="009916C7" w:rsidP="00612F9D">
      <w:pPr>
        <w:pStyle w:val="AERtablesource"/>
        <w:keepNext/>
        <w:keepLines/>
        <w:tabs>
          <w:tab w:val="left" w:pos="1134"/>
        </w:tabs>
        <w:ind w:left="1134" w:hanging="1134"/>
      </w:pPr>
      <w:r w:rsidRPr="00972BC0">
        <w:t>Notes:</w:t>
      </w:r>
      <w:r w:rsidRPr="00972BC0">
        <w:tab/>
      </w:r>
      <w:r w:rsidRPr="00693A45">
        <w:t>Numbers may not sum due to rounding.</w:t>
      </w:r>
    </w:p>
    <w:p w:rsidR="009916C7" w:rsidRDefault="004D5E5D" w:rsidP="00612F9D">
      <w:pPr>
        <w:pStyle w:val="AERtablesource"/>
        <w:keepNext/>
        <w:keepLines/>
        <w:tabs>
          <w:tab w:val="left" w:pos="1134"/>
        </w:tabs>
        <w:ind w:left="1134" w:hanging="1134"/>
      </w:pPr>
      <w:r>
        <w:tab/>
      </w:r>
      <w:r w:rsidR="009916C7" w:rsidRPr="00972BC0">
        <w:t>a.</w:t>
      </w:r>
      <w:r w:rsidR="009916C7" w:rsidRPr="00972BC0">
        <w:tab/>
      </w:r>
      <w:r w:rsidR="004533BA">
        <w:t xml:space="preserve">Ausgrid's proposed revenues and price path include metering costs in all years—notwithstanding that </w:t>
      </w:r>
      <w:r w:rsidR="002C2C04">
        <w:t>costs for these services</w:t>
      </w:r>
      <w:r w:rsidR="004533BA">
        <w:t xml:space="preserve"> will </w:t>
      </w:r>
      <w:r w:rsidR="002C2C04">
        <w:t xml:space="preserve">be allocated differently </w:t>
      </w:r>
      <w:r w:rsidR="004533BA">
        <w:t>in the subsequent regulatory control period. For comparability, the AER revenue and price path are prepared on the same basis. In this table, e</w:t>
      </w:r>
      <w:r w:rsidR="009916C7" w:rsidRPr="00972BC0">
        <w:t xml:space="preserve">xpected </w:t>
      </w:r>
      <w:r w:rsidR="005340BA">
        <w:t xml:space="preserve">net </w:t>
      </w:r>
      <w:r w:rsidR="009916C7" w:rsidRPr="00972BC0">
        <w:t xml:space="preserve">revenues from ANS </w:t>
      </w:r>
      <w:r w:rsidR="004533BA">
        <w:t>in 2014–15 of $</w:t>
      </w:r>
      <w:r w:rsidR="005340BA">
        <w:t>1 </w:t>
      </w:r>
      <w:r w:rsidR="004533BA">
        <w:t xml:space="preserve">million </w:t>
      </w:r>
      <w:r w:rsidR="009916C7" w:rsidRPr="00972BC0">
        <w:t>have been removed</w:t>
      </w:r>
      <w:r w:rsidR="004533BA">
        <w:t xml:space="preserve"> to preserve comparability with the Ausgrid proposal</w:t>
      </w:r>
      <w:r w:rsidR="00AF3901">
        <w:t>.</w:t>
      </w:r>
    </w:p>
    <w:p w:rsidR="009916C7" w:rsidRDefault="00F27D91" w:rsidP="00EB6D29">
      <w:pPr>
        <w:pStyle w:val="Caption"/>
        <w:jc w:val="left"/>
      </w:pPr>
      <w:bookmarkStart w:id="88" w:name="_Ref385252551"/>
      <w:bookmarkStart w:id="89" w:name="_Ref383417840"/>
      <w:r>
        <w:t xml:space="preserve">Table </w:t>
      </w:r>
      <w:r w:rsidR="00DD155E">
        <w:fldChar w:fldCharType="begin"/>
      </w:r>
      <w:r w:rsidR="00DD155E">
        <w:instrText xml:space="preserve"> STYLEREF 1 \s </w:instrText>
      </w:r>
      <w:r w:rsidR="00DD155E">
        <w:fldChar w:fldCharType="separate"/>
      </w:r>
      <w:r w:rsidR="00E313D7">
        <w:rPr>
          <w:noProof/>
        </w:rPr>
        <w:t>4</w:t>
      </w:r>
      <w:r w:rsidR="00DD155E">
        <w:rPr>
          <w:noProof/>
        </w:rPr>
        <w:fldChar w:fldCharType="end"/>
      </w:r>
      <w:r w:rsidR="00804FE8">
        <w:t>.</w:t>
      </w:r>
      <w:r w:rsidR="00DD155E">
        <w:fldChar w:fldCharType="begin"/>
      </w:r>
      <w:r w:rsidR="00DD155E">
        <w:instrText xml:space="preserve"> SEQ Table \* ARABIC \s 1 </w:instrText>
      </w:r>
      <w:r w:rsidR="00DD155E">
        <w:fldChar w:fldCharType="separate"/>
      </w:r>
      <w:r w:rsidR="00E313D7">
        <w:rPr>
          <w:noProof/>
        </w:rPr>
        <w:t>3</w:t>
      </w:r>
      <w:r w:rsidR="00DD155E">
        <w:rPr>
          <w:noProof/>
        </w:rPr>
        <w:fldChar w:fldCharType="end"/>
      </w:r>
      <w:bookmarkEnd w:id="88"/>
      <w:r>
        <w:tab/>
      </w:r>
      <w:bookmarkEnd w:id="89"/>
      <w:r>
        <w:t>A</w:t>
      </w:r>
      <w:r w:rsidR="009916C7" w:rsidRPr="00972BC0">
        <w:t>usgrid’s proposed revenue</w:t>
      </w:r>
      <w:r w:rsidR="00722630" w:rsidRPr="00972BC0">
        <w:t xml:space="preserve"> </w:t>
      </w:r>
      <w:r w:rsidR="009916C7" w:rsidRPr="00972BC0">
        <w:t xml:space="preserve">and price path and AER substituted revenue and price path </w:t>
      </w:r>
      <w:r w:rsidR="009916C7">
        <w:t>–</w:t>
      </w:r>
      <w:r w:rsidR="009916C7" w:rsidRPr="00972BC0">
        <w:t xml:space="preserve"> </w:t>
      </w:r>
      <w:r w:rsidR="009916C7">
        <w:t>transmission</w:t>
      </w:r>
    </w:p>
    <w:tbl>
      <w:tblPr>
        <w:tblStyle w:val="AERtable-numbers"/>
        <w:tblW w:w="9237" w:type="dxa"/>
        <w:tblInd w:w="-34" w:type="dxa"/>
        <w:tblLayout w:type="fixed"/>
        <w:tblLook w:val="04A0" w:firstRow="1" w:lastRow="0" w:firstColumn="1" w:lastColumn="0" w:noHBand="0" w:noVBand="1"/>
      </w:tblPr>
      <w:tblGrid>
        <w:gridCol w:w="3101"/>
        <w:gridCol w:w="18"/>
        <w:gridCol w:w="1019"/>
        <w:gridCol w:w="497"/>
        <w:gridCol w:w="523"/>
        <w:gridCol w:w="1011"/>
        <w:gridCol w:w="9"/>
        <w:gridCol w:w="1019"/>
        <w:gridCol w:w="506"/>
        <w:gridCol w:w="514"/>
        <w:gridCol w:w="1020"/>
      </w:tblGrid>
      <w:tr w:rsidR="009916C7" w:rsidRPr="00972BC0" w:rsidTr="005E15B8">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119" w:type="dxa"/>
            <w:gridSpan w:val="2"/>
            <w:noWrap/>
            <w:hideMark/>
          </w:tcPr>
          <w:p w:rsidR="009916C7" w:rsidRPr="009916C7" w:rsidRDefault="009916C7" w:rsidP="004D5E5D">
            <w:pPr>
              <w:pStyle w:val="AERtabletextleft"/>
              <w:keepNext/>
              <w:keepLines/>
              <w:spacing w:before="120" w:line="240" w:lineRule="auto"/>
            </w:pPr>
          </w:p>
        </w:tc>
        <w:tc>
          <w:tcPr>
            <w:tcW w:w="1019" w:type="dxa"/>
            <w:noWrap/>
            <w:hideMark/>
          </w:tcPr>
          <w:p w:rsidR="009916C7" w:rsidRPr="009916C7" w:rsidRDefault="009916C7" w:rsidP="004D5E5D">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972BC0">
              <w:t>2013–14</w:t>
            </w:r>
          </w:p>
        </w:tc>
        <w:tc>
          <w:tcPr>
            <w:tcW w:w="1020" w:type="dxa"/>
            <w:gridSpan w:val="2"/>
            <w:noWrap/>
            <w:hideMark/>
          </w:tcPr>
          <w:p w:rsidR="009916C7" w:rsidRPr="009916C7" w:rsidRDefault="009916C7" w:rsidP="004D5E5D">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972BC0">
              <w:t>2014–15</w:t>
            </w:r>
          </w:p>
        </w:tc>
        <w:tc>
          <w:tcPr>
            <w:tcW w:w="1020" w:type="dxa"/>
            <w:gridSpan w:val="2"/>
            <w:noWrap/>
            <w:hideMark/>
          </w:tcPr>
          <w:p w:rsidR="009916C7" w:rsidRPr="009916C7" w:rsidRDefault="009916C7" w:rsidP="004D5E5D">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972BC0">
              <w:t>2015–16</w:t>
            </w:r>
          </w:p>
        </w:tc>
        <w:tc>
          <w:tcPr>
            <w:tcW w:w="1019" w:type="dxa"/>
            <w:noWrap/>
            <w:hideMark/>
          </w:tcPr>
          <w:p w:rsidR="009916C7" w:rsidRPr="009916C7" w:rsidRDefault="009916C7" w:rsidP="004D5E5D">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972BC0">
              <w:t>2016–17</w:t>
            </w:r>
          </w:p>
        </w:tc>
        <w:tc>
          <w:tcPr>
            <w:tcW w:w="1020" w:type="dxa"/>
            <w:gridSpan w:val="2"/>
            <w:noWrap/>
            <w:hideMark/>
          </w:tcPr>
          <w:p w:rsidR="009916C7" w:rsidRPr="009916C7" w:rsidRDefault="009916C7" w:rsidP="004D5E5D">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972BC0">
              <w:t>2017–18</w:t>
            </w:r>
          </w:p>
        </w:tc>
        <w:tc>
          <w:tcPr>
            <w:tcW w:w="1020" w:type="dxa"/>
            <w:noWrap/>
            <w:hideMark/>
          </w:tcPr>
          <w:p w:rsidR="009916C7" w:rsidRPr="009916C7" w:rsidRDefault="009916C7" w:rsidP="004D5E5D">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972BC0">
              <w:t>2018–19</w:t>
            </w:r>
          </w:p>
        </w:tc>
      </w:tr>
      <w:tr w:rsidR="009916C7" w:rsidRPr="00033DA9" w:rsidTr="005E15B8">
        <w:trPr>
          <w:trHeight w:val="296"/>
        </w:trPr>
        <w:tc>
          <w:tcPr>
            <w:cnfStyle w:val="001000000000" w:firstRow="0" w:lastRow="0" w:firstColumn="1" w:lastColumn="0" w:oddVBand="0" w:evenVBand="0" w:oddHBand="0" w:evenHBand="0" w:firstRowFirstColumn="0" w:firstRowLastColumn="0" w:lastRowFirstColumn="0" w:lastRowLastColumn="0"/>
            <w:tcW w:w="3101" w:type="dxa"/>
            <w:noWrap/>
            <w:hideMark/>
          </w:tcPr>
          <w:p w:rsidR="009916C7" w:rsidRPr="009916C7" w:rsidRDefault="009916C7" w:rsidP="004D5E5D">
            <w:pPr>
              <w:pStyle w:val="AERtabletextleft"/>
              <w:keepNext/>
              <w:keepLines/>
              <w:spacing w:before="120" w:line="240" w:lineRule="auto"/>
              <w:rPr>
                <w:rStyle w:val="AERtextbold"/>
              </w:rPr>
            </w:pPr>
            <w:r w:rsidRPr="00026336">
              <w:rPr>
                <w:rStyle w:val="AERtextbold"/>
              </w:rPr>
              <w:t>Proposed revenue and price path</w:t>
            </w:r>
          </w:p>
        </w:tc>
        <w:tc>
          <w:tcPr>
            <w:tcW w:w="1534" w:type="dxa"/>
            <w:gridSpan w:val="3"/>
            <w:noWrap/>
            <w:hideMark/>
          </w:tcPr>
          <w:p w:rsidR="009916C7" w:rsidRPr="00026336" w:rsidRDefault="009916C7" w:rsidP="004D5E5D">
            <w:pPr>
              <w:pStyle w:val="AERtabletextleft"/>
              <w:keepNext/>
              <w:keepLines/>
              <w:spacing w:before="120" w:line="240" w:lineRule="auto"/>
              <w:cnfStyle w:val="000000000000" w:firstRow="0" w:lastRow="0" w:firstColumn="0" w:lastColumn="0" w:oddVBand="0" w:evenVBand="0" w:oddHBand="0" w:evenHBand="0" w:firstRowFirstColumn="0" w:firstRowLastColumn="0" w:lastRowFirstColumn="0" w:lastRowLastColumn="0"/>
              <w:rPr>
                <w:rStyle w:val="AERtextbold"/>
              </w:rPr>
            </w:pPr>
          </w:p>
        </w:tc>
        <w:tc>
          <w:tcPr>
            <w:tcW w:w="1534" w:type="dxa"/>
            <w:gridSpan w:val="2"/>
            <w:noWrap/>
            <w:hideMark/>
          </w:tcPr>
          <w:p w:rsidR="009916C7" w:rsidRPr="00026336" w:rsidRDefault="009916C7" w:rsidP="004D5E5D">
            <w:pPr>
              <w:pStyle w:val="AERtabletextleft"/>
              <w:keepNext/>
              <w:keepLines/>
              <w:spacing w:before="120" w:line="240" w:lineRule="auto"/>
              <w:cnfStyle w:val="000000000000" w:firstRow="0" w:lastRow="0" w:firstColumn="0" w:lastColumn="0" w:oddVBand="0" w:evenVBand="0" w:oddHBand="0" w:evenHBand="0" w:firstRowFirstColumn="0" w:firstRowLastColumn="0" w:lastRowFirstColumn="0" w:lastRowLastColumn="0"/>
              <w:rPr>
                <w:rStyle w:val="AERtextbold"/>
              </w:rPr>
            </w:pPr>
          </w:p>
        </w:tc>
        <w:tc>
          <w:tcPr>
            <w:tcW w:w="1534" w:type="dxa"/>
            <w:gridSpan w:val="3"/>
            <w:noWrap/>
            <w:hideMark/>
          </w:tcPr>
          <w:p w:rsidR="009916C7" w:rsidRPr="00026336" w:rsidRDefault="009916C7" w:rsidP="004D5E5D">
            <w:pPr>
              <w:pStyle w:val="AERtabletextleft"/>
              <w:keepNext/>
              <w:keepLines/>
              <w:spacing w:before="120" w:line="240" w:lineRule="auto"/>
              <w:cnfStyle w:val="000000000000" w:firstRow="0" w:lastRow="0" w:firstColumn="0" w:lastColumn="0" w:oddVBand="0" w:evenVBand="0" w:oddHBand="0" w:evenHBand="0" w:firstRowFirstColumn="0" w:firstRowLastColumn="0" w:lastRowFirstColumn="0" w:lastRowLastColumn="0"/>
              <w:rPr>
                <w:rStyle w:val="AERtextbold"/>
              </w:rPr>
            </w:pPr>
          </w:p>
        </w:tc>
        <w:tc>
          <w:tcPr>
            <w:tcW w:w="1534" w:type="dxa"/>
            <w:gridSpan w:val="2"/>
            <w:noWrap/>
            <w:hideMark/>
          </w:tcPr>
          <w:p w:rsidR="009916C7" w:rsidRPr="00026336" w:rsidRDefault="009916C7" w:rsidP="004D5E5D">
            <w:pPr>
              <w:pStyle w:val="AERtabletextleft"/>
              <w:keepNext/>
              <w:keepLines/>
              <w:spacing w:before="120" w:line="240" w:lineRule="auto"/>
              <w:cnfStyle w:val="000000000000" w:firstRow="0" w:lastRow="0" w:firstColumn="0" w:lastColumn="0" w:oddVBand="0" w:evenVBand="0" w:oddHBand="0" w:evenHBand="0" w:firstRowFirstColumn="0" w:firstRowLastColumn="0" w:lastRowFirstColumn="0" w:lastRowLastColumn="0"/>
              <w:rPr>
                <w:rStyle w:val="AERtextbold"/>
              </w:rPr>
            </w:pPr>
          </w:p>
        </w:tc>
      </w:tr>
      <w:tr w:rsidR="009916C7" w:rsidRPr="00972BC0" w:rsidTr="005E15B8">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119" w:type="dxa"/>
            <w:gridSpan w:val="2"/>
            <w:noWrap/>
            <w:hideMark/>
          </w:tcPr>
          <w:p w:rsidR="009916C7" w:rsidRPr="009916C7" w:rsidRDefault="009916C7" w:rsidP="004D5E5D">
            <w:pPr>
              <w:pStyle w:val="AERtabletextleft"/>
              <w:keepNext/>
              <w:keepLines/>
              <w:spacing w:before="120" w:line="240" w:lineRule="auto"/>
            </w:pPr>
            <w:r w:rsidRPr="004D1FDB">
              <w:t>Revenue ($m, nominal)</w:t>
            </w:r>
          </w:p>
        </w:tc>
        <w:tc>
          <w:tcPr>
            <w:tcW w:w="1019"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4D1FDB">
              <w:t>268</w:t>
            </w:r>
          </w:p>
        </w:tc>
        <w:tc>
          <w:tcPr>
            <w:tcW w:w="1020" w:type="dxa"/>
            <w:gridSpan w:val="2"/>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4D1FDB">
              <w:t>270</w:t>
            </w:r>
          </w:p>
        </w:tc>
        <w:tc>
          <w:tcPr>
            <w:tcW w:w="1020" w:type="dxa"/>
            <w:gridSpan w:val="2"/>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4D1FDB">
              <w:t>275</w:t>
            </w:r>
          </w:p>
        </w:tc>
        <w:tc>
          <w:tcPr>
            <w:tcW w:w="1019"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4D1FDB">
              <w:t>281</w:t>
            </w:r>
          </w:p>
        </w:tc>
        <w:tc>
          <w:tcPr>
            <w:tcW w:w="1020" w:type="dxa"/>
            <w:gridSpan w:val="2"/>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4D1FDB">
              <w:t>286</w:t>
            </w:r>
          </w:p>
        </w:tc>
        <w:tc>
          <w:tcPr>
            <w:tcW w:w="1020"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4D1FDB">
              <w:t>292</w:t>
            </w:r>
          </w:p>
        </w:tc>
      </w:tr>
      <w:tr w:rsidR="009916C7" w:rsidRPr="00972BC0" w:rsidTr="005E15B8">
        <w:trPr>
          <w:trHeight w:val="296"/>
        </w:trPr>
        <w:tc>
          <w:tcPr>
            <w:cnfStyle w:val="001000000000" w:firstRow="0" w:lastRow="0" w:firstColumn="1" w:lastColumn="0" w:oddVBand="0" w:evenVBand="0" w:oddHBand="0" w:evenHBand="0" w:firstRowFirstColumn="0" w:firstRowLastColumn="0" w:lastRowFirstColumn="0" w:lastRowLastColumn="0"/>
            <w:tcW w:w="3119" w:type="dxa"/>
            <w:gridSpan w:val="2"/>
            <w:noWrap/>
            <w:hideMark/>
          </w:tcPr>
          <w:p w:rsidR="009916C7" w:rsidRPr="009916C7" w:rsidRDefault="009916C7" w:rsidP="004D5E5D">
            <w:pPr>
              <w:pStyle w:val="AERtabletextleft"/>
              <w:keepNext/>
              <w:keepLines/>
              <w:spacing w:before="120" w:line="240" w:lineRule="auto"/>
            </w:pPr>
            <w:r w:rsidRPr="004D1FDB">
              <w:t xml:space="preserve">Price path </w:t>
            </w:r>
            <w:r w:rsidRPr="009916C7">
              <w:t>(nominal index)</w:t>
            </w:r>
          </w:p>
        </w:tc>
        <w:tc>
          <w:tcPr>
            <w:tcW w:w="1019"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4D1FDB">
              <w:t>1.00</w:t>
            </w:r>
          </w:p>
        </w:tc>
        <w:tc>
          <w:tcPr>
            <w:tcW w:w="1020" w:type="dxa"/>
            <w:gridSpan w:val="2"/>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4D1FDB">
              <w:t>1.00</w:t>
            </w:r>
          </w:p>
        </w:tc>
        <w:tc>
          <w:tcPr>
            <w:tcW w:w="1020" w:type="dxa"/>
            <w:gridSpan w:val="2"/>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4D1FDB">
              <w:t>1.02</w:t>
            </w:r>
          </w:p>
        </w:tc>
        <w:tc>
          <w:tcPr>
            <w:tcW w:w="1019"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4D1FDB">
              <w:t>1.04</w:t>
            </w:r>
          </w:p>
        </w:tc>
        <w:tc>
          <w:tcPr>
            <w:tcW w:w="1020" w:type="dxa"/>
            <w:gridSpan w:val="2"/>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4D1FDB">
              <w:t>1.05</w:t>
            </w:r>
          </w:p>
        </w:tc>
        <w:tc>
          <w:tcPr>
            <w:tcW w:w="1020"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4D1FDB">
              <w:t>1.06</w:t>
            </w:r>
          </w:p>
        </w:tc>
      </w:tr>
      <w:tr w:rsidR="00C16381" w:rsidRPr="00972BC0" w:rsidTr="005E15B8">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119" w:type="dxa"/>
            <w:gridSpan w:val="2"/>
            <w:noWrap/>
            <w:hideMark/>
          </w:tcPr>
          <w:p w:rsidR="00C16381" w:rsidRPr="009916C7" w:rsidRDefault="00C16381" w:rsidP="004D5E5D">
            <w:pPr>
              <w:pStyle w:val="AERtabletextleft"/>
              <w:keepNext/>
              <w:keepLines/>
              <w:spacing w:before="120" w:line="240" w:lineRule="auto"/>
            </w:pPr>
            <w:r w:rsidRPr="004D1FDB">
              <w:t>Revenue (change %)</w:t>
            </w:r>
          </w:p>
        </w:tc>
        <w:tc>
          <w:tcPr>
            <w:tcW w:w="1019" w:type="dxa"/>
            <w:noWrap/>
            <w:hideMark/>
          </w:tcPr>
          <w:p w:rsidR="00C16381" w:rsidRPr="009916C7"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4D1FDB">
              <w:t>n</w:t>
            </w:r>
            <w:r>
              <w:t>/</w:t>
            </w:r>
            <w:r w:rsidRPr="004D1FDB">
              <w:t>a</w:t>
            </w:r>
          </w:p>
        </w:tc>
        <w:tc>
          <w:tcPr>
            <w:tcW w:w="1020" w:type="dxa"/>
            <w:gridSpan w:val="2"/>
            <w:noWrap/>
            <w:hideMark/>
          </w:tcPr>
          <w:p w:rsidR="00C16381" w:rsidRPr="009916C7"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4D1FDB">
              <w:t>0.5%</w:t>
            </w:r>
          </w:p>
        </w:tc>
        <w:tc>
          <w:tcPr>
            <w:tcW w:w="1020" w:type="dxa"/>
            <w:gridSpan w:val="2"/>
            <w:noWrap/>
            <w:hideMark/>
          </w:tcPr>
          <w:p w:rsidR="00C16381" w:rsidRPr="009916C7"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4D1FDB">
              <w:t>2.0%</w:t>
            </w:r>
          </w:p>
        </w:tc>
        <w:tc>
          <w:tcPr>
            <w:tcW w:w="1019" w:type="dxa"/>
            <w:noWrap/>
            <w:hideMark/>
          </w:tcPr>
          <w:p w:rsidR="00C16381" w:rsidRPr="009916C7"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4D1FDB">
              <w:t>2.0%</w:t>
            </w:r>
          </w:p>
        </w:tc>
        <w:tc>
          <w:tcPr>
            <w:tcW w:w="1020" w:type="dxa"/>
            <w:gridSpan w:val="2"/>
            <w:noWrap/>
            <w:hideMark/>
          </w:tcPr>
          <w:p w:rsidR="00C16381" w:rsidRPr="009916C7"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4D1FDB">
              <w:t>2.0%</w:t>
            </w:r>
          </w:p>
        </w:tc>
        <w:tc>
          <w:tcPr>
            <w:tcW w:w="1020" w:type="dxa"/>
            <w:noWrap/>
            <w:hideMark/>
          </w:tcPr>
          <w:p w:rsidR="00C16381" w:rsidRPr="009916C7"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4D1FDB">
              <w:t>2.0%</w:t>
            </w:r>
          </w:p>
        </w:tc>
      </w:tr>
      <w:tr w:rsidR="00C16381" w:rsidRPr="00972BC0" w:rsidTr="005E15B8">
        <w:trPr>
          <w:trHeight w:val="296"/>
        </w:trPr>
        <w:tc>
          <w:tcPr>
            <w:cnfStyle w:val="001000000000" w:firstRow="0" w:lastRow="0" w:firstColumn="1" w:lastColumn="0" w:oddVBand="0" w:evenVBand="0" w:oddHBand="0" w:evenHBand="0" w:firstRowFirstColumn="0" w:firstRowLastColumn="0" w:lastRowFirstColumn="0" w:lastRowLastColumn="0"/>
            <w:tcW w:w="3119" w:type="dxa"/>
            <w:gridSpan w:val="2"/>
            <w:noWrap/>
            <w:hideMark/>
          </w:tcPr>
          <w:p w:rsidR="00C16381" w:rsidRPr="009916C7" w:rsidRDefault="00C16381" w:rsidP="004D5E5D">
            <w:pPr>
              <w:pStyle w:val="AERtabletextleft"/>
              <w:keepNext/>
              <w:keepLines/>
              <w:spacing w:before="120" w:line="240" w:lineRule="auto"/>
            </w:pPr>
            <w:r w:rsidRPr="004D1FDB">
              <w:t>Price path (change %)</w:t>
            </w:r>
          </w:p>
        </w:tc>
        <w:tc>
          <w:tcPr>
            <w:tcW w:w="1019" w:type="dxa"/>
            <w:noWrap/>
            <w:hideMark/>
          </w:tcPr>
          <w:p w:rsidR="00C16381" w:rsidRPr="009916C7"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4D1FDB">
              <w:t>n</w:t>
            </w:r>
            <w:r>
              <w:t>/</w:t>
            </w:r>
            <w:r w:rsidRPr="004D1FDB">
              <w:t>a</w:t>
            </w:r>
          </w:p>
        </w:tc>
        <w:tc>
          <w:tcPr>
            <w:tcW w:w="1020" w:type="dxa"/>
            <w:gridSpan w:val="2"/>
            <w:noWrap/>
            <w:hideMark/>
          </w:tcPr>
          <w:p w:rsidR="00C16381" w:rsidRPr="009916C7"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4D1FDB">
              <w:t>0.2%</w:t>
            </w:r>
          </w:p>
        </w:tc>
        <w:tc>
          <w:tcPr>
            <w:tcW w:w="1020" w:type="dxa"/>
            <w:gridSpan w:val="2"/>
            <w:noWrap/>
            <w:hideMark/>
          </w:tcPr>
          <w:p w:rsidR="00C16381" w:rsidRPr="009916C7"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4D1FDB">
              <w:t>1.9%</w:t>
            </w:r>
          </w:p>
        </w:tc>
        <w:tc>
          <w:tcPr>
            <w:tcW w:w="1019" w:type="dxa"/>
            <w:noWrap/>
            <w:hideMark/>
          </w:tcPr>
          <w:p w:rsidR="00C16381" w:rsidRPr="009916C7"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4D1FDB">
              <w:t>1.5%</w:t>
            </w:r>
          </w:p>
        </w:tc>
        <w:tc>
          <w:tcPr>
            <w:tcW w:w="1020" w:type="dxa"/>
            <w:gridSpan w:val="2"/>
            <w:noWrap/>
            <w:hideMark/>
          </w:tcPr>
          <w:p w:rsidR="00C16381" w:rsidRPr="009916C7"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4D1FDB">
              <w:t>1.2%</w:t>
            </w:r>
          </w:p>
        </w:tc>
        <w:tc>
          <w:tcPr>
            <w:tcW w:w="1020" w:type="dxa"/>
            <w:noWrap/>
            <w:hideMark/>
          </w:tcPr>
          <w:p w:rsidR="00C16381" w:rsidRPr="009916C7"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4D1FDB">
              <w:t>0.9%</w:t>
            </w:r>
          </w:p>
        </w:tc>
      </w:tr>
      <w:tr w:rsidR="00EB6D29" w:rsidRPr="00033DA9" w:rsidTr="005E15B8">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237" w:type="dxa"/>
            <w:gridSpan w:val="11"/>
            <w:noWrap/>
            <w:hideMark/>
          </w:tcPr>
          <w:p w:rsidR="00EB6D29" w:rsidRPr="00026336" w:rsidRDefault="00EB6D29" w:rsidP="004D5E5D">
            <w:pPr>
              <w:pStyle w:val="AERtabletextleft"/>
              <w:keepNext/>
              <w:keepLines/>
              <w:spacing w:before="120" w:line="240" w:lineRule="auto"/>
              <w:rPr>
                <w:rStyle w:val="AERtextbold"/>
              </w:rPr>
            </w:pPr>
            <w:r w:rsidRPr="00026336">
              <w:rPr>
                <w:rStyle w:val="AERtextbold"/>
              </w:rPr>
              <w:t>AER substitute revenue and price path</w:t>
            </w:r>
          </w:p>
        </w:tc>
      </w:tr>
      <w:tr w:rsidR="00C16381" w:rsidRPr="00972BC0" w:rsidTr="005E15B8">
        <w:trPr>
          <w:trHeight w:val="296"/>
        </w:trPr>
        <w:tc>
          <w:tcPr>
            <w:cnfStyle w:val="001000000000" w:firstRow="0" w:lastRow="0" w:firstColumn="1" w:lastColumn="0" w:oddVBand="0" w:evenVBand="0" w:oddHBand="0" w:evenHBand="0" w:firstRowFirstColumn="0" w:firstRowLastColumn="0" w:lastRowFirstColumn="0" w:lastRowLastColumn="0"/>
            <w:tcW w:w="3119" w:type="dxa"/>
            <w:gridSpan w:val="2"/>
            <w:noWrap/>
            <w:hideMark/>
          </w:tcPr>
          <w:p w:rsidR="00C16381" w:rsidRPr="009916C7" w:rsidRDefault="00C16381" w:rsidP="004D5E5D">
            <w:pPr>
              <w:pStyle w:val="AERtabletextleft"/>
              <w:keepNext/>
              <w:keepLines/>
              <w:spacing w:before="120" w:line="240" w:lineRule="auto"/>
            </w:pPr>
            <w:r w:rsidRPr="004D1FDB">
              <w:t>Revenue ($m, nominal)</w:t>
            </w:r>
          </w:p>
        </w:tc>
        <w:tc>
          <w:tcPr>
            <w:tcW w:w="1019" w:type="dxa"/>
            <w:noWrap/>
            <w:hideMark/>
          </w:tcPr>
          <w:p w:rsidR="00C16381" w:rsidRPr="009916C7"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4D1FDB">
              <w:t>268</w:t>
            </w:r>
          </w:p>
        </w:tc>
        <w:tc>
          <w:tcPr>
            <w:tcW w:w="1020" w:type="dxa"/>
            <w:gridSpan w:val="2"/>
            <w:noWrap/>
            <w:hideMark/>
          </w:tcPr>
          <w:p w:rsidR="00C16381" w:rsidRPr="009916C7"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4D1FDB">
              <w:t>252</w:t>
            </w:r>
          </w:p>
        </w:tc>
        <w:tc>
          <w:tcPr>
            <w:tcW w:w="1020" w:type="dxa"/>
            <w:gridSpan w:val="2"/>
            <w:noWrap/>
            <w:hideMark/>
          </w:tcPr>
          <w:p w:rsidR="00C16381" w:rsidRPr="009916C7"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4D1FDB">
              <w:t>257</w:t>
            </w:r>
          </w:p>
        </w:tc>
        <w:tc>
          <w:tcPr>
            <w:tcW w:w="1019" w:type="dxa"/>
            <w:noWrap/>
            <w:hideMark/>
          </w:tcPr>
          <w:p w:rsidR="00C16381" w:rsidRPr="009916C7"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4D1FDB">
              <w:t>262</w:t>
            </w:r>
          </w:p>
        </w:tc>
        <w:tc>
          <w:tcPr>
            <w:tcW w:w="1020" w:type="dxa"/>
            <w:gridSpan w:val="2"/>
            <w:noWrap/>
            <w:hideMark/>
          </w:tcPr>
          <w:p w:rsidR="00C16381" w:rsidRPr="009916C7"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4D1FDB">
              <w:t>268</w:t>
            </w:r>
          </w:p>
        </w:tc>
        <w:tc>
          <w:tcPr>
            <w:tcW w:w="1020" w:type="dxa"/>
            <w:noWrap/>
            <w:hideMark/>
          </w:tcPr>
          <w:p w:rsidR="00C16381" w:rsidRPr="009916C7"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4D1FDB">
              <w:t>273</w:t>
            </w:r>
          </w:p>
        </w:tc>
      </w:tr>
      <w:tr w:rsidR="00C16381" w:rsidRPr="00972BC0" w:rsidTr="005E15B8">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119" w:type="dxa"/>
            <w:gridSpan w:val="2"/>
            <w:noWrap/>
            <w:hideMark/>
          </w:tcPr>
          <w:p w:rsidR="00C16381" w:rsidRPr="009916C7" w:rsidRDefault="00C16381" w:rsidP="004D5E5D">
            <w:pPr>
              <w:pStyle w:val="AERtabletextleft"/>
              <w:keepNext/>
              <w:keepLines/>
              <w:spacing w:before="120" w:line="240" w:lineRule="auto"/>
            </w:pPr>
            <w:r w:rsidRPr="004D1FDB">
              <w:t>Price path (nominal index)</w:t>
            </w:r>
          </w:p>
        </w:tc>
        <w:tc>
          <w:tcPr>
            <w:tcW w:w="1019" w:type="dxa"/>
            <w:noWrap/>
            <w:hideMark/>
          </w:tcPr>
          <w:p w:rsidR="00C16381" w:rsidRPr="009916C7"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4D1FDB">
              <w:t>1.00</w:t>
            </w:r>
          </w:p>
        </w:tc>
        <w:tc>
          <w:tcPr>
            <w:tcW w:w="1020" w:type="dxa"/>
            <w:gridSpan w:val="2"/>
            <w:noWrap/>
            <w:hideMark/>
          </w:tcPr>
          <w:p w:rsidR="00C16381" w:rsidRPr="009916C7"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4D1FDB">
              <w:t>0.94</w:t>
            </w:r>
          </w:p>
        </w:tc>
        <w:tc>
          <w:tcPr>
            <w:tcW w:w="1020" w:type="dxa"/>
            <w:gridSpan w:val="2"/>
            <w:noWrap/>
            <w:hideMark/>
          </w:tcPr>
          <w:p w:rsidR="00C16381" w:rsidRPr="009916C7"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4D1FDB">
              <w:t>0.95</w:t>
            </w:r>
          </w:p>
        </w:tc>
        <w:tc>
          <w:tcPr>
            <w:tcW w:w="1019" w:type="dxa"/>
            <w:noWrap/>
            <w:hideMark/>
          </w:tcPr>
          <w:p w:rsidR="00C16381" w:rsidRPr="009916C7"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4D1FDB">
              <w:t>0.97</w:t>
            </w:r>
          </w:p>
        </w:tc>
        <w:tc>
          <w:tcPr>
            <w:tcW w:w="1020" w:type="dxa"/>
            <w:gridSpan w:val="2"/>
            <w:noWrap/>
            <w:hideMark/>
          </w:tcPr>
          <w:p w:rsidR="00C16381" w:rsidRPr="009916C7"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4D1FDB">
              <w:t>0.98</w:t>
            </w:r>
          </w:p>
        </w:tc>
        <w:tc>
          <w:tcPr>
            <w:tcW w:w="1020" w:type="dxa"/>
            <w:noWrap/>
            <w:hideMark/>
          </w:tcPr>
          <w:p w:rsidR="00C16381" w:rsidRPr="009916C7"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4D1FDB">
              <w:t>0.99</w:t>
            </w:r>
          </w:p>
        </w:tc>
      </w:tr>
      <w:tr w:rsidR="00C16381" w:rsidRPr="00972BC0" w:rsidTr="005E15B8">
        <w:trPr>
          <w:trHeight w:val="296"/>
        </w:trPr>
        <w:tc>
          <w:tcPr>
            <w:cnfStyle w:val="001000000000" w:firstRow="0" w:lastRow="0" w:firstColumn="1" w:lastColumn="0" w:oddVBand="0" w:evenVBand="0" w:oddHBand="0" w:evenHBand="0" w:firstRowFirstColumn="0" w:firstRowLastColumn="0" w:lastRowFirstColumn="0" w:lastRowLastColumn="0"/>
            <w:tcW w:w="3119" w:type="dxa"/>
            <w:gridSpan w:val="2"/>
            <w:noWrap/>
            <w:hideMark/>
          </w:tcPr>
          <w:p w:rsidR="00C16381" w:rsidRPr="009916C7" w:rsidRDefault="00C16381" w:rsidP="004D5E5D">
            <w:pPr>
              <w:pStyle w:val="AERtabletextleft"/>
              <w:keepNext/>
              <w:keepLines/>
              <w:spacing w:before="120" w:line="240" w:lineRule="auto"/>
            </w:pPr>
            <w:r w:rsidRPr="004D1FDB">
              <w:t>Revenue (change %)</w:t>
            </w:r>
          </w:p>
        </w:tc>
        <w:tc>
          <w:tcPr>
            <w:tcW w:w="1019" w:type="dxa"/>
            <w:noWrap/>
            <w:hideMark/>
          </w:tcPr>
          <w:p w:rsidR="00C16381" w:rsidRPr="009916C7"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4D1FDB">
              <w:t>n</w:t>
            </w:r>
            <w:r>
              <w:t>/</w:t>
            </w:r>
            <w:r w:rsidRPr="004D1FDB">
              <w:t>a</w:t>
            </w:r>
          </w:p>
        </w:tc>
        <w:tc>
          <w:tcPr>
            <w:tcW w:w="1020" w:type="dxa"/>
            <w:gridSpan w:val="2"/>
            <w:noWrap/>
            <w:hideMark/>
          </w:tcPr>
          <w:p w:rsidR="00C16381" w:rsidRPr="009916C7"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4D1FDB">
              <w:t>-6.0%</w:t>
            </w:r>
          </w:p>
        </w:tc>
        <w:tc>
          <w:tcPr>
            <w:tcW w:w="1020" w:type="dxa"/>
            <w:gridSpan w:val="2"/>
            <w:noWrap/>
            <w:hideMark/>
          </w:tcPr>
          <w:p w:rsidR="00C16381" w:rsidRPr="009916C7"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4D1FDB">
              <w:t>2.0%</w:t>
            </w:r>
          </w:p>
        </w:tc>
        <w:tc>
          <w:tcPr>
            <w:tcW w:w="1019" w:type="dxa"/>
            <w:noWrap/>
            <w:hideMark/>
          </w:tcPr>
          <w:p w:rsidR="00C16381" w:rsidRPr="009916C7"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4D1FDB">
              <w:t>2.0%</w:t>
            </w:r>
          </w:p>
        </w:tc>
        <w:tc>
          <w:tcPr>
            <w:tcW w:w="1020" w:type="dxa"/>
            <w:gridSpan w:val="2"/>
            <w:noWrap/>
            <w:hideMark/>
          </w:tcPr>
          <w:p w:rsidR="00C16381" w:rsidRPr="009916C7"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4D1FDB">
              <w:t>2.0%</w:t>
            </w:r>
          </w:p>
        </w:tc>
        <w:tc>
          <w:tcPr>
            <w:tcW w:w="1020" w:type="dxa"/>
            <w:noWrap/>
            <w:hideMark/>
          </w:tcPr>
          <w:p w:rsidR="00C16381" w:rsidRPr="009916C7"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4D1FDB">
              <w:t>2.0%</w:t>
            </w:r>
          </w:p>
        </w:tc>
      </w:tr>
      <w:tr w:rsidR="00C16381" w:rsidRPr="00972BC0" w:rsidTr="005E15B8">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119" w:type="dxa"/>
            <w:gridSpan w:val="2"/>
            <w:noWrap/>
            <w:hideMark/>
          </w:tcPr>
          <w:p w:rsidR="00C16381" w:rsidRPr="009916C7" w:rsidRDefault="00C16381" w:rsidP="004D5E5D">
            <w:pPr>
              <w:pStyle w:val="AERtabletextleft"/>
              <w:keepNext/>
              <w:keepLines/>
              <w:spacing w:before="120" w:line="240" w:lineRule="auto"/>
            </w:pPr>
            <w:r w:rsidRPr="004D1FDB">
              <w:t>Price path (change %)</w:t>
            </w:r>
          </w:p>
        </w:tc>
        <w:tc>
          <w:tcPr>
            <w:tcW w:w="1019" w:type="dxa"/>
            <w:noWrap/>
            <w:hideMark/>
          </w:tcPr>
          <w:p w:rsidR="00C16381" w:rsidRPr="009916C7"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4D1FDB">
              <w:t>n</w:t>
            </w:r>
            <w:r>
              <w:t>/</w:t>
            </w:r>
            <w:r w:rsidRPr="004D1FDB">
              <w:t>a</w:t>
            </w:r>
          </w:p>
        </w:tc>
        <w:tc>
          <w:tcPr>
            <w:tcW w:w="1020" w:type="dxa"/>
            <w:gridSpan w:val="2"/>
            <w:noWrap/>
            <w:hideMark/>
          </w:tcPr>
          <w:p w:rsidR="00C16381" w:rsidRPr="009916C7"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4D1FDB">
              <w:t>-6.3%</w:t>
            </w:r>
          </w:p>
        </w:tc>
        <w:tc>
          <w:tcPr>
            <w:tcW w:w="1020" w:type="dxa"/>
            <w:gridSpan w:val="2"/>
            <w:noWrap/>
            <w:hideMark/>
          </w:tcPr>
          <w:p w:rsidR="00C16381" w:rsidRPr="009916C7"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4D1FDB">
              <w:t>1.9%</w:t>
            </w:r>
          </w:p>
        </w:tc>
        <w:tc>
          <w:tcPr>
            <w:tcW w:w="1019" w:type="dxa"/>
            <w:noWrap/>
            <w:hideMark/>
          </w:tcPr>
          <w:p w:rsidR="00C16381" w:rsidRPr="009916C7"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4D1FDB">
              <w:t>1.5%</w:t>
            </w:r>
          </w:p>
        </w:tc>
        <w:tc>
          <w:tcPr>
            <w:tcW w:w="1020" w:type="dxa"/>
            <w:gridSpan w:val="2"/>
            <w:noWrap/>
            <w:hideMark/>
          </w:tcPr>
          <w:p w:rsidR="00C16381" w:rsidRPr="009916C7"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4D1FDB">
              <w:t>1.2%</w:t>
            </w:r>
          </w:p>
        </w:tc>
        <w:tc>
          <w:tcPr>
            <w:tcW w:w="1020" w:type="dxa"/>
            <w:noWrap/>
            <w:hideMark/>
          </w:tcPr>
          <w:p w:rsidR="00C16381" w:rsidRPr="009916C7"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4D1FDB">
              <w:t>0.9%</w:t>
            </w:r>
          </w:p>
        </w:tc>
      </w:tr>
    </w:tbl>
    <w:p w:rsidR="009916C7" w:rsidRDefault="009916C7" w:rsidP="004D5E5D">
      <w:pPr>
        <w:pStyle w:val="AERtablesource"/>
        <w:keepNext/>
        <w:keepLines/>
      </w:pPr>
      <w:r w:rsidRPr="00972BC0">
        <w:t>Source:</w:t>
      </w:r>
      <w:r w:rsidRPr="00972BC0">
        <w:tab/>
        <w:t>AER analysis.</w:t>
      </w:r>
    </w:p>
    <w:p w:rsidR="009916C7" w:rsidRDefault="009916C7" w:rsidP="004D5E5D">
      <w:pPr>
        <w:pStyle w:val="AERtablesource"/>
        <w:keepNext/>
        <w:keepLines/>
        <w:tabs>
          <w:tab w:val="left" w:pos="851"/>
          <w:tab w:val="left" w:pos="1134"/>
        </w:tabs>
        <w:ind w:left="1134" w:hanging="1134"/>
      </w:pPr>
      <w:r w:rsidRPr="001E3601">
        <w:t>Notes:</w:t>
      </w:r>
      <w:r w:rsidRPr="001E3601">
        <w:tab/>
        <w:t>Numbers may not sum due to rounding.</w:t>
      </w:r>
    </w:p>
    <w:p w:rsidR="009916C7" w:rsidRPr="001E3601" w:rsidRDefault="009916C7" w:rsidP="004D5E5D">
      <w:pPr>
        <w:pStyle w:val="AERtablesource"/>
        <w:keepNext/>
        <w:keepLines/>
        <w:tabs>
          <w:tab w:val="clear" w:pos="794"/>
          <w:tab w:val="left" w:pos="851"/>
        </w:tabs>
      </w:pPr>
      <w:r>
        <w:tab/>
        <w:t>Ausgri</w:t>
      </w:r>
      <w:r w:rsidRPr="00BC28CE">
        <w:t xml:space="preserve">d has </w:t>
      </w:r>
      <w:r>
        <w:t>an</w:t>
      </w:r>
      <w:r w:rsidRPr="00BC28CE">
        <w:t xml:space="preserve"> under</w:t>
      </w:r>
      <w:r>
        <w:t>-</w:t>
      </w:r>
      <w:r w:rsidRPr="00BC28CE">
        <w:t>recovery of $</w:t>
      </w:r>
      <w:r>
        <w:t>19.8 </w:t>
      </w:r>
      <w:r w:rsidRPr="00BC28CE">
        <w:t xml:space="preserve">million in </w:t>
      </w:r>
      <w:r>
        <w:t>its allowed revenue for 2013–14</w:t>
      </w:r>
      <w:r w:rsidRPr="00BC28CE">
        <w:t xml:space="preserve">. </w:t>
      </w:r>
      <w:r>
        <w:t>Ausgrid's TRP indicated this</w:t>
      </w:r>
      <w:r w:rsidR="004D5E5D">
        <w:t xml:space="preserve"> amount is </w:t>
      </w:r>
      <w:r>
        <w:t xml:space="preserve">to be recovered in the transitional regulatory control period and would flow through to transmission prices for customers independently of </w:t>
      </w:r>
      <w:r w:rsidR="00E05D13">
        <w:t>our placeholder</w:t>
      </w:r>
      <w:r>
        <w:t xml:space="preserve"> determination. </w:t>
      </w:r>
      <w:r w:rsidRPr="00BC28CE">
        <w:t xml:space="preserve">The AER’s substitute revenue in </w:t>
      </w:r>
      <w:r>
        <w:t xml:space="preserve">this </w:t>
      </w:r>
      <w:r w:rsidRPr="00BC28CE">
        <w:t xml:space="preserve">table does not include recovery of any of this amount in </w:t>
      </w:r>
      <w:r>
        <w:t>2014–15.</w:t>
      </w:r>
    </w:p>
    <w:p w:rsidR="009916C7" w:rsidRDefault="00E52E96" w:rsidP="009916C7">
      <w:pPr>
        <w:pStyle w:val="AERbodytext"/>
        <w:numPr>
          <w:ilvl w:val="0"/>
          <w:numId w:val="6"/>
        </w:numPr>
      </w:pPr>
      <w:r>
        <w:lastRenderedPageBreak/>
        <w:fldChar w:fldCharType="begin"/>
      </w:r>
      <w:r>
        <w:instrText xml:space="preserve"> REF _Ref385313183 \h </w:instrText>
      </w:r>
      <w:r>
        <w:fldChar w:fldCharType="separate"/>
      </w:r>
      <w:r w:rsidR="00E313D7">
        <w:t xml:space="preserve">Table </w:t>
      </w:r>
      <w:r w:rsidR="00E313D7">
        <w:rPr>
          <w:noProof/>
        </w:rPr>
        <w:t>4</w:t>
      </w:r>
      <w:r w:rsidR="00E313D7">
        <w:t>.</w:t>
      </w:r>
      <w:r w:rsidR="00E313D7">
        <w:rPr>
          <w:noProof/>
        </w:rPr>
        <w:t>4</w:t>
      </w:r>
      <w:r>
        <w:fldChar w:fldCharType="end"/>
      </w:r>
      <w:r>
        <w:t xml:space="preserve"> and </w:t>
      </w:r>
      <w:r w:rsidR="00F95820">
        <w:fldChar w:fldCharType="begin"/>
      </w:r>
      <w:r w:rsidR="00F95820">
        <w:instrText xml:space="preserve"> REF  _Ref385313197 \* FirstCap \h </w:instrText>
      </w:r>
      <w:r w:rsidR="00F95820">
        <w:fldChar w:fldCharType="separate"/>
      </w:r>
      <w:r w:rsidR="00E313D7">
        <w:t xml:space="preserve">Table </w:t>
      </w:r>
      <w:r w:rsidR="00E313D7">
        <w:rPr>
          <w:noProof/>
        </w:rPr>
        <w:t>4</w:t>
      </w:r>
      <w:r w:rsidR="00E313D7">
        <w:t>.</w:t>
      </w:r>
      <w:r w:rsidR="00E313D7">
        <w:rPr>
          <w:noProof/>
        </w:rPr>
        <w:t>5</w:t>
      </w:r>
      <w:r w:rsidR="00F95820">
        <w:fldChar w:fldCharType="end"/>
      </w:r>
      <w:r>
        <w:t xml:space="preserve"> </w:t>
      </w:r>
      <w:r w:rsidR="009916C7">
        <w:t>respectively show our indicative revenue allowances for Ausgrid's distribution and transmission networks over the transitional and subsequent regulatory control periods. They show the break down by the key building block components. For distribution, it also shows the metering costs and revenues to be recovered separately from DUOS charges through ANS fees and ERW charges. To determine DUOS charges, the ANS and ERW revenues need to be deducted to prevent double recovery.</w:t>
      </w:r>
    </w:p>
    <w:p w:rsidR="009916C7" w:rsidRDefault="00F27D91" w:rsidP="00EB6D29">
      <w:pPr>
        <w:pStyle w:val="Caption"/>
        <w:jc w:val="left"/>
      </w:pPr>
      <w:bookmarkStart w:id="90" w:name="_Ref385313183"/>
      <w:bookmarkStart w:id="91" w:name="_Ref383436417"/>
      <w:bookmarkStart w:id="92" w:name="_Ref383099062"/>
      <w:r>
        <w:t xml:space="preserve">Table </w:t>
      </w:r>
      <w:r w:rsidR="00DD155E">
        <w:fldChar w:fldCharType="begin"/>
      </w:r>
      <w:r w:rsidR="00DD155E">
        <w:instrText xml:space="preserve"> STYLEREF 1 \s </w:instrText>
      </w:r>
      <w:r w:rsidR="00DD155E">
        <w:fldChar w:fldCharType="separate"/>
      </w:r>
      <w:r w:rsidR="00E313D7">
        <w:rPr>
          <w:noProof/>
        </w:rPr>
        <w:t>4</w:t>
      </w:r>
      <w:r w:rsidR="00DD155E">
        <w:rPr>
          <w:noProof/>
        </w:rPr>
        <w:fldChar w:fldCharType="end"/>
      </w:r>
      <w:r w:rsidR="00804FE8">
        <w:t>.</w:t>
      </w:r>
      <w:r w:rsidR="00DD155E">
        <w:fldChar w:fldCharType="begin"/>
      </w:r>
      <w:r w:rsidR="00DD155E">
        <w:instrText xml:space="preserve"> SEQ Table \* ARABIC \s 1 </w:instrText>
      </w:r>
      <w:r w:rsidR="00DD155E">
        <w:fldChar w:fldCharType="separate"/>
      </w:r>
      <w:r w:rsidR="00E313D7">
        <w:rPr>
          <w:noProof/>
        </w:rPr>
        <w:t>4</w:t>
      </w:r>
      <w:r w:rsidR="00DD155E">
        <w:rPr>
          <w:noProof/>
        </w:rPr>
        <w:fldChar w:fldCharType="end"/>
      </w:r>
      <w:bookmarkEnd w:id="90"/>
      <w:r>
        <w:tab/>
      </w:r>
      <w:bookmarkEnd w:id="91"/>
      <w:r w:rsidR="009916C7">
        <w:t>AER's revenue assessment for Ausgrid – distribution ($m, nominal)</w:t>
      </w:r>
    </w:p>
    <w:bookmarkEnd w:id="92"/>
    <w:tbl>
      <w:tblPr>
        <w:tblStyle w:val="AERtable-numbers"/>
        <w:tblW w:w="9180" w:type="dxa"/>
        <w:tblLayout w:type="fixed"/>
        <w:tblLook w:val="04A0" w:firstRow="1" w:lastRow="0" w:firstColumn="1" w:lastColumn="0" w:noHBand="0" w:noVBand="1"/>
      </w:tblPr>
      <w:tblGrid>
        <w:gridCol w:w="3097"/>
        <w:gridCol w:w="1013"/>
        <w:gridCol w:w="1014"/>
        <w:gridCol w:w="1014"/>
        <w:gridCol w:w="1014"/>
        <w:gridCol w:w="1014"/>
        <w:gridCol w:w="1014"/>
      </w:tblGrid>
      <w:tr w:rsidR="009916C7" w:rsidRPr="006F1095" w:rsidTr="00EB6D29">
        <w:trPr>
          <w:cnfStyle w:val="100000000000" w:firstRow="1" w:lastRow="0" w:firstColumn="0" w:lastColumn="0" w:oddVBand="0" w:evenVBand="0" w:oddHBand="0"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EB6D29">
            <w:pPr>
              <w:pStyle w:val="AERtabletextleft"/>
              <w:keepNext/>
              <w:keepLines/>
              <w:spacing w:before="120" w:line="240" w:lineRule="auto"/>
            </w:pPr>
          </w:p>
        </w:tc>
        <w:tc>
          <w:tcPr>
            <w:tcW w:w="1013" w:type="dxa"/>
            <w:noWrap/>
            <w:hideMark/>
          </w:tcPr>
          <w:p w:rsidR="009916C7" w:rsidRPr="009916C7" w:rsidRDefault="009916C7" w:rsidP="00EB6D29">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385651">
              <w:t>2013–14</w:t>
            </w:r>
          </w:p>
        </w:tc>
        <w:tc>
          <w:tcPr>
            <w:tcW w:w="1014" w:type="dxa"/>
            <w:noWrap/>
            <w:hideMark/>
          </w:tcPr>
          <w:p w:rsidR="009916C7" w:rsidRPr="009916C7" w:rsidRDefault="009916C7" w:rsidP="00EB6D29">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385651">
              <w:t>2014–15</w:t>
            </w:r>
          </w:p>
        </w:tc>
        <w:tc>
          <w:tcPr>
            <w:tcW w:w="1014" w:type="dxa"/>
            <w:noWrap/>
            <w:hideMark/>
          </w:tcPr>
          <w:p w:rsidR="009916C7" w:rsidRPr="009916C7" w:rsidRDefault="009916C7" w:rsidP="00EB6D29">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385651">
              <w:t>2015–16</w:t>
            </w:r>
          </w:p>
        </w:tc>
        <w:tc>
          <w:tcPr>
            <w:tcW w:w="1014" w:type="dxa"/>
            <w:noWrap/>
            <w:hideMark/>
          </w:tcPr>
          <w:p w:rsidR="009916C7" w:rsidRPr="009916C7" w:rsidRDefault="009916C7" w:rsidP="00EB6D29">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385651">
              <w:t>2016–17</w:t>
            </w:r>
          </w:p>
        </w:tc>
        <w:tc>
          <w:tcPr>
            <w:tcW w:w="1014" w:type="dxa"/>
            <w:noWrap/>
            <w:hideMark/>
          </w:tcPr>
          <w:p w:rsidR="009916C7" w:rsidRPr="009916C7" w:rsidRDefault="009916C7" w:rsidP="00EB6D29">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385651">
              <w:t>2017–18</w:t>
            </w:r>
          </w:p>
        </w:tc>
        <w:tc>
          <w:tcPr>
            <w:tcW w:w="1014" w:type="dxa"/>
            <w:noWrap/>
            <w:hideMark/>
          </w:tcPr>
          <w:p w:rsidR="009916C7" w:rsidRPr="009916C7" w:rsidRDefault="009916C7" w:rsidP="00EB6D29">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385651">
              <w:t>2018–19</w:t>
            </w:r>
          </w:p>
        </w:tc>
      </w:tr>
      <w:tr w:rsidR="009916C7" w:rsidRPr="006F1095" w:rsidTr="00EB6D29">
        <w:trPr>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EB6D29">
            <w:pPr>
              <w:pStyle w:val="AERtabletextleft"/>
              <w:keepNext/>
              <w:keepLines/>
              <w:spacing w:before="120" w:line="240" w:lineRule="auto"/>
            </w:pPr>
            <w:r w:rsidRPr="00026336">
              <w:t>Return on capital</w:t>
            </w:r>
          </w:p>
        </w:tc>
        <w:tc>
          <w:tcPr>
            <w:tcW w:w="1013" w:type="dxa"/>
            <w:noWrap/>
          </w:tcPr>
          <w:p w:rsidR="009916C7" w:rsidRPr="00026336"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p>
        </w:tc>
        <w:tc>
          <w:tcPr>
            <w:tcW w:w="1014" w:type="dxa"/>
            <w:noWra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026336">
              <w:t>990</w:t>
            </w:r>
          </w:p>
        </w:tc>
        <w:tc>
          <w:tcPr>
            <w:tcW w:w="1014" w:type="dxa"/>
            <w:noWra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026336">
              <w:t>1047</w:t>
            </w:r>
          </w:p>
        </w:tc>
        <w:tc>
          <w:tcPr>
            <w:tcW w:w="1014" w:type="dxa"/>
            <w:noWra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026336">
              <w:t>1108</w:t>
            </w:r>
          </w:p>
        </w:tc>
        <w:tc>
          <w:tcPr>
            <w:tcW w:w="1014" w:type="dxa"/>
            <w:noWra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026336">
              <w:t>1162</w:t>
            </w:r>
          </w:p>
        </w:tc>
        <w:tc>
          <w:tcPr>
            <w:tcW w:w="1014" w:type="dxa"/>
            <w:noWra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026336">
              <w:t>1215</w:t>
            </w:r>
          </w:p>
        </w:tc>
      </w:tr>
      <w:tr w:rsidR="009916C7" w:rsidRPr="006F1095" w:rsidTr="00EB6D29">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EB6D29">
            <w:pPr>
              <w:pStyle w:val="AERtabletextleft"/>
              <w:keepNext/>
              <w:keepLines/>
              <w:spacing w:before="120" w:line="240" w:lineRule="auto"/>
            </w:pPr>
            <w:r w:rsidRPr="00026336">
              <w:t>Return of capital</w:t>
            </w:r>
          </w:p>
        </w:tc>
        <w:tc>
          <w:tcPr>
            <w:tcW w:w="1013" w:type="dxa"/>
            <w:noWrap/>
          </w:tcPr>
          <w:p w:rsidR="009916C7" w:rsidRPr="00026336"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p>
        </w:tc>
        <w:tc>
          <w:tcPr>
            <w:tcW w:w="1014" w:type="dxa"/>
            <w:noWra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026336">
              <w:t>118</w:t>
            </w:r>
          </w:p>
        </w:tc>
        <w:tc>
          <w:tcPr>
            <w:tcW w:w="1014" w:type="dxa"/>
            <w:noWra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026336">
              <w:t>141</w:t>
            </w:r>
          </w:p>
        </w:tc>
        <w:tc>
          <w:tcPr>
            <w:tcW w:w="1014" w:type="dxa"/>
            <w:noWra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026336">
              <w:t>163</w:t>
            </w:r>
          </w:p>
        </w:tc>
        <w:tc>
          <w:tcPr>
            <w:tcW w:w="1014" w:type="dxa"/>
            <w:noWra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026336">
              <w:t>149</w:t>
            </w:r>
          </w:p>
        </w:tc>
        <w:tc>
          <w:tcPr>
            <w:tcW w:w="1014" w:type="dxa"/>
            <w:noWra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026336">
              <w:t>162</w:t>
            </w:r>
          </w:p>
        </w:tc>
      </w:tr>
      <w:tr w:rsidR="009916C7" w:rsidRPr="006F1095" w:rsidTr="00EB6D29">
        <w:trPr>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EB6D29">
            <w:pPr>
              <w:pStyle w:val="AERtabletextleft"/>
              <w:keepNext/>
              <w:keepLines/>
              <w:spacing w:before="120" w:line="240" w:lineRule="auto"/>
            </w:pPr>
            <w:r w:rsidRPr="00026336">
              <w:t>Operating expenditure</w:t>
            </w:r>
          </w:p>
        </w:tc>
        <w:tc>
          <w:tcPr>
            <w:tcW w:w="1013" w:type="dxa"/>
            <w:noWrap/>
          </w:tcPr>
          <w:p w:rsidR="009916C7" w:rsidRPr="00026336"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p>
        </w:tc>
        <w:tc>
          <w:tcPr>
            <w:tcW w:w="1014" w:type="dxa"/>
            <w:noWra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026336">
              <w:t>551</w:t>
            </w:r>
          </w:p>
        </w:tc>
        <w:tc>
          <w:tcPr>
            <w:tcW w:w="1014" w:type="dxa"/>
            <w:noWra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026336">
              <w:t>551</w:t>
            </w:r>
          </w:p>
        </w:tc>
        <w:tc>
          <w:tcPr>
            <w:tcW w:w="1014" w:type="dxa"/>
            <w:noWra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026336">
              <w:t>591</w:t>
            </w:r>
          </w:p>
        </w:tc>
        <w:tc>
          <w:tcPr>
            <w:tcW w:w="1014" w:type="dxa"/>
            <w:noWra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026336">
              <w:t>570</w:t>
            </w:r>
          </w:p>
        </w:tc>
        <w:tc>
          <w:tcPr>
            <w:tcW w:w="1014" w:type="dxa"/>
            <w:noWra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026336">
              <w:t>577</w:t>
            </w:r>
          </w:p>
        </w:tc>
      </w:tr>
      <w:tr w:rsidR="009916C7" w:rsidRPr="006F1095" w:rsidTr="00EB6D29">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EB6D29">
            <w:pPr>
              <w:pStyle w:val="AERtabletextleft"/>
              <w:keepNext/>
              <w:keepLines/>
              <w:spacing w:before="120" w:line="240" w:lineRule="auto"/>
            </w:pPr>
            <w:r w:rsidRPr="00026336">
              <w:t>Efficiency carryover</w:t>
            </w:r>
          </w:p>
        </w:tc>
        <w:tc>
          <w:tcPr>
            <w:tcW w:w="1013" w:type="dxa"/>
            <w:noWrap/>
          </w:tcPr>
          <w:p w:rsidR="009916C7" w:rsidRPr="00026336"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p>
        </w:tc>
        <w:tc>
          <w:tcPr>
            <w:tcW w:w="1014" w:type="dxa"/>
            <w:noWra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026336">
              <w:t>95</w:t>
            </w:r>
          </w:p>
        </w:tc>
        <w:tc>
          <w:tcPr>
            <w:tcW w:w="1014" w:type="dxa"/>
            <w:noWra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026336">
              <w:t>116</w:t>
            </w:r>
          </w:p>
        </w:tc>
        <w:tc>
          <w:tcPr>
            <w:tcW w:w="1014" w:type="dxa"/>
            <w:noWra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026336">
              <w:t>83</w:t>
            </w:r>
          </w:p>
        </w:tc>
        <w:tc>
          <w:tcPr>
            <w:tcW w:w="1014" w:type="dxa"/>
            <w:noWra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026336">
              <w:t>138</w:t>
            </w:r>
          </w:p>
        </w:tc>
        <w:tc>
          <w:tcPr>
            <w:tcW w:w="1014" w:type="dxa"/>
            <w:noWra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026336">
              <w:t>-</w:t>
            </w:r>
          </w:p>
        </w:tc>
      </w:tr>
      <w:tr w:rsidR="009916C7" w:rsidRPr="006F1095" w:rsidTr="00EB6D29">
        <w:trPr>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EB6D29">
            <w:pPr>
              <w:pStyle w:val="AERtabletextleft"/>
              <w:keepNext/>
              <w:keepLines/>
              <w:spacing w:before="120" w:line="240" w:lineRule="auto"/>
            </w:pPr>
            <w:r w:rsidRPr="00026336">
              <w:t>Net tax allowance</w:t>
            </w:r>
          </w:p>
        </w:tc>
        <w:tc>
          <w:tcPr>
            <w:tcW w:w="1013" w:type="dxa"/>
            <w:noWrap/>
          </w:tcPr>
          <w:p w:rsidR="009916C7" w:rsidRPr="00026336"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p>
        </w:tc>
        <w:tc>
          <w:tcPr>
            <w:tcW w:w="1014" w:type="dxa"/>
            <w:noWra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026336">
              <w:t>54</w:t>
            </w:r>
          </w:p>
        </w:tc>
        <w:tc>
          <w:tcPr>
            <w:tcW w:w="1014" w:type="dxa"/>
            <w:noWra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026336">
              <w:t>59</w:t>
            </w:r>
          </w:p>
        </w:tc>
        <w:tc>
          <w:tcPr>
            <w:tcW w:w="1014" w:type="dxa"/>
            <w:noWra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026336">
              <w:t>68</w:t>
            </w:r>
          </w:p>
        </w:tc>
        <w:tc>
          <w:tcPr>
            <w:tcW w:w="1014" w:type="dxa"/>
            <w:noWra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026336">
              <w:t>67</w:t>
            </w:r>
          </w:p>
        </w:tc>
        <w:tc>
          <w:tcPr>
            <w:tcW w:w="1014" w:type="dxa"/>
            <w:noWra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026336">
              <w:t>69</w:t>
            </w:r>
          </w:p>
        </w:tc>
      </w:tr>
      <w:tr w:rsidR="009916C7" w:rsidRPr="006F1095" w:rsidTr="00EB6D29">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EB6D29">
            <w:pPr>
              <w:pStyle w:val="AERtabletextleft"/>
              <w:keepNext/>
              <w:keepLines/>
              <w:spacing w:before="120" w:line="240" w:lineRule="auto"/>
            </w:pPr>
            <w:r w:rsidRPr="00026336">
              <w:t>Metering costs</w:t>
            </w:r>
          </w:p>
        </w:tc>
        <w:tc>
          <w:tcPr>
            <w:tcW w:w="1013" w:type="dxa"/>
            <w:noWrap/>
          </w:tcPr>
          <w:p w:rsidR="009916C7" w:rsidRPr="00026336"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p>
        </w:tc>
        <w:tc>
          <w:tcPr>
            <w:tcW w:w="1014" w:type="dxa"/>
            <w:noWra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026336">
              <w:t>70</w:t>
            </w:r>
          </w:p>
        </w:tc>
        <w:tc>
          <w:tcPr>
            <w:tcW w:w="1014" w:type="dxa"/>
            <w:noWrap/>
          </w:tcPr>
          <w:p w:rsidR="009916C7" w:rsidRPr="009916C7" w:rsidRDefault="00AF56BA"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t>75</w:t>
            </w:r>
          </w:p>
        </w:tc>
        <w:tc>
          <w:tcPr>
            <w:tcW w:w="1014" w:type="dxa"/>
            <w:noWrap/>
          </w:tcPr>
          <w:p w:rsidR="009916C7" w:rsidRPr="009916C7" w:rsidRDefault="00AF56BA"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t>80</w:t>
            </w:r>
          </w:p>
        </w:tc>
        <w:tc>
          <w:tcPr>
            <w:tcW w:w="1014" w:type="dxa"/>
            <w:noWrap/>
          </w:tcPr>
          <w:p w:rsidR="009916C7" w:rsidRPr="009916C7" w:rsidRDefault="00AF56BA"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t>77</w:t>
            </w:r>
          </w:p>
        </w:tc>
        <w:tc>
          <w:tcPr>
            <w:tcW w:w="1014" w:type="dxa"/>
            <w:noWrap/>
          </w:tcPr>
          <w:p w:rsidR="009916C7" w:rsidRPr="009916C7" w:rsidRDefault="00AF56BA"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t>79</w:t>
            </w:r>
          </w:p>
        </w:tc>
      </w:tr>
      <w:tr w:rsidR="009916C7" w:rsidRPr="006F1095" w:rsidTr="00EB6D29">
        <w:trPr>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EB6D29">
            <w:pPr>
              <w:pStyle w:val="AERtabletextleft"/>
              <w:keepNext/>
              <w:keepLines/>
              <w:spacing w:before="120" w:line="240" w:lineRule="auto"/>
            </w:pPr>
            <w:r w:rsidRPr="00026336">
              <w:t>Total revenue (unsmoothed)</w:t>
            </w:r>
          </w:p>
        </w:tc>
        <w:tc>
          <w:tcPr>
            <w:tcW w:w="1013" w:type="dxa"/>
          </w:tcPr>
          <w:p w:rsidR="009916C7" w:rsidRPr="00026336" w:rsidRDefault="009916C7" w:rsidP="00EB6D29">
            <w:pPr>
              <w:pStyle w:val="AERtabletextleft"/>
              <w:keepNext/>
              <w:keepLines/>
              <w:spacing w:before="120" w:line="240" w:lineRule="auto"/>
              <w:cnfStyle w:val="000000000000" w:firstRow="0" w:lastRow="0" w:firstColumn="0" w:lastColumn="0" w:oddVBand="0" w:evenVBand="0" w:oddHBand="0" w:evenHBand="0" w:firstRowFirstColumn="0" w:firstRowLastColumn="0" w:lastRowFirstColumn="0" w:lastRowLastColumn="0"/>
            </w:pPr>
          </w:p>
        </w:tc>
        <w:tc>
          <w:tcPr>
            <w:tcW w:w="1014" w:type="dxa"/>
            <w:noWrap/>
          </w:tcPr>
          <w:p w:rsidR="009916C7" w:rsidRPr="009916C7" w:rsidRDefault="00AF56BA"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t>1879</w:t>
            </w:r>
          </w:p>
        </w:tc>
        <w:tc>
          <w:tcPr>
            <w:tcW w:w="1014" w:type="dxa"/>
            <w:noWrap/>
          </w:tcPr>
          <w:p w:rsidR="009916C7" w:rsidRPr="009916C7" w:rsidRDefault="00AF56BA"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t>1989</w:t>
            </w:r>
          </w:p>
        </w:tc>
        <w:tc>
          <w:tcPr>
            <w:tcW w:w="1014" w:type="dxa"/>
            <w:noWrap/>
          </w:tcPr>
          <w:p w:rsidR="009916C7" w:rsidRPr="009916C7" w:rsidRDefault="00AF56BA"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t>2094</w:t>
            </w:r>
          </w:p>
        </w:tc>
        <w:tc>
          <w:tcPr>
            <w:tcW w:w="1014" w:type="dxa"/>
            <w:noWrap/>
          </w:tcPr>
          <w:p w:rsidR="009916C7" w:rsidRPr="009916C7" w:rsidRDefault="00AF56BA"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t>2162</w:t>
            </w:r>
          </w:p>
        </w:tc>
        <w:tc>
          <w:tcPr>
            <w:tcW w:w="1014" w:type="dxa"/>
            <w:noWrap/>
          </w:tcPr>
          <w:p w:rsidR="009916C7" w:rsidRPr="009916C7" w:rsidRDefault="00AF56BA"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t>2102</w:t>
            </w:r>
          </w:p>
        </w:tc>
      </w:tr>
      <w:tr w:rsidR="009916C7" w:rsidRPr="006F1095" w:rsidTr="00EB6D29">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EB6D29">
            <w:pPr>
              <w:pStyle w:val="AERtabletextleft"/>
              <w:keepNext/>
              <w:keepLines/>
              <w:spacing w:before="120" w:line="240" w:lineRule="auto"/>
              <w:rPr>
                <w:rStyle w:val="AERtextbold"/>
              </w:rPr>
            </w:pPr>
            <w:r w:rsidRPr="00026336">
              <w:rPr>
                <w:rStyle w:val="AERtextbold"/>
              </w:rPr>
              <w:t>Total revenue (smoothed)</w:t>
            </w:r>
          </w:p>
        </w:tc>
        <w:tc>
          <w:tcPr>
            <w:tcW w:w="1013" w:type="dxa"/>
            <w:noWra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rPr>
                <w:rStyle w:val="AERtextbold"/>
              </w:rPr>
            </w:pPr>
            <w:r>
              <w:rPr>
                <w:rStyle w:val="AERtextbold"/>
              </w:rPr>
              <w:t>2109</w:t>
            </w:r>
          </w:p>
        </w:tc>
        <w:tc>
          <w:tcPr>
            <w:tcW w:w="1014" w:type="dxa"/>
            <w:noWrap/>
          </w:tcPr>
          <w:p w:rsidR="009916C7" w:rsidRPr="009916C7" w:rsidRDefault="00AF56BA"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rPr>
                <w:rStyle w:val="AERtextbold"/>
              </w:rPr>
            </w:pPr>
            <w:r>
              <w:rPr>
                <w:rStyle w:val="AERtextbold"/>
              </w:rPr>
              <w:t>1958</w:t>
            </w:r>
          </w:p>
        </w:tc>
        <w:tc>
          <w:tcPr>
            <w:tcW w:w="1014" w:type="dxa"/>
            <w:noWrap/>
          </w:tcPr>
          <w:p w:rsidR="009916C7" w:rsidRPr="009916C7" w:rsidRDefault="00AF56BA"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rPr>
                <w:rStyle w:val="AERtextbold"/>
              </w:rPr>
            </w:pPr>
            <w:r>
              <w:rPr>
                <w:rStyle w:val="AERtextbold"/>
              </w:rPr>
              <w:t>2001</w:t>
            </w:r>
          </w:p>
        </w:tc>
        <w:tc>
          <w:tcPr>
            <w:tcW w:w="1014" w:type="dxa"/>
            <w:noWrap/>
          </w:tcPr>
          <w:p w:rsidR="009916C7" w:rsidRPr="009916C7" w:rsidRDefault="00AF56BA"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rPr>
                <w:rStyle w:val="AERtextbold"/>
              </w:rPr>
            </w:pPr>
            <w:r>
              <w:rPr>
                <w:rStyle w:val="AERtextbold"/>
              </w:rPr>
              <w:t>2045</w:t>
            </w:r>
          </w:p>
        </w:tc>
        <w:tc>
          <w:tcPr>
            <w:tcW w:w="1014" w:type="dxa"/>
            <w:noWrap/>
          </w:tcPr>
          <w:p w:rsidR="009916C7" w:rsidRPr="009916C7" w:rsidRDefault="00AF56BA"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rPr>
                <w:rStyle w:val="AERtextbold"/>
              </w:rPr>
            </w:pPr>
            <w:r>
              <w:rPr>
                <w:rStyle w:val="AERtextbold"/>
              </w:rPr>
              <w:t>2080</w:t>
            </w:r>
          </w:p>
        </w:tc>
        <w:tc>
          <w:tcPr>
            <w:tcW w:w="1014" w:type="dxa"/>
            <w:noWrap/>
          </w:tcPr>
          <w:p w:rsidR="009916C7" w:rsidRPr="009916C7" w:rsidRDefault="00AF56BA"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rPr>
                <w:rStyle w:val="AERtextbold"/>
              </w:rPr>
            </w:pPr>
            <w:r>
              <w:rPr>
                <w:rStyle w:val="AERtextbold"/>
              </w:rPr>
              <w:t>2124</w:t>
            </w:r>
          </w:p>
        </w:tc>
      </w:tr>
      <w:tr w:rsidR="009916C7" w:rsidRPr="006F1095" w:rsidTr="00EB6D29">
        <w:trPr>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EB6D29">
            <w:pPr>
              <w:pStyle w:val="AERtabletextleft"/>
              <w:keepNext/>
              <w:keepLines/>
              <w:spacing w:before="120" w:line="240" w:lineRule="auto"/>
            </w:pPr>
            <w:r w:rsidRPr="00026336">
              <w:t xml:space="preserve">less: adjustment for </w:t>
            </w:r>
            <w:r w:rsidR="00E92CC4">
              <w:t xml:space="preserve">net </w:t>
            </w:r>
            <w:r w:rsidRPr="00026336">
              <w:t xml:space="preserve">revenues recovered from </w:t>
            </w:r>
            <w:r w:rsidRPr="009916C7">
              <w:t>ANS and ERW outside DUOS</w:t>
            </w:r>
            <w:r w:rsidR="00BC74F2" w:rsidRPr="00B7680B">
              <w:rPr>
                <w:rStyle w:val="AERsuperscript"/>
              </w:rPr>
              <w:t>a</w:t>
            </w:r>
          </w:p>
        </w:tc>
        <w:tc>
          <w:tcPr>
            <w:tcW w:w="1013" w:type="dxa"/>
          </w:tcPr>
          <w:p w:rsidR="009916C7" w:rsidRPr="00026336" w:rsidRDefault="009916C7" w:rsidP="00EB6D29">
            <w:pPr>
              <w:pStyle w:val="AERtabletextleft"/>
              <w:keepNext/>
              <w:keepLines/>
              <w:spacing w:before="120" w:line="240" w:lineRule="auto"/>
              <w:cnfStyle w:val="000000000000" w:firstRow="0" w:lastRow="0" w:firstColumn="0" w:lastColumn="0" w:oddVBand="0" w:evenVBand="0" w:oddHBand="0" w:evenHBand="0" w:firstRowFirstColumn="0" w:firstRowLastColumn="0" w:lastRowFirstColumn="0" w:lastRowLastColumn="0"/>
            </w:pPr>
          </w:p>
        </w:tc>
        <w:tc>
          <w:tcPr>
            <w:tcW w:w="1014" w:type="dxa"/>
            <w:noWrap/>
          </w:tcPr>
          <w:p w:rsidR="009916C7" w:rsidRPr="009916C7" w:rsidRDefault="00E92CC4"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t>1</w:t>
            </w:r>
          </w:p>
        </w:tc>
        <w:tc>
          <w:tcPr>
            <w:tcW w:w="1014" w:type="dxa"/>
            <w:noWrap/>
          </w:tcPr>
          <w:p w:rsidR="009916C7" w:rsidRPr="00026336" w:rsidRDefault="00AF56BA"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t>-</w:t>
            </w:r>
          </w:p>
        </w:tc>
        <w:tc>
          <w:tcPr>
            <w:tcW w:w="1014" w:type="dxa"/>
            <w:noWrap/>
          </w:tcPr>
          <w:p w:rsidR="009916C7" w:rsidRPr="00026336" w:rsidRDefault="00AF56BA"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t>-</w:t>
            </w:r>
          </w:p>
        </w:tc>
        <w:tc>
          <w:tcPr>
            <w:tcW w:w="1014" w:type="dxa"/>
            <w:noWrap/>
          </w:tcPr>
          <w:p w:rsidR="009916C7" w:rsidRPr="00026336" w:rsidRDefault="00AF56BA"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t>-</w:t>
            </w:r>
          </w:p>
        </w:tc>
        <w:tc>
          <w:tcPr>
            <w:tcW w:w="1014" w:type="dxa"/>
            <w:noWrap/>
          </w:tcPr>
          <w:p w:rsidR="009916C7" w:rsidRPr="00026336" w:rsidRDefault="00AF56BA"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t>-</w:t>
            </w:r>
          </w:p>
        </w:tc>
      </w:tr>
      <w:tr w:rsidR="00AF56BA" w:rsidRPr="006F1095" w:rsidTr="00EB6D29">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097" w:type="dxa"/>
            <w:noWrap/>
          </w:tcPr>
          <w:p w:rsidR="00AF56BA" w:rsidRPr="00026336" w:rsidRDefault="00AF56BA" w:rsidP="00EB6D29">
            <w:pPr>
              <w:pStyle w:val="AERtabletextleft"/>
              <w:keepNext/>
              <w:keepLines/>
              <w:spacing w:before="120" w:line="240" w:lineRule="auto"/>
            </w:pPr>
            <w:r>
              <w:t>less: smoothed metering costs transferred to ACS</w:t>
            </w:r>
            <w:r w:rsidR="00722630">
              <w:t xml:space="preserve"> from 2015–16</w:t>
            </w:r>
            <w:r w:rsidR="00BC74F2">
              <w:rPr>
                <w:rStyle w:val="AERsuperscript"/>
              </w:rPr>
              <w:t>b</w:t>
            </w:r>
          </w:p>
        </w:tc>
        <w:tc>
          <w:tcPr>
            <w:tcW w:w="1013" w:type="dxa"/>
          </w:tcPr>
          <w:p w:rsidR="00AF56BA" w:rsidRPr="00026336" w:rsidRDefault="00AF56BA" w:rsidP="00EB6D29">
            <w:pPr>
              <w:pStyle w:val="AERtabletextleft"/>
              <w:keepNext/>
              <w:keepLines/>
              <w:spacing w:before="120" w:line="240" w:lineRule="auto"/>
              <w:cnfStyle w:val="000000010000" w:firstRow="0" w:lastRow="0" w:firstColumn="0" w:lastColumn="0" w:oddVBand="0" w:evenVBand="0" w:oddHBand="0" w:evenHBand="1" w:firstRowFirstColumn="0" w:firstRowLastColumn="0" w:lastRowFirstColumn="0" w:lastRowLastColumn="0"/>
            </w:pPr>
          </w:p>
        </w:tc>
        <w:tc>
          <w:tcPr>
            <w:tcW w:w="1014" w:type="dxa"/>
            <w:noWrap/>
          </w:tcPr>
          <w:p w:rsidR="00AF56BA" w:rsidRPr="00026336" w:rsidRDefault="00AF56BA"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t>-</w:t>
            </w:r>
          </w:p>
        </w:tc>
        <w:tc>
          <w:tcPr>
            <w:tcW w:w="1014" w:type="dxa"/>
            <w:noWrap/>
          </w:tcPr>
          <w:p w:rsidR="00AF56BA" w:rsidRPr="00026336" w:rsidRDefault="00AF56BA"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t>75</w:t>
            </w:r>
          </w:p>
        </w:tc>
        <w:tc>
          <w:tcPr>
            <w:tcW w:w="1014" w:type="dxa"/>
            <w:noWrap/>
          </w:tcPr>
          <w:p w:rsidR="00AF56BA" w:rsidRPr="00026336" w:rsidRDefault="00AF56BA"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t>81</w:t>
            </w:r>
          </w:p>
        </w:tc>
        <w:tc>
          <w:tcPr>
            <w:tcW w:w="1014" w:type="dxa"/>
            <w:noWrap/>
          </w:tcPr>
          <w:p w:rsidR="00AF56BA" w:rsidRPr="00026336" w:rsidRDefault="00AF56BA"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t>77</w:t>
            </w:r>
          </w:p>
        </w:tc>
        <w:tc>
          <w:tcPr>
            <w:tcW w:w="1014" w:type="dxa"/>
            <w:noWrap/>
          </w:tcPr>
          <w:p w:rsidR="00AF56BA" w:rsidRPr="00026336" w:rsidRDefault="00AF56BA"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t>79</w:t>
            </w:r>
          </w:p>
        </w:tc>
      </w:tr>
      <w:tr w:rsidR="009916C7" w:rsidRPr="006F1095" w:rsidTr="00EB6D29">
        <w:trPr>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EB6D29">
            <w:pPr>
              <w:pStyle w:val="AERtabletextleft"/>
              <w:keepNext/>
              <w:keepLines/>
              <w:spacing w:before="120" w:line="240" w:lineRule="auto"/>
              <w:rPr>
                <w:rStyle w:val="AERtextbold"/>
              </w:rPr>
            </w:pPr>
            <w:r w:rsidRPr="00026336">
              <w:rPr>
                <w:rStyle w:val="AERtextbold"/>
              </w:rPr>
              <w:t>Total DUOS revenue</w:t>
            </w:r>
          </w:p>
        </w:tc>
        <w:tc>
          <w:tcPr>
            <w:tcW w:w="1013" w:type="dxa"/>
            <w:noWra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2109</w:t>
            </w:r>
          </w:p>
        </w:tc>
        <w:tc>
          <w:tcPr>
            <w:tcW w:w="1014" w:type="dxa"/>
            <w:noWrap/>
          </w:tcPr>
          <w:p w:rsidR="009916C7" w:rsidRPr="009916C7" w:rsidRDefault="00E92CC4"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1956</w:t>
            </w:r>
          </w:p>
        </w:tc>
        <w:tc>
          <w:tcPr>
            <w:tcW w:w="1014" w:type="dxa"/>
            <w:noWra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026336">
              <w:rPr>
                <w:rStyle w:val="AERtextbold"/>
              </w:rPr>
              <w:t>1926</w:t>
            </w:r>
          </w:p>
        </w:tc>
        <w:tc>
          <w:tcPr>
            <w:tcW w:w="1014" w:type="dxa"/>
            <w:noWra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026336">
              <w:rPr>
                <w:rStyle w:val="AERtextbold"/>
              </w:rPr>
              <w:t>1964</w:t>
            </w:r>
          </w:p>
        </w:tc>
        <w:tc>
          <w:tcPr>
            <w:tcW w:w="1014" w:type="dxa"/>
            <w:noWra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026336">
              <w:rPr>
                <w:rStyle w:val="AERtextbold"/>
              </w:rPr>
              <w:t>2003</w:t>
            </w:r>
          </w:p>
        </w:tc>
        <w:tc>
          <w:tcPr>
            <w:tcW w:w="1014" w:type="dxa"/>
            <w:noWra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026336">
              <w:rPr>
                <w:rStyle w:val="AERtextbold"/>
              </w:rPr>
              <w:t>2046</w:t>
            </w:r>
          </w:p>
        </w:tc>
      </w:tr>
      <w:tr w:rsidR="009916C7" w:rsidRPr="006F1095" w:rsidTr="00EB6D29">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EB6D29">
            <w:pPr>
              <w:pStyle w:val="AERtabletextleft"/>
              <w:keepNext/>
              <w:keepLines/>
              <w:spacing w:before="120" w:line="240" w:lineRule="auto"/>
            </w:pPr>
            <w:r w:rsidRPr="00026336">
              <w:t>Change</w:t>
            </w:r>
            <w:r w:rsidR="00BC74F2">
              <w:rPr>
                <w:rStyle w:val="AERsuperscript"/>
              </w:rPr>
              <w:t>c</w:t>
            </w:r>
            <w:r w:rsidRPr="009916C7">
              <w:t xml:space="preserve"> (%)</w:t>
            </w:r>
          </w:p>
        </w:tc>
        <w:tc>
          <w:tcPr>
            <w:tcW w:w="1013" w:type="dxa"/>
            <w:noWrap/>
          </w:tcPr>
          <w:p w:rsidR="009916C7" w:rsidRPr="00026336"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p>
        </w:tc>
        <w:tc>
          <w:tcPr>
            <w:tcW w:w="1014" w:type="dxa"/>
            <w:noWrap/>
          </w:tcPr>
          <w:p w:rsidR="009916C7" w:rsidRPr="009916C7" w:rsidRDefault="00AF56BA"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t>-</w:t>
            </w:r>
            <w:r w:rsidR="00E92CC4">
              <w:t>7.</w:t>
            </w:r>
            <w:r w:rsidR="005340BA">
              <w:t>2</w:t>
            </w:r>
            <w:r>
              <w:t>%</w:t>
            </w:r>
          </w:p>
        </w:tc>
        <w:tc>
          <w:tcPr>
            <w:tcW w:w="1014" w:type="dxa"/>
            <w:noWra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t>-</w:t>
            </w:r>
            <w:r w:rsidR="005340BA">
              <w:t>1.6</w:t>
            </w:r>
            <w:r w:rsidRPr="009916C7">
              <w:t>%</w:t>
            </w:r>
          </w:p>
        </w:tc>
        <w:tc>
          <w:tcPr>
            <w:tcW w:w="1014" w:type="dxa"/>
            <w:noWra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t>2.0</w:t>
            </w:r>
            <w:r w:rsidRPr="009916C7">
              <w:t>%</w:t>
            </w:r>
          </w:p>
        </w:tc>
        <w:tc>
          <w:tcPr>
            <w:tcW w:w="1014" w:type="dxa"/>
            <w:noWra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t>2.0</w:t>
            </w:r>
            <w:r w:rsidRPr="009916C7">
              <w:t>%</w:t>
            </w:r>
          </w:p>
        </w:tc>
        <w:tc>
          <w:tcPr>
            <w:tcW w:w="1014" w:type="dxa"/>
            <w:noWra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t>2.1</w:t>
            </w:r>
            <w:r w:rsidRPr="009916C7">
              <w:t>%</w:t>
            </w:r>
          </w:p>
        </w:tc>
      </w:tr>
    </w:tbl>
    <w:p w:rsidR="009916C7" w:rsidRDefault="009916C7" w:rsidP="009916C7">
      <w:pPr>
        <w:pStyle w:val="AERtablesource"/>
      </w:pPr>
      <w:r w:rsidRPr="006F1095">
        <w:t>Source:</w:t>
      </w:r>
      <w:r w:rsidRPr="006F1095">
        <w:tab/>
      </w:r>
      <w:r>
        <w:t xml:space="preserve">AER </w:t>
      </w:r>
      <w:r w:rsidR="00691C0D">
        <w:t>analysis</w:t>
      </w:r>
      <w:r>
        <w:t>.</w:t>
      </w:r>
    </w:p>
    <w:p w:rsidR="009916C7" w:rsidRPr="006F1095" w:rsidRDefault="009916C7" w:rsidP="004D5E5D">
      <w:pPr>
        <w:pStyle w:val="AERtablesource"/>
        <w:tabs>
          <w:tab w:val="left" w:pos="1134"/>
        </w:tabs>
        <w:ind w:left="1134" w:hanging="1134"/>
      </w:pPr>
      <w:r w:rsidRPr="006F1095">
        <w:t>Notes:</w:t>
      </w:r>
      <w:r w:rsidRPr="006F1095">
        <w:tab/>
      </w:r>
      <w:r w:rsidRPr="00693A45">
        <w:t>Numbers may not sum due to rounding.</w:t>
      </w:r>
    </w:p>
    <w:p w:rsidR="00A65221" w:rsidRPr="00E434B5" w:rsidRDefault="004D5E5D" w:rsidP="00DA1375">
      <w:pPr>
        <w:pStyle w:val="AERtablesource"/>
      </w:pPr>
      <w:r w:rsidRPr="00E434B5">
        <w:tab/>
      </w:r>
      <w:r w:rsidR="00A65221" w:rsidRPr="00E434B5">
        <w:t xml:space="preserve">We have </w:t>
      </w:r>
      <w:r w:rsidR="00A65221" w:rsidRPr="00A65221">
        <w:t>adopted the forecast capital and operating expenditure estimates of Ausgrid. These will be subject to detailed scrutiny when we receive the regulatory proposal</w:t>
      </w:r>
      <w:r w:rsidR="00A65221">
        <w:t>.</w:t>
      </w:r>
    </w:p>
    <w:p w:rsidR="00BC74F2" w:rsidRDefault="00A65221" w:rsidP="004D5E5D">
      <w:pPr>
        <w:pStyle w:val="AERtablesource"/>
        <w:tabs>
          <w:tab w:val="left" w:pos="1134"/>
        </w:tabs>
        <w:ind w:left="1134" w:hanging="1134"/>
      </w:pPr>
      <w:r>
        <w:tab/>
      </w:r>
      <w:r w:rsidR="009916C7" w:rsidRPr="006F1095">
        <w:t>a.</w:t>
      </w:r>
      <w:r w:rsidR="009916C7" w:rsidRPr="006F1095">
        <w:tab/>
      </w:r>
      <w:r w:rsidR="00BC74F2">
        <w:t xml:space="preserve">These net revenues are the </w:t>
      </w:r>
      <w:r w:rsidR="00630B18">
        <w:t>amounts</w:t>
      </w:r>
      <w:r w:rsidR="00BC74F2">
        <w:t xml:space="preserve"> expected to be recovered through separate ANS fees and ERW charges less the opex costs associated with ANS and the ERW costs.</w:t>
      </w:r>
    </w:p>
    <w:p w:rsidR="00AF56BA" w:rsidRDefault="004D5E5D" w:rsidP="004D5E5D">
      <w:pPr>
        <w:pStyle w:val="AERtablesource"/>
        <w:tabs>
          <w:tab w:val="left" w:pos="1134"/>
        </w:tabs>
        <w:ind w:left="1134" w:hanging="1134"/>
      </w:pPr>
      <w:r>
        <w:tab/>
      </w:r>
      <w:r w:rsidR="00BC74F2">
        <w:t>b.</w:t>
      </w:r>
      <w:r w:rsidR="00BC74F2">
        <w:tab/>
      </w:r>
      <w:r w:rsidR="00AF56BA" w:rsidRPr="0038217A">
        <w:t>This row shows the smoothed metering costs, so will not be exactly equal to the unsmoothed metering costs on the earlier row</w:t>
      </w:r>
      <w:r w:rsidR="00AF56BA">
        <w:t>.</w:t>
      </w:r>
    </w:p>
    <w:p w:rsidR="009916C7" w:rsidRPr="006F1095" w:rsidRDefault="004D5E5D" w:rsidP="004D5E5D">
      <w:pPr>
        <w:pStyle w:val="AERtablesource"/>
        <w:tabs>
          <w:tab w:val="left" w:pos="1134"/>
        </w:tabs>
        <w:ind w:left="1134" w:hanging="1134"/>
      </w:pPr>
      <w:r>
        <w:tab/>
      </w:r>
      <w:r w:rsidR="00BC74F2">
        <w:t>c</w:t>
      </w:r>
      <w:r w:rsidR="00AF56BA">
        <w:t>.</w:t>
      </w:r>
      <w:r w:rsidR="00AF56BA">
        <w:tab/>
      </w:r>
      <w:r w:rsidR="009916C7" w:rsidRPr="006F1095">
        <w:t>This row shows the year-on-year change in total nominal revenues. It should not be interpreted as the X-factor change from year to year.</w:t>
      </w:r>
    </w:p>
    <w:p w:rsidR="009916C7" w:rsidRPr="00246FA2" w:rsidRDefault="00F27D91" w:rsidP="009916C7">
      <w:pPr>
        <w:pStyle w:val="Caption"/>
      </w:pPr>
      <w:bookmarkStart w:id="93" w:name="_Ref385313197"/>
      <w:bookmarkStart w:id="94" w:name="_Ref383099074"/>
      <w:r>
        <w:lastRenderedPageBreak/>
        <w:t xml:space="preserve">Table </w:t>
      </w:r>
      <w:r w:rsidR="00DD155E">
        <w:fldChar w:fldCharType="begin"/>
      </w:r>
      <w:r w:rsidR="00DD155E">
        <w:instrText xml:space="preserve"> STYLEREF 1 \s </w:instrText>
      </w:r>
      <w:r w:rsidR="00DD155E">
        <w:fldChar w:fldCharType="separate"/>
      </w:r>
      <w:r w:rsidR="00E313D7">
        <w:rPr>
          <w:noProof/>
        </w:rPr>
        <w:t>4</w:t>
      </w:r>
      <w:r w:rsidR="00DD155E">
        <w:rPr>
          <w:noProof/>
        </w:rPr>
        <w:fldChar w:fldCharType="end"/>
      </w:r>
      <w:r w:rsidR="00804FE8">
        <w:t>.</w:t>
      </w:r>
      <w:r w:rsidR="00DD155E">
        <w:fldChar w:fldCharType="begin"/>
      </w:r>
      <w:r w:rsidR="00DD155E">
        <w:instrText xml:space="preserve"> SEQ Table \* ARABIC \s</w:instrText>
      </w:r>
      <w:r w:rsidR="00DD155E">
        <w:instrText xml:space="preserve"> 1 </w:instrText>
      </w:r>
      <w:r w:rsidR="00DD155E">
        <w:fldChar w:fldCharType="separate"/>
      </w:r>
      <w:r w:rsidR="00E313D7">
        <w:rPr>
          <w:noProof/>
        </w:rPr>
        <w:t>5</w:t>
      </w:r>
      <w:r w:rsidR="00DD155E">
        <w:rPr>
          <w:noProof/>
        </w:rPr>
        <w:fldChar w:fldCharType="end"/>
      </w:r>
      <w:bookmarkEnd w:id="93"/>
      <w:r>
        <w:tab/>
      </w:r>
      <w:bookmarkEnd w:id="94"/>
      <w:r w:rsidR="009916C7" w:rsidRPr="00246FA2">
        <w:t>AER</w:t>
      </w:r>
      <w:r w:rsidR="009916C7">
        <w:t>'s</w:t>
      </w:r>
      <w:r w:rsidR="009916C7" w:rsidRPr="00246FA2">
        <w:t xml:space="preserve"> revenue assessment for Ausgrid </w:t>
      </w:r>
      <w:r w:rsidR="009916C7">
        <w:t>–</w:t>
      </w:r>
      <w:r w:rsidR="009916C7" w:rsidRPr="00246FA2">
        <w:t xml:space="preserve"> </w:t>
      </w:r>
      <w:r w:rsidR="009916C7">
        <w:t>transmission</w:t>
      </w:r>
      <w:r w:rsidR="009916C7" w:rsidRPr="00246FA2">
        <w:t xml:space="preserve"> ($m, nominal)</w:t>
      </w:r>
    </w:p>
    <w:tbl>
      <w:tblPr>
        <w:tblStyle w:val="AERtable-numbers"/>
        <w:tblW w:w="9191" w:type="dxa"/>
        <w:tblLayout w:type="fixed"/>
        <w:tblLook w:val="04A0" w:firstRow="1" w:lastRow="0" w:firstColumn="1" w:lastColumn="0" w:noHBand="0" w:noVBand="1"/>
      </w:tblPr>
      <w:tblGrid>
        <w:gridCol w:w="3097"/>
        <w:gridCol w:w="1015"/>
        <w:gridCol w:w="1016"/>
        <w:gridCol w:w="1016"/>
        <w:gridCol w:w="1015"/>
        <w:gridCol w:w="1016"/>
        <w:gridCol w:w="1016"/>
      </w:tblGrid>
      <w:tr w:rsidR="009916C7" w:rsidRPr="006F1095" w:rsidTr="00111EB1">
        <w:trPr>
          <w:cnfStyle w:val="100000000000" w:firstRow="1" w:lastRow="0" w:firstColumn="0" w:lastColumn="0" w:oddVBand="0" w:evenVBand="0" w:oddHBand="0"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EB6D29">
            <w:pPr>
              <w:pStyle w:val="AERtabletextleft"/>
              <w:keepNext/>
              <w:keepLines/>
              <w:spacing w:before="120" w:line="240" w:lineRule="auto"/>
            </w:pPr>
          </w:p>
        </w:tc>
        <w:tc>
          <w:tcPr>
            <w:tcW w:w="1015" w:type="dxa"/>
            <w:noWrap/>
            <w:hideMark/>
          </w:tcPr>
          <w:p w:rsidR="009916C7" w:rsidRPr="009916C7" w:rsidRDefault="009916C7" w:rsidP="00EB6D29">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385651">
              <w:t>2013–14</w:t>
            </w:r>
          </w:p>
        </w:tc>
        <w:tc>
          <w:tcPr>
            <w:tcW w:w="1016" w:type="dxa"/>
            <w:noWrap/>
            <w:hideMark/>
          </w:tcPr>
          <w:p w:rsidR="009916C7" w:rsidRPr="009916C7" w:rsidRDefault="009916C7" w:rsidP="00EB6D29">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385651">
              <w:t>2014–15</w:t>
            </w:r>
          </w:p>
        </w:tc>
        <w:tc>
          <w:tcPr>
            <w:tcW w:w="1016" w:type="dxa"/>
            <w:noWrap/>
            <w:hideMark/>
          </w:tcPr>
          <w:p w:rsidR="009916C7" w:rsidRPr="009916C7" w:rsidRDefault="009916C7" w:rsidP="00EB6D29">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385651">
              <w:t>2015–16</w:t>
            </w:r>
          </w:p>
        </w:tc>
        <w:tc>
          <w:tcPr>
            <w:tcW w:w="1015" w:type="dxa"/>
            <w:noWrap/>
            <w:hideMark/>
          </w:tcPr>
          <w:p w:rsidR="009916C7" w:rsidRPr="009916C7" w:rsidRDefault="009916C7" w:rsidP="00EB6D29">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385651">
              <w:t>2016–17</w:t>
            </w:r>
          </w:p>
        </w:tc>
        <w:tc>
          <w:tcPr>
            <w:tcW w:w="1016" w:type="dxa"/>
            <w:noWrap/>
            <w:hideMark/>
          </w:tcPr>
          <w:p w:rsidR="009916C7" w:rsidRPr="009916C7" w:rsidRDefault="009916C7" w:rsidP="00EB6D29">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385651">
              <w:t>2017–18</w:t>
            </w:r>
          </w:p>
        </w:tc>
        <w:tc>
          <w:tcPr>
            <w:tcW w:w="1016" w:type="dxa"/>
            <w:noWrap/>
            <w:hideMark/>
          </w:tcPr>
          <w:p w:rsidR="009916C7" w:rsidRPr="009916C7" w:rsidRDefault="009916C7" w:rsidP="00EB6D29">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385651">
              <w:t>2018–19</w:t>
            </w:r>
          </w:p>
        </w:tc>
      </w:tr>
      <w:tr w:rsidR="009916C7" w:rsidRPr="006F1095" w:rsidTr="00111EB1">
        <w:trPr>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EB6D29">
            <w:pPr>
              <w:pStyle w:val="AERtabletextleft"/>
              <w:keepNext/>
              <w:keepLines/>
              <w:spacing w:before="120" w:line="240" w:lineRule="auto"/>
            </w:pPr>
            <w:r w:rsidRPr="00026336">
              <w:t>Return on capital</w:t>
            </w:r>
          </w:p>
        </w:tc>
        <w:tc>
          <w:tcPr>
            <w:tcW w:w="1015" w:type="dxa"/>
            <w:noWrap/>
            <w:vAlign w:val="top"/>
          </w:tcPr>
          <w:p w:rsidR="009916C7" w:rsidRPr="00026336"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p>
        </w:tc>
        <w:tc>
          <w:tcPr>
            <w:tcW w:w="1016" w:type="dxa"/>
            <w:noWrap/>
            <w:vAlign w:val="to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026336">
              <w:t>170</w:t>
            </w:r>
          </w:p>
        </w:tc>
        <w:tc>
          <w:tcPr>
            <w:tcW w:w="1016" w:type="dxa"/>
            <w:noWrap/>
            <w:vAlign w:val="to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026336">
              <w:t>181</w:t>
            </w:r>
          </w:p>
        </w:tc>
        <w:tc>
          <w:tcPr>
            <w:tcW w:w="1015" w:type="dxa"/>
            <w:noWrap/>
            <w:vAlign w:val="to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026336">
              <w:t>193</w:t>
            </w:r>
          </w:p>
        </w:tc>
        <w:tc>
          <w:tcPr>
            <w:tcW w:w="1016" w:type="dxa"/>
            <w:noWrap/>
            <w:vAlign w:val="to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026336">
              <w:t>199</w:t>
            </w:r>
          </w:p>
        </w:tc>
        <w:tc>
          <w:tcPr>
            <w:tcW w:w="1016" w:type="dxa"/>
            <w:noWrap/>
            <w:vAlign w:val="to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026336">
              <w:t>206</w:t>
            </w:r>
          </w:p>
        </w:tc>
      </w:tr>
      <w:tr w:rsidR="009916C7" w:rsidRPr="006F1095" w:rsidTr="00111EB1">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EB6D29">
            <w:pPr>
              <w:pStyle w:val="AERtabletextleft"/>
              <w:keepNext/>
              <w:keepLines/>
              <w:spacing w:before="120" w:line="240" w:lineRule="auto"/>
            </w:pPr>
            <w:r w:rsidRPr="00026336">
              <w:t>Return of capital</w:t>
            </w:r>
          </w:p>
        </w:tc>
        <w:tc>
          <w:tcPr>
            <w:tcW w:w="1015" w:type="dxa"/>
            <w:noWrap/>
            <w:vAlign w:val="top"/>
          </w:tcPr>
          <w:p w:rsidR="009916C7" w:rsidRPr="00026336"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p>
        </w:tc>
        <w:tc>
          <w:tcPr>
            <w:tcW w:w="1016" w:type="dxa"/>
            <w:noWrap/>
            <w:vAlign w:val="to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026336">
              <w:t>12</w:t>
            </w:r>
          </w:p>
        </w:tc>
        <w:tc>
          <w:tcPr>
            <w:tcW w:w="1016" w:type="dxa"/>
            <w:noWrap/>
            <w:vAlign w:val="to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026336">
              <w:t>16</w:t>
            </w:r>
          </w:p>
        </w:tc>
        <w:tc>
          <w:tcPr>
            <w:tcW w:w="1015" w:type="dxa"/>
            <w:noWrap/>
            <w:vAlign w:val="to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026336">
              <w:t>20</w:t>
            </w:r>
          </w:p>
        </w:tc>
        <w:tc>
          <w:tcPr>
            <w:tcW w:w="1016" w:type="dxa"/>
            <w:noWrap/>
            <w:vAlign w:val="to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026336">
              <w:t>17</w:t>
            </w:r>
          </w:p>
        </w:tc>
        <w:tc>
          <w:tcPr>
            <w:tcW w:w="1016" w:type="dxa"/>
            <w:noWrap/>
            <w:vAlign w:val="to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026336">
              <w:t>19</w:t>
            </w:r>
          </w:p>
        </w:tc>
      </w:tr>
      <w:tr w:rsidR="009916C7" w:rsidRPr="006F1095" w:rsidTr="00111EB1">
        <w:trPr>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EB6D29">
            <w:pPr>
              <w:pStyle w:val="AERtabletextleft"/>
              <w:keepNext/>
              <w:keepLines/>
              <w:spacing w:before="120" w:line="240" w:lineRule="auto"/>
            </w:pPr>
            <w:r w:rsidRPr="00026336">
              <w:t>Operating expenditure</w:t>
            </w:r>
          </w:p>
        </w:tc>
        <w:tc>
          <w:tcPr>
            <w:tcW w:w="1015" w:type="dxa"/>
            <w:noWrap/>
            <w:vAlign w:val="top"/>
          </w:tcPr>
          <w:p w:rsidR="009916C7" w:rsidRPr="00026336"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p>
        </w:tc>
        <w:tc>
          <w:tcPr>
            <w:tcW w:w="1016" w:type="dxa"/>
            <w:noWrap/>
            <w:vAlign w:val="to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026336">
              <w:t>42</w:t>
            </w:r>
          </w:p>
        </w:tc>
        <w:tc>
          <w:tcPr>
            <w:tcW w:w="1016" w:type="dxa"/>
            <w:noWrap/>
            <w:vAlign w:val="to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026336">
              <w:t>42</w:t>
            </w:r>
          </w:p>
        </w:tc>
        <w:tc>
          <w:tcPr>
            <w:tcW w:w="1015" w:type="dxa"/>
            <w:noWrap/>
            <w:vAlign w:val="to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026336">
              <w:t>45</w:t>
            </w:r>
          </w:p>
        </w:tc>
        <w:tc>
          <w:tcPr>
            <w:tcW w:w="1016" w:type="dxa"/>
            <w:noWrap/>
            <w:vAlign w:val="to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026336">
              <w:t>43</w:t>
            </w:r>
          </w:p>
        </w:tc>
        <w:tc>
          <w:tcPr>
            <w:tcW w:w="1016" w:type="dxa"/>
            <w:noWrap/>
            <w:vAlign w:val="to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026336">
              <w:t>44</w:t>
            </w:r>
          </w:p>
        </w:tc>
      </w:tr>
      <w:tr w:rsidR="009916C7" w:rsidRPr="006F1095" w:rsidTr="00111EB1">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EB6D29">
            <w:pPr>
              <w:pStyle w:val="AERtabletextleft"/>
              <w:keepNext/>
              <w:keepLines/>
              <w:spacing w:before="120" w:line="240" w:lineRule="auto"/>
            </w:pPr>
            <w:r w:rsidRPr="00026336">
              <w:t xml:space="preserve">Efficiency </w:t>
            </w:r>
            <w:r w:rsidRPr="009916C7">
              <w:t>carryover</w:t>
            </w:r>
          </w:p>
        </w:tc>
        <w:tc>
          <w:tcPr>
            <w:tcW w:w="1015" w:type="dxa"/>
            <w:noWrap/>
            <w:vAlign w:val="top"/>
          </w:tcPr>
          <w:p w:rsidR="009916C7" w:rsidRPr="00026336"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p>
        </w:tc>
        <w:tc>
          <w:tcPr>
            <w:tcW w:w="1016" w:type="dxa"/>
            <w:noWrap/>
            <w:vAlign w:val="to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026336">
              <w:t>7</w:t>
            </w:r>
          </w:p>
        </w:tc>
        <w:tc>
          <w:tcPr>
            <w:tcW w:w="1016" w:type="dxa"/>
            <w:noWrap/>
            <w:vAlign w:val="to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026336">
              <w:t>9</w:t>
            </w:r>
          </w:p>
        </w:tc>
        <w:tc>
          <w:tcPr>
            <w:tcW w:w="1015" w:type="dxa"/>
            <w:noWrap/>
            <w:vAlign w:val="to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026336">
              <w:t>6</w:t>
            </w:r>
          </w:p>
        </w:tc>
        <w:tc>
          <w:tcPr>
            <w:tcW w:w="1016" w:type="dxa"/>
            <w:noWrap/>
            <w:vAlign w:val="to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026336">
              <w:t>10</w:t>
            </w:r>
          </w:p>
        </w:tc>
        <w:tc>
          <w:tcPr>
            <w:tcW w:w="1016" w:type="dxa"/>
            <w:noWrap/>
            <w:vAlign w:val="to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026336">
              <w:t>0</w:t>
            </w:r>
          </w:p>
        </w:tc>
      </w:tr>
      <w:tr w:rsidR="009916C7" w:rsidRPr="006F1095" w:rsidTr="00111EB1">
        <w:trPr>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EB6D29">
            <w:pPr>
              <w:pStyle w:val="AERtabletextleft"/>
              <w:keepNext/>
              <w:keepLines/>
              <w:spacing w:before="120" w:line="240" w:lineRule="auto"/>
            </w:pPr>
            <w:r w:rsidRPr="00026336">
              <w:t>Net tax allowance</w:t>
            </w:r>
          </w:p>
        </w:tc>
        <w:tc>
          <w:tcPr>
            <w:tcW w:w="1015" w:type="dxa"/>
            <w:noWrap/>
            <w:vAlign w:val="top"/>
          </w:tcPr>
          <w:p w:rsidR="009916C7" w:rsidRPr="00026336"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p>
        </w:tc>
        <w:tc>
          <w:tcPr>
            <w:tcW w:w="1016" w:type="dxa"/>
            <w:noWrap/>
            <w:vAlign w:val="to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026336">
              <w:t>6</w:t>
            </w:r>
          </w:p>
        </w:tc>
        <w:tc>
          <w:tcPr>
            <w:tcW w:w="1016" w:type="dxa"/>
            <w:noWrap/>
            <w:vAlign w:val="to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026336">
              <w:t>7</w:t>
            </w:r>
          </w:p>
        </w:tc>
        <w:tc>
          <w:tcPr>
            <w:tcW w:w="1015" w:type="dxa"/>
            <w:noWrap/>
            <w:vAlign w:val="to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026336">
              <w:t>8</w:t>
            </w:r>
          </w:p>
        </w:tc>
        <w:tc>
          <w:tcPr>
            <w:tcW w:w="1016" w:type="dxa"/>
            <w:noWrap/>
            <w:vAlign w:val="to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026336">
              <w:t>7</w:t>
            </w:r>
          </w:p>
        </w:tc>
        <w:tc>
          <w:tcPr>
            <w:tcW w:w="1016" w:type="dxa"/>
            <w:noWrap/>
            <w:vAlign w:val="to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026336">
              <w:t>8</w:t>
            </w:r>
          </w:p>
        </w:tc>
      </w:tr>
      <w:tr w:rsidR="009916C7" w:rsidRPr="006F1095" w:rsidTr="00111EB1">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EB6D29">
            <w:pPr>
              <w:pStyle w:val="AERtabletextleft"/>
              <w:keepNext/>
              <w:keepLines/>
              <w:spacing w:before="120" w:line="240" w:lineRule="auto"/>
            </w:pPr>
            <w:r w:rsidRPr="00026336">
              <w:t>Total revenue (unsmoothed)</w:t>
            </w:r>
          </w:p>
        </w:tc>
        <w:tc>
          <w:tcPr>
            <w:tcW w:w="1015" w:type="dxa"/>
            <w:vAlign w:val="top"/>
          </w:tcPr>
          <w:p w:rsidR="009916C7" w:rsidRPr="00026336" w:rsidRDefault="009916C7" w:rsidP="00EB6D29">
            <w:pPr>
              <w:pStyle w:val="AERtabletextleft"/>
              <w:keepNext/>
              <w:keepLines/>
              <w:spacing w:before="120" w:line="240" w:lineRule="auto"/>
              <w:cnfStyle w:val="000000010000" w:firstRow="0" w:lastRow="0" w:firstColumn="0" w:lastColumn="0" w:oddVBand="0" w:evenVBand="0" w:oddHBand="0" w:evenHBand="1" w:firstRowFirstColumn="0" w:firstRowLastColumn="0" w:lastRowFirstColumn="0" w:lastRowLastColumn="0"/>
            </w:pPr>
          </w:p>
        </w:tc>
        <w:tc>
          <w:tcPr>
            <w:tcW w:w="1016" w:type="dxa"/>
            <w:noWrap/>
            <w:vAlign w:val="to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026336">
              <w:t>238</w:t>
            </w:r>
          </w:p>
        </w:tc>
        <w:tc>
          <w:tcPr>
            <w:tcW w:w="1016" w:type="dxa"/>
            <w:noWrap/>
            <w:vAlign w:val="to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026336">
              <w:t>255</w:t>
            </w:r>
          </w:p>
        </w:tc>
        <w:tc>
          <w:tcPr>
            <w:tcW w:w="1015" w:type="dxa"/>
            <w:noWrap/>
            <w:vAlign w:val="to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026336">
              <w:t>271</w:t>
            </w:r>
          </w:p>
        </w:tc>
        <w:tc>
          <w:tcPr>
            <w:tcW w:w="1016" w:type="dxa"/>
            <w:noWrap/>
            <w:vAlign w:val="to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026336">
              <w:t>277</w:t>
            </w:r>
          </w:p>
        </w:tc>
        <w:tc>
          <w:tcPr>
            <w:tcW w:w="1016" w:type="dxa"/>
            <w:noWrap/>
            <w:vAlign w:val="to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026336">
              <w:t>276</w:t>
            </w:r>
          </w:p>
        </w:tc>
      </w:tr>
      <w:tr w:rsidR="009916C7" w:rsidRPr="006F1095" w:rsidTr="00111EB1">
        <w:trPr>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EB6D29">
            <w:pPr>
              <w:pStyle w:val="AERtabletextleft"/>
              <w:keepNext/>
              <w:keepLines/>
              <w:spacing w:before="120" w:line="240" w:lineRule="auto"/>
              <w:rPr>
                <w:rStyle w:val="AERtextbold"/>
              </w:rPr>
            </w:pPr>
            <w:r w:rsidRPr="00026336">
              <w:rPr>
                <w:rStyle w:val="AERtextbold"/>
              </w:rPr>
              <w:t xml:space="preserve">Total </w:t>
            </w:r>
            <w:r w:rsidRPr="009916C7">
              <w:rPr>
                <w:rStyle w:val="AERtextbold"/>
              </w:rPr>
              <w:t>TUOS revenue (smoothed)</w:t>
            </w:r>
          </w:p>
        </w:tc>
        <w:tc>
          <w:tcPr>
            <w:tcW w:w="1015" w:type="dxa"/>
            <w:noWrap/>
            <w:vAlign w:val="to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026336">
              <w:rPr>
                <w:rStyle w:val="AERtextbold"/>
              </w:rPr>
              <w:t>268</w:t>
            </w:r>
          </w:p>
        </w:tc>
        <w:tc>
          <w:tcPr>
            <w:tcW w:w="1016" w:type="dxa"/>
            <w:noWrap/>
            <w:vAlign w:val="to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026336">
              <w:rPr>
                <w:rStyle w:val="AERtextbold"/>
              </w:rPr>
              <w:t>252</w:t>
            </w:r>
          </w:p>
        </w:tc>
        <w:tc>
          <w:tcPr>
            <w:tcW w:w="1016" w:type="dxa"/>
            <w:noWrap/>
            <w:vAlign w:val="to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026336">
              <w:rPr>
                <w:rStyle w:val="AERtextbold"/>
              </w:rPr>
              <w:t>257</w:t>
            </w:r>
          </w:p>
        </w:tc>
        <w:tc>
          <w:tcPr>
            <w:tcW w:w="1015" w:type="dxa"/>
            <w:noWrap/>
            <w:vAlign w:val="to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026336">
              <w:rPr>
                <w:rStyle w:val="AERtextbold"/>
              </w:rPr>
              <w:t>262</w:t>
            </w:r>
          </w:p>
        </w:tc>
        <w:tc>
          <w:tcPr>
            <w:tcW w:w="1016" w:type="dxa"/>
            <w:noWrap/>
            <w:vAlign w:val="to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026336">
              <w:rPr>
                <w:rStyle w:val="AERtextbold"/>
              </w:rPr>
              <w:t>268</w:t>
            </w:r>
          </w:p>
        </w:tc>
        <w:tc>
          <w:tcPr>
            <w:tcW w:w="1016" w:type="dxa"/>
            <w:noWrap/>
            <w:vAlign w:val="top"/>
          </w:tcPr>
          <w:p w:rsidR="009916C7" w:rsidRPr="009916C7" w:rsidRDefault="009916C7" w:rsidP="00EB6D29">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026336">
              <w:rPr>
                <w:rStyle w:val="AERtextbold"/>
              </w:rPr>
              <w:t>273</w:t>
            </w:r>
          </w:p>
        </w:tc>
      </w:tr>
      <w:tr w:rsidR="009916C7" w:rsidRPr="006F1095" w:rsidTr="00111EB1">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EB6D29">
            <w:pPr>
              <w:pStyle w:val="AERtabletextleft"/>
              <w:keepNext/>
              <w:keepLines/>
              <w:spacing w:before="120" w:line="240" w:lineRule="auto"/>
            </w:pPr>
            <w:r w:rsidRPr="00026336">
              <w:t>Change</w:t>
            </w:r>
            <w:r w:rsidRPr="009916C7">
              <w:rPr>
                <w:rStyle w:val="AERsuperscript"/>
              </w:rPr>
              <w:t>a</w:t>
            </w:r>
            <w:r w:rsidRPr="009916C7">
              <w:t xml:space="preserve"> (%)</w:t>
            </w:r>
          </w:p>
        </w:tc>
        <w:tc>
          <w:tcPr>
            <w:tcW w:w="1015" w:type="dxa"/>
            <w:noWrap/>
            <w:vAlign w:val="top"/>
          </w:tcPr>
          <w:p w:rsidR="009916C7" w:rsidRPr="00026336"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p>
        </w:tc>
        <w:tc>
          <w:tcPr>
            <w:tcW w:w="1016" w:type="dxa"/>
            <w:noWrap/>
            <w:vAlign w:val="to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t>-6.0</w:t>
            </w:r>
            <w:r w:rsidRPr="009916C7">
              <w:t>%</w:t>
            </w:r>
          </w:p>
        </w:tc>
        <w:tc>
          <w:tcPr>
            <w:tcW w:w="1016" w:type="dxa"/>
            <w:noWrap/>
            <w:vAlign w:val="to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t>2.0</w:t>
            </w:r>
            <w:r w:rsidRPr="009916C7">
              <w:t>%</w:t>
            </w:r>
          </w:p>
        </w:tc>
        <w:tc>
          <w:tcPr>
            <w:tcW w:w="1015" w:type="dxa"/>
            <w:noWrap/>
            <w:vAlign w:val="to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t>2.0</w:t>
            </w:r>
            <w:r w:rsidRPr="009916C7">
              <w:t>%</w:t>
            </w:r>
          </w:p>
        </w:tc>
        <w:tc>
          <w:tcPr>
            <w:tcW w:w="1016" w:type="dxa"/>
            <w:noWrap/>
            <w:vAlign w:val="to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t>2.0</w:t>
            </w:r>
            <w:r w:rsidRPr="009916C7">
              <w:t>%</w:t>
            </w:r>
          </w:p>
        </w:tc>
        <w:tc>
          <w:tcPr>
            <w:tcW w:w="1016" w:type="dxa"/>
            <w:noWrap/>
            <w:vAlign w:val="top"/>
          </w:tcPr>
          <w:p w:rsidR="009916C7" w:rsidRPr="009916C7" w:rsidRDefault="009916C7" w:rsidP="00EB6D29">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t>2.0</w:t>
            </w:r>
            <w:r w:rsidRPr="009916C7">
              <w:t>%</w:t>
            </w:r>
          </w:p>
        </w:tc>
      </w:tr>
    </w:tbl>
    <w:p w:rsidR="009916C7" w:rsidRDefault="009916C7" w:rsidP="009916C7">
      <w:pPr>
        <w:pStyle w:val="AERtablesource"/>
      </w:pPr>
      <w:r w:rsidRPr="006F1095">
        <w:t>Source:</w:t>
      </w:r>
      <w:r w:rsidRPr="006F1095">
        <w:tab/>
      </w:r>
      <w:r>
        <w:t xml:space="preserve">AER </w:t>
      </w:r>
      <w:r w:rsidR="00691C0D">
        <w:t>analysis</w:t>
      </w:r>
      <w:r>
        <w:t>.</w:t>
      </w:r>
    </w:p>
    <w:p w:rsidR="009916C7" w:rsidRDefault="009916C7" w:rsidP="004D5E5D">
      <w:pPr>
        <w:pStyle w:val="AERtablesource"/>
        <w:tabs>
          <w:tab w:val="left" w:pos="1134"/>
        </w:tabs>
        <w:ind w:left="1134" w:hanging="1134"/>
      </w:pPr>
      <w:r w:rsidRPr="006F1095">
        <w:t>Notes:</w:t>
      </w:r>
      <w:r w:rsidRPr="006F1095">
        <w:tab/>
      </w:r>
      <w:r w:rsidRPr="00693A45">
        <w:t>Numbers may not sum due to rounding.</w:t>
      </w:r>
    </w:p>
    <w:p w:rsidR="00A65221" w:rsidRPr="00E434B5" w:rsidRDefault="00A65221" w:rsidP="00DA1375">
      <w:pPr>
        <w:pStyle w:val="AERtablesource"/>
      </w:pPr>
      <w:r>
        <w:tab/>
      </w:r>
      <w:r w:rsidRPr="00E434B5">
        <w:t>We have adopted the forecast capital and operating expenditure estimates of Ausgrid. These will be subject to detailed scrutiny when we receive the regulatory proposal</w:t>
      </w:r>
      <w:r w:rsidR="009916C7" w:rsidRPr="00A65221">
        <w:tab/>
      </w:r>
      <w:r>
        <w:t>.</w:t>
      </w:r>
    </w:p>
    <w:p w:rsidR="009916C7" w:rsidRPr="00A65221" w:rsidRDefault="00A65221" w:rsidP="00DA1375">
      <w:pPr>
        <w:pStyle w:val="AERtablesource"/>
      </w:pPr>
      <w:r>
        <w:tab/>
      </w:r>
      <w:r w:rsidR="009916C7" w:rsidRPr="00E434B5">
        <w:t>As noted above, t</w:t>
      </w:r>
      <w:r w:rsidR="009916C7" w:rsidRPr="00A65221">
        <w:t xml:space="preserve">he AER’s substitute revenue in this table does not include the under-recovery of $19.8 million associated with Ausgrid's allowed revenue for 2013–14. Any decision by Ausgrid to recover this revenue would affect transmission prices for its customers independently of </w:t>
      </w:r>
      <w:r w:rsidR="00E05D13" w:rsidRPr="00A65221">
        <w:t>our placeholder</w:t>
      </w:r>
      <w:r w:rsidR="009916C7" w:rsidRPr="00A65221">
        <w:t xml:space="preserve"> determination.</w:t>
      </w:r>
    </w:p>
    <w:p w:rsidR="009916C7" w:rsidRPr="006F1095" w:rsidRDefault="004D5E5D" w:rsidP="004D5E5D">
      <w:pPr>
        <w:pStyle w:val="AERtablesource"/>
        <w:tabs>
          <w:tab w:val="left" w:pos="1134"/>
        </w:tabs>
        <w:ind w:left="1134" w:hanging="1134"/>
      </w:pPr>
      <w:r>
        <w:tab/>
      </w:r>
      <w:r w:rsidR="009916C7" w:rsidRPr="006F1095">
        <w:t>a.</w:t>
      </w:r>
      <w:r w:rsidR="009916C7" w:rsidRPr="006F1095">
        <w:tab/>
        <w:t>This row shows the year-on-year change in total nominal revenues. It should not be interpreted as the X-factor change from year to year.</w:t>
      </w:r>
    </w:p>
    <w:p w:rsidR="009916C7" w:rsidRPr="004D5E5D" w:rsidRDefault="009916C7" w:rsidP="002401A5">
      <w:pPr>
        <w:pStyle w:val="HeadingBoldBlue"/>
        <w:rPr>
          <w:rStyle w:val="AERtextblue"/>
        </w:rPr>
      </w:pPr>
      <w:r w:rsidRPr="004D5E5D">
        <w:rPr>
          <w:rStyle w:val="AERtextblue"/>
        </w:rPr>
        <w:t>Essential Energy</w:t>
      </w:r>
    </w:p>
    <w:p w:rsidR="009916C7" w:rsidRDefault="009916C7" w:rsidP="009916C7">
      <w:pPr>
        <w:pStyle w:val="AERbodytext"/>
        <w:numPr>
          <w:ilvl w:val="0"/>
          <w:numId w:val="6"/>
        </w:numPr>
      </w:pPr>
      <w:r>
        <w:t>We do not accept Essential Energy's proposed annual revenue requirement for the transitional regulatory control period. Instead, we have substituted an annual revenue requirement of $129</w:t>
      </w:r>
      <w:r w:rsidR="00337830">
        <w:t>2</w:t>
      </w:r>
      <w:r>
        <w:t> million (nominal). This is 5.2 per cent lower than the revenue allowance proposed by Essential Energy.</w:t>
      </w:r>
      <w:r w:rsidRPr="00B34891">
        <w:t xml:space="preserve"> We consider that this substituted </w:t>
      </w:r>
      <w:r>
        <w:t>revenue</w:t>
      </w:r>
      <w:r w:rsidRPr="00B34891">
        <w:t xml:space="preserve"> is likely to minimise price variations.</w:t>
      </w:r>
    </w:p>
    <w:p w:rsidR="009916C7" w:rsidRDefault="00691C0D" w:rsidP="009916C7">
      <w:pPr>
        <w:pStyle w:val="AERbodytext"/>
        <w:numPr>
          <w:ilvl w:val="0"/>
          <w:numId w:val="6"/>
        </w:numPr>
      </w:pPr>
      <w:r>
        <w:fldChar w:fldCharType="begin"/>
      </w:r>
      <w:r>
        <w:instrText xml:space="preserve"> REF _Ref384820149 \h </w:instrText>
      </w:r>
      <w:r>
        <w:fldChar w:fldCharType="separate"/>
      </w:r>
      <w:r w:rsidR="00E313D7">
        <w:t xml:space="preserve">Figure </w:t>
      </w:r>
      <w:r w:rsidR="00E313D7">
        <w:rPr>
          <w:noProof/>
        </w:rPr>
        <w:t>4</w:t>
      </w:r>
      <w:r w:rsidR="00E313D7">
        <w:t>.</w:t>
      </w:r>
      <w:r w:rsidR="00E313D7">
        <w:rPr>
          <w:noProof/>
        </w:rPr>
        <w:t>3</w:t>
      </w:r>
      <w:r>
        <w:fldChar w:fldCharType="end"/>
      </w:r>
      <w:r>
        <w:t xml:space="preserve"> </w:t>
      </w:r>
      <w:r w:rsidR="009916C7" w:rsidRPr="00E564BC">
        <w:t xml:space="preserve">shows </w:t>
      </w:r>
      <w:r w:rsidR="009916C7">
        <w:t>Essential Energy</w:t>
      </w:r>
      <w:r w:rsidR="009916C7" w:rsidRPr="00E564BC">
        <w:t xml:space="preserve">’s </w:t>
      </w:r>
      <w:r w:rsidR="009916C7">
        <w:t xml:space="preserve">indicative </w:t>
      </w:r>
      <w:r w:rsidR="009916C7" w:rsidRPr="00E564BC">
        <w:t xml:space="preserve">price path based on its proposed </w:t>
      </w:r>
      <w:r w:rsidR="009916C7">
        <w:t>revenues</w:t>
      </w:r>
      <w:r w:rsidR="009916C7" w:rsidRPr="00E564BC">
        <w:t xml:space="preserve"> and the price path based on our </w:t>
      </w:r>
      <w:r w:rsidR="009916C7">
        <w:t xml:space="preserve">revenues </w:t>
      </w:r>
      <w:r w:rsidR="009916C7" w:rsidRPr="00E564BC">
        <w:t>adjust</w:t>
      </w:r>
      <w:r w:rsidR="009916C7">
        <w:t>ed for</w:t>
      </w:r>
      <w:r w:rsidR="009916C7" w:rsidRPr="00E564BC">
        <w:t xml:space="preserve"> the rate of return and gamma.</w:t>
      </w:r>
      <w:r w:rsidR="00034C4F">
        <w:rPr>
          <w:rStyle w:val="FootnoteReference"/>
        </w:rPr>
        <w:footnoteReference w:id="42"/>
      </w:r>
      <w:r w:rsidR="009916C7" w:rsidRPr="00E564BC">
        <w:t xml:space="preserve"> </w:t>
      </w:r>
      <w:r w:rsidR="009916C7">
        <w:t>For the reasons discussed above, w</w:t>
      </w:r>
      <w:r w:rsidR="009916C7" w:rsidRPr="004D1FDB">
        <w:t xml:space="preserve">e consider our adjusted </w:t>
      </w:r>
      <w:r w:rsidR="009916C7">
        <w:t>revenue</w:t>
      </w:r>
      <w:r w:rsidR="009916C7" w:rsidRPr="004D1FDB">
        <w:t xml:space="preserve"> for </w:t>
      </w:r>
      <w:r w:rsidR="009916C7">
        <w:t xml:space="preserve">Essential Energy </w:t>
      </w:r>
      <w:r w:rsidR="009916C7" w:rsidRPr="004D1FDB">
        <w:t xml:space="preserve">over the transitional regulatory control period </w:t>
      </w:r>
      <w:r w:rsidR="009916C7">
        <w:t>is</w:t>
      </w:r>
      <w:r w:rsidR="009916C7" w:rsidRPr="004D1FDB">
        <w:t xml:space="preserve"> reasonably likely to result in </w:t>
      </w:r>
      <w:r w:rsidR="009916C7">
        <w:t xml:space="preserve">a </w:t>
      </w:r>
      <w:r w:rsidR="009916C7" w:rsidRPr="004D1FDB">
        <w:t>price path that minimise</w:t>
      </w:r>
      <w:r w:rsidR="009916C7">
        <w:t>s</w:t>
      </w:r>
      <w:r w:rsidR="009916C7" w:rsidRPr="004D1FDB">
        <w:t xml:space="preserve"> price variations. This is because we expect forecast costs to be lower than that proposed by </w:t>
      </w:r>
      <w:r w:rsidR="009916C7">
        <w:t>Essential Energy.</w:t>
      </w:r>
    </w:p>
    <w:p w:rsidR="009916C7" w:rsidRDefault="00691C0D" w:rsidP="00691C0D">
      <w:pPr>
        <w:pStyle w:val="Caption"/>
      </w:pPr>
      <w:bookmarkStart w:id="95" w:name="_Ref384820149"/>
      <w:bookmarkStart w:id="96" w:name="_Ref384820141"/>
      <w:r>
        <w:lastRenderedPageBreak/>
        <w:t xml:space="preserve">Figure </w:t>
      </w:r>
      <w:r w:rsidR="00DD155E">
        <w:fldChar w:fldCharType="begin"/>
      </w:r>
      <w:r w:rsidR="00DD155E">
        <w:instrText xml:space="preserve"> STYLEREF 1 \s </w:instrText>
      </w:r>
      <w:r w:rsidR="00DD155E">
        <w:fldChar w:fldCharType="separate"/>
      </w:r>
      <w:r w:rsidR="00E313D7">
        <w:rPr>
          <w:noProof/>
        </w:rPr>
        <w:t>4</w:t>
      </w:r>
      <w:r w:rsidR="00DD155E">
        <w:rPr>
          <w:noProof/>
        </w:rPr>
        <w:fldChar w:fldCharType="end"/>
      </w:r>
      <w:r w:rsidR="00B460EF">
        <w:t>.</w:t>
      </w:r>
      <w:r w:rsidR="00DD155E">
        <w:fldChar w:fldCharType="begin"/>
      </w:r>
      <w:r w:rsidR="00DD155E">
        <w:instrText xml:space="preserve"> SEQ Figure \* ARABIC \s 1 </w:instrText>
      </w:r>
      <w:r w:rsidR="00DD155E">
        <w:fldChar w:fldCharType="separate"/>
      </w:r>
      <w:r w:rsidR="00E313D7">
        <w:rPr>
          <w:noProof/>
        </w:rPr>
        <w:t>3</w:t>
      </w:r>
      <w:r w:rsidR="00DD155E">
        <w:rPr>
          <w:noProof/>
        </w:rPr>
        <w:fldChar w:fldCharType="end"/>
      </w:r>
      <w:bookmarkEnd w:id="95"/>
      <w:r w:rsidR="009916C7">
        <w:tab/>
        <w:t>Essential Energy</w:t>
      </w:r>
      <w:r w:rsidR="009916C7" w:rsidRPr="000428EA">
        <w:t xml:space="preserve"> proposed and AER decision indicative price </w:t>
      </w:r>
      <w:r w:rsidR="009916C7">
        <w:t>path</w:t>
      </w:r>
      <w:r w:rsidR="009916C7" w:rsidRPr="000428EA">
        <w:t xml:space="preserve"> (nominal price index)</w:t>
      </w:r>
      <w:bookmarkEnd w:id="96"/>
    </w:p>
    <w:p w:rsidR="009916C7" w:rsidRPr="00947A42" w:rsidRDefault="009916C7" w:rsidP="009916C7">
      <w:pPr>
        <w:pStyle w:val="AERbodytext"/>
        <w:numPr>
          <w:ilvl w:val="0"/>
          <w:numId w:val="6"/>
        </w:numPr>
      </w:pPr>
      <w:r w:rsidRPr="009916C7">
        <w:rPr>
          <w:noProof/>
          <w:lang w:eastAsia="en-AU"/>
        </w:rPr>
        <w:drawing>
          <wp:inline distT="0" distB="0" distL="0" distR="0" wp14:anchorId="6CAF9F71" wp14:editId="2884AB70">
            <wp:extent cx="4834255" cy="30054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34255" cy="3005455"/>
                    </a:xfrm>
                    <a:prstGeom prst="rect">
                      <a:avLst/>
                    </a:prstGeom>
                    <a:noFill/>
                  </pic:spPr>
                </pic:pic>
              </a:graphicData>
            </a:graphic>
          </wp:inline>
        </w:drawing>
      </w:r>
    </w:p>
    <w:p w:rsidR="009916C7" w:rsidRDefault="009916C7" w:rsidP="009916C7">
      <w:pPr>
        <w:pStyle w:val="AERtablesource"/>
      </w:pPr>
      <w:r>
        <w:t xml:space="preserve">Source: </w:t>
      </w:r>
      <w:r>
        <w:tab/>
        <w:t>AER analysis.</w:t>
      </w:r>
    </w:p>
    <w:p w:rsidR="009916C7" w:rsidRDefault="009D768F" w:rsidP="009916C7">
      <w:pPr>
        <w:pStyle w:val="AERbodytext"/>
        <w:numPr>
          <w:ilvl w:val="0"/>
          <w:numId w:val="6"/>
        </w:numPr>
      </w:pPr>
      <w:r>
        <w:fldChar w:fldCharType="begin"/>
      </w:r>
      <w:r>
        <w:instrText xml:space="preserve"> REF _Ref385252602 \h </w:instrText>
      </w:r>
      <w:r>
        <w:fldChar w:fldCharType="separate"/>
      </w:r>
      <w:r w:rsidR="00E313D7">
        <w:t xml:space="preserve">Table </w:t>
      </w:r>
      <w:r w:rsidR="00E313D7">
        <w:rPr>
          <w:noProof/>
        </w:rPr>
        <w:t>4</w:t>
      </w:r>
      <w:r w:rsidR="00E313D7">
        <w:t>.</w:t>
      </w:r>
      <w:r w:rsidR="00E313D7">
        <w:rPr>
          <w:noProof/>
        </w:rPr>
        <w:t>6</w:t>
      </w:r>
      <w:r>
        <w:fldChar w:fldCharType="end"/>
      </w:r>
      <w:r>
        <w:t xml:space="preserve"> </w:t>
      </w:r>
      <w:r w:rsidR="009916C7" w:rsidRPr="000428EA">
        <w:t xml:space="preserve">shows </w:t>
      </w:r>
      <w:r w:rsidR="009916C7">
        <w:t>Essential Energy</w:t>
      </w:r>
      <w:r w:rsidR="009916C7" w:rsidRPr="000428EA">
        <w:t>’s proposed revenue (and price path) for the transitional and subse</w:t>
      </w:r>
      <w:r w:rsidR="009916C7">
        <w:t>quent regulatory control periods</w:t>
      </w:r>
      <w:r w:rsidR="009916C7" w:rsidRPr="000428EA">
        <w:t xml:space="preserve"> and our substituted revenue (and price path</w:t>
      </w:r>
      <w:r w:rsidR="009916C7">
        <w:t>)</w:t>
      </w:r>
      <w:r w:rsidR="009916C7" w:rsidRPr="000428EA">
        <w:t xml:space="preserve"> for the transitional and subse</w:t>
      </w:r>
      <w:r w:rsidR="009916C7">
        <w:t>quent regulatory control periods</w:t>
      </w:r>
      <w:r w:rsidR="009916C7" w:rsidRPr="000428EA">
        <w:t>.</w:t>
      </w:r>
    </w:p>
    <w:p w:rsidR="009916C7" w:rsidRDefault="00F27D91" w:rsidP="004D5E5D">
      <w:pPr>
        <w:pStyle w:val="Caption"/>
        <w:jc w:val="left"/>
      </w:pPr>
      <w:bookmarkStart w:id="97" w:name="_Ref385252602"/>
      <w:bookmarkStart w:id="98" w:name="_Ref383420698"/>
      <w:r>
        <w:t xml:space="preserve">Table </w:t>
      </w:r>
      <w:r w:rsidR="00DD155E">
        <w:fldChar w:fldCharType="begin"/>
      </w:r>
      <w:r w:rsidR="00DD155E">
        <w:instrText xml:space="preserve"> STYLEREF 1 \s </w:instrText>
      </w:r>
      <w:r w:rsidR="00DD155E">
        <w:fldChar w:fldCharType="separate"/>
      </w:r>
      <w:r w:rsidR="00E313D7">
        <w:rPr>
          <w:noProof/>
        </w:rPr>
        <w:t>4</w:t>
      </w:r>
      <w:r w:rsidR="00DD155E">
        <w:rPr>
          <w:noProof/>
        </w:rPr>
        <w:fldChar w:fldCharType="end"/>
      </w:r>
      <w:r w:rsidR="00804FE8">
        <w:t>.</w:t>
      </w:r>
      <w:r w:rsidR="00DD155E">
        <w:fldChar w:fldCharType="begin"/>
      </w:r>
      <w:r w:rsidR="00DD155E">
        <w:instrText xml:space="preserve"> SEQ Table \* ARABIC \s 1 </w:instrText>
      </w:r>
      <w:r w:rsidR="00DD155E">
        <w:fldChar w:fldCharType="separate"/>
      </w:r>
      <w:r w:rsidR="00E313D7">
        <w:rPr>
          <w:noProof/>
        </w:rPr>
        <w:t>6</w:t>
      </w:r>
      <w:r w:rsidR="00DD155E">
        <w:rPr>
          <w:noProof/>
        </w:rPr>
        <w:fldChar w:fldCharType="end"/>
      </w:r>
      <w:bookmarkEnd w:id="97"/>
      <w:r>
        <w:tab/>
      </w:r>
      <w:bookmarkEnd w:id="98"/>
      <w:r w:rsidR="009916C7">
        <w:t>Essential Energy</w:t>
      </w:r>
      <w:r w:rsidR="009916C7" w:rsidRPr="000428EA">
        <w:t>’s proposed revenue and price path and AER substituted revenue and price path</w:t>
      </w:r>
    </w:p>
    <w:tbl>
      <w:tblPr>
        <w:tblStyle w:val="AERtable-numbers"/>
        <w:tblW w:w="9203" w:type="dxa"/>
        <w:tblLayout w:type="fixed"/>
        <w:tblLook w:val="04A0" w:firstRow="1" w:lastRow="0" w:firstColumn="1" w:lastColumn="0" w:noHBand="0" w:noVBand="1"/>
      </w:tblPr>
      <w:tblGrid>
        <w:gridCol w:w="3067"/>
        <w:gridCol w:w="18"/>
        <w:gridCol w:w="1019"/>
        <w:gridCol w:w="497"/>
        <w:gridCol w:w="523"/>
        <w:gridCol w:w="1011"/>
        <w:gridCol w:w="9"/>
        <w:gridCol w:w="1019"/>
        <w:gridCol w:w="506"/>
        <w:gridCol w:w="514"/>
        <w:gridCol w:w="1020"/>
      </w:tblGrid>
      <w:tr w:rsidR="009916C7" w:rsidRPr="000428EA" w:rsidTr="004D5E5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85" w:type="dxa"/>
            <w:gridSpan w:val="2"/>
            <w:noWrap/>
            <w:hideMark/>
          </w:tcPr>
          <w:p w:rsidR="009916C7" w:rsidRPr="00947A42" w:rsidRDefault="009916C7" w:rsidP="004D5E5D">
            <w:pPr>
              <w:pStyle w:val="AERtabletextleft"/>
              <w:keepNext/>
              <w:keepLines/>
              <w:spacing w:before="120" w:line="240" w:lineRule="auto"/>
            </w:pPr>
          </w:p>
        </w:tc>
        <w:tc>
          <w:tcPr>
            <w:tcW w:w="1019" w:type="dxa"/>
            <w:noWrap/>
            <w:hideMark/>
          </w:tcPr>
          <w:p w:rsidR="009916C7" w:rsidRPr="00947A42" w:rsidRDefault="009916C7" w:rsidP="004D5E5D">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947A42">
              <w:t>2013–14</w:t>
            </w:r>
          </w:p>
        </w:tc>
        <w:tc>
          <w:tcPr>
            <w:tcW w:w="1020" w:type="dxa"/>
            <w:gridSpan w:val="2"/>
            <w:noWrap/>
            <w:hideMark/>
          </w:tcPr>
          <w:p w:rsidR="009916C7" w:rsidRPr="00947A42" w:rsidRDefault="009916C7" w:rsidP="004D5E5D">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947A42">
              <w:t>2014–15</w:t>
            </w:r>
          </w:p>
        </w:tc>
        <w:tc>
          <w:tcPr>
            <w:tcW w:w="1020" w:type="dxa"/>
            <w:gridSpan w:val="2"/>
            <w:noWrap/>
            <w:hideMark/>
          </w:tcPr>
          <w:p w:rsidR="009916C7" w:rsidRPr="00947A42" w:rsidRDefault="009916C7" w:rsidP="004D5E5D">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947A42">
              <w:t>2015–16</w:t>
            </w:r>
          </w:p>
        </w:tc>
        <w:tc>
          <w:tcPr>
            <w:tcW w:w="1019" w:type="dxa"/>
            <w:noWrap/>
            <w:hideMark/>
          </w:tcPr>
          <w:p w:rsidR="009916C7" w:rsidRPr="00947A42" w:rsidRDefault="009916C7" w:rsidP="004D5E5D">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947A42">
              <w:t>2016–17</w:t>
            </w:r>
          </w:p>
        </w:tc>
        <w:tc>
          <w:tcPr>
            <w:tcW w:w="1020" w:type="dxa"/>
            <w:gridSpan w:val="2"/>
            <w:noWrap/>
            <w:hideMark/>
          </w:tcPr>
          <w:p w:rsidR="009916C7" w:rsidRPr="00947A42" w:rsidRDefault="009916C7" w:rsidP="004D5E5D">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947A42">
              <w:t>2017–18</w:t>
            </w:r>
          </w:p>
        </w:tc>
        <w:tc>
          <w:tcPr>
            <w:tcW w:w="1020" w:type="dxa"/>
            <w:noWrap/>
            <w:hideMark/>
          </w:tcPr>
          <w:p w:rsidR="009916C7" w:rsidRPr="00947A42" w:rsidRDefault="009916C7" w:rsidP="004D5E5D">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947A42">
              <w:t>2018–19</w:t>
            </w:r>
          </w:p>
        </w:tc>
      </w:tr>
      <w:tr w:rsidR="009916C7" w:rsidRPr="00033DA9" w:rsidTr="004D5E5D">
        <w:trPr>
          <w:trHeight w:val="284"/>
        </w:trPr>
        <w:tc>
          <w:tcPr>
            <w:cnfStyle w:val="001000000000" w:firstRow="0" w:lastRow="0" w:firstColumn="1" w:lastColumn="0" w:oddVBand="0" w:evenVBand="0" w:oddHBand="0" w:evenHBand="0" w:firstRowFirstColumn="0" w:firstRowLastColumn="0" w:lastRowFirstColumn="0" w:lastRowLastColumn="0"/>
            <w:tcW w:w="3067" w:type="dxa"/>
            <w:shd w:val="clear" w:color="auto" w:fill="auto"/>
            <w:noWrap/>
            <w:hideMark/>
          </w:tcPr>
          <w:p w:rsidR="009916C7" w:rsidRPr="009916C7" w:rsidRDefault="009916C7" w:rsidP="004D5E5D">
            <w:pPr>
              <w:pStyle w:val="AERtabletextleft"/>
              <w:keepNext/>
              <w:keepLines/>
              <w:spacing w:before="120" w:line="240" w:lineRule="auto"/>
              <w:rPr>
                <w:rStyle w:val="AERtextbold"/>
              </w:rPr>
            </w:pPr>
            <w:r w:rsidRPr="00026336">
              <w:rPr>
                <w:rStyle w:val="AERtextbold"/>
              </w:rPr>
              <w:t>Proposed revenue and price path</w:t>
            </w:r>
          </w:p>
        </w:tc>
        <w:tc>
          <w:tcPr>
            <w:tcW w:w="1534" w:type="dxa"/>
            <w:gridSpan w:val="3"/>
            <w:shd w:val="clear" w:color="auto" w:fill="auto"/>
            <w:noWrap/>
            <w:hideMark/>
          </w:tcPr>
          <w:p w:rsidR="009916C7" w:rsidRPr="00026336"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p>
        </w:tc>
        <w:tc>
          <w:tcPr>
            <w:tcW w:w="1534" w:type="dxa"/>
            <w:gridSpan w:val="2"/>
            <w:shd w:val="clear" w:color="auto" w:fill="auto"/>
            <w:noWrap/>
            <w:hideMark/>
          </w:tcPr>
          <w:p w:rsidR="009916C7" w:rsidRPr="00026336"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p>
        </w:tc>
        <w:tc>
          <w:tcPr>
            <w:tcW w:w="1534" w:type="dxa"/>
            <w:gridSpan w:val="3"/>
            <w:shd w:val="clear" w:color="auto" w:fill="auto"/>
            <w:noWrap/>
            <w:hideMark/>
          </w:tcPr>
          <w:p w:rsidR="009916C7" w:rsidRPr="00026336"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p>
        </w:tc>
        <w:tc>
          <w:tcPr>
            <w:tcW w:w="1534" w:type="dxa"/>
            <w:gridSpan w:val="2"/>
            <w:shd w:val="clear" w:color="auto" w:fill="auto"/>
            <w:noWrap/>
            <w:hideMark/>
          </w:tcPr>
          <w:p w:rsidR="009916C7" w:rsidRPr="00026336"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p>
        </w:tc>
      </w:tr>
      <w:tr w:rsidR="009916C7" w:rsidRPr="000428EA" w:rsidTr="004D5E5D">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85" w:type="dxa"/>
            <w:gridSpan w:val="2"/>
            <w:noWrap/>
            <w:hideMark/>
          </w:tcPr>
          <w:p w:rsidR="009916C7" w:rsidRPr="00947A42" w:rsidRDefault="009916C7" w:rsidP="004D5E5D">
            <w:pPr>
              <w:pStyle w:val="AERtabletextleft"/>
              <w:keepNext/>
              <w:keepLines/>
              <w:spacing w:before="120" w:line="240" w:lineRule="auto"/>
            </w:pPr>
            <w:r w:rsidRPr="00947A42">
              <w:t>Revenue ($m, nominal)</w:t>
            </w:r>
          </w:p>
        </w:tc>
        <w:tc>
          <w:tcPr>
            <w:tcW w:w="1019" w:type="dxa"/>
            <w:noWrap/>
            <w:hideMark/>
          </w:tcPr>
          <w:p w:rsidR="009916C7" w:rsidRPr="00947A42"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1361</w:t>
            </w:r>
          </w:p>
        </w:tc>
        <w:tc>
          <w:tcPr>
            <w:tcW w:w="1020" w:type="dxa"/>
            <w:gridSpan w:val="2"/>
            <w:noWrap/>
            <w:hideMark/>
          </w:tcPr>
          <w:p w:rsidR="009916C7" w:rsidRPr="00947A42"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1363</w:t>
            </w:r>
          </w:p>
        </w:tc>
        <w:tc>
          <w:tcPr>
            <w:tcW w:w="1020" w:type="dxa"/>
            <w:gridSpan w:val="2"/>
            <w:noWrap/>
            <w:hideMark/>
          </w:tcPr>
          <w:p w:rsidR="009916C7" w:rsidRPr="00947A42"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1375</w:t>
            </w:r>
          </w:p>
        </w:tc>
        <w:tc>
          <w:tcPr>
            <w:tcW w:w="1019" w:type="dxa"/>
            <w:noWrap/>
            <w:hideMark/>
          </w:tcPr>
          <w:p w:rsidR="009916C7" w:rsidRPr="00947A42"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1382</w:t>
            </w:r>
          </w:p>
        </w:tc>
        <w:tc>
          <w:tcPr>
            <w:tcW w:w="1020" w:type="dxa"/>
            <w:gridSpan w:val="2"/>
            <w:noWrap/>
            <w:hideMark/>
          </w:tcPr>
          <w:p w:rsidR="009916C7" w:rsidRPr="00947A42"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1390</w:t>
            </w:r>
          </w:p>
        </w:tc>
        <w:tc>
          <w:tcPr>
            <w:tcW w:w="1020" w:type="dxa"/>
            <w:noWrap/>
            <w:hideMark/>
          </w:tcPr>
          <w:p w:rsidR="009916C7" w:rsidRPr="00947A42"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1407</w:t>
            </w:r>
          </w:p>
        </w:tc>
      </w:tr>
      <w:tr w:rsidR="009916C7" w:rsidRPr="000428EA" w:rsidTr="004D5E5D">
        <w:trPr>
          <w:trHeight w:val="284"/>
        </w:trPr>
        <w:tc>
          <w:tcPr>
            <w:cnfStyle w:val="001000000000" w:firstRow="0" w:lastRow="0" w:firstColumn="1" w:lastColumn="0" w:oddVBand="0" w:evenVBand="0" w:oddHBand="0" w:evenHBand="0" w:firstRowFirstColumn="0" w:firstRowLastColumn="0" w:lastRowFirstColumn="0" w:lastRowLastColumn="0"/>
            <w:tcW w:w="3085" w:type="dxa"/>
            <w:gridSpan w:val="2"/>
            <w:shd w:val="clear" w:color="auto" w:fill="auto"/>
            <w:noWrap/>
            <w:hideMark/>
          </w:tcPr>
          <w:p w:rsidR="009916C7" w:rsidRPr="009916C7" w:rsidRDefault="009916C7" w:rsidP="004D5E5D">
            <w:pPr>
              <w:pStyle w:val="AERtabletextleft"/>
              <w:keepNext/>
              <w:keepLines/>
              <w:spacing w:before="120" w:line="240" w:lineRule="auto"/>
            </w:pPr>
            <w:r w:rsidRPr="00947A42">
              <w:t>Price path (nominal index)</w:t>
            </w:r>
          </w:p>
        </w:tc>
        <w:tc>
          <w:tcPr>
            <w:tcW w:w="1019" w:type="dxa"/>
            <w:shd w:val="clear" w:color="auto" w:fill="auto"/>
            <w:noWrap/>
            <w:hideMark/>
          </w:tcPr>
          <w:p w:rsidR="009916C7" w:rsidRPr="00947A42"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1.00</w:t>
            </w:r>
          </w:p>
        </w:tc>
        <w:tc>
          <w:tcPr>
            <w:tcW w:w="1020" w:type="dxa"/>
            <w:gridSpan w:val="2"/>
            <w:shd w:val="clear" w:color="auto" w:fill="auto"/>
            <w:noWrap/>
            <w:hideMark/>
          </w:tcPr>
          <w:p w:rsidR="009916C7" w:rsidRPr="00947A42"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1.02</w:t>
            </w:r>
          </w:p>
        </w:tc>
        <w:tc>
          <w:tcPr>
            <w:tcW w:w="1020" w:type="dxa"/>
            <w:gridSpan w:val="2"/>
            <w:shd w:val="clear" w:color="auto" w:fill="auto"/>
            <w:noWrap/>
            <w:hideMark/>
          </w:tcPr>
          <w:p w:rsidR="009916C7" w:rsidRPr="00947A42"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1.05</w:t>
            </w:r>
          </w:p>
        </w:tc>
        <w:tc>
          <w:tcPr>
            <w:tcW w:w="1019" w:type="dxa"/>
            <w:shd w:val="clear" w:color="auto" w:fill="auto"/>
            <w:noWrap/>
            <w:hideMark/>
          </w:tcPr>
          <w:p w:rsidR="009916C7" w:rsidRPr="00947A42"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1.08</w:t>
            </w:r>
          </w:p>
        </w:tc>
        <w:tc>
          <w:tcPr>
            <w:tcW w:w="1020" w:type="dxa"/>
            <w:gridSpan w:val="2"/>
            <w:shd w:val="clear" w:color="auto" w:fill="auto"/>
            <w:noWrap/>
            <w:hideMark/>
          </w:tcPr>
          <w:p w:rsidR="009916C7" w:rsidRPr="00947A42"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1.10</w:t>
            </w:r>
          </w:p>
        </w:tc>
        <w:tc>
          <w:tcPr>
            <w:tcW w:w="1020" w:type="dxa"/>
            <w:shd w:val="clear" w:color="auto" w:fill="auto"/>
            <w:noWrap/>
            <w:hideMark/>
          </w:tcPr>
          <w:p w:rsidR="009916C7" w:rsidRPr="00947A42"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1.13</w:t>
            </w:r>
          </w:p>
        </w:tc>
      </w:tr>
      <w:tr w:rsidR="00C16381" w:rsidRPr="000428EA" w:rsidTr="004D5E5D">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85" w:type="dxa"/>
            <w:gridSpan w:val="2"/>
            <w:noWrap/>
            <w:hideMark/>
          </w:tcPr>
          <w:p w:rsidR="00C16381" w:rsidRPr="00947A42" w:rsidRDefault="00C16381" w:rsidP="004D5E5D">
            <w:pPr>
              <w:pStyle w:val="AERtabletextleft"/>
              <w:keepNext/>
              <w:keepLines/>
              <w:spacing w:before="120" w:line="240" w:lineRule="auto"/>
            </w:pPr>
            <w:r w:rsidRPr="00947A42">
              <w:t> Revenue (change %)</w:t>
            </w:r>
          </w:p>
        </w:tc>
        <w:tc>
          <w:tcPr>
            <w:tcW w:w="1019" w:type="dxa"/>
            <w:noWrap/>
            <w:hideMark/>
          </w:tcPr>
          <w:p w:rsidR="00C16381" w:rsidRPr="00947A42"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n/a</w:t>
            </w:r>
          </w:p>
        </w:tc>
        <w:tc>
          <w:tcPr>
            <w:tcW w:w="1020" w:type="dxa"/>
            <w:gridSpan w:val="2"/>
            <w:noWrap/>
            <w:hideMark/>
          </w:tcPr>
          <w:p w:rsidR="00C16381" w:rsidRPr="00947A42"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0.1%</w:t>
            </w:r>
          </w:p>
        </w:tc>
        <w:tc>
          <w:tcPr>
            <w:tcW w:w="1020" w:type="dxa"/>
            <w:gridSpan w:val="2"/>
            <w:noWrap/>
            <w:hideMark/>
          </w:tcPr>
          <w:p w:rsidR="00C16381" w:rsidRPr="00947A42"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0.9%</w:t>
            </w:r>
          </w:p>
        </w:tc>
        <w:tc>
          <w:tcPr>
            <w:tcW w:w="1019" w:type="dxa"/>
            <w:noWrap/>
            <w:hideMark/>
          </w:tcPr>
          <w:p w:rsidR="00C16381" w:rsidRPr="00947A42"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0.5%</w:t>
            </w:r>
          </w:p>
        </w:tc>
        <w:tc>
          <w:tcPr>
            <w:tcW w:w="1020" w:type="dxa"/>
            <w:gridSpan w:val="2"/>
            <w:noWrap/>
            <w:hideMark/>
          </w:tcPr>
          <w:p w:rsidR="00C16381" w:rsidRPr="00947A42"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0.6%</w:t>
            </w:r>
          </w:p>
        </w:tc>
        <w:tc>
          <w:tcPr>
            <w:tcW w:w="1020" w:type="dxa"/>
            <w:noWrap/>
            <w:hideMark/>
          </w:tcPr>
          <w:p w:rsidR="00C16381" w:rsidRPr="00947A42"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1.2%</w:t>
            </w:r>
          </w:p>
        </w:tc>
      </w:tr>
      <w:tr w:rsidR="00C16381" w:rsidRPr="000428EA" w:rsidTr="004D5E5D">
        <w:trPr>
          <w:trHeight w:val="284"/>
        </w:trPr>
        <w:tc>
          <w:tcPr>
            <w:cnfStyle w:val="001000000000" w:firstRow="0" w:lastRow="0" w:firstColumn="1" w:lastColumn="0" w:oddVBand="0" w:evenVBand="0" w:oddHBand="0" w:evenHBand="0" w:firstRowFirstColumn="0" w:firstRowLastColumn="0" w:lastRowFirstColumn="0" w:lastRowLastColumn="0"/>
            <w:tcW w:w="3085" w:type="dxa"/>
            <w:gridSpan w:val="2"/>
            <w:shd w:val="clear" w:color="auto" w:fill="auto"/>
            <w:noWrap/>
            <w:hideMark/>
          </w:tcPr>
          <w:p w:rsidR="00C16381" w:rsidRPr="00947A42" w:rsidRDefault="00C16381" w:rsidP="004D5E5D">
            <w:pPr>
              <w:pStyle w:val="AERtabletextleft"/>
              <w:keepNext/>
              <w:keepLines/>
              <w:spacing w:before="120" w:line="240" w:lineRule="auto"/>
            </w:pPr>
            <w:r w:rsidRPr="00947A42">
              <w:t>Price path (change %)</w:t>
            </w:r>
          </w:p>
        </w:tc>
        <w:tc>
          <w:tcPr>
            <w:tcW w:w="1019" w:type="dxa"/>
            <w:shd w:val="clear" w:color="auto" w:fill="auto"/>
            <w:noWrap/>
          </w:tcPr>
          <w:p w:rsidR="00C16381" w:rsidRPr="00947A42"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n/a</w:t>
            </w:r>
          </w:p>
        </w:tc>
        <w:tc>
          <w:tcPr>
            <w:tcW w:w="1020" w:type="dxa"/>
            <w:gridSpan w:val="2"/>
            <w:shd w:val="clear" w:color="auto" w:fill="auto"/>
            <w:noWrap/>
          </w:tcPr>
          <w:p w:rsidR="00C16381" w:rsidRPr="00947A42"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2.5%</w:t>
            </w:r>
          </w:p>
        </w:tc>
        <w:tc>
          <w:tcPr>
            <w:tcW w:w="1020" w:type="dxa"/>
            <w:gridSpan w:val="2"/>
            <w:shd w:val="clear" w:color="auto" w:fill="auto"/>
            <w:noWrap/>
          </w:tcPr>
          <w:p w:rsidR="00C16381" w:rsidRPr="00947A42"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2.5%</w:t>
            </w:r>
          </w:p>
        </w:tc>
        <w:tc>
          <w:tcPr>
            <w:tcW w:w="1019" w:type="dxa"/>
            <w:shd w:val="clear" w:color="auto" w:fill="auto"/>
            <w:noWrap/>
          </w:tcPr>
          <w:p w:rsidR="00C16381" w:rsidRPr="00947A42"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2.5%</w:t>
            </w:r>
          </w:p>
        </w:tc>
        <w:tc>
          <w:tcPr>
            <w:tcW w:w="1020" w:type="dxa"/>
            <w:gridSpan w:val="2"/>
            <w:shd w:val="clear" w:color="auto" w:fill="auto"/>
            <w:noWrap/>
          </w:tcPr>
          <w:p w:rsidR="00C16381" w:rsidRPr="00947A42"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2.5%</w:t>
            </w:r>
          </w:p>
        </w:tc>
        <w:tc>
          <w:tcPr>
            <w:tcW w:w="1020" w:type="dxa"/>
            <w:shd w:val="clear" w:color="auto" w:fill="auto"/>
            <w:noWrap/>
          </w:tcPr>
          <w:p w:rsidR="00C16381" w:rsidRPr="00947A42"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2.5%</w:t>
            </w:r>
          </w:p>
        </w:tc>
      </w:tr>
      <w:tr w:rsidR="004D5E5D" w:rsidRPr="000428EA" w:rsidTr="00DF2B4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3" w:type="dxa"/>
            <w:gridSpan w:val="11"/>
            <w:noWrap/>
            <w:hideMark/>
          </w:tcPr>
          <w:p w:rsidR="004D5E5D" w:rsidRPr="00947A42" w:rsidRDefault="004D5E5D" w:rsidP="004D5E5D">
            <w:pPr>
              <w:pStyle w:val="AERtabletextright"/>
              <w:keepNext/>
              <w:keepLines/>
              <w:spacing w:after="120" w:line="240" w:lineRule="auto"/>
              <w:jc w:val="left"/>
            </w:pPr>
            <w:r w:rsidRPr="00026336">
              <w:rPr>
                <w:rStyle w:val="AERtextbold"/>
              </w:rPr>
              <w:t>AER substitute revenue and price path</w:t>
            </w:r>
          </w:p>
        </w:tc>
      </w:tr>
      <w:tr w:rsidR="00C16381" w:rsidRPr="000428EA" w:rsidTr="004D5E5D">
        <w:trPr>
          <w:trHeight w:val="284"/>
        </w:trPr>
        <w:tc>
          <w:tcPr>
            <w:cnfStyle w:val="001000000000" w:firstRow="0" w:lastRow="0" w:firstColumn="1" w:lastColumn="0" w:oddVBand="0" w:evenVBand="0" w:oddHBand="0" w:evenHBand="0" w:firstRowFirstColumn="0" w:firstRowLastColumn="0" w:lastRowFirstColumn="0" w:lastRowLastColumn="0"/>
            <w:tcW w:w="3085" w:type="dxa"/>
            <w:gridSpan w:val="2"/>
            <w:shd w:val="clear" w:color="auto" w:fill="auto"/>
            <w:noWrap/>
            <w:hideMark/>
          </w:tcPr>
          <w:p w:rsidR="00C16381" w:rsidRPr="009916C7" w:rsidRDefault="00C16381" w:rsidP="004D5E5D">
            <w:pPr>
              <w:pStyle w:val="AERtabletextleft"/>
              <w:keepNext/>
              <w:keepLines/>
              <w:spacing w:before="120" w:line="240" w:lineRule="auto"/>
            </w:pPr>
            <w:r w:rsidRPr="00947A42">
              <w:t>Revenue ($m, nominal)</w:t>
            </w:r>
          </w:p>
        </w:tc>
        <w:tc>
          <w:tcPr>
            <w:tcW w:w="1019" w:type="dxa"/>
            <w:shd w:val="clear" w:color="auto" w:fill="auto"/>
            <w:noWrap/>
          </w:tcPr>
          <w:p w:rsidR="00C16381" w:rsidRPr="00947A42"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1361</w:t>
            </w:r>
          </w:p>
        </w:tc>
        <w:tc>
          <w:tcPr>
            <w:tcW w:w="1020" w:type="dxa"/>
            <w:gridSpan w:val="2"/>
            <w:shd w:val="clear" w:color="auto" w:fill="auto"/>
            <w:noWrap/>
          </w:tcPr>
          <w:p w:rsidR="00C16381" w:rsidRPr="00947A42"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1292</w:t>
            </w:r>
          </w:p>
        </w:tc>
        <w:tc>
          <w:tcPr>
            <w:tcW w:w="1020" w:type="dxa"/>
            <w:gridSpan w:val="2"/>
            <w:shd w:val="clear" w:color="auto" w:fill="auto"/>
            <w:noWrap/>
          </w:tcPr>
          <w:p w:rsidR="00C16381" w:rsidRPr="00947A42"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1303</w:t>
            </w:r>
          </w:p>
        </w:tc>
        <w:tc>
          <w:tcPr>
            <w:tcW w:w="1019" w:type="dxa"/>
            <w:shd w:val="clear" w:color="auto" w:fill="auto"/>
            <w:noWrap/>
          </w:tcPr>
          <w:p w:rsidR="00C16381" w:rsidRPr="00947A42"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1310</w:t>
            </w:r>
          </w:p>
        </w:tc>
        <w:tc>
          <w:tcPr>
            <w:tcW w:w="1020" w:type="dxa"/>
            <w:gridSpan w:val="2"/>
            <w:shd w:val="clear" w:color="auto" w:fill="auto"/>
            <w:noWrap/>
          </w:tcPr>
          <w:p w:rsidR="00C16381" w:rsidRPr="00947A42"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1317</w:t>
            </w:r>
          </w:p>
        </w:tc>
        <w:tc>
          <w:tcPr>
            <w:tcW w:w="1020" w:type="dxa"/>
            <w:shd w:val="clear" w:color="auto" w:fill="auto"/>
            <w:noWrap/>
          </w:tcPr>
          <w:p w:rsidR="00C16381" w:rsidRPr="00947A42"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1334</w:t>
            </w:r>
          </w:p>
        </w:tc>
      </w:tr>
      <w:tr w:rsidR="00C16381" w:rsidRPr="000428EA" w:rsidTr="004D5E5D">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85" w:type="dxa"/>
            <w:gridSpan w:val="2"/>
            <w:noWrap/>
            <w:hideMark/>
          </w:tcPr>
          <w:p w:rsidR="00C16381" w:rsidRPr="00947A42" w:rsidRDefault="00C16381" w:rsidP="004D5E5D">
            <w:pPr>
              <w:pStyle w:val="AERtabletextleft"/>
              <w:keepNext/>
              <w:keepLines/>
              <w:spacing w:before="120" w:line="240" w:lineRule="auto"/>
            </w:pPr>
            <w:r w:rsidRPr="00947A42">
              <w:t> Price path (nominal index)</w:t>
            </w:r>
          </w:p>
        </w:tc>
        <w:tc>
          <w:tcPr>
            <w:tcW w:w="1019" w:type="dxa"/>
            <w:noWrap/>
            <w:hideMark/>
          </w:tcPr>
          <w:p w:rsidR="00C16381" w:rsidRPr="00947A42"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1.00</w:t>
            </w:r>
          </w:p>
        </w:tc>
        <w:tc>
          <w:tcPr>
            <w:tcW w:w="1020" w:type="dxa"/>
            <w:gridSpan w:val="2"/>
            <w:noWrap/>
            <w:hideMark/>
          </w:tcPr>
          <w:p w:rsidR="00C16381" w:rsidRPr="00947A42"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0.97</w:t>
            </w:r>
          </w:p>
        </w:tc>
        <w:tc>
          <w:tcPr>
            <w:tcW w:w="1020" w:type="dxa"/>
            <w:gridSpan w:val="2"/>
            <w:noWrap/>
            <w:hideMark/>
          </w:tcPr>
          <w:p w:rsidR="00C16381" w:rsidRPr="00947A42"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1.00</w:t>
            </w:r>
          </w:p>
        </w:tc>
        <w:tc>
          <w:tcPr>
            <w:tcW w:w="1019" w:type="dxa"/>
            <w:noWrap/>
            <w:hideMark/>
          </w:tcPr>
          <w:p w:rsidR="00C16381" w:rsidRPr="00947A42"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1.02</w:t>
            </w:r>
          </w:p>
        </w:tc>
        <w:tc>
          <w:tcPr>
            <w:tcW w:w="1020" w:type="dxa"/>
            <w:gridSpan w:val="2"/>
            <w:noWrap/>
            <w:hideMark/>
          </w:tcPr>
          <w:p w:rsidR="00C16381" w:rsidRPr="00947A42"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1.05</w:t>
            </w:r>
          </w:p>
        </w:tc>
        <w:tc>
          <w:tcPr>
            <w:tcW w:w="1020" w:type="dxa"/>
            <w:noWrap/>
            <w:hideMark/>
          </w:tcPr>
          <w:p w:rsidR="00C16381" w:rsidRPr="00947A42"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1.07</w:t>
            </w:r>
          </w:p>
        </w:tc>
      </w:tr>
      <w:tr w:rsidR="00C16381" w:rsidRPr="000428EA" w:rsidTr="004D5E5D">
        <w:trPr>
          <w:trHeight w:val="284"/>
        </w:trPr>
        <w:tc>
          <w:tcPr>
            <w:cnfStyle w:val="001000000000" w:firstRow="0" w:lastRow="0" w:firstColumn="1" w:lastColumn="0" w:oddVBand="0" w:evenVBand="0" w:oddHBand="0" w:evenHBand="0" w:firstRowFirstColumn="0" w:firstRowLastColumn="0" w:lastRowFirstColumn="0" w:lastRowLastColumn="0"/>
            <w:tcW w:w="3085" w:type="dxa"/>
            <w:gridSpan w:val="2"/>
            <w:shd w:val="clear" w:color="auto" w:fill="auto"/>
            <w:noWrap/>
            <w:hideMark/>
          </w:tcPr>
          <w:p w:rsidR="00C16381" w:rsidRPr="00947A42" w:rsidRDefault="00C16381" w:rsidP="004D5E5D">
            <w:pPr>
              <w:pStyle w:val="AERtabletextleft"/>
              <w:keepNext/>
              <w:keepLines/>
              <w:spacing w:before="120" w:line="240" w:lineRule="auto"/>
            </w:pPr>
            <w:r w:rsidRPr="00947A42">
              <w:t>Revenue (change %)</w:t>
            </w:r>
          </w:p>
        </w:tc>
        <w:tc>
          <w:tcPr>
            <w:tcW w:w="1019" w:type="dxa"/>
            <w:shd w:val="clear" w:color="auto" w:fill="auto"/>
            <w:noWrap/>
            <w:hideMark/>
          </w:tcPr>
          <w:p w:rsidR="00C16381" w:rsidRPr="00947A42"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n/a</w:t>
            </w:r>
          </w:p>
        </w:tc>
        <w:tc>
          <w:tcPr>
            <w:tcW w:w="1020" w:type="dxa"/>
            <w:gridSpan w:val="2"/>
            <w:shd w:val="clear" w:color="auto" w:fill="auto"/>
            <w:noWrap/>
            <w:hideMark/>
          </w:tcPr>
          <w:p w:rsidR="00C16381" w:rsidRPr="00947A42"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-5.1%</w:t>
            </w:r>
          </w:p>
        </w:tc>
        <w:tc>
          <w:tcPr>
            <w:tcW w:w="1020" w:type="dxa"/>
            <w:gridSpan w:val="2"/>
            <w:shd w:val="clear" w:color="auto" w:fill="auto"/>
            <w:noWrap/>
            <w:hideMark/>
          </w:tcPr>
          <w:p w:rsidR="00C16381" w:rsidRPr="00947A42"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0.9%</w:t>
            </w:r>
          </w:p>
        </w:tc>
        <w:tc>
          <w:tcPr>
            <w:tcW w:w="1019" w:type="dxa"/>
            <w:shd w:val="clear" w:color="auto" w:fill="auto"/>
            <w:noWrap/>
            <w:hideMark/>
          </w:tcPr>
          <w:p w:rsidR="00C16381" w:rsidRPr="00947A42"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0.5%</w:t>
            </w:r>
          </w:p>
        </w:tc>
        <w:tc>
          <w:tcPr>
            <w:tcW w:w="1020" w:type="dxa"/>
            <w:gridSpan w:val="2"/>
            <w:shd w:val="clear" w:color="auto" w:fill="auto"/>
            <w:noWrap/>
            <w:hideMark/>
          </w:tcPr>
          <w:p w:rsidR="00C16381" w:rsidRPr="00947A42"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0.6%</w:t>
            </w:r>
          </w:p>
        </w:tc>
        <w:tc>
          <w:tcPr>
            <w:tcW w:w="1020" w:type="dxa"/>
            <w:shd w:val="clear" w:color="auto" w:fill="auto"/>
            <w:noWrap/>
            <w:hideMark/>
          </w:tcPr>
          <w:p w:rsidR="00C16381" w:rsidRPr="00947A42" w:rsidRDefault="00C1638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947A42">
              <w:t>1.2%</w:t>
            </w:r>
          </w:p>
        </w:tc>
      </w:tr>
      <w:tr w:rsidR="00C16381" w:rsidRPr="000428EA" w:rsidTr="004D5E5D">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85" w:type="dxa"/>
            <w:gridSpan w:val="2"/>
            <w:noWrap/>
            <w:hideMark/>
          </w:tcPr>
          <w:p w:rsidR="00C16381" w:rsidRPr="00947A42" w:rsidRDefault="00C16381" w:rsidP="004D5E5D">
            <w:pPr>
              <w:pStyle w:val="AERtabletextleft"/>
              <w:keepNext/>
              <w:keepLines/>
              <w:spacing w:before="120" w:line="240" w:lineRule="auto"/>
            </w:pPr>
            <w:r w:rsidRPr="00947A42">
              <w:t>Price path (change %)</w:t>
            </w:r>
          </w:p>
        </w:tc>
        <w:tc>
          <w:tcPr>
            <w:tcW w:w="1019" w:type="dxa"/>
            <w:noWrap/>
            <w:hideMark/>
          </w:tcPr>
          <w:p w:rsidR="00C16381" w:rsidRPr="00947A42"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n/a</w:t>
            </w:r>
          </w:p>
        </w:tc>
        <w:tc>
          <w:tcPr>
            <w:tcW w:w="1020" w:type="dxa"/>
            <w:gridSpan w:val="2"/>
            <w:noWrap/>
            <w:hideMark/>
          </w:tcPr>
          <w:p w:rsidR="00C16381" w:rsidRPr="00947A42"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-2.8%</w:t>
            </w:r>
          </w:p>
        </w:tc>
        <w:tc>
          <w:tcPr>
            <w:tcW w:w="1020" w:type="dxa"/>
            <w:gridSpan w:val="2"/>
            <w:noWrap/>
            <w:hideMark/>
          </w:tcPr>
          <w:p w:rsidR="00C16381" w:rsidRPr="00947A42"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2.5%</w:t>
            </w:r>
          </w:p>
        </w:tc>
        <w:tc>
          <w:tcPr>
            <w:tcW w:w="1019" w:type="dxa"/>
            <w:noWrap/>
            <w:hideMark/>
          </w:tcPr>
          <w:p w:rsidR="00C16381" w:rsidRPr="00947A42"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2.5%</w:t>
            </w:r>
          </w:p>
        </w:tc>
        <w:tc>
          <w:tcPr>
            <w:tcW w:w="1020" w:type="dxa"/>
            <w:gridSpan w:val="2"/>
            <w:noWrap/>
            <w:hideMark/>
          </w:tcPr>
          <w:p w:rsidR="00C16381" w:rsidRPr="00947A42"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2.5%</w:t>
            </w:r>
          </w:p>
        </w:tc>
        <w:tc>
          <w:tcPr>
            <w:tcW w:w="1020" w:type="dxa"/>
            <w:noWrap/>
            <w:hideMark/>
          </w:tcPr>
          <w:p w:rsidR="00C16381" w:rsidRPr="00947A42" w:rsidRDefault="00C1638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947A42">
              <w:t>2.5%</w:t>
            </w:r>
          </w:p>
        </w:tc>
      </w:tr>
    </w:tbl>
    <w:p w:rsidR="009916C7" w:rsidRDefault="009916C7" w:rsidP="009916C7">
      <w:pPr>
        <w:pStyle w:val="AERtablesource"/>
      </w:pPr>
      <w:r>
        <w:t xml:space="preserve">Source: </w:t>
      </w:r>
      <w:r>
        <w:tab/>
        <w:t>AER analysis.</w:t>
      </w:r>
    </w:p>
    <w:p w:rsidR="009916C7" w:rsidRDefault="009916C7" w:rsidP="009916C7">
      <w:pPr>
        <w:pStyle w:val="AERtablesource"/>
      </w:pPr>
      <w:r>
        <w:t>Notes:</w:t>
      </w:r>
      <w:r>
        <w:tab/>
      </w:r>
      <w:r w:rsidRPr="00693A45">
        <w:t>Numbers may not sum due to rounding.</w:t>
      </w:r>
    </w:p>
    <w:p w:rsidR="009916C7" w:rsidRDefault="009D768F" w:rsidP="009916C7">
      <w:r>
        <w:fldChar w:fldCharType="begin"/>
      </w:r>
      <w:r>
        <w:instrText xml:space="preserve"> REF _Ref385252624 \h </w:instrText>
      </w:r>
      <w:r>
        <w:fldChar w:fldCharType="separate"/>
      </w:r>
      <w:r w:rsidR="00E313D7">
        <w:t xml:space="preserve">Table </w:t>
      </w:r>
      <w:r w:rsidR="00E313D7">
        <w:rPr>
          <w:noProof/>
        </w:rPr>
        <w:t>4</w:t>
      </w:r>
      <w:r w:rsidR="00E313D7">
        <w:t>.</w:t>
      </w:r>
      <w:r w:rsidR="00E313D7">
        <w:rPr>
          <w:noProof/>
        </w:rPr>
        <w:t>7</w:t>
      </w:r>
      <w:r>
        <w:fldChar w:fldCharType="end"/>
      </w:r>
      <w:r>
        <w:t xml:space="preserve"> </w:t>
      </w:r>
      <w:r w:rsidR="009916C7">
        <w:t xml:space="preserve">shows our indicative revenue allowance for Essential Energy over the transitional and subsequent regulatory control periods. It shows the break down by the key building block components </w:t>
      </w:r>
      <w:r w:rsidR="009916C7">
        <w:lastRenderedPageBreak/>
        <w:t>and the metering costs. No adjustment is made for revenues to be recovered separately from DUOS charges through ANS fees and ERW charges, because only the net costs of these items have been included by Essential Energy.</w:t>
      </w:r>
    </w:p>
    <w:p w:rsidR="009916C7" w:rsidRDefault="00F27D91" w:rsidP="004D5E5D">
      <w:pPr>
        <w:pStyle w:val="Caption"/>
        <w:jc w:val="left"/>
      </w:pPr>
      <w:bookmarkStart w:id="99" w:name="_Ref385252624"/>
      <w:bookmarkStart w:id="100" w:name="_Ref383436697"/>
      <w:r>
        <w:t xml:space="preserve">Table </w:t>
      </w:r>
      <w:r w:rsidR="00DD155E">
        <w:fldChar w:fldCharType="begin"/>
      </w:r>
      <w:r w:rsidR="00DD155E">
        <w:instrText xml:space="preserve"> STYLEREF 1 \s </w:instrText>
      </w:r>
      <w:r w:rsidR="00DD155E">
        <w:fldChar w:fldCharType="separate"/>
      </w:r>
      <w:r w:rsidR="00E313D7">
        <w:rPr>
          <w:noProof/>
        </w:rPr>
        <w:t>4</w:t>
      </w:r>
      <w:r w:rsidR="00DD155E">
        <w:rPr>
          <w:noProof/>
        </w:rPr>
        <w:fldChar w:fldCharType="end"/>
      </w:r>
      <w:r w:rsidR="00804FE8">
        <w:t>.</w:t>
      </w:r>
      <w:r w:rsidR="00DD155E">
        <w:fldChar w:fldCharType="begin"/>
      </w:r>
      <w:r w:rsidR="00DD155E">
        <w:instrText xml:space="preserve"> SEQ Table \* ARABIC \s 1 </w:instrText>
      </w:r>
      <w:r w:rsidR="00DD155E">
        <w:fldChar w:fldCharType="separate"/>
      </w:r>
      <w:r w:rsidR="00E313D7">
        <w:rPr>
          <w:noProof/>
        </w:rPr>
        <w:t>7</w:t>
      </w:r>
      <w:r w:rsidR="00DD155E">
        <w:rPr>
          <w:noProof/>
        </w:rPr>
        <w:fldChar w:fldCharType="end"/>
      </w:r>
      <w:bookmarkEnd w:id="99"/>
      <w:r>
        <w:tab/>
      </w:r>
      <w:bookmarkEnd w:id="100"/>
      <w:r>
        <w:t>A</w:t>
      </w:r>
      <w:r w:rsidR="009916C7">
        <w:t>ER's revenue assessment for Essential Energy ($m, nominal)</w:t>
      </w:r>
    </w:p>
    <w:tbl>
      <w:tblPr>
        <w:tblStyle w:val="AERtable-numbers"/>
        <w:tblW w:w="9191" w:type="dxa"/>
        <w:tblLayout w:type="fixed"/>
        <w:tblLook w:val="04A0" w:firstRow="1" w:lastRow="0" w:firstColumn="1" w:lastColumn="0" w:noHBand="0" w:noVBand="1"/>
      </w:tblPr>
      <w:tblGrid>
        <w:gridCol w:w="3097"/>
        <w:gridCol w:w="1015"/>
        <w:gridCol w:w="1016"/>
        <w:gridCol w:w="1016"/>
        <w:gridCol w:w="1015"/>
        <w:gridCol w:w="1016"/>
        <w:gridCol w:w="1016"/>
      </w:tblGrid>
      <w:tr w:rsidR="009916C7" w:rsidRPr="006F1095" w:rsidTr="00111EB1">
        <w:trPr>
          <w:cnfStyle w:val="100000000000" w:firstRow="1" w:lastRow="0" w:firstColumn="0" w:lastColumn="0" w:oddVBand="0" w:evenVBand="0" w:oddHBand="0"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47A42" w:rsidRDefault="009916C7" w:rsidP="004D5E5D">
            <w:pPr>
              <w:pStyle w:val="AERtabletextleft"/>
              <w:keepNext/>
              <w:keepLines/>
              <w:spacing w:before="120" w:line="240" w:lineRule="auto"/>
            </w:pPr>
          </w:p>
        </w:tc>
        <w:tc>
          <w:tcPr>
            <w:tcW w:w="1015" w:type="dxa"/>
            <w:noWrap/>
            <w:hideMark/>
          </w:tcPr>
          <w:p w:rsidR="009916C7" w:rsidRPr="00947A42" w:rsidRDefault="009916C7" w:rsidP="004D5E5D">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947A42">
              <w:t>2013–14</w:t>
            </w:r>
          </w:p>
        </w:tc>
        <w:tc>
          <w:tcPr>
            <w:tcW w:w="1016" w:type="dxa"/>
            <w:noWrap/>
            <w:hideMark/>
          </w:tcPr>
          <w:p w:rsidR="009916C7" w:rsidRPr="00947A42" w:rsidRDefault="009916C7" w:rsidP="004D5E5D">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947A42">
              <w:t>2014–15</w:t>
            </w:r>
          </w:p>
        </w:tc>
        <w:tc>
          <w:tcPr>
            <w:tcW w:w="1016" w:type="dxa"/>
            <w:noWrap/>
            <w:hideMark/>
          </w:tcPr>
          <w:p w:rsidR="009916C7" w:rsidRPr="00947A42" w:rsidRDefault="009916C7" w:rsidP="004D5E5D">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947A42">
              <w:t>2015–16</w:t>
            </w:r>
          </w:p>
        </w:tc>
        <w:tc>
          <w:tcPr>
            <w:tcW w:w="1015" w:type="dxa"/>
            <w:noWrap/>
            <w:hideMark/>
          </w:tcPr>
          <w:p w:rsidR="009916C7" w:rsidRPr="00947A42" w:rsidRDefault="009916C7" w:rsidP="004D5E5D">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947A42">
              <w:t>2016–17</w:t>
            </w:r>
          </w:p>
        </w:tc>
        <w:tc>
          <w:tcPr>
            <w:tcW w:w="1016" w:type="dxa"/>
            <w:noWrap/>
            <w:hideMark/>
          </w:tcPr>
          <w:p w:rsidR="009916C7" w:rsidRPr="00947A42" w:rsidRDefault="009916C7" w:rsidP="004D5E5D">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947A42">
              <w:t>2017–18</w:t>
            </w:r>
          </w:p>
        </w:tc>
        <w:tc>
          <w:tcPr>
            <w:tcW w:w="1016" w:type="dxa"/>
            <w:noWrap/>
            <w:hideMark/>
          </w:tcPr>
          <w:p w:rsidR="009916C7" w:rsidRPr="00947A42" w:rsidRDefault="009916C7" w:rsidP="004D5E5D">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947A42">
              <w:t>2018–19</w:t>
            </w:r>
          </w:p>
        </w:tc>
      </w:tr>
      <w:tr w:rsidR="009916C7" w:rsidRPr="006F1095" w:rsidTr="00111EB1">
        <w:trPr>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4D5E5D">
            <w:pPr>
              <w:pStyle w:val="AERtabletextleft"/>
              <w:keepNext/>
              <w:keepLines/>
              <w:spacing w:before="120" w:line="240" w:lineRule="auto"/>
            </w:pPr>
            <w:r w:rsidRPr="006F1095">
              <w:t>Return on capital</w:t>
            </w:r>
          </w:p>
        </w:tc>
        <w:tc>
          <w:tcPr>
            <w:tcW w:w="1015" w:type="dxa"/>
            <w:noWrap/>
            <w:hideMark/>
          </w:tcPr>
          <w:p w:rsidR="009916C7" w:rsidRPr="00947A42"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p>
        </w:tc>
        <w:tc>
          <w:tcPr>
            <w:tcW w:w="1016"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6F1095">
              <w:t>547</w:t>
            </w:r>
          </w:p>
        </w:tc>
        <w:tc>
          <w:tcPr>
            <w:tcW w:w="1016"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6F1095">
              <w:t>586</w:t>
            </w:r>
          </w:p>
        </w:tc>
        <w:tc>
          <w:tcPr>
            <w:tcW w:w="1015"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6F1095">
              <w:t>620</w:t>
            </w:r>
          </w:p>
        </w:tc>
        <w:tc>
          <w:tcPr>
            <w:tcW w:w="1016"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6F1095">
              <w:t>654</w:t>
            </w:r>
          </w:p>
        </w:tc>
        <w:tc>
          <w:tcPr>
            <w:tcW w:w="1016"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6F1095">
              <w:t>687</w:t>
            </w:r>
          </w:p>
        </w:tc>
      </w:tr>
      <w:tr w:rsidR="009916C7" w:rsidRPr="006F1095" w:rsidTr="00111EB1">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4D5E5D">
            <w:pPr>
              <w:pStyle w:val="AERtabletextleft"/>
              <w:keepNext/>
              <w:keepLines/>
              <w:spacing w:before="120" w:line="240" w:lineRule="auto"/>
            </w:pPr>
            <w:r w:rsidRPr="006F1095">
              <w:t xml:space="preserve">Return </w:t>
            </w:r>
            <w:r w:rsidRPr="009916C7">
              <w:t>of capital</w:t>
            </w:r>
          </w:p>
        </w:tc>
        <w:tc>
          <w:tcPr>
            <w:tcW w:w="1015"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6F1095">
              <w:t> </w:t>
            </w:r>
          </w:p>
        </w:tc>
        <w:tc>
          <w:tcPr>
            <w:tcW w:w="1016"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6F1095">
              <w:t>99</w:t>
            </w:r>
          </w:p>
        </w:tc>
        <w:tc>
          <w:tcPr>
            <w:tcW w:w="1016"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6F1095">
              <w:t>118</w:t>
            </w:r>
          </w:p>
        </w:tc>
        <w:tc>
          <w:tcPr>
            <w:tcW w:w="1015"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6F1095">
              <w:t>132</w:t>
            </w:r>
          </w:p>
        </w:tc>
        <w:tc>
          <w:tcPr>
            <w:tcW w:w="1016"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6F1095">
              <w:t>135</w:t>
            </w:r>
          </w:p>
        </w:tc>
        <w:tc>
          <w:tcPr>
            <w:tcW w:w="1016"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6F1095">
              <w:t>129</w:t>
            </w:r>
          </w:p>
        </w:tc>
      </w:tr>
      <w:tr w:rsidR="009916C7" w:rsidRPr="006F1095" w:rsidTr="00111EB1">
        <w:trPr>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4D5E5D">
            <w:pPr>
              <w:pStyle w:val="AERtabletextleft"/>
              <w:keepNext/>
              <w:keepLines/>
              <w:spacing w:before="120" w:line="240" w:lineRule="auto"/>
            </w:pPr>
            <w:r w:rsidRPr="006F1095">
              <w:t>Operating expenditure</w:t>
            </w:r>
          </w:p>
        </w:tc>
        <w:tc>
          <w:tcPr>
            <w:tcW w:w="1015" w:type="dxa"/>
            <w:noWrap/>
            <w:hideMark/>
          </w:tcPr>
          <w:p w:rsidR="009916C7" w:rsidRPr="00947A42"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p>
        </w:tc>
        <w:tc>
          <w:tcPr>
            <w:tcW w:w="1016"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6F1095">
              <w:t>481</w:t>
            </w:r>
          </w:p>
        </w:tc>
        <w:tc>
          <w:tcPr>
            <w:tcW w:w="1016"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6F1095">
              <w:t>479</w:t>
            </w:r>
          </w:p>
        </w:tc>
        <w:tc>
          <w:tcPr>
            <w:tcW w:w="1015"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6F1095">
              <w:t>475</w:t>
            </w:r>
          </w:p>
        </w:tc>
        <w:tc>
          <w:tcPr>
            <w:tcW w:w="1016"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6F1095">
              <w:t>484</w:t>
            </w:r>
          </w:p>
        </w:tc>
        <w:tc>
          <w:tcPr>
            <w:tcW w:w="1016"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6F1095">
              <w:t>497</w:t>
            </w:r>
          </w:p>
        </w:tc>
      </w:tr>
      <w:tr w:rsidR="009916C7" w:rsidRPr="006F1095" w:rsidTr="00111EB1">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4D5E5D">
            <w:pPr>
              <w:pStyle w:val="AERtabletextleft"/>
              <w:keepNext/>
              <w:keepLines/>
              <w:spacing w:before="120" w:line="240" w:lineRule="auto"/>
            </w:pPr>
            <w:r w:rsidRPr="006F1095">
              <w:t>Efficiency carryover</w:t>
            </w:r>
          </w:p>
        </w:tc>
        <w:tc>
          <w:tcPr>
            <w:tcW w:w="1015"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6F1095">
              <w:t> </w:t>
            </w:r>
          </w:p>
        </w:tc>
        <w:tc>
          <w:tcPr>
            <w:tcW w:w="1016"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6F1095">
              <w:t>-15</w:t>
            </w:r>
          </w:p>
        </w:tc>
        <w:tc>
          <w:tcPr>
            <w:tcW w:w="1016"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6F1095">
              <w:t>-53</w:t>
            </w:r>
          </w:p>
        </w:tc>
        <w:tc>
          <w:tcPr>
            <w:tcW w:w="1015"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6F1095">
              <w:t>-48</w:t>
            </w:r>
          </w:p>
        </w:tc>
        <w:tc>
          <w:tcPr>
            <w:tcW w:w="1016"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6F1095">
              <w:t>39</w:t>
            </w:r>
          </w:p>
        </w:tc>
        <w:tc>
          <w:tcPr>
            <w:tcW w:w="1016"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6F1095">
              <w:t>-</w:t>
            </w:r>
          </w:p>
        </w:tc>
      </w:tr>
      <w:tr w:rsidR="009916C7" w:rsidRPr="006F1095" w:rsidTr="00111EB1">
        <w:trPr>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4D5E5D">
            <w:pPr>
              <w:pStyle w:val="AERtabletextleft"/>
              <w:keepNext/>
              <w:keepLines/>
              <w:spacing w:before="120" w:line="240" w:lineRule="auto"/>
            </w:pPr>
            <w:r w:rsidRPr="006F1095">
              <w:t>Net tax allowance</w:t>
            </w:r>
          </w:p>
        </w:tc>
        <w:tc>
          <w:tcPr>
            <w:tcW w:w="1015" w:type="dxa"/>
            <w:noWrap/>
            <w:hideMark/>
          </w:tcPr>
          <w:p w:rsidR="009916C7" w:rsidRPr="00947A42"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p>
        </w:tc>
        <w:tc>
          <w:tcPr>
            <w:tcW w:w="1016"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6F1095">
              <w:t>38</w:t>
            </w:r>
          </w:p>
        </w:tc>
        <w:tc>
          <w:tcPr>
            <w:tcW w:w="1016"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6F1095">
              <w:t>40</w:t>
            </w:r>
          </w:p>
        </w:tc>
        <w:tc>
          <w:tcPr>
            <w:tcW w:w="1015"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6F1095">
              <w:t>42</w:t>
            </w:r>
          </w:p>
        </w:tc>
        <w:tc>
          <w:tcPr>
            <w:tcW w:w="1016"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6F1095">
              <w:t>46</w:t>
            </w:r>
          </w:p>
        </w:tc>
        <w:tc>
          <w:tcPr>
            <w:tcW w:w="1016"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6F1095">
              <w:t>45</w:t>
            </w:r>
          </w:p>
        </w:tc>
      </w:tr>
      <w:tr w:rsidR="009916C7" w:rsidRPr="006F1095" w:rsidTr="00111EB1">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4D5E5D">
            <w:pPr>
              <w:pStyle w:val="AERtabletextleft"/>
              <w:keepNext/>
              <w:keepLines/>
              <w:spacing w:before="120" w:line="240" w:lineRule="auto"/>
            </w:pPr>
            <w:r w:rsidRPr="006F1095">
              <w:t>Metering costs</w:t>
            </w:r>
          </w:p>
        </w:tc>
        <w:tc>
          <w:tcPr>
            <w:tcW w:w="1015"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6F1095">
              <w:t> </w:t>
            </w:r>
          </w:p>
        </w:tc>
        <w:tc>
          <w:tcPr>
            <w:tcW w:w="1016"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6F1095">
              <w:t>58</w:t>
            </w:r>
          </w:p>
        </w:tc>
        <w:tc>
          <w:tcPr>
            <w:tcW w:w="1016"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6F1095">
              <w:t>59</w:t>
            </w:r>
          </w:p>
        </w:tc>
        <w:tc>
          <w:tcPr>
            <w:tcW w:w="1015"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6F1095">
              <w:t>62</w:t>
            </w:r>
          </w:p>
        </w:tc>
        <w:tc>
          <w:tcPr>
            <w:tcW w:w="1016"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6F1095">
              <w:t>69</w:t>
            </w:r>
          </w:p>
        </w:tc>
        <w:tc>
          <w:tcPr>
            <w:tcW w:w="1016"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6F1095">
              <w:t>78</w:t>
            </w:r>
          </w:p>
        </w:tc>
      </w:tr>
      <w:tr w:rsidR="009916C7" w:rsidRPr="006F1095" w:rsidTr="00111EB1">
        <w:trPr>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4D5E5D">
            <w:pPr>
              <w:pStyle w:val="AERtabletextleft"/>
              <w:keepNext/>
              <w:keepLines/>
              <w:spacing w:before="120" w:line="240" w:lineRule="auto"/>
            </w:pPr>
            <w:r>
              <w:t>Net</w:t>
            </w:r>
            <w:r w:rsidRPr="009916C7">
              <w:t xml:space="preserve"> ANS costs</w:t>
            </w:r>
          </w:p>
        </w:tc>
        <w:tc>
          <w:tcPr>
            <w:tcW w:w="1015" w:type="dxa"/>
          </w:tcPr>
          <w:p w:rsidR="009916C7" w:rsidRPr="006F1095" w:rsidRDefault="009916C7" w:rsidP="004D5E5D">
            <w:pPr>
              <w:pStyle w:val="AERtabletextleft"/>
              <w:keepNext/>
              <w:keepLines/>
              <w:spacing w:before="120" w:line="240" w:lineRule="auto"/>
              <w:cnfStyle w:val="000000000000" w:firstRow="0" w:lastRow="0" w:firstColumn="0" w:lastColumn="0" w:oddVBand="0" w:evenVBand="0" w:oddHBand="0" w:evenHBand="0" w:firstRowFirstColumn="0" w:firstRowLastColumn="0" w:lastRowFirstColumn="0" w:lastRowLastColumn="0"/>
            </w:pPr>
          </w:p>
        </w:tc>
        <w:tc>
          <w:tcPr>
            <w:tcW w:w="1016"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6F1095">
              <w:t>12</w:t>
            </w:r>
          </w:p>
        </w:tc>
        <w:tc>
          <w:tcPr>
            <w:tcW w:w="1016"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6F1095">
              <w:t>-</w:t>
            </w:r>
          </w:p>
        </w:tc>
        <w:tc>
          <w:tcPr>
            <w:tcW w:w="1015"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6F1095">
              <w:t>-</w:t>
            </w:r>
          </w:p>
        </w:tc>
        <w:tc>
          <w:tcPr>
            <w:tcW w:w="1016"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6F1095">
              <w:t>-</w:t>
            </w:r>
          </w:p>
        </w:tc>
        <w:tc>
          <w:tcPr>
            <w:tcW w:w="1016"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6F1095">
              <w:t>-</w:t>
            </w:r>
          </w:p>
        </w:tc>
      </w:tr>
      <w:tr w:rsidR="009916C7" w:rsidRPr="006F1095" w:rsidTr="00111EB1">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4D5E5D">
            <w:pPr>
              <w:pStyle w:val="AERtabletextleft"/>
              <w:keepNext/>
              <w:keepLines/>
              <w:spacing w:before="120" w:line="240" w:lineRule="auto"/>
            </w:pPr>
            <w:r>
              <w:t xml:space="preserve">Net </w:t>
            </w:r>
            <w:r w:rsidRPr="009916C7">
              <w:t>ERW costs</w:t>
            </w:r>
          </w:p>
        </w:tc>
        <w:tc>
          <w:tcPr>
            <w:tcW w:w="1015"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6F1095">
              <w:t> </w:t>
            </w:r>
          </w:p>
        </w:tc>
        <w:tc>
          <w:tcPr>
            <w:tcW w:w="1016"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6F1095">
              <w:t>1</w:t>
            </w:r>
          </w:p>
        </w:tc>
        <w:tc>
          <w:tcPr>
            <w:tcW w:w="1016"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6F1095">
              <w:t>-</w:t>
            </w:r>
          </w:p>
        </w:tc>
        <w:tc>
          <w:tcPr>
            <w:tcW w:w="1015"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6F1095">
              <w:t>-</w:t>
            </w:r>
          </w:p>
        </w:tc>
        <w:tc>
          <w:tcPr>
            <w:tcW w:w="1016"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6F1095">
              <w:t>-</w:t>
            </w:r>
          </w:p>
        </w:tc>
        <w:tc>
          <w:tcPr>
            <w:tcW w:w="1016"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6F1095">
              <w:t>-</w:t>
            </w:r>
          </w:p>
        </w:tc>
      </w:tr>
      <w:tr w:rsidR="009916C7" w:rsidRPr="006F1095" w:rsidTr="00111EB1">
        <w:trPr>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4D5E5D">
            <w:pPr>
              <w:pStyle w:val="AERtabletextleft"/>
              <w:keepNext/>
              <w:keepLines/>
              <w:spacing w:before="120" w:line="240" w:lineRule="auto"/>
            </w:pPr>
            <w:r w:rsidRPr="006F1095">
              <w:t>Total revenue (unsmoothed)</w:t>
            </w:r>
          </w:p>
        </w:tc>
        <w:tc>
          <w:tcPr>
            <w:tcW w:w="1015" w:type="dxa"/>
          </w:tcPr>
          <w:p w:rsidR="009916C7" w:rsidRPr="006F1095" w:rsidRDefault="009916C7" w:rsidP="004D5E5D">
            <w:pPr>
              <w:pStyle w:val="AERtabletextleft"/>
              <w:keepNext/>
              <w:keepLines/>
              <w:spacing w:before="120" w:line="240" w:lineRule="auto"/>
              <w:cnfStyle w:val="000000000000" w:firstRow="0" w:lastRow="0" w:firstColumn="0" w:lastColumn="0" w:oddVBand="0" w:evenVBand="0" w:oddHBand="0" w:evenHBand="0" w:firstRowFirstColumn="0" w:firstRowLastColumn="0" w:lastRowFirstColumn="0" w:lastRowLastColumn="0"/>
            </w:pPr>
          </w:p>
        </w:tc>
        <w:tc>
          <w:tcPr>
            <w:tcW w:w="1016"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6F1095">
              <w:t>1</w:t>
            </w:r>
            <w:r w:rsidRPr="009916C7">
              <w:t>220</w:t>
            </w:r>
          </w:p>
        </w:tc>
        <w:tc>
          <w:tcPr>
            <w:tcW w:w="1016"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6F1095">
              <w:t>1</w:t>
            </w:r>
            <w:r w:rsidRPr="009916C7">
              <w:t>230</w:t>
            </w:r>
          </w:p>
        </w:tc>
        <w:tc>
          <w:tcPr>
            <w:tcW w:w="1015"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6F1095">
              <w:t>1</w:t>
            </w:r>
            <w:r w:rsidRPr="009916C7">
              <w:t>283</w:t>
            </w:r>
          </w:p>
        </w:tc>
        <w:tc>
          <w:tcPr>
            <w:tcW w:w="1016"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6F1095">
              <w:t>1</w:t>
            </w:r>
            <w:r w:rsidRPr="009916C7">
              <w:t>427</w:t>
            </w:r>
          </w:p>
        </w:tc>
        <w:tc>
          <w:tcPr>
            <w:tcW w:w="1016"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6F1095">
              <w:t>1</w:t>
            </w:r>
            <w:r w:rsidRPr="009916C7">
              <w:t>436</w:t>
            </w:r>
          </w:p>
        </w:tc>
      </w:tr>
      <w:tr w:rsidR="009916C7" w:rsidRPr="006F1095" w:rsidTr="00111EB1">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4D5E5D">
            <w:pPr>
              <w:pStyle w:val="AERtabletextleft"/>
              <w:keepNext/>
              <w:keepLines/>
              <w:spacing w:before="120" w:line="240" w:lineRule="auto"/>
              <w:rPr>
                <w:rStyle w:val="AERtextbold"/>
              </w:rPr>
            </w:pPr>
            <w:r w:rsidRPr="00F715C6">
              <w:rPr>
                <w:rStyle w:val="AERtextbold"/>
              </w:rPr>
              <w:t>Total revenue (smoothed)</w:t>
            </w:r>
          </w:p>
        </w:tc>
        <w:tc>
          <w:tcPr>
            <w:tcW w:w="1015"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rPr>
                <w:rStyle w:val="AERtextbold"/>
              </w:rPr>
            </w:pPr>
            <w:r w:rsidRPr="00F715C6">
              <w:rPr>
                <w:rStyle w:val="AERtextbold"/>
              </w:rPr>
              <w:t>1</w:t>
            </w:r>
            <w:r w:rsidRPr="009916C7">
              <w:rPr>
                <w:rStyle w:val="AERtextbold"/>
              </w:rPr>
              <w:t>361</w:t>
            </w:r>
          </w:p>
        </w:tc>
        <w:tc>
          <w:tcPr>
            <w:tcW w:w="1016"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rPr>
                <w:rStyle w:val="AERtextbold"/>
              </w:rPr>
            </w:pPr>
            <w:r w:rsidRPr="00F715C6">
              <w:rPr>
                <w:rStyle w:val="AERtextbold"/>
              </w:rPr>
              <w:t>1</w:t>
            </w:r>
            <w:r w:rsidRPr="009916C7">
              <w:rPr>
                <w:rStyle w:val="AERtextbold"/>
              </w:rPr>
              <w:t>292</w:t>
            </w:r>
          </w:p>
        </w:tc>
        <w:tc>
          <w:tcPr>
            <w:tcW w:w="1016"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rPr>
                <w:rStyle w:val="AERtextbold"/>
              </w:rPr>
            </w:pPr>
            <w:r w:rsidRPr="00F715C6">
              <w:rPr>
                <w:rStyle w:val="AERtextbold"/>
              </w:rPr>
              <w:t>1</w:t>
            </w:r>
            <w:r w:rsidRPr="009916C7">
              <w:rPr>
                <w:rStyle w:val="AERtextbold"/>
              </w:rPr>
              <w:t>303</w:t>
            </w:r>
          </w:p>
        </w:tc>
        <w:tc>
          <w:tcPr>
            <w:tcW w:w="1015"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rPr>
                <w:rStyle w:val="AERtextbold"/>
              </w:rPr>
            </w:pPr>
            <w:r w:rsidRPr="00F715C6">
              <w:rPr>
                <w:rStyle w:val="AERtextbold"/>
              </w:rPr>
              <w:t>1</w:t>
            </w:r>
            <w:r w:rsidRPr="009916C7">
              <w:rPr>
                <w:rStyle w:val="AERtextbold"/>
              </w:rPr>
              <w:t>310</w:t>
            </w:r>
          </w:p>
        </w:tc>
        <w:tc>
          <w:tcPr>
            <w:tcW w:w="1016"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rPr>
                <w:rStyle w:val="AERtextbold"/>
              </w:rPr>
            </w:pPr>
            <w:r w:rsidRPr="00F715C6">
              <w:rPr>
                <w:rStyle w:val="AERtextbold"/>
              </w:rPr>
              <w:t>1</w:t>
            </w:r>
            <w:r w:rsidRPr="009916C7">
              <w:rPr>
                <w:rStyle w:val="AERtextbold"/>
              </w:rPr>
              <w:t>317</w:t>
            </w:r>
          </w:p>
        </w:tc>
        <w:tc>
          <w:tcPr>
            <w:tcW w:w="1016" w:type="dxa"/>
            <w:noWrap/>
            <w:hideMark/>
          </w:tcPr>
          <w:p w:rsidR="009916C7" w:rsidRPr="009916C7" w:rsidRDefault="009916C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rPr>
                <w:rStyle w:val="AERtextbold"/>
              </w:rPr>
            </w:pPr>
            <w:r w:rsidRPr="00F715C6">
              <w:rPr>
                <w:rStyle w:val="AERtextbold"/>
              </w:rPr>
              <w:t>1</w:t>
            </w:r>
            <w:r w:rsidRPr="009916C7">
              <w:rPr>
                <w:rStyle w:val="AERtextbold"/>
              </w:rPr>
              <w:t>334</w:t>
            </w:r>
          </w:p>
        </w:tc>
      </w:tr>
      <w:tr w:rsidR="009916C7" w:rsidRPr="006F1095" w:rsidTr="00111EB1">
        <w:trPr>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4D5E5D">
            <w:pPr>
              <w:pStyle w:val="AERtabletextleft"/>
              <w:keepNext/>
              <w:keepLines/>
              <w:spacing w:before="120" w:line="240" w:lineRule="auto"/>
            </w:pPr>
            <w:r w:rsidRPr="006F1095">
              <w:t xml:space="preserve">less: adjustment for revenues recovered from </w:t>
            </w:r>
            <w:r w:rsidRPr="009916C7">
              <w:t>ANS and ERW outside DUOS</w:t>
            </w:r>
          </w:p>
        </w:tc>
        <w:tc>
          <w:tcPr>
            <w:tcW w:w="1015" w:type="dxa"/>
          </w:tcPr>
          <w:p w:rsidR="009916C7" w:rsidRPr="006F1095" w:rsidRDefault="009916C7" w:rsidP="004D5E5D">
            <w:pPr>
              <w:pStyle w:val="AERtabletextleft"/>
              <w:keepNext/>
              <w:keepLines/>
              <w:spacing w:before="120" w:line="240" w:lineRule="auto"/>
              <w:cnfStyle w:val="000000000000" w:firstRow="0" w:lastRow="0" w:firstColumn="0" w:lastColumn="0" w:oddVBand="0" w:evenVBand="0" w:oddHBand="0" w:evenHBand="0" w:firstRowFirstColumn="0" w:firstRowLastColumn="0" w:lastRowFirstColumn="0" w:lastRowLastColumn="0"/>
            </w:pPr>
          </w:p>
        </w:tc>
        <w:tc>
          <w:tcPr>
            <w:tcW w:w="1016"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6F1095">
              <w:t>-</w:t>
            </w:r>
          </w:p>
        </w:tc>
        <w:tc>
          <w:tcPr>
            <w:tcW w:w="1016"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6F1095">
              <w:t>-</w:t>
            </w:r>
          </w:p>
        </w:tc>
        <w:tc>
          <w:tcPr>
            <w:tcW w:w="1015"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6F1095">
              <w:t>-</w:t>
            </w:r>
          </w:p>
        </w:tc>
        <w:tc>
          <w:tcPr>
            <w:tcW w:w="1016"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6F1095">
              <w:t>-</w:t>
            </w:r>
          </w:p>
        </w:tc>
        <w:tc>
          <w:tcPr>
            <w:tcW w:w="1016" w:type="dxa"/>
            <w:noWrap/>
            <w:hideMark/>
          </w:tcPr>
          <w:p w:rsidR="009916C7" w:rsidRPr="009916C7" w:rsidRDefault="009916C7"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6F1095">
              <w:t>-</w:t>
            </w:r>
          </w:p>
        </w:tc>
      </w:tr>
      <w:tr w:rsidR="00406487" w:rsidRPr="006F1095" w:rsidTr="00111EB1">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097" w:type="dxa"/>
            <w:noWrap/>
          </w:tcPr>
          <w:p w:rsidR="00406487" w:rsidRPr="00F715C6" w:rsidRDefault="00294861" w:rsidP="004D5E5D">
            <w:pPr>
              <w:pStyle w:val="AERtabletextleft"/>
              <w:keepNext/>
              <w:keepLines/>
              <w:spacing w:before="120" w:line="240" w:lineRule="auto"/>
              <w:rPr>
                <w:rStyle w:val="AERtextbold"/>
              </w:rPr>
            </w:pPr>
            <w:r>
              <w:t>less: metering costs transferred to ACS</w:t>
            </w:r>
            <w:r w:rsidR="00722630">
              <w:t xml:space="preserve"> from 2015–16.</w:t>
            </w:r>
          </w:p>
        </w:tc>
        <w:tc>
          <w:tcPr>
            <w:tcW w:w="1015" w:type="dxa"/>
            <w:noWrap/>
          </w:tcPr>
          <w:p w:rsidR="00406487" w:rsidRPr="00F715C6" w:rsidRDefault="00406487"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rPr>
                <w:rStyle w:val="AERtextbold"/>
              </w:rPr>
            </w:pPr>
          </w:p>
        </w:tc>
        <w:tc>
          <w:tcPr>
            <w:tcW w:w="1016" w:type="dxa"/>
            <w:noWrap/>
          </w:tcPr>
          <w:p w:rsidR="00406487" w:rsidRPr="00294861" w:rsidRDefault="0029486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rPr>
                <w:rStyle w:val="AERtextbold"/>
                <w:b w:val="0"/>
              </w:rPr>
            </w:pPr>
            <w:r>
              <w:rPr>
                <w:rStyle w:val="AERtextbold"/>
              </w:rPr>
              <w:t>-</w:t>
            </w:r>
          </w:p>
        </w:tc>
        <w:tc>
          <w:tcPr>
            <w:tcW w:w="1016" w:type="dxa"/>
            <w:noWrap/>
          </w:tcPr>
          <w:p w:rsidR="00406487" w:rsidRPr="00294861" w:rsidRDefault="0029486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rPr>
                <w:rStyle w:val="AERtextbold"/>
                <w:b w:val="0"/>
              </w:rPr>
            </w:pPr>
            <w:r w:rsidRPr="00294861">
              <w:rPr>
                <w:rStyle w:val="AERtextbold"/>
                <w:b w:val="0"/>
              </w:rPr>
              <w:t>59</w:t>
            </w:r>
          </w:p>
        </w:tc>
        <w:tc>
          <w:tcPr>
            <w:tcW w:w="1015" w:type="dxa"/>
            <w:noWrap/>
          </w:tcPr>
          <w:p w:rsidR="00406487" w:rsidRPr="00294861" w:rsidRDefault="0029486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rPr>
                <w:rStyle w:val="AERtextbold"/>
                <w:b w:val="0"/>
              </w:rPr>
            </w:pPr>
            <w:r w:rsidRPr="00294861">
              <w:rPr>
                <w:rStyle w:val="AERtextbold"/>
                <w:b w:val="0"/>
              </w:rPr>
              <w:t>62</w:t>
            </w:r>
          </w:p>
        </w:tc>
        <w:tc>
          <w:tcPr>
            <w:tcW w:w="1016" w:type="dxa"/>
            <w:noWrap/>
          </w:tcPr>
          <w:p w:rsidR="00406487" w:rsidRPr="00294861" w:rsidRDefault="0029486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rPr>
                <w:rStyle w:val="AERtextbold"/>
                <w:b w:val="0"/>
              </w:rPr>
            </w:pPr>
            <w:r w:rsidRPr="00294861">
              <w:rPr>
                <w:rStyle w:val="AERtextbold"/>
                <w:b w:val="0"/>
              </w:rPr>
              <w:t>69</w:t>
            </w:r>
          </w:p>
        </w:tc>
        <w:tc>
          <w:tcPr>
            <w:tcW w:w="1016" w:type="dxa"/>
            <w:noWrap/>
          </w:tcPr>
          <w:p w:rsidR="00406487" w:rsidRPr="00294861" w:rsidRDefault="0029486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rPr>
                <w:rStyle w:val="AERtextbold"/>
                <w:b w:val="0"/>
              </w:rPr>
            </w:pPr>
            <w:r w:rsidRPr="00294861">
              <w:rPr>
                <w:rStyle w:val="AERtextbold"/>
                <w:b w:val="0"/>
              </w:rPr>
              <w:t>78</w:t>
            </w:r>
          </w:p>
        </w:tc>
      </w:tr>
      <w:tr w:rsidR="00294861" w:rsidRPr="00294861" w:rsidTr="00111EB1">
        <w:trPr>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294861" w:rsidRPr="00294861" w:rsidRDefault="00294861" w:rsidP="004D5E5D">
            <w:pPr>
              <w:pStyle w:val="AERtabletextleft"/>
              <w:keepNext/>
              <w:keepLines/>
              <w:spacing w:before="120" w:line="240" w:lineRule="auto"/>
              <w:rPr>
                <w:rStyle w:val="AERtextbold"/>
              </w:rPr>
            </w:pPr>
            <w:r w:rsidRPr="00294861">
              <w:rPr>
                <w:rStyle w:val="AERtextbold"/>
              </w:rPr>
              <w:t>Total DUOS revenue</w:t>
            </w:r>
          </w:p>
        </w:tc>
        <w:tc>
          <w:tcPr>
            <w:tcW w:w="1015" w:type="dxa"/>
            <w:noWrap/>
            <w:hideMark/>
          </w:tcPr>
          <w:p w:rsidR="00294861" w:rsidRPr="00294861" w:rsidRDefault="0029486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294861">
              <w:rPr>
                <w:rStyle w:val="AERtextbold"/>
              </w:rPr>
              <w:t>1361</w:t>
            </w:r>
          </w:p>
        </w:tc>
        <w:tc>
          <w:tcPr>
            <w:tcW w:w="1016" w:type="dxa"/>
            <w:noWrap/>
            <w:hideMark/>
          </w:tcPr>
          <w:p w:rsidR="00294861" w:rsidRPr="00294861" w:rsidRDefault="00294861"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294861">
              <w:rPr>
                <w:rStyle w:val="AERtextbold"/>
              </w:rPr>
              <w:t>1292</w:t>
            </w:r>
          </w:p>
        </w:tc>
        <w:tc>
          <w:tcPr>
            <w:tcW w:w="1016" w:type="dxa"/>
            <w:noWrap/>
            <w:hideMark/>
          </w:tcPr>
          <w:p w:rsidR="00294861" w:rsidRPr="00294861" w:rsidRDefault="004F59FB"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1</w:t>
            </w:r>
            <w:r w:rsidR="00294861" w:rsidRPr="00294861">
              <w:rPr>
                <w:rStyle w:val="AERtextbold"/>
              </w:rPr>
              <w:t>244</w:t>
            </w:r>
          </w:p>
        </w:tc>
        <w:tc>
          <w:tcPr>
            <w:tcW w:w="1015" w:type="dxa"/>
            <w:noWrap/>
            <w:hideMark/>
          </w:tcPr>
          <w:p w:rsidR="00294861" w:rsidRPr="00294861" w:rsidRDefault="004F59FB"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1</w:t>
            </w:r>
            <w:r w:rsidR="00294861" w:rsidRPr="00294861">
              <w:rPr>
                <w:rStyle w:val="AERtextbold"/>
              </w:rPr>
              <w:t>247</w:t>
            </w:r>
          </w:p>
        </w:tc>
        <w:tc>
          <w:tcPr>
            <w:tcW w:w="1016" w:type="dxa"/>
            <w:noWrap/>
            <w:hideMark/>
          </w:tcPr>
          <w:p w:rsidR="00294861" w:rsidRPr="00294861" w:rsidRDefault="004F59FB"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1</w:t>
            </w:r>
            <w:r w:rsidR="00294861" w:rsidRPr="00294861">
              <w:rPr>
                <w:rStyle w:val="AERtextbold"/>
              </w:rPr>
              <w:t>249</w:t>
            </w:r>
          </w:p>
        </w:tc>
        <w:tc>
          <w:tcPr>
            <w:tcW w:w="1016" w:type="dxa"/>
            <w:noWrap/>
            <w:hideMark/>
          </w:tcPr>
          <w:p w:rsidR="00294861" w:rsidRPr="00294861" w:rsidRDefault="004F59FB" w:rsidP="004D5E5D">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1</w:t>
            </w:r>
            <w:r w:rsidR="00294861" w:rsidRPr="00294861">
              <w:rPr>
                <w:rStyle w:val="AERtextbold"/>
              </w:rPr>
              <w:t>256</w:t>
            </w:r>
          </w:p>
        </w:tc>
      </w:tr>
      <w:tr w:rsidR="00294861" w:rsidRPr="006F1095" w:rsidTr="00111EB1">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097" w:type="dxa"/>
            <w:noWrap/>
            <w:hideMark/>
          </w:tcPr>
          <w:p w:rsidR="00294861" w:rsidRPr="00294861" w:rsidRDefault="00294861" w:rsidP="004D5E5D">
            <w:pPr>
              <w:pStyle w:val="AERtabletextleft"/>
              <w:keepNext/>
              <w:keepLines/>
              <w:spacing w:before="120" w:line="240" w:lineRule="auto"/>
            </w:pPr>
            <w:r w:rsidRPr="00294861">
              <w:t>Change</w:t>
            </w:r>
            <w:r w:rsidRPr="00294861">
              <w:rPr>
                <w:rStyle w:val="AERsuperscript"/>
              </w:rPr>
              <w:t>a</w:t>
            </w:r>
            <w:r w:rsidRPr="00294861">
              <w:t xml:space="preserve"> (%)</w:t>
            </w:r>
          </w:p>
        </w:tc>
        <w:tc>
          <w:tcPr>
            <w:tcW w:w="1015" w:type="dxa"/>
            <w:noWrap/>
            <w:hideMark/>
          </w:tcPr>
          <w:p w:rsidR="00294861" w:rsidRPr="00294861" w:rsidRDefault="0029486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p>
        </w:tc>
        <w:tc>
          <w:tcPr>
            <w:tcW w:w="1016" w:type="dxa"/>
            <w:noWrap/>
            <w:hideMark/>
          </w:tcPr>
          <w:p w:rsidR="00294861" w:rsidRPr="004F59FB" w:rsidRDefault="0029486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4F59FB">
              <w:t>-5.1%</w:t>
            </w:r>
          </w:p>
        </w:tc>
        <w:tc>
          <w:tcPr>
            <w:tcW w:w="1016" w:type="dxa"/>
            <w:noWrap/>
            <w:hideMark/>
          </w:tcPr>
          <w:p w:rsidR="00294861" w:rsidRPr="00294861" w:rsidRDefault="0029486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4F59FB">
              <w:t>-3.7%</w:t>
            </w:r>
          </w:p>
        </w:tc>
        <w:tc>
          <w:tcPr>
            <w:tcW w:w="1015" w:type="dxa"/>
            <w:noWrap/>
            <w:hideMark/>
          </w:tcPr>
          <w:p w:rsidR="00294861" w:rsidRPr="00294861" w:rsidRDefault="0029486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294861">
              <w:t>0.3%</w:t>
            </w:r>
          </w:p>
        </w:tc>
        <w:tc>
          <w:tcPr>
            <w:tcW w:w="1016" w:type="dxa"/>
            <w:noWrap/>
            <w:hideMark/>
          </w:tcPr>
          <w:p w:rsidR="00294861" w:rsidRPr="00294861" w:rsidRDefault="0029486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294861">
              <w:t>0.1%</w:t>
            </w:r>
          </w:p>
        </w:tc>
        <w:tc>
          <w:tcPr>
            <w:tcW w:w="1016" w:type="dxa"/>
            <w:noWrap/>
            <w:hideMark/>
          </w:tcPr>
          <w:p w:rsidR="00294861" w:rsidRPr="00294861" w:rsidRDefault="00294861" w:rsidP="004D5E5D">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294861">
              <w:t>0.6%</w:t>
            </w:r>
          </w:p>
        </w:tc>
      </w:tr>
    </w:tbl>
    <w:p w:rsidR="009916C7" w:rsidRDefault="009916C7" w:rsidP="009916C7">
      <w:pPr>
        <w:pStyle w:val="AERtablesource"/>
      </w:pPr>
      <w:r w:rsidRPr="006F1095">
        <w:t>Source:</w:t>
      </w:r>
      <w:r w:rsidRPr="006F1095">
        <w:tab/>
      </w:r>
      <w:r>
        <w:t xml:space="preserve">AER </w:t>
      </w:r>
      <w:r w:rsidR="00691C0D">
        <w:t>analysis</w:t>
      </w:r>
      <w:r>
        <w:t>.</w:t>
      </w:r>
    </w:p>
    <w:p w:rsidR="009916C7" w:rsidRPr="006F1095" w:rsidRDefault="009916C7" w:rsidP="004D5E5D">
      <w:pPr>
        <w:pStyle w:val="AERtablesource"/>
        <w:tabs>
          <w:tab w:val="left" w:pos="1134"/>
        </w:tabs>
        <w:ind w:left="1134" w:hanging="1134"/>
      </w:pPr>
      <w:r w:rsidRPr="006F1095">
        <w:t>Notes:</w:t>
      </w:r>
      <w:r w:rsidRPr="006F1095">
        <w:tab/>
      </w:r>
      <w:r w:rsidRPr="00693A45">
        <w:t>Numbers may not sum due to rounding.</w:t>
      </w:r>
    </w:p>
    <w:p w:rsidR="00A65221" w:rsidRPr="00A65221" w:rsidRDefault="00A65221" w:rsidP="00DA1375">
      <w:pPr>
        <w:pStyle w:val="AERtablesource"/>
      </w:pPr>
      <w:r w:rsidRPr="00E434B5">
        <w:tab/>
      </w:r>
      <w:r w:rsidRPr="00A65221">
        <w:t xml:space="preserve">We have adopted the forecast capital and operating expenditure estimates of </w:t>
      </w:r>
      <w:r>
        <w:t>Essential Energy</w:t>
      </w:r>
      <w:r w:rsidRPr="00E434B5">
        <w:t>. These will be subject to detailed scrutiny when we receive the regulatory proposal</w:t>
      </w:r>
      <w:r>
        <w:t>.</w:t>
      </w:r>
    </w:p>
    <w:p w:rsidR="009916C7" w:rsidRPr="00A65221" w:rsidRDefault="00A65221" w:rsidP="00DA1375">
      <w:pPr>
        <w:pStyle w:val="AERtablesource"/>
        <w:ind w:left="1440" w:hanging="1440"/>
      </w:pPr>
      <w:r>
        <w:tab/>
      </w:r>
      <w:r w:rsidR="009916C7" w:rsidRPr="00E434B5">
        <w:t>a.</w:t>
      </w:r>
      <w:r w:rsidR="009916C7" w:rsidRPr="00E434B5">
        <w:tab/>
        <w:t>This row shows the year-on-year change in total nominal revenues. It should not be interpreted as the X-</w:t>
      </w:r>
      <w:r w:rsidR="009916C7" w:rsidRPr="00A65221">
        <w:t>factor change from year to year.</w:t>
      </w:r>
    </w:p>
    <w:p w:rsidR="009916C7" w:rsidRPr="00451B70" w:rsidRDefault="009916C7" w:rsidP="002401A5">
      <w:pPr>
        <w:pStyle w:val="HeadingBoldBlue"/>
        <w:rPr>
          <w:rStyle w:val="AERtextbold"/>
          <w:b/>
        </w:rPr>
      </w:pPr>
      <w:r w:rsidRPr="00451B70">
        <w:rPr>
          <w:rStyle w:val="AERtextbold"/>
          <w:b/>
        </w:rPr>
        <w:t>Endeavour Energy</w:t>
      </w:r>
    </w:p>
    <w:p w:rsidR="009916C7" w:rsidRDefault="009916C7" w:rsidP="009916C7">
      <w:pPr>
        <w:pStyle w:val="AERbodytext"/>
        <w:numPr>
          <w:ilvl w:val="0"/>
          <w:numId w:val="6"/>
        </w:numPr>
      </w:pPr>
      <w:r w:rsidRPr="00B34891">
        <w:t xml:space="preserve">We do not accept </w:t>
      </w:r>
      <w:r>
        <w:t xml:space="preserve">Endeavour </w:t>
      </w:r>
      <w:r w:rsidRPr="00B34891">
        <w:t xml:space="preserve">Energy's proposed annual revenue requirement for the transitional regulatory control period. Instead, we have substituted an annual revenue requirement of </w:t>
      </w:r>
      <w:r>
        <w:t>$940</w:t>
      </w:r>
      <w:r w:rsidRPr="00B34891">
        <w:t> million (nominal).</w:t>
      </w:r>
      <w:r>
        <w:rPr>
          <w:rStyle w:val="FootnoteReference"/>
        </w:rPr>
        <w:footnoteReference w:id="43"/>
      </w:r>
      <w:r w:rsidRPr="00B34891">
        <w:t xml:space="preserve"> This is </w:t>
      </w:r>
      <w:r>
        <w:t>5.8</w:t>
      </w:r>
      <w:r w:rsidRPr="00B34891">
        <w:t xml:space="preserve"> per cent lower than the revenue allowance proposed by </w:t>
      </w:r>
      <w:r>
        <w:t>Endeavour</w:t>
      </w:r>
      <w:r w:rsidRPr="00B34891">
        <w:t xml:space="preserve"> Energy.</w:t>
      </w:r>
      <w:r w:rsidR="00AF56BA">
        <w:rPr>
          <w:rStyle w:val="FootnoteReference"/>
        </w:rPr>
        <w:footnoteReference w:id="44"/>
      </w:r>
      <w:r w:rsidRPr="00B34891">
        <w:t xml:space="preserve"> We consider that this substituted </w:t>
      </w:r>
      <w:r>
        <w:t>revenue</w:t>
      </w:r>
      <w:r w:rsidRPr="00B34891">
        <w:t xml:space="preserve"> is likely to minimise price variations.</w:t>
      </w:r>
    </w:p>
    <w:p w:rsidR="009916C7" w:rsidRDefault="00691C0D" w:rsidP="009916C7">
      <w:pPr>
        <w:pStyle w:val="AERbodytext"/>
        <w:numPr>
          <w:ilvl w:val="0"/>
          <w:numId w:val="6"/>
        </w:numPr>
      </w:pPr>
      <w:r>
        <w:fldChar w:fldCharType="begin"/>
      </w:r>
      <w:r>
        <w:instrText xml:space="preserve"> REF _Ref384820234 \h </w:instrText>
      </w:r>
      <w:r>
        <w:fldChar w:fldCharType="separate"/>
      </w:r>
      <w:r w:rsidR="00E313D7">
        <w:t xml:space="preserve">Figure </w:t>
      </w:r>
      <w:r w:rsidR="00E313D7">
        <w:rPr>
          <w:noProof/>
        </w:rPr>
        <w:t>4</w:t>
      </w:r>
      <w:r w:rsidR="00E313D7">
        <w:t>.</w:t>
      </w:r>
      <w:r w:rsidR="00E313D7">
        <w:rPr>
          <w:noProof/>
        </w:rPr>
        <w:t>4</w:t>
      </w:r>
      <w:r>
        <w:fldChar w:fldCharType="end"/>
      </w:r>
      <w:r>
        <w:t xml:space="preserve"> </w:t>
      </w:r>
      <w:r w:rsidR="009916C7" w:rsidRPr="00947A42">
        <w:t>shows Endeavour Energy’s indicative price path based on its proposed revenues and the price path based on our revenues adjusted for the rate of return and gamma.</w:t>
      </w:r>
      <w:r w:rsidR="00034C4F">
        <w:rPr>
          <w:rStyle w:val="FootnoteReference"/>
        </w:rPr>
        <w:footnoteReference w:id="45"/>
      </w:r>
      <w:r w:rsidR="009916C7" w:rsidRPr="00947A42">
        <w:t xml:space="preserve"> For the reasons </w:t>
      </w:r>
      <w:r w:rsidR="009916C7" w:rsidRPr="00947A42">
        <w:lastRenderedPageBreak/>
        <w:t>discussed above, we consider our adjusted revenue for Endeavour Energy over the transitional regulatory control period is reasonably likely to result in a price path that minimises price variations. This is because we expect forecast costs to be lower than that proposed by Endeavour Energy.</w:t>
      </w:r>
    </w:p>
    <w:p w:rsidR="009916C7" w:rsidRDefault="00691C0D" w:rsidP="00691C0D">
      <w:pPr>
        <w:pStyle w:val="Caption"/>
      </w:pPr>
      <w:bookmarkStart w:id="101" w:name="_Ref384820234"/>
      <w:r>
        <w:t xml:space="preserve">Figure </w:t>
      </w:r>
      <w:r w:rsidR="00DD155E">
        <w:fldChar w:fldCharType="begin"/>
      </w:r>
      <w:r w:rsidR="00DD155E">
        <w:instrText xml:space="preserve"> STYLEREF 1 \s </w:instrText>
      </w:r>
      <w:r w:rsidR="00DD155E">
        <w:fldChar w:fldCharType="separate"/>
      </w:r>
      <w:r w:rsidR="00E313D7">
        <w:rPr>
          <w:noProof/>
        </w:rPr>
        <w:t>4</w:t>
      </w:r>
      <w:r w:rsidR="00DD155E">
        <w:rPr>
          <w:noProof/>
        </w:rPr>
        <w:fldChar w:fldCharType="end"/>
      </w:r>
      <w:r w:rsidR="00B460EF">
        <w:t>.</w:t>
      </w:r>
      <w:r w:rsidR="00DD155E">
        <w:fldChar w:fldCharType="begin"/>
      </w:r>
      <w:r w:rsidR="00DD155E">
        <w:instrText xml:space="preserve"> SEQ Figure \* ARABIC \s 1 </w:instrText>
      </w:r>
      <w:r w:rsidR="00DD155E">
        <w:fldChar w:fldCharType="separate"/>
      </w:r>
      <w:r w:rsidR="00E313D7">
        <w:rPr>
          <w:noProof/>
        </w:rPr>
        <w:t>4</w:t>
      </w:r>
      <w:r w:rsidR="00DD155E">
        <w:rPr>
          <w:noProof/>
        </w:rPr>
        <w:fldChar w:fldCharType="end"/>
      </w:r>
      <w:bookmarkEnd w:id="101"/>
      <w:r>
        <w:tab/>
      </w:r>
      <w:r w:rsidR="009916C7">
        <w:t>Endeavour</w:t>
      </w:r>
      <w:r w:rsidR="009916C7" w:rsidRPr="00E26AA8">
        <w:t xml:space="preserve"> Energy proposed and AER decision indicative price path (nominal price index)</w:t>
      </w:r>
    </w:p>
    <w:p w:rsidR="009916C7" w:rsidRPr="00947A42" w:rsidRDefault="009916C7" w:rsidP="009916C7">
      <w:pPr>
        <w:pStyle w:val="AERbodytext"/>
        <w:numPr>
          <w:ilvl w:val="0"/>
          <w:numId w:val="6"/>
        </w:numPr>
      </w:pPr>
      <w:r w:rsidRPr="009916C7">
        <w:rPr>
          <w:noProof/>
          <w:lang w:eastAsia="en-AU"/>
        </w:rPr>
        <w:drawing>
          <wp:inline distT="0" distB="0" distL="0" distR="0" wp14:anchorId="04B1A50F" wp14:editId="2E15DADC">
            <wp:extent cx="5629275" cy="3503861"/>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28535" cy="3503400"/>
                    </a:xfrm>
                    <a:prstGeom prst="rect">
                      <a:avLst/>
                    </a:prstGeom>
                    <a:noFill/>
                  </pic:spPr>
                </pic:pic>
              </a:graphicData>
            </a:graphic>
          </wp:inline>
        </w:drawing>
      </w:r>
    </w:p>
    <w:p w:rsidR="009916C7" w:rsidRDefault="009916C7" w:rsidP="009916C7">
      <w:pPr>
        <w:pStyle w:val="AERtablesource"/>
      </w:pPr>
      <w:r>
        <w:t>Source:</w:t>
      </w:r>
      <w:r>
        <w:tab/>
        <w:t>AER analysis.</w:t>
      </w:r>
    </w:p>
    <w:p w:rsidR="009916C7" w:rsidRDefault="009D768F" w:rsidP="009916C7">
      <w:pPr>
        <w:pStyle w:val="AERbodytext"/>
        <w:numPr>
          <w:ilvl w:val="0"/>
          <w:numId w:val="6"/>
        </w:numPr>
      </w:pPr>
      <w:r>
        <w:fldChar w:fldCharType="begin"/>
      </w:r>
      <w:r>
        <w:instrText xml:space="preserve"> REF _Ref385252651 \h </w:instrText>
      </w:r>
      <w:r>
        <w:fldChar w:fldCharType="separate"/>
      </w:r>
      <w:r w:rsidR="00E313D7">
        <w:t xml:space="preserve">Table </w:t>
      </w:r>
      <w:r w:rsidR="00E313D7">
        <w:rPr>
          <w:noProof/>
        </w:rPr>
        <w:t>4</w:t>
      </w:r>
      <w:r w:rsidR="00E313D7">
        <w:t>.</w:t>
      </w:r>
      <w:r w:rsidR="00E313D7">
        <w:rPr>
          <w:noProof/>
        </w:rPr>
        <w:t>8</w:t>
      </w:r>
      <w:r>
        <w:fldChar w:fldCharType="end"/>
      </w:r>
      <w:r>
        <w:t xml:space="preserve"> s</w:t>
      </w:r>
      <w:r w:rsidR="009916C7" w:rsidRPr="00033DA9">
        <w:t xml:space="preserve">hows </w:t>
      </w:r>
      <w:r w:rsidR="009916C7">
        <w:t>Endeavour</w:t>
      </w:r>
      <w:r w:rsidR="009916C7" w:rsidRPr="00033DA9">
        <w:t xml:space="preserve"> Energy’s proposed revenue (and price path) for the transitional and subsequent regulatory control period</w:t>
      </w:r>
      <w:r w:rsidR="009916C7">
        <w:t>s</w:t>
      </w:r>
      <w:r w:rsidR="009916C7" w:rsidRPr="00033DA9">
        <w:t xml:space="preserve"> and our substituted revenue (and price path</w:t>
      </w:r>
      <w:r w:rsidR="009916C7">
        <w:t>)</w:t>
      </w:r>
      <w:r w:rsidR="009916C7" w:rsidRPr="00033DA9">
        <w:t xml:space="preserve"> for the transitional and subsequent regulatory control period</w:t>
      </w:r>
      <w:r w:rsidR="009916C7">
        <w:t>s</w:t>
      </w:r>
      <w:r w:rsidR="009916C7" w:rsidRPr="00033DA9">
        <w:t>.</w:t>
      </w:r>
    </w:p>
    <w:p w:rsidR="009916C7" w:rsidRDefault="00804FE8" w:rsidP="00804FE8">
      <w:pPr>
        <w:pStyle w:val="Caption"/>
      </w:pPr>
      <w:bookmarkStart w:id="102" w:name="_Ref385252651"/>
      <w:bookmarkStart w:id="103" w:name="_Ref383422152"/>
      <w:r>
        <w:lastRenderedPageBreak/>
        <w:t xml:space="preserve">Table </w:t>
      </w:r>
      <w:r w:rsidR="00DD155E">
        <w:fldChar w:fldCharType="begin"/>
      </w:r>
      <w:r w:rsidR="00DD155E">
        <w:instrText xml:space="preserve"> STYLEREF 1 \s </w:instrText>
      </w:r>
      <w:r w:rsidR="00DD155E">
        <w:fldChar w:fldCharType="separate"/>
      </w:r>
      <w:r w:rsidR="00E313D7">
        <w:rPr>
          <w:noProof/>
        </w:rPr>
        <w:t>4</w:t>
      </w:r>
      <w:r w:rsidR="00DD155E">
        <w:rPr>
          <w:noProof/>
        </w:rPr>
        <w:fldChar w:fldCharType="end"/>
      </w:r>
      <w:r>
        <w:t>.</w:t>
      </w:r>
      <w:r w:rsidR="00DD155E">
        <w:fldChar w:fldCharType="begin"/>
      </w:r>
      <w:r w:rsidR="00DD155E">
        <w:instrText xml:space="preserve"> SEQ Table \* ARABIC \s 1 </w:instrText>
      </w:r>
      <w:r w:rsidR="00DD155E">
        <w:fldChar w:fldCharType="separate"/>
      </w:r>
      <w:r w:rsidR="00E313D7">
        <w:rPr>
          <w:noProof/>
        </w:rPr>
        <w:t>8</w:t>
      </w:r>
      <w:r w:rsidR="00DD155E">
        <w:rPr>
          <w:noProof/>
        </w:rPr>
        <w:fldChar w:fldCharType="end"/>
      </w:r>
      <w:bookmarkEnd w:id="102"/>
      <w:r w:rsidR="00F27D91">
        <w:tab/>
      </w:r>
      <w:bookmarkEnd w:id="103"/>
      <w:r w:rsidR="009916C7">
        <w:t>Endeavour</w:t>
      </w:r>
      <w:r w:rsidR="009916C7" w:rsidRPr="00033DA9">
        <w:t xml:space="preserve"> Energy’s proposed revenue and price path and AER substituted revenue and price path</w:t>
      </w:r>
    </w:p>
    <w:tbl>
      <w:tblPr>
        <w:tblStyle w:val="AERtable-numbers"/>
        <w:tblW w:w="9203" w:type="dxa"/>
        <w:tblLayout w:type="fixed"/>
        <w:tblLook w:val="04A0" w:firstRow="1" w:lastRow="0" w:firstColumn="1" w:lastColumn="0" w:noHBand="0" w:noVBand="1"/>
      </w:tblPr>
      <w:tblGrid>
        <w:gridCol w:w="2802"/>
        <w:gridCol w:w="1066"/>
        <w:gridCol w:w="1067"/>
        <w:gridCol w:w="1067"/>
        <w:gridCol w:w="1067"/>
        <w:gridCol w:w="1067"/>
        <w:gridCol w:w="1067"/>
      </w:tblGrid>
      <w:tr w:rsidR="009916C7" w:rsidRPr="00033DA9" w:rsidTr="00697BA8">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02" w:type="dxa"/>
            <w:noWrap/>
            <w:hideMark/>
          </w:tcPr>
          <w:p w:rsidR="009916C7" w:rsidRPr="00947A42" w:rsidRDefault="009916C7" w:rsidP="00CB749C">
            <w:pPr>
              <w:pStyle w:val="AERtabletextleft"/>
              <w:keepNext/>
              <w:keepLines/>
            </w:pPr>
          </w:p>
        </w:tc>
        <w:tc>
          <w:tcPr>
            <w:tcW w:w="1066" w:type="dxa"/>
            <w:noWrap/>
            <w:hideMark/>
          </w:tcPr>
          <w:p w:rsidR="009916C7" w:rsidRPr="00947A42" w:rsidRDefault="009916C7" w:rsidP="00CB749C">
            <w:pPr>
              <w:pStyle w:val="AERtabletextright"/>
              <w:keepNext/>
              <w:keepLines/>
              <w:cnfStyle w:val="100000000000" w:firstRow="1" w:lastRow="0" w:firstColumn="0" w:lastColumn="0" w:oddVBand="0" w:evenVBand="0" w:oddHBand="0" w:evenHBand="0" w:firstRowFirstColumn="0" w:firstRowLastColumn="0" w:lastRowFirstColumn="0" w:lastRowLastColumn="0"/>
            </w:pPr>
            <w:r w:rsidRPr="00947A42">
              <w:t>2013–14</w:t>
            </w:r>
          </w:p>
        </w:tc>
        <w:tc>
          <w:tcPr>
            <w:tcW w:w="1067" w:type="dxa"/>
            <w:noWrap/>
            <w:hideMark/>
          </w:tcPr>
          <w:p w:rsidR="009916C7" w:rsidRPr="00947A42" w:rsidRDefault="009916C7" w:rsidP="00CB749C">
            <w:pPr>
              <w:pStyle w:val="AERtabletextright"/>
              <w:keepNext/>
              <w:keepLines/>
              <w:cnfStyle w:val="100000000000" w:firstRow="1" w:lastRow="0" w:firstColumn="0" w:lastColumn="0" w:oddVBand="0" w:evenVBand="0" w:oddHBand="0" w:evenHBand="0" w:firstRowFirstColumn="0" w:firstRowLastColumn="0" w:lastRowFirstColumn="0" w:lastRowLastColumn="0"/>
            </w:pPr>
            <w:r w:rsidRPr="00947A42">
              <w:t>2014–15</w:t>
            </w:r>
          </w:p>
        </w:tc>
        <w:tc>
          <w:tcPr>
            <w:tcW w:w="1067" w:type="dxa"/>
            <w:noWrap/>
            <w:hideMark/>
          </w:tcPr>
          <w:p w:rsidR="009916C7" w:rsidRPr="00947A42" w:rsidRDefault="009916C7" w:rsidP="00CB749C">
            <w:pPr>
              <w:pStyle w:val="AERtabletextright"/>
              <w:keepNext/>
              <w:keepLines/>
              <w:cnfStyle w:val="100000000000" w:firstRow="1" w:lastRow="0" w:firstColumn="0" w:lastColumn="0" w:oddVBand="0" w:evenVBand="0" w:oddHBand="0" w:evenHBand="0" w:firstRowFirstColumn="0" w:firstRowLastColumn="0" w:lastRowFirstColumn="0" w:lastRowLastColumn="0"/>
            </w:pPr>
            <w:r w:rsidRPr="00947A42">
              <w:t>2015–16</w:t>
            </w:r>
          </w:p>
        </w:tc>
        <w:tc>
          <w:tcPr>
            <w:tcW w:w="1067" w:type="dxa"/>
            <w:noWrap/>
            <w:hideMark/>
          </w:tcPr>
          <w:p w:rsidR="009916C7" w:rsidRPr="00947A42" w:rsidRDefault="009916C7" w:rsidP="00CB749C">
            <w:pPr>
              <w:pStyle w:val="AERtabletextright"/>
              <w:keepNext/>
              <w:keepLines/>
              <w:cnfStyle w:val="100000000000" w:firstRow="1" w:lastRow="0" w:firstColumn="0" w:lastColumn="0" w:oddVBand="0" w:evenVBand="0" w:oddHBand="0" w:evenHBand="0" w:firstRowFirstColumn="0" w:firstRowLastColumn="0" w:lastRowFirstColumn="0" w:lastRowLastColumn="0"/>
            </w:pPr>
            <w:r w:rsidRPr="00947A42">
              <w:t>2016–17</w:t>
            </w:r>
          </w:p>
        </w:tc>
        <w:tc>
          <w:tcPr>
            <w:tcW w:w="1067" w:type="dxa"/>
            <w:noWrap/>
            <w:hideMark/>
          </w:tcPr>
          <w:p w:rsidR="009916C7" w:rsidRPr="00947A42" w:rsidRDefault="009916C7" w:rsidP="00CB749C">
            <w:pPr>
              <w:pStyle w:val="AERtabletextright"/>
              <w:keepNext/>
              <w:keepLines/>
              <w:cnfStyle w:val="100000000000" w:firstRow="1" w:lastRow="0" w:firstColumn="0" w:lastColumn="0" w:oddVBand="0" w:evenVBand="0" w:oddHBand="0" w:evenHBand="0" w:firstRowFirstColumn="0" w:firstRowLastColumn="0" w:lastRowFirstColumn="0" w:lastRowLastColumn="0"/>
            </w:pPr>
            <w:r w:rsidRPr="00947A42">
              <w:t>2017–18</w:t>
            </w:r>
          </w:p>
        </w:tc>
        <w:tc>
          <w:tcPr>
            <w:tcW w:w="1067" w:type="dxa"/>
            <w:noWrap/>
            <w:hideMark/>
          </w:tcPr>
          <w:p w:rsidR="009916C7" w:rsidRPr="00947A42" w:rsidRDefault="009916C7" w:rsidP="00CB749C">
            <w:pPr>
              <w:pStyle w:val="AERtabletextright"/>
              <w:keepNext/>
              <w:keepLines/>
              <w:cnfStyle w:val="100000000000" w:firstRow="1" w:lastRow="0" w:firstColumn="0" w:lastColumn="0" w:oddVBand="0" w:evenVBand="0" w:oddHBand="0" w:evenHBand="0" w:firstRowFirstColumn="0" w:firstRowLastColumn="0" w:lastRowFirstColumn="0" w:lastRowLastColumn="0"/>
            </w:pPr>
            <w:r w:rsidRPr="00947A42">
              <w:t>2018–19</w:t>
            </w:r>
          </w:p>
        </w:tc>
      </w:tr>
      <w:tr w:rsidR="00697BA8" w:rsidRPr="00033DA9" w:rsidTr="00DF2B46">
        <w:trPr>
          <w:trHeight w:val="283"/>
        </w:trPr>
        <w:tc>
          <w:tcPr>
            <w:cnfStyle w:val="001000000000" w:firstRow="0" w:lastRow="0" w:firstColumn="1" w:lastColumn="0" w:oddVBand="0" w:evenVBand="0" w:oddHBand="0" w:evenHBand="0" w:firstRowFirstColumn="0" w:firstRowLastColumn="0" w:lastRowFirstColumn="0" w:lastRowLastColumn="0"/>
            <w:tcW w:w="9203" w:type="dxa"/>
            <w:gridSpan w:val="7"/>
            <w:shd w:val="clear" w:color="auto" w:fill="auto"/>
            <w:noWrap/>
            <w:hideMark/>
          </w:tcPr>
          <w:p w:rsidR="00697BA8" w:rsidRPr="00026336" w:rsidRDefault="00697BA8" w:rsidP="00697BA8">
            <w:pPr>
              <w:pStyle w:val="AERtabletextright"/>
              <w:keepNext/>
              <w:keepLines/>
              <w:jc w:val="left"/>
              <w:rPr>
                <w:rStyle w:val="AERtextbold"/>
              </w:rPr>
            </w:pPr>
            <w:r w:rsidRPr="00026336">
              <w:rPr>
                <w:rStyle w:val="AERtextbold"/>
              </w:rPr>
              <w:t>Proposed revenue and price path</w:t>
            </w:r>
          </w:p>
        </w:tc>
      </w:tr>
      <w:tr w:rsidR="009916C7" w:rsidRPr="00033DA9" w:rsidTr="00697BA8">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02" w:type="dxa"/>
            <w:noWrap/>
            <w:hideMark/>
          </w:tcPr>
          <w:p w:rsidR="009916C7" w:rsidRPr="009916C7" w:rsidRDefault="009916C7" w:rsidP="00CB749C">
            <w:pPr>
              <w:pStyle w:val="AERtabletextleft"/>
              <w:keepNext/>
              <w:keepLines/>
            </w:pPr>
            <w:r w:rsidRPr="00947A42">
              <w:t>Revenue ($m, nominal)</w:t>
            </w:r>
            <w:r w:rsidRPr="009916C7">
              <w:rPr>
                <w:rStyle w:val="AERsuperscript"/>
              </w:rPr>
              <w:t>a</w:t>
            </w:r>
          </w:p>
        </w:tc>
        <w:tc>
          <w:tcPr>
            <w:tcW w:w="1066" w:type="dxa"/>
            <w:noWrap/>
            <w:hideMark/>
          </w:tcPr>
          <w:p w:rsidR="009916C7" w:rsidRPr="00947A42"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947A42">
              <w:t>1015</w:t>
            </w:r>
          </w:p>
        </w:tc>
        <w:tc>
          <w:tcPr>
            <w:tcW w:w="1067" w:type="dxa"/>
            <w:noWrap/>
            <w:hideMark/>
          </w:tcPr>
          <w:p w:rsidR="009916C7" w:rsidRPr="00947A42" w:rsidRDefault="00AF56BA"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t>1007</w:t>
            </w:r>
          </w:p>
        </w:tc>
        <w:tc>
          <w:tcPr>
            <w:tcW w:w="1067" w:type="dxa"/>
            <w:noWrap/>
            <w:hideMark/>
          </w:tcPr>
          <w:p w:rsidR="009916C7" w:rsidRPr="00947A42"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947A42">
              <w:t>1007</w:t>
            </w:r>
          </w:p>
        </w:tc>
        <w:tc>
          <w:tcPr>
            <w:tcW w:w="1067" w:type="dxa"/>
            <w:noWrap/>
            <w:hideMark/>
          </w:tcPr>
          <w:p w:rsidR="009916C7" w:rsidRPr="00947A42"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947A42">
              <w:t>1031</w:t>
            </w:r>
          </w:p>
        </w:tc>
        <w:tc>
          <w:tcPr>
            <w:tcW w:w="1067" w:type="dxa"/>
            <w:noWrap/>
            <w:hideMark/>
          </w:tcPr>
          <w:p w:rsidR="009916C7" w:rsidRPr="00947A42"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947A42">
              <w:t>1053</w:t>
            </w:r>
          </w:p>
        </w:tc>
        <w:tc>
          <w:tcPr>
            <w:tcW w:w="1067" w:type="dxa"/>
            <w:noWrap/>
            <w:hideMark/>
          </w:tcPr>
          <w:p w:rsidR="009916C7" w:rsidRPr="00947A42"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947A42">
              <w:t>1085</w:t>
            </w:r>
          </w:p>
        </w:tc>
      </w:tr>
      <w:tr w:rsidR="009916C7" w:rsidRPr="00033DA9" w:rsidTr="00697BA8">
        <w:trPr>
          <w:trHeight w:val="283"/>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hideMark/>
          </w:tcPr>
          <w:p w:rsidR="009916C7" w:rsidRPr="009916C7" w:rsidRDefault="009916C7" w:rsidP="00CB749C">
            <w:pPr>
              <w:pStyle w:val="AERtabletextleft"/>
              <w:keepNext/>
              <w:keepLines/>
            </w:pPr>
            <w:r w:rsidRPr="00947A42">
              <w:t>Price path (nominal index)</w:t>
            </w:r>
          </w:p>
        </w:tc>
        <w:tc>
          <w:tcPr>
            <w:tcW w:w="1066" w:type="dxa"/>
            <w:shd w:val="clear" w:color="auto" w:fill="auto"/>
            <w:noWrap/>
            <w:hideMark/>
          </w:tcPr>
          <w:p w:rsidR="009916C7" w:rsidRPr="00947A42"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947A42">
              <w:t>1.00</w:t>
            </w:r>
          </w:p>
        </w:tc>
        <w:tc>
          <w:tcPr>
            <w:tcW w:w="1067" w:type="dxa"/>
            <w:shd w:val="clear" w:color="auto" w:fill="auto"/>
            <w:noWrap/>
            <w:hideMark/>
          </w:tcPr>
          <w:p w:rsidR="009916C7" w:rsidRPr="00947A42"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947A42">
              <w:t>1.00</w:t>
            </w:r>
          </w:p>
        </w:tc>
        <w:tc>
          <w:tcPr>
            <w:tcW w:w="1067" w:type="dxa"/>
            <w:shd w:val="clear" w:color="auto" w:fill="auto"/>
            <w:noWrap/>
            <w:hideMark/>
          </w:tcPr>
          <w:p w:rsidR="009916C7" w:rsidRPr="00947A42"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947A42">
              <w:t>1.01</w:t>
            </w:r>
          </w:p>
        </w:tc>
        <w:tc>
          <w:tcPr>
            <w:tcW w:w="1067" w:type="dxa"/>
            <w:shd w:val="clear" w:color="auto" w:fill="auto"/>
            <w:noWrap/>
            <w:hideMark/>
          </w:tcPr>
          <w:p w:rsidR="009916C7" w:rsidRPr="00947A42"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947A42">
              <w:t>1.02</w:t>
            </w:r>
          </w:p>
        </w:tc>
        <w:tc>
          <w:tcPr>
            <w:tcW w:w="1067" w:type="dxa"/>
            <w:shd w:val="clear" w:color="auto" w:fill="auto"/>
            <w:noWrap/>
            <w:hideMark/>
          </w:tcPr>
          <w:p w:rsidR="009916C7" w:rsidRPr="00947A42"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947A42">
              <w:t>1.03</w:t>
            </w:r>
          </w:p>
        </w:tc>
        <w:tc>
          <w:tcPr>
            <w:tcW w:w="1067" w:type="dxa"/>
            <w:shd w:val="clear" w:color="auto" w:fill="auto"/>
            <w:noWrap/>
            <w:hideMark/>
          </w:tcPr>
          <w:p w:rsidR="009916C7" w:rsidRPr="00947A42"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947A42">
              <w:t>1.05</w:t>
            </w:r>
          </w:p>
        </w:tc>
      </w:tr>
      <w:tr w:rsidR="009916C7" w:rsidRPr="00C16381" w:rsidTr="00697BA8">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02" w:type="dxa"/>
            <w:tcBorders>
              <w:bottom w:val="nil"/>
            </w:tcBorders>
            <w:shd w:val="clear" w:color="auto" w:fill="DBE5F1" w:themeFill="accent1" w:themeFillTint="33"/>
            <w:noWrap/>
            <w:hideMark/>
          </w:tcPr>
          <w:p w:rsidR="009916C7" w:rsidRPr="00947A42" w:rsidRDefault="009916C7" w:rsidP="00CB749C">
            <w:pPr>
              <w:pStyle w:val="AERtabletextleft"/>
              <w:keepNext/>
              <w:keepLines/>
            </w:pPr>
            <w:r w:rsidRPr="00947A42">
              <w:t>Revenue (change %)</w:t>
            </w:r>
          </w:p>
        </w:tc>
        <w:tc>
          <w:tcPr>
            <w:tcW w:w="1066" w:type="dxa"/>
            <w:tcBorders>
              <w:bottom w:val="nil"/>
            </w:tcBorders>
            <w:shd w:val="clear" w:color="auto" w:fill="DBE5F1" w:themeFill="accent1" w:themeFillTint="33"/>
            <w:noWrap/>
            <w:hideMark/>
          </w:tcPr>
          <w:p w:rsidR="009916C7" w:rsidRPr="00947A42"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947A42">
              <w:t>n/a</w:t>
            </w:r>
          </w:p>
        </w:tc>
        <w:tc>
          <w:tcPr>
            <w:tcW w:w="1067" w:type="dxa"/>
            <w:tcBorders>
              <w:bottom w:val="nil"/>
            </w:tcBorders>
            <w:shd w:val="clear" w:color="auto" w:fill="DBE5F1" w:themeFill="accent1" w:themeFillTint="33"/>
            <w:noWrap/>
            <w:hideMark/>
          </w:tcPr>
          <w:p w:rsidR="009916C7" w:rsidRPr="00947A42" w:rsidRDefault="00AF56BA"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t>-0.8%</w:t>
            </w:r>
          </w:p>
        </w:tc>
        <w:tc>
          <w:tcPr>
            <w:tcW w:w="1067" w:type="dxa"/>
            <w:tcBorders>
              <w:bottom w:val="nil"/>
            </w:tcBorders>
            <w:shd w:val="clear" w:color="auto" w:fill="DBE5F1" w:themeFill="accent1" w:themeFillTint="33"/>
            <w:noWrap/>
            <w:hideMark/>
          </w:tcPr>
          <w:p w:rsidR="009916C7" w:rsidRPr="00947A42" w:rsidRDefault="00AF56BA"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t>0.0%</w:t>
            </w:r>
          </w:p>
        </w:tc>
        <w:tc>
          <w:tcPr>
            <w:tcW w:w="1067" w:type="dxa"/>
            <w:tcBorders>
              <w:bottom w:val="nil"/>
            </w:tcBorders>
            <w:shd w:val="clear" w:color="auto" w:fill="DBE5F1" w:themeFill="accent1" w:themeFillTint="33"/>
            <w:noWrap/>
            <w:hideMark/>
          </w:tcPr>
          <w:p w:rsidR="009916C7" w:rsidRPr="00947A42"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947A42">
              <w:t>2.4%</w:t>
            </w:r>
          </w:p>
        </w:tc>
        <w:tc>
          <w:tcPr>
            <w:tcW w:w="1067" w:type="dxa"/>
            <w:tcBorders>
              <w:bottom w:val="nil"/>
            </w:tcBorders>
            <w:shd w:val="clear" w:color="auto" w:fill="DBE5F1" w:themeFill="accent1" w:themeFillTint="33"/>
            <w:noWrap/>
            <w:hideMark/>
          </w:tcPr>
          <w:p w:rsidR="009916C7" w:rsidRPr="00947A42"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947A42">
              <w:t>2.1%</w:t>
            </w:r>
          </w:p>
        </w:tc>
        <w:tc>
          <w:tcPr>
            <w:tcW w:w="1067" w:type="dxa"/>
            <w:tcBorders>
              <w:bottom w:val="nil"/>
            </w:tcBorders>
            <w:shd w:val="clear" w:color="auto" w:fill="DBE5F1" w:themeFill="accent1" w:themeFillTint="33"/>
            <w:noWrap/>
            <w:hideMark/>
          </w:tcPr>
          <w:p w:rsidR="009916C7" w:rsidRPr="00947A42"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947A42">
              <w:t>3.1%</w:t>
            </w:r>
          </w:p>
        </w:tc>
      </w:tr>
      <w:tr w:rsidR="009916C7" w:rsidRPr="00033DA9" w:rsidTr="00697BA8">
        <w:trPr>
          <w:trHeight w:val="283"/>
        </w:trPr>
        <w:tc>
          <w:tcPr>
            <w:cnfStyle w:val="001000000000" w:firstRow="0" w:lastRow="0" w:firstColumn="1" w:lastColumn="0" w:oddVBand="0" w:evenVBand="0" w:oddHBand="0" w:evenHBand="0" w:firstRowFirstColumn="0" w:firstRowLastColumn="0" w:lastRowFirstColumn="0" w:lastRowLastColumn="0"/>
            <w:tcW w:w="2802" w:type="dxa"/>
            <w:tcBorders>
              <w:top w:val="nil"/>
              <w:bottom w:val="nil"/>
            </w:tcBorders>
            <w:shd w:val="clear" w:color="auto" w:fill="auto"/>
            <w:noWrap/>
            <w:hideMark/>
          </w:tcPr>
          <w:p w:rsidR="009916C7" w:rsidRPr="00947A42" w:rsidRDefault="009916C7" w:rsidP="00CB749C">
            <w:pPr>
              <w:pStyle w:val="AERtabletextleft"/>
              <w:keepNext/>
              <w:keepLines/>
            </w:pPr>
            <w:r w:rsidRPr="00947A42">
              <w:t>Price path (change %)</w:t>
            </w:r>
          </w:p>
        </w:tc>
        <w:tc>
          <w:tcPr>
            <w:tcW w:w="1066" w:type="dxa"/>
            <w:tcBorders>
              <w:top w:val="nil"/>
              <w:bottom w:val="nil"/>
            </w:tcBorders>
            <w:shd w:val="clear" w:color="auto" w:fill="auto"/>
            <w:noWrap/>
            <w:hideMark/>
          </w:tcPr>
          <w:p w:rsidR="009916C7" w:rsidRPr="00947A42"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947A42">
              <w:t>n/a</w:t>
            </w:r>
          </w:p>
        </w:tc>
        <w:tc>
          <w:tcPr>
            <w:tcW w:w="1067" w:type="dxa"/>
            <w:tcBorders>
              <w:top w:val="nil"/>
              <w:bottom w:val="nil"/>
            </w:tcBorders>
            <w:shd w:val="clear" w:color="auto" w:fill="auto"/>
            <w:noWrap/>
            <w:hideMark/>
          </w:tcPr>
          <w:p w:rsidR="009916C7" w:rsidRPr="00947A42"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947A42">
              <w:t>-0.2%</w:t>
            </w:r>
          </w:p>
        </w:tc>
        <w:tc>
          <w:tcPr>
            <w:tcW w:w="1067" w:type="dxa"/>
            <w:tcBorders>
              <w:top w:val="nil"/>
              <w:bottom w:val="nil"/>
            </w:tcBorders>
            <w:shd w:val="clear" w:color="auto" w:fill="auto"/>
            <w:noWrap/>
            <w:hideMark/>
          </w:tcPr>
          <w:p w:rsidR="009916C7" w:rsidRPr="00947A42"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947A42">
              <w:t>1.2%</w:t>
            </w:r>
          </w:p>
        </w:tc>
        <w:tc>
          <w:tcPr>
            <w:tcW w:w="1067" w:type="dxa"/>
            <w:tcBorders>
              <w:top w:val="nil"/>
              <w:bottom w:val="nil"/>
            </w:tcBorders>
            <w:shd w:val="clear" w:color="auto" w:fill="auto"/>
            <w:noWrap/>
            <w:hideMark/>
          </w:tcPr>
          <w:p w:rsidR="009916C7" w:rsidRPr="00947A42"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947A42">
              <w:t>1.2%</w:t>
            </w:r>
          </w:p>
        </w:tc>
        <w:tc>
          <w:tcPr>
            <w:tcW w:w="1067" w:type="dxa"/>
            <w:tcBorders>
              <w:top w:val="nil"/>
              <w:bottom w:val="nil"/>
            </w:tcBorders>
            <w:shd w:val="clear" w:color="auto" w:fill="auto"/>
            <w:noWrap/>
            <w:hideMark/>
          </w:tcPr>
          <w:p w:rsidR="009916C7" w:rsidRPr="00947A42"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947A42">
              <w:t>1.2%</w:t>
            </w:r>
          </w:p>
        </w:tc>
        <w:tc>
          <w:tcPr>
            <w:tcW w:w="1067" w:type="dxa"/>
            <w:tcBorders>
              <w:top w:val="nil"/>
              <w:bottom w:val="nil"/>
            </w:tcBorders>
            <w:shd w:val="clear" w:color="auto" w:fill="auto"/>
            <w:noWrap/>
            <w:hideMark/>
          </w:tcPr>
          <w:p w:rsidR="009916C7" w:rsidRPr="00947A42"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947A42">
              <w:t>1.2%</w:t>
            </w:r>
          </w:p>
        </w:tc>
      </w:tr>
      <w:tr w:rsidR="00697BA8" w:rsidRPr="00033DA9" w:rsidTr="00DF2B46">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03" w:type="dxa"/>
            <w:gridSpan w:val="7"/>
            <w:tcBorders>
              <w:top w:val="nil"/>
              <w:bottom w:val="nil"/>
            </w:tcBorders>
            <w:shd w:val="clear" w:color="auto" w:fill="DBE5F1" w:themeFill="accent1" w:themeFillTint="33"/>
            <w:noWrap/>
            <w:hideMark/>
          </w:tcPr>
          <w:p w:rsidR="00697BA8" w:rsidRPr="00026336" w:rsidRDefault="00697BA8" w:rsidP="00697BA8">
            <w:pPr>
              <w:pStyle w:val="AERtabletextright"/>
              <w:keepNext/>
              <w:keepLines/>
              <w:jc w:val="left"/>
              <w:rPr>
                <w:rStyle w:val="AERtextbold"/>
              </w:rPr>
            </w:pPr>
            <w:r w:rsidRPr="00026336">
              <w:rPr>
                <w:rStyle w:val="AERtextbold"/>
              </w:rPr>
              <w:t>AER substitute revenue and price path</w:t>
            </w:r>
          </w:p>
        </w:tc>
      </w:tr>
      <w:tr w:rsidR="009916C7" w:rsidRPr="00033DA9" w:rsidTr="00697BA8">
        <w:trPr>
          <w:trHeight w:val="283"/>
        </w:trPr>
        <w:tc>
          <w:tcPr>
            <w:cnfStyle w:val="001000000000" w:firstRow="0" w:lastRow="0" w:firstColumn="1" w:lastColumn="0" w:oddVBand="0" w:evenVBand="0" w:oddHBand="0" w:evenHBand="0" w:firstRowFirstColumn="0" w:firstRowLastColumn="0" w:lastRowFirstColumn="0" w:lastRowLastColumn="0"/>
            <w:tcW w:w="2802" w:type="dxa"/>
            <w:tcBorders>
              <w:top w:val="nil"/>
              <w:bottom w:val="nil"/>
            </w:tcBorders>
            <w:shd w:val="clear" w:color="auto" w:fill="auto"/>
            <w:noWrap/>
            <w:hideMark/>
          </w:tcPr>
          <w:p w:rsidR="009916C7" w:rsidRPr="009916C7" w:rsidRDefault="009916C7" w:rsidP="00CB749C">
            <w:pPr>
              <w:pStyle w:val="AERtabletextleft"/>
              <w:keepNext/>
              <w:keepLines/>
            </w:pPr>
            <w:r w:rsidRPr="00947A42">
              <w:t>Revenue ($m, nominal)</w:t>
            </w:r>
            <w:r w:rsidRPr="009916C7">
              <w:rPr>
                <w:rStyle w:val="AERsuperscript"/>
              </w:rPr>
              <w:t>a</w:t>
            </w:r>
          </w:p>
        </w:tc>
        <w:tc>
          <w:tcPr>
            <w:tcW w:w="1066" w:type="dxa"/>
            <w:tcBorders>
              <w:top w:val="nil"/>
              <w:bottom w:val="nil"/>
            </w:tcBorders>
            <w:shd w:val="clear" w:color="auto" w:fill="auto"/>
            <w:noWrap/>
            <w:hideMark/>
          </w:tcPr>
          <w:p w:rsidR="009916C7" w:rsidRPr="00947A42"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947A42">
              <w:t>1015</w:t>
            </w:r>
          </w:p>
        </w:tc>
        <w:tc>
          <w:tcPr>
            <w:tcW w:w="1067" w:type="dxa"/>
            <w:tcBorders>
              <w:top w:val="nil"/>
              <w:bottom w:val="nil"/>
            </w:tcBorders>
            <w:shd w:val="clear" w:color="auto" w:fill="auto"/>
            <w:noWrap/>
            <w:hideMark/>
          </w:tcPr>
          <w:p w:rsidR="009916C7" w:rsidRPr="00947A42" w:rsidRDefault="00AF56BA"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t>949</w:t>
            </w:r>
          </w:p>
        </w:tc>
        <w:tc>
          <w:tcPr>
            <w:tcW w:w="1067" w:type="dxa"/>
            <w:tcBorders>
              <w:top w:val="nil"/>
              <w:bottom w:val="nil"/>
            </w:tcBorders>
            <w:shd w:val="clear" w:color="auto" w:fill="auto"/>
            <w:noWrap/>
            <w:hideMark/>
          </w:tcPr>
          <w:p w:rsidR="009916C7" w:rsidRPr="00947A42"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947A42">
              <w:t>949</w:t>
            </w:r>
          </w:p>
        </w:tc>
        <w:tc>
          <w:tcPr>
            <w:tcW w:w="1067" w:type="dxa"/>
            <w:tcBorders>
              <w:top w:val="nil"/>
              <w:bottom w:val="nil"/>
            </w:tcBorders>
            <w:shd w:val="clear" w:color="auto" w:fill="auto"/>
            <w:noWrap/>
            <w:hideMark/>
          </w:tcPr>
          <w:p w:rsidR="009916C7" w:rsidRPr="00947A42"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947A42">
              <w:t>972</w:t>
            </w:r>
          </w:p>
        </w:tc>
        <w:tc>
          <w:tcPr>
            <w:tcW w:w="1067" w:type="dxa"/>
            <w:tcBorders>
              <w:top w:val="nil"/>
              <w:bottom w:val="nil"/>
            </w:tcBorders>
            <w:shd w:val="clear" w:color="auto" w:fill="auto"/>
            <w:noWrap/>
            <w:hideMark/>
          </w:tcPr>
          <w:p w:rsidR="009916C7" w:rsidRPr="00947A42"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947A42">
              <w:t>992</w:t>
            </w:r>
          </w:p>
        </w:tc>
        <w:tc>
          <w:tcPr>
            <w:tcW w:w="1067" w:type="dxa"/>
            <w:tcBorders>
              <w:top w:val="nil"/>
              <w:bottom w:val="nil"/>
            </w:tcBorders>
            <w:shd w:val="clear" w:color="auto" w:fill="auto"/>
            <w:noWrap/>
            <w:hideMark/>
          </w:tcPr>
          <w:p w:rsidR="009916C7" w:rsidRPr="00947A42"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947A42">
              <w:t>1023</w:t>
            </w:r>
          </w:p>
        </w:tc>
      </w:tr>
      <w:tr w:rsidR="009916C7" w:rsidRPr="00033DA9" w:rsidTr="00697BA8">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02" w:type="dxa"/>
            <w:tcBorders>
              <w:top w:val="nil"/>
              <w:bottom w:val="nil"/>
            </w:tcBorders>
            <w:shd w:val="clear" w:color="auto" w:fill="DBE5F1" w:themeFill="accent1" w:themeFillTint="33"/>
            <w:noWrap/>
            <w:hideMark/>
          </w:tcPr>
          <w:p w:rsidR="009916C7" w:rsidRPr="009916C7" w:rsidRDefault="009916C7" w:rsidP="00CB749C">
            <w:pPr>
              <w:pStyle w:val="AERtabletextleft"/>
              <w:keepNext/>
              <w:keepLines/>
            </w:pPr>
            <w:r w:rsidRPr="00947A42">
              <w:t>Price path (nominal index)</w:t>
            </w:r>
          </w:p>
        </w:tc>
        <w:tc>
          <w:tcPr>
            <w:tcW w:w="1066" w:type="dxa"/>
            <w:tcBorders>
              <w:top w:val="nil"/>
              <w:bottom w:val="nil"/>
            </w:tcBorders>
            <w:shd w:val="clear" w:color="auto" w:fill="DBE5F1" w:themeFill="accent1" w:themeFillTint="33"/>
            <w:noWrap/>
            <w:hideMark/>
          </w:tcPr>
          <w:p w:rsidR="009916C7" w:rsidRPr="00947A42"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947A42">
              <w:t>1.00</w:t>
            </w:r>
          </w:p>
        </w:tc>
        <w:tc>
          <w:tcPr>
            <w:tcW w:w="1067" w:type="dxa"/>
            <w:tcBorders>
              <w:top w:val="nil"/>
              <w:bottom w:val="nil"/>
            </w:tcBorders>
            <w:shd w:val="clear" w:color="auto" w:fill="DBE5F1" w:themeFill="accent1" w:themeFillTint="33"/>
            <w:noWrap/>
            <w:hideMark/>
          </w:tcPr>
          <w:p w:rsidR="009916C7" w:rsidRPr="00947A42"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947A42">
              <w:t>0.94</w:t>
            </w:r>
          </w:p>
        </w:tc>
        <w:tc>
          <w:tcPr>
            <w:tcW w:w="1067" w:type="dxa"/>
            <w:tcBorders>
              <w:top w:val="nil"/>
              <w:bottom w:val="nil"/>
            </w:tcBorders>
            <w:shd w:val="clear" w:color="auto" w:fill="DBE5F1" w:themeFill="accent1" w:themeFillTint="33"/>
            <w:noWrap/>
            <w:hideMark/>
          </w:tcPr>
          <w:p w:rsidR="009916C7" w:rsidRPr="00947A42"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947A42">
              <w:t>0.95</w:t>
            </w:r>
          </w:p>
        </w:tc>
        <w:tc>
          <w:tcPr>
            <w:tcW w:w="1067" w:type="dxa"/>
            <w:tcBorders>
              <w:top w:val="nil"/>
              <w:bottom w:val="nil"/>
            </w:tcBorders>
            <w:shd w:val="clear" w:color="auto" w:fill="DBE5F1" w:themeFill="accent1" w:themeFillTint="33"/>
            <w:noWrap/>
            <w:hideMark/>
          </w:tcPr>
          <w:p w:rsidR="009916C7" w:rsidRPr="00947A42"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947A42">
              <w:t>0.96</w:t>
            </w:r>
          </w:p>
        </w:tc>
        <w:tc>
          <w:tcPr>
            <w:tcW w:w="1067" w:type="dxa"/>
            <w:tcBorders>
              <w:top w:val="nil"/>
              <w:bottom w:val="nil"/>
            </w:tcBorders>
            <w:shd w:val="clear" w:color="auto" w:fill="DBE5F1" w:themeFill="accent1" w:themeFillTint="33"/>
            <w:noWrap/>
            <w:hideMark/>
          </w:tcPr>
          <w:p w:rsidR="009916C7" w:rsidRPr="00947A42"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947A42">
              <w:t>0.98</w:t>
            </w:r>
          </w:p>
        </w:tc>
        <w:tc>
          <w:tcPr>
            <w:tcW w:w="1067" w:type="dxa"/>
            <w:tcBorders>
              <w:top w:val="nil"/>
              <w:bottom w:val="nil"/>
            </w:tcBorders>
            <w:shd w:val="clear" w:color="auto" w:fill="DBE5F1" w:themeFill="accent1" w:themeFillTint="33"/>
            <w:noWrap/>
            <w:hideMark/>
          </w:tcPr>
          <w:p w:rsidR="009916C7" w:rsidRPr="00947A42"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947A42">
              <w:t>0.99</w:t>
            </w:r>
          </w:p>
        </w:tc>
      </w:tr>
      <w:tr w:rsidR="009916C7" w:rsidRPr="00033DA9" w:rsidTr="00697BA8">
        <w:trPr>
          <w:trHeight w:val="283"/>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hideMark/>
          </w:tcPr>
          <w:p w:rsidR="009916C7" w:rsidRPr="00947A42" w:rsidRDefault="009916C7" w:rsidP="00CB749C">
            <w:pPr>
              <w:pStyle w:val="AERtabletextleft"/>
              <w:keepNext/>
              <w:keepLines/>
            </w:pPr>
            <w:r w:rsidRPr="00947A42">
              <w:t>Revenue (change %)</w:t>
            </w:r>
          </w:p>
        </w:tc>
        <w:tc>
          <w:tcPr>
            <w:tcW w:w="1066" w:type="dxa"/>
            <w:shd w:val="clear" w:color="auto" w:fill="auto"/>
            <w:noWrap/>
            <w:hideMark/>
          </w:tcPr>
          <w:p w:rsidR="009916C7" w:rsidRPr="00947A42"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947A42">
              <w:t>n/a</w:t>
            </w:r>
          </w:p>
        </w:tc>
        <w:tc>
          <w:tcPr>
            <w:tcW w:w="1067" w:type="dxa"/>
            <w:shd w:val="clear" w:color="auto" w:fill="auto"/>
            <w:noWrap/>
            <w:hideMark/>
          </w:tcPr>
          <w:p w:rsidR="009916C7" w:rsidRPr="00947A42" w:rsidRDefault="00AF56BA"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t>-6.5%</w:t>
            </w:r>
          </w:p>
        </w:tc>
        <w:tc>
          <w:tcPr>
            <w:tcW w:w="1067" w:type="dxa"/>
            <w:shd w:val="clear" w:color="auto" w:fill="auto"/>
            <w:noWrap/>
            <w:hideMark/>
          </w:tcPr>
          <w:p w:rsidR="009916C7" w:rsidRPr="00947A42" w:rsidRDefault="00AF56BA"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t>0.0%</w:t>
            </w:r>
          </w:p>
        </w:tc>
        <w:tc>
          <w:tcPr>
            <w:tcW w:w="1067" w:type="dxa"/>
            <w:shd w:val="clear" w:color="auto" w:fill="auto"/>
            <w:noWrap/>
            <w:hideMark/>
          </w:tcPr>
          <w:p w:rsidR="009916C7" w:rsidRPr="00947A42"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947A42">
              <w:t>2.4%</w:t>
            </w:r>
          </w:p>
        </w:tc>
        <w:tc>
          <w:tcPr>
            <w:tcW w:w="1067" w:type="dxa"/>
            <w:shd w:val="clear" w:color="auto" w:fill="auto"/>
            <w:noWrap/>
            <w:hideMark/>
          </w:tcPr>
          <w:p w:rsidR="009916C7" w:rsidRPr="00947A42"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947A42">
              <w:t>2.1%</w:t>
            </w:r>
          </w:p>
        </w:tc>
        <w:tc>
          <w:tcPr>
            <w:tcW w:w="1067" w:type="dxa"/>
            <w:shd w:val="clear" w:color="auto" w:fill="auto"/>
            <w:noWrap/>
            <w:hideMark/>
          </w:tcPr>
          <w:p w:rsidR="009916C7" w:rsidRPr="00947A42"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947A42">
              <w:t>3.1%</w:t>
            </w:r>
          </w:p>
        </w:tc>
      </w:tr>
      <w:tr w:rsidR="009916C7" w:rsidRPr="00033DA9" w:rsidTr="00697BA8">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02" w:type="dxa"/>
            <w:noWrap/>
            <w:hideMark/>
          </w:tcPr>
          <w:p w:rsidR="009916C7" w:rsidRPr="00947A42" w:rsidRDefault="009916C7" w:rsidP="00CB749C">
            <w:pPr>
              <w:pStyle w:val="AERtabletextleft"/>
              <w:keepNext/>
              <w:keepLines/>
            </w:pPr>
            <w:r w:rsidRPr="00947A42">
              <w:t>Price path (change %)</w:t>
            </w:r>
          </w:p>
        </w:tc>
        <w:tc>
          <w:tcPr>
            <w:tcW w:w="1066" w:type="dxa"/>
            <w:noWrap/>
            <w:hideMark/>
          </w:tcPr>
          <w:p w:rsidR="009916C7" w:rsidRPr="00947A42"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947A42">
              <w:t>n/a</w:t>
            </w:r>
          </w:p>
        </w:tc>
        <w:tc>
          <w:tcPr>
            <w:tcW w:w="1067" w:type="dxa"/>
            <w:noWrap/>
            <w:hideMark/>
          </w:tcPr>
          <w:p w:rsidR="009916C7" w:rsidRPr="00947A42"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947A42">
              <w:t>-6.0%</w:t>
            </w:r>
          </w:p>
        </w:tc>
        <w:tc>
          <w:tcPr>
            <w:tcW w:w="1067" w:type="dxa"/>
            <w:noWrap/>
            <w:hideMark/>
          </w:tcPr>
          <w:p w:rsidR="009916C7" w:rsidRPr="00947A42"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947A42">
              <w:t>1.2%</w:t>
            </w:r>
          </w:p>
        </w:tc>
        <w:tc>
          <w:tcPr>
            <w:tcW w:w="1067" w:type="dxa"/>
            <w:noWrap/>
            <w:hideMark/>
          </w:tcPr>
          <w:p w:rsidR="009916C7" w:rsidRPr="00947A42"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947A42">
              <w:t>1.2%</w:t>
            </w:r>
          </w:p>
        </w:tc>
        <w:tc>
          <w:tcPr>
            <w:tcW w:w="1067" w:type="dxa"/>
            <w:noWrap/>
            <w:hideMark/>
          </w:tcPr>
          <w:p w:rsidR="009916C7" w:rsidRPr="00947A42"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947A42">
              <w:t>1.2%</w:t>
            </w:r>
          </w:p>
        </w:tc>
        <w:tc>
          <w:tcPr>
            <w:tcW w:w="1067" w:type="dxa"/>
            <w:noWrap/>
            <w:hideMark/>
          </w:tcPr>
          <w:p w:rsidR="009916C7" w:rsidRPr="00947A42"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947A42">
              <w:t>1.2%</w:t>
            </w:r>
          </w:p>
        </w:tc>
      </w:tr>
    </w:tbl>
    <w:p w:rsidR="009916C7" w:rsidRPr="00E26AA8" w:rsidRDefault="009916C7" w:rsidP="00CB749C">
      <w:pPr>
        <w:pStyle w:val="AERtablesource"/>
        <w:keepNext/>
        <w:keepLines/>
      </w:pPr>
      <w:r w:rsidRPr="00E26AA8">
        <w:t>Source:</w:t>
      </w:r>
      <w:r w:rsidRPr="00E26AA8">
        <w:tab/>
        <w:t>AER analysis.</w:t>
      </w:r>
    </w:p>
    <w:p w:rsidR="009916C7" w:rsidRPr="00E26AA8" w:rsidRDefault="009916C7" w:rsidP="00CB749C">
      <w:pPr>
        <w:pStyle w:val="AERtablesource"/>
        <w:keepNext/>
        <w:keepLines/>
      </w:pPr>
      <w:r w:rsidRPr="00E26AA8">
        <w:t>Notes:</w:t>
      </w:r>
      <w:r>
        <w:tab/>
      </w:r>
      <w:r w:rsidRPr="00693A45">
        <w:t>Numbers may not sum due to rounding.</w:t>
      </w:r>
    </w:p>
    <w:p w:rsidR="009916C7" w:rsidRDefault="00EE6780" w:rsidP="00EE6780">
      <w:pPr>
        <w:pStyle w:val="AERtablesource"/>
        <w:keepNext/>
        <w:keepLines/>
        <w:ind w:left="1440" w:hanging="1440"/>
      </w:pPr>
      <w:r>
        <w:tab/>
      </w:r>
      <w:r w:rsidR="009916C7" w:rsidRPr="00E26AA8">
        <w:t>a.</w:t>
      </w:r>
      <w:r w:rsidR="009916C7" w:rsidRPr="00E26AA8">
        <w:tab/>
      </w:r>
      <w:r w:rsidR="00AF56BA">
        <w:t>In this table, e</w:t>
      </w:r>
      <w:r w:rsidR="00AF56BA" w:rsidRPr="00972BC0">
        <w:t xml:space="preserve">xpected revenues from ANS </w:t>
      </w:r>
      <w:r w:rsidR="00AF56BA">
        <w:t xml:space="preserve">in 2014–15 of $10 million </w:t>
      </w:r>
      <w:r w:rsidR="00AF56BA" w:rsidRPr="00972BC0">
        <w:t xml:space="preserve">have </w:t>
      </w:r>
      <w:r w:rsidR="00AF56BA">
        <w:t xml:space="preserve">not </w:t>
      </w:r>
      <w:r w:rsidR="00AF56BA" w:rsidRPr="00972BC0">
        <w:t>been removed</w:t>
      </w:r>
      <w:r w:rsidR="00AF56BA">
        <w:t xml:space="preserve"> to preserve comparability with the Endeavour </w:t>
      </w:r>
      <w:r w:rsidR="009B413C">
        <w:t xml:space="preserve">Energy </w:t>
      </w:r>
      <w:r w:rsidR="00AF56BA">
        <w:t>proposal.</w:t>
      </w:r>
    </w:p>
    <w:p w:rsidR="009916C7" w:rsidRDefault="009D768F" w:rsidP="009916C7">
      <w:r>
        <w:fldChar w:fldCharType="begin"/>
      </w:r>
      <w:r>
        <w:instrText xml:space="preserve"> REF _Ref385252670 \h </w:instrText>
      </w:r>
      <w:r>
        <w:fldChar w:fldCharType="separate"/>
      </w:r>
      <w:r w:rsidR="00E313D7">
        <w:t xml:space="preserve">Table </w:t>
      </w:r>
      <w:r w:rsidR="00E313D7">
        <w:rPr>
          <w:noProof/>
        </w:rPr>
        <w:t>4</w:t>
      </w:r>
      <w:r w:rsidR="00E313D7">
        <w:t>.</w:t>
      </w:r>
      <w:r w:rsidR="00E313D7">
        <w:rPr>
          <w:noProof/>
        </w:rPr>
        <w:t>9</w:t>
      </w:r>
      <w:r>
        <w:fldChar w:fldCharType="end"/>
      </w:r>
      <w:r>
        <w:t xml:space="preserve"> </w:t>
      </w:r>
      <w:r w:rsidR="009916C7">
        <w:t>shows our indicative revenue allowance for Endeavour Energy over the transitional and subsequent regulatory control periods. It shows the break down by the key building block components and the total costs for metering and ANS. An adjustment is also made for revenues to be recovered separately from DUOS charges through ANS fees, so as to prevent double recovery of a proportion of ANS costs. Endeavour Energy did not forecast any ERW costs for the transitional regulatory control period.</w:t>
      </w:r>
      <w:r w:rsidR="00722630">
        <w:t xml:space="preserve"> Endeavour Energy did not include any metering costs beyond 2014</w:t>
      </w:r>
      <w:r w:rsidR="00AF725B">
        <w:t>–</w:t>
      </w:r>
      <w:r w:rsidR="00722630">
        <w:t xml:space="preserve">15 in its </w:t>
      </w:r>
      <w:r w:rsidR="00AF725B">
        <w:t xml:space="preserve">transitional </w:t>
      </w:r>
      <w:r w:rsidR="00722630">
        <w:t>proposal. Therefore, no adjustment is necessary for determining DUOS charges from 2015</w:t>
      </w:r>
      <w:r w:rsidR="00AF725B">
        <w:t>–</w:t>
      </w:r>
      <w:r w:rsidR="00722630">
        <w:t>16 for the transfer of these services to ACS.</w:t>
      </w:r>
    </w:p>
    <w:p w:rsidR="009916C7" w:rsidRPr="006F1095" w:rsidRDefault="00F27D91" w:rsidP="00F27D91">
      <w:pPr>
        <w:pStyle w:val="Caption"/>
      </w:pPr>
      <w:bookmarkStart w:id="104" w:name="_Ref385252670"/>
      <w:bookmarkStart w:id="105" w:name="_Ref383702690"/>
      <w:r>
        <w:lastRenderedPageBreak/>
        <w:t xml:space="preserve">Table </w:t>
      </w:r>
      <w:r w:rsidR="00DD155E">
        <w:fldChar w:fldCharType="begin"/>
      </w:r>
      <w:r w:rsidR="00DD155E">
        <w:instrText xml:space="preserve"> STYLEREF 1 \s </w:instrText>
      </w:r>
      <w:r w:rsidR="00DD155E">
        <w:fldChar w:fldCharType="separate"/>
      </w:r>
      <w:r w:rsidR="00E313D7">
        <w:rPr>
          <w:noProof/>
        </w:rPr>
        <w:t>4</w:t>
      </w:r>
      <w:r w:rsidR="00DD155E">
        <w:rPr>
          <w:noProof/>
        </w:rPr>
        <w:fldChar w:fldCharType="end"/>
      </w:r>
      <w:r w:rsidR="00804FE8">
        <w:t>.</w:t>
      </w:r>
      <w:r w:rsidR="00DD155E">
        <w:fldChar w:fldCharType="begin"/>
      </w:r>
      <w:r w:rsidR="00DD155E">
        <w:instrText xml:space="preserve"> SEQ Table \* ARABIC \s 1 </w:instrText>
      </w:r>
      <w:r w:rsidR="00DD155E">
        <w:fldChar w:fldCharType="separate"/>
      </w:r>
      <w:r w:rsidR="00E313D7">
        <w:rPr>
          <w:noProof/>
        </w:rPr>
        <w:t>9</w:t>
      </w:r>
      <w:r w:rsidR="00DD155E">
        <w:rPr>
          <w:noProof/>
        </w:rPr>
        <w:fldChar w:fldCharType="end"/>
      </w:r>
      <w:bookmarkEnd w:id="104"/>
      <w:r>
        <w:tab/>
      </w:r>
      <w:bookmarkEnd w:id="105"/>
      <w:r w:rsidR="009916C7" w:rsidRPr="006F1095">
        <w:t>AER</w:t>
      </w:r>
      <w:r w:rsidR="009916C7">
        <w:t>'s revenue assessment for Endeavour</w:t>
      </w:r>
      <w:r w:rsidR="009916C7" w:rsidRPr="006F1095">
        <w:t xml:space="preserve"> Energy ($m, nominal)</w:t>
      </w:r>
    </w:p>
    <w:tbl>
      <w:tblPr>
        <w:tblStyle w:val="AERtable-numbers"/>
        <w:tblW w:w="9191" w:type="dxa"/>
        <w:tblLayout w:type="fixed"/>
        <w:tblLook w:val="04A0" w:firstRow="1" w:lastRow="0" w:firstColumn="1" w:lastColumn="0" w:noHBand="0" w:noVBand="1"/>
      </w:tblPr>
      <w:tblGrid>
        <w:gridCol w:w="3097"/>
        <w:gridCol w:w="1015"/>
        <w:gridCol w:w="1016"/>
        <w:gridCol w:w="1016"/>
        <w:gridCol w:w="1015"/>
        <w:gridCol w:w="1016"/>
        <w:gridCol w:w="1016"/>
      </w:tblGrid>
      <w:tr w:rsidR="009916C7" w:rsidRPr="006F1095" w:rsidTr="00111EB1">
        <w:trPr>
          <w:cnfStyle w:val="100000000000" w:firstRow="1" w:lastRow="0" w:firstColumn="0" w:lastColumn="0" w:oddVBand="0" w:evenVBand="0" w:oddHBand="0"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CB749C">
            <w:pPr>
              <w:pStyle w:val="AERtabletextleft"/>
              <w:keepNext/>
              <w:keepLines/>
            </w:pPr>
          </w:p>
        </w:tc>
        <w:tc>
          <w:tcPr>
            <w:tcW w:w="1015" w:type="dxa"/>
            <w:noWrap/>
            <w:hideMark/>
          </w:tcPr>
          <w:p w:rsidR="009916C7" w:rsidRPr="009916C7" w:rsidRDefault="009916C7" w:rsidP="00CB749C">
            <w:pPr>
              <w:pStyle w:val="AERtabletextright"/>
              <w:keepNext/>
              <w:keepLines/>
              <w:cnfStyle w:val="100000000000" w:firstRow="1" w:lastRow="0" w:firstColumn="0" w:lastColumn="0" w:oddVBand="0" w:evenVBand="0" w:oddHBand="0" w:evenHBand="0" w:firstRowFirstColumn="0" w:firstRowLastColumn="0" w:lastRowFirstColumn="0" w:lastRowLastColumn="0"/>
            </w:pPr>
            <w:r w:rsidRPr="006F1095">
              <w:t>2013–14</w:t>
            </w:r>
          </w:p>
        </w:tc>
        <w:tc>
          <w:tcPr>
            <w:tcW w:w="1016" w:type="dxa"/>
            <w:noWrap/>
            <w:hideMark/>
          </w:tcPr>
          <w:p w:rsidR="009916C7" w:rsidRPr="009916C7" w:rsidRDefault="009916C7" w:rsidP="00CB749C">
            <w:pPr>
              <w:pStyle w:val="AERtabletextright"/>
              <w:keepNext/>
              <w:keepLines/>
              <w:cnfStyle w:val="100000000000" w:firstRow="1" w:lastRow="0" w:firstColumn="0" w:lastColumn="0" w:oddVBand="0" w:evenVBand="0" w:oddHBand="0" w:evenHBand="0" w:firstRowFirstColumn="0" w:firstRowLastColumn="0" w:lastRowFirstColumn="0" w:lastRowLastColumn="0"/>
            </w:pPr>
            <w:r w:rsidRPr="006F1095">
              <w:t>2014–15</w:t>
            </w:r>
          </w:p>
        </w:tc>
        <w:tc>
          <w:tcPr>
            <w:tcW w:w="1016" w:type="dxa"/>
            <w:noWrap/>
            <w:hideMark/>
          </w:tcPr>
          <w:p w:rsidR="009916C7" w:rsidRPr="009916C7" w:rsidRDefault="009916C7" w:rsidP="00CB749C">
            <w:pPr>
              <w:pStyle w:val="AERtabletextright"/>
              <w:keepNext/>
              <w:keepLines/>
              <w:cnfStyle w:val="100000000000" w:firstRow="1" w:lastRow="0" w:firstColumn="0" w:lastColumn="0" w:oddVBand="0" w:evenVBand="0" w:oddHBand="0" w:evenHBand="0" w:firstRowFirstColumn="0" w:firstRowLastColumn="0" w:lastRowFirstColumn="0" w:lastRowLastColumn="0"/>
            </w:pPr>
            <w:r w:rsidRPr="006F1095">
              <w:t>2015–16</w:t>
            </w:r>
          </w:p>
        </w:tc>
        <w:tc>
          <w:tcPr>
            <w:tcW w:w="1015" w:type="dxa"/>
            <w:noWrap/>
            <w:hideMark/>
          </w:tcPr>
          <w:p w:rsidR="009916C7" w:rsidRPr="009916C7" w:rsidRDefault="009916C7" w:rsidP="00CB749C">
            <w:pPr>
              <w:pStyle w:val="AERtabletextright"/>
              <w:keepNext/>
              <w:keepLines/>
              <w:cnfStyle w:val="100000000000" w:firstRow="1" w:lastRow="0" w:firstColumn="0" w:lastColumn="0" w:oddVBand="0" w:evenVBand="0" w:oddHBand="0" w:evenHBand="0" w:firstRowFirstColumn="0" w:firstRowLastColumn="0" w:lastRowFirstColumn="0" w:lastRowLastColumn="0"/>
            </w:pPr>
            <w:r w:rsidRPr="006F1095">
              <w:t>2016–17</w:t>
            </w:r>
          </w:p>
        </w:tc>
        <w:tc>
          <w:tcPr>
            <w:tcW w:w="1016" w:type="dxa"/>
            <w:noWrap/>
            <w:hideMark/>
          </w:tcPr>
          <w:p w:rsidR="009916C7" w:rsidRPr="009916C7" w:rsidRDefault="009916C7" w:rsidP="00CB749C">
            <w:pPr>
              <w:pStyle w:val="AERtabletextright"/>
              <w:keepNext/>
              <w:keepLines/>
              <w:cnfStyle w:val="100000000000" w:firstRow="1" w:lastRow="0" w:firstColumn="0" w:lastColumn="0" w:oddVBand="0" w:evenVBand="0" w:oddHBand="0" w:evenHBand="0" w:firstRowFirstColumn="0" w:firstRowLastColumn="0" w:lastRowFirstColumn="0" w:lastRowLastColumn="0"/>
            </w:pPr>
            <w:r w:rsidRPr="006F1095">
              <w:t>2017–18</w:t>
            </w:r>
          </w:p>
        </w:tc>
        <w:tc>
          <w:tcPr>
            <w:tcW w:w="1016" w:type="dxa"/>
            <w:noWrap/>
            <w:hideMark/>
          </w:tcPr>
          <w:p w:rsidR="009916C7" w:rsidRPr="009916C7" w:rsidRDefault="009916C7" w:rsidP="00CB749C">
            <w:pPr>
              <w:pStyle w:val="AERtabletextright"/>
              <w:keepNext/>
              <w:keepLines/>
              <w:cnfStyle w:val="100000000000" w:firstRow="1" w:lastRow="0" w:firstColumn="0" w:lastColumn="0" w:oddVBand="0" w:evenVBand="0" w:oddHBand="0" w:evenHBand="0" w:firstRowFirstColumn="0" w:firstRowLastColumn="0" w:lastRowFirstColumn="0" w:lastRowLastColumn="0"/>
            </w:pPr>
            <w:r w:rsidRPr="006F1095">
              <w:t>2018–19</w:t>
            </w:r>
          </w:p>
        </w:tc>
      </w:tr>
      <w:tr w:rsidR="009916C7" w:rsidRPr="006F1095" w:rsidTr="00111EB1">
        <w:trPr>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CB749C">
            <w:pPr>
              <w:pStyle w:val="AERtabletextleft"/>
              <w:keepNext/>
              <w:keepLines/>
            </w:pPr>
            <w:r w:rsidRPr="006F1095">
              <w:t>Return on capital</w:t>
            </w:r>
          </w:p>
        </w:tc>
        <w:tc>
          <w:tcPr>
            <w:tcW w:w="1015" w:type="dxa"/>
            <w:noWrap/>
          </w:tcPr>
          <w:p w:rsidR="009916C7" w:rsidRPr="006F1095"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p>
        </w:tc>
        <w:tc>
          <w:tcPr>
            <w:tcW w:w="1016" w:type="dxa"/>
            <w:noWrap/>
            <w:hideMark/>
          </w:tcPr>
          <w:p w:rsidR="009916C7" w:rsidRPr="009916C7"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6F1095">
              <w:t>451</w:t>
            </w:r>
          </w:p>
        </w:tc>
        <w:tc>
          <w:tcPr>
            <w:tcW w:w="1016" w:type="dxa"/>
            <w:noWrap/>
            <w:hideMark/>
          </w:tcPr>
          <w:p w:rsidR="009916C7" w:rsidRPr="009916C7"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6F1095">
              <w:t>482</w:t>
            </w:r>
          </w:p>
        </w:tc>
        <w:tc>
          <w:tcPr>
            <w:tcW w:w="1015" w:type="dxa"/>
            <w:noWrap/>
            <w:hideMark/>
          </w:tcPr>
          <w:p w:rsidR="009916C7" w:rsidRPr="009916C7"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6F1095">
              <w:t>507</w:t>
            </w:r>
          </w:p>
        </w:tc>
        <w:tc>
          <w:tcPr>
            <w:tcW w:w="1016" w:type="dxa"/>
            <w:noWrap/>
            <w:hideMark/>
          </w:tcPr>
          <w:p w:rsidR="009916C7" w:rsidRPr="009916C7"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6F1095">
              <w:t>527</w:t>
            </w:r>
          </w:p>
        </w:tc>
        <w:tc>
          <w:tcPr>
            <w:tcW w:w="1016" w:type="dxa"/>
            <w:noWrap/>
            <w:hideMark/>
          </w:tcPr>
          <w:p w:rsidR="009916C7" w:rsidRPr="009916C7"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6F1095">
              <w:t>549</w:t>
            </w:r>
          </w:p>
        </w:tc>
      </w:tr>
      <w:tr w:rsidR="009916C7" w:rsidRPr="006F1095" w:rsidTr="00111EB1">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CB749C">
            <w:pPr>
              <w:pStyle w:val="AERtabletextleft"/>
              <w:keepNext/>
              <w:keepLines/>
            </w:pPr>
            <w:r w:rsidRPr="006F1095">
              <w:t>Return of capital</w:t>
            </w:r>
          </w:p>
        </w:tc>
        <w:tc>
          <w:tcPr>
            <w:tcW w:w="1015" w:type="dxa"/>
            <w:noWrap/>
          </w:tcPr>
          <w:p w:rsidR="009916C7" w:rsidRPr="006F1095"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p>
        </w:tc>
        <w:tc>
          <w:tcPr>
            <w:tcW w:w="1016" w:type="dxa"/>
            <w:noWrap/>
            <w:hideMark/>
          </w:tcPr>
          <w:p w:rsidR="009916C7" w:rsidRPr="009916C7"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6F1095">
              <w:t>63</w:t>
            </w:r>
          </w:p>
        </w:tc>
        <w:tc>
          <w:tcPr>
            <w:tcW w:w="1016" w:type="dxa"/>
            <w:noWrap/>
            <w:hideMark/>
          </w:tcPr>
          <w:p w:rsidR="009916C7" w:rsidRPr="009916C7"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6F1095">
              <w:t>72</w:t>
            </w:r>
          </w:p>
        </w:tc>
        <w:tc>
          <w:tcPr>
            <w:tcW w:w="1015" w:type="dxa"/>
            <w:noWrap/>
            <w:hideMark/>
          </w:tcPr>
          <w:p w:rsidR="009916C7" w:rsidRPr="009916C7"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6F1095">
              <w:t>83</w:t>
            </w:r>
          </w:p>
        </w:tc>
        <w:tc>
          <w:tcPr>
            <w:tcW w:w="1016" w:type="dxa"/>
            <w:noWrap/>
            <w:hideMark/>
          </w:tcPr>
          <w:p w:rsidR="009916C7" w:rsidRPr="009916C7"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6F1095">
              <w:t>88</w:t>
            </w:r>
          </w:p>
        </w:tc>
        <w:tc>
          <w:tcPr>
            <w:tcW w:w="1016" w:type="dxa"/>
            <w:noWrap/>
            <w:hideMark/>
          </w:tcPr>
          <w:p w:rsidR="009916C7" w:rsidRPr="009916C7"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6F1095">
              <w:t>93</w:t>
            </w:r>
          </w:p>
        </w:tc>
      </w:tr>
      <w:tr w:rsidR="009916C7" w:rsidRPr="006F1095" w:rsidTr="00111EB1">
        <w:trPr>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CB749C">
            <w:pPr>
              <w:pStyle w:val="AERtabletextleft"/>
              <w:keepNext/>
              <w:keepLines/>
            </w:pPr>
            <w:r w:rsidRPr="006F1095">
              <w:t>Operating expenditure</w:t>
            </w:r>
          </w:p>
        </w:tc>
        <w:tc>
          <w:tcPr>
            <w:tcW w:w="1015" w:type="dxa"/>
            <w:noWrap/>
          </w:tcPr>
          <w:p w:rsidR="009916C7" w:rsidRPr="006F1095"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p>
        </w:tc>
        <w:tc>
          <w:tcPr>
            <w:tcW w:w="1016" w:type="dxa"/>
            <w:noWrap/>
            <w:hideMark/>
          </w:tcPr>
          <w:p w:rsidR="009916C7" w:rsidRPr="009916C7"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6F1095">
              <w:t>292</w:t>
            </w:r>
          </w:p>
        </w:tc>
        <w:tc>
          <w:tcPr>
            <w:tcW w:w="1016" w:type="dxa"/>
            <w:noWrap/>
            <w:hideMark/>
          </w:tcPr>
          <w:p w:rsidR="009916C7" w:rsidRPr="009916C7"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6F1095">
              <w:t>300</w:t>
            </w:r>
          </w:p>
        </w:tc>
        <w:tc>
          <w:tcPr>
            <w:tcW w:w="1015" w:type="dxa"/>
            <w:noWrap/>
            <w:hideMark/>
          </w:tcPr>
          <w:p w:rsidR="009916C7" w:rsidRPr="009916C7"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6F1095">
              <w:t>303</w:t>
            </w:r>
          </w:p>
        </w:tc>
        <w:tc>
          <w:tcPr>
            <w:tcW w:w="1016" w:type="dxa"/>
            <w:noWrap/>
            <w:hideMark/>
          </w:tcPr>
          <w:p w:rsidR="009916C7" w:rsidRPr="009916C7"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6F1095">
              <w:t>305</w:t>
            </w:r>
          </w:p>
        </w:tc>
        <w:tc>
          <w:tcPr>
            <w:tcW w:w="1016" w:type="dxa"/>
            <w:noWrap/>
            <w:hideMark/>
          </w:tcPr>
          <w:p w:rsidR="009916C7" w:rsidRPr="009916C7"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6F1095">
              <w:t>316</w:t>
            </w:r>
          </w:p>
        </w:tc>
      </w:tr>
      <w:tr w:rsidR="009916C7" w:rsidRPr="006F1095" w:rsidTr="00111EB1">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CB749C">
            <w:pPr>
              <w:pStyle w:val="AERtabletextleft"/>
              <w:keepNext/>
              <w:keepLines/>
            </w:pPr>
            <w:r w:rsidRPr="006F1095">
              <w:t>Efficiency carryover</w:t>
            </w:r>
          </w:p>
        </w:tc>
        <w:tc>
          <w:tcPr>
            <w:tcW w:w="1015" w:type="dxa"/>
            <w:noWrap/>
          </w:tcPr>
          <w:p w:rsidR="009916C7" w:rsidRPr="006F1095"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p>
        </w:tc>
        <w:tc>
          <w:tcPr>
            <w:tcW w:w="1016" w:type="dxa"/>
            <w:noWrap/>
            <w:hideMark/>
          </w:tcPr>
          <w:p w:rsidR="009916C7" w:rsidRPr="009916C7"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6F1095">
              <w:t>97</w:t>
            </w:r>
          </w:p>
        </w:tc>
        <w:tc>
          <w:tcPr>
            <w:tcW w:w="1016" w:type="dxa"/>
            <w:noWrap/>
            <w:hideMark/>
          </w:tcPr>
          <w:p w:rsidR="009916C7" w:rsidRPr="009916C7"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6F1095">
              <w:t>33</w:t>
            </w:r>
          </w:p>
        </w:tc>
        <w:tc>
          <w:tcPr>
            <w:tcW w:w="1015" w:type="dxa"/>
            <w:noWrap/>
            <w:hideMark/>
          </w:tcPr>
          <w:p w:rsidR="009916C7" w:rsidRPr="009916C7"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6F1095">
              <w:t>42</w:t>
            </w:r>
          </w:p>
        </w:tc>
        <w:tc>
          <w:tcPr>
            <w:tcW w:w="1016" w:type="dxa"/>
            <w:noWrap/>
            <w:hideMark/>
          </w:tcPr>
          <w:p w:rsidR="009916C7" w:rsidRPr="009916C7"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6F1095">
              <w:t>34</w:t>
            </w:r>
          </w:p>
        </w:tc>
        <w:tc>
          <w:tcPr>
            <w:tcW w:w="1016" w:type="dxa"/>
            <w:noWrap/>
            <w:hideMark/>
          </w:tcPr>
          <w:p w:rsidR="009916C7" w:rsidRPr="009916C7"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6F1095">
              <w:t>-</w:t>
            </w:r>
          </w:p>
        </w:tc>
      </w:tr>
      <w:tr w:rsidR="009916C7" w:rsidRPr="006F1095" w:rsidTr="00111EB1">
        <w:trPr>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CB749C">
            <w:pPr>
              <w:pStyle w:val="AERtabletextleft"/>
              <w:keepNext/>
              <w:keepLines/>
            </w:pPr>
            <w:r w:rsidRPr="006F1095">
              <w:t>Net tax allowance</w:t>
            </w:r>
          </w:p>
        </w:tc>
        <w:tc>
          <w:tcPr>
            <w:tcW w:w="1015" w:type="dxa"/>
            <w:noWrap/>
          </w:tcPr>
          <w:p w:rsidR="009916C7" w:rsidRPr="006F1095"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p>
        </w:tc>
        <w:tc>
          <w:tcPr>
            <w:tcW w:w="1016" w:type="dxa"/>
            <w:noWrap/>
            <w:hideMark/>
          </w:tcPr>
          <w:p w:rsidR="009916C7" w:rsidRPr="009916C7"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6F1095">
              <w:t>32</w:t>
            </w:r>
          </w:p>
        </w:tc>
        <w:tc>
          <w:tcPr>
            <w:tcW w:w="1016" w:type="dxa"/>
            <w:noWrap/>
            <w:hideMark/>
          </w:tcPr>
          <w:p w:rsidR="009916C7" w:rsidRPr="009916C7"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6F1095">
              <w:t>33</w:t>
            </w:r>
          </w:p>
        </w:tc>
        <w:tc>
          <w:tcPr>
            <w:tcW w:w="1015" w:type="dxa"/>
            <w:noWrap/>
            <w:hideMark/>
          </w:tcPr>
          <w:p w:rsidR="009916C7" w:rsidRPr="009916C7"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6F1095">
              <w:t>37</w:t>
            </w:r>
          </w:p>
        </w:tc>
        <w:tc>
          <w:tcPr>
            <w:tcW w:w="1016" w:type="dxa"/>
            <w:noWrap/>
            <w:hideMark/>
          </w:tcPr>
          <w:p w:rsidR="009916C7" w:rsidRPr="009916C7"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6F1095">
              <w:t>37</w:t>
            </w:r>
          </w:p>
        </w:tc>
        <w:tc>
          <w:tcPr>
            <w:tcW w:w="1016" w:type="dxa"/>
            <w:noWrap/>
            <w:hideMark/>
          </w:tcPr>
          <w:p w:rsidR="009916C7" w:rsidRPr="009916C7"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6F1095">
              <w:t>38</w:t>
            </w:r>
          </w:p>
        </w:tc>
      </w:tr>
      <w:tr w:rsidR="009916C7" w:rsidRPr="006F1095" w:rsidTr="00111EB1">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CB749C">
            <w:pPr>
              <w:pStyle w:val="AERtabletextleft"/>
              <w:keepNext/>
              <w:keepLines/>
            </w:pPr>
            <w:r w:rsidRPr="006F1095">
              <w:t>Metering costs</w:t>
            </w:r>
          </w:p>
        </w:tc>
        <w:tc>
          <w:tcPr>
            <w:tcW w:w="1015" w:type="dxa"/>
            <w:noWrap/>
          </w:tcPr>
          <w:p w:rsidR="009916C7" w:rsidRPr="006F1095"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p>
        </w:tc>
        <w:tc>
          <w:tcPr>
            <w:tcW w:w="1016" w:type="dxa"/>
            <w:noWrap/>
            <w:hideMark/>
          </w:tcPr>
          <w:p w:rsidR="009916C7" w:rsidRPr="009916C7"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6F1095">
              <w:t>34</w:t>
            </w:r>
          </w:p>
        </w:tc>
        <w:tc>
          <w:tcPr>
            <w:tcW w:w="1016" w:type="dxa"/>
            <w:noWrap/>
            <w:hideMark/>
          </w:tcPr>
          <w:p w:rsidR="009916C7" w:rsidRPr="009916C7"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6F1095">
              <w:t>-</w:t>
            </w:r>
          </w:p>
        </w:tc>
        <w:tc>
          <w:tcPr>
            <w:tcW w:w="1015" w:type="dxa"/>
            <w:noWrap/>
            <w:hideMark/>
          </w:tcPr>
          <w:p w:rsidR="009916C7" w:rsidRPr="009916C7"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6F1095">
              <w:t>-</w:t>
            </w:r>
          </w:p>
        </w:tc>
        <w:tc>
          <w:tcPr>
            <w:tcW w:w="1016" w:type="dxa"/>
            <w:noWrap/>
            <w:hideMark/>
          </w:tcPr>
          <w:p w:rsidR="009916C7" w:rsidRPr="009916C7"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6F1095">
              <w:t>-</w:t>
            </w:r>
          </w:p>
        </w:tc>
        <w:tc>
          <w:tcPr>
            <w:tcW w:w="1016" w:type="dxa"/>
            <w:noWrap/>
            <w:hideMark/>
          </w:tcPr>
          <w:p w:rsidR="009916C7" w:rsidRPr="009916C7"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6F1095">
              <w:t>-</w:t>
            </w:r>
          </w:p>
        </w:tc>
      </w:tr>
      <w:tr w:rsidR="009916C7" w:rsidRPr="006F1095" w:rsidTr="00111EB1">
        <w:trPr>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CB749C">
            <w:pPr>
              <w:pStyle w:val="AERtabletextleft"/>
              <w:keepNext/>
              <w:keepLines/>
            </w:pPr>
            <w:r>
              <w:t>Total</w:t>
            </w:r>
            <w:r w:rsidRPr="009916C7">
              <w:t xml:space="preserve"> ANS costs</w:t>
            </w:r>
          </w:p>
        </w:tc>
        <w:tc>
          <w:tcPr>
            <w:tcW w:w="1015" w:type="dxa"/>
          </w:tcPr>
          <w:p w:rsidR="009916C7" w:rsidRPr="006F1095" w:rsidRDefault="009916C7" w:rsidP="00CB749C">
            <w:pPr>
              <w:pStyle w:val="AERtabletextleft"/>
              <w:keepNext/>
              <w:keepLines/>
              <w:cnfStyle w:val="000000000000" w:firstRow="0" w:lastRow="0" w:firstColumn="0" w:lastColumn="0" w:oddVBand="0" w:evenVBand="0" w:oddHBand="0" w:evenHBand="0" w:firstRowFirstColumn="0" w:firstRowLastColumn="0" w:lastRowFirstColumn="0" w:lastRowLastColumn="0"/>
            </w:pPr>
          </w:p>
        </w:tc>
        <w:tc>
          <w:tcPr>
            <w:tcW w:w="1016" w:type="dxa"/>
            <w:noWrap/>
            <w:hideMark/>
          </w:tcPr>
          <w:p w:rsidR="009916C7" w:rsidRPr="009916C7"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6F1095">
              <w:t>28</w:t>
            </w:r>
          </w:p>
        </w:tc>
        <w:tc>
          <w:tcPr>
            <w:tcW w:w="1016" w:type="dxa"/>
            <w:noWrap/>
            <w:hideMark/>
          </w:tcPr>
          <w:p w:rsidR="009916C7" w:rsidRPr="009916C7"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6F1095">
              <w:t>-</w:t>
            </w:r>
          </w:p>
        </w:tc>
        <w:tc>
          <w:tcPr>
            <w:tcW w:w="1015" w:type="dxa"/>
            <w:noWrap/>
            <w:hideMark/>
          </w:tcPr>
          <w:p w:rsidR="009916C7" w:rsidRPr="009916C7"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6F1095">
              <w:t>-</w:t>
            </w:r>
          </w:p>
        </w:tc>
        <w:tc>
          <w:tcPr>
            <w:tcW w:w="1016" w:type="dxa"/>
            <w:noWrap/>
            <w:hideMark/>
          </w:tcPr>
          <w:p w:rsidR="009916C7" w:rsidRPr="009916C7"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6F1095">
              <w:t>-</w:t>
            </w:r>
          </w:p>
        </w:tc>
        <w:tc>
          <w:tcPr>
            <w:tcW w:w="1016" w:type="dxa"/>
            <w:noWrap/>
            <w:hideMark/>
          </w:tcPr>
          <w:p w:rsidR="009916C7" w:rsidRPr="009916C7"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6F1095">
              <w:t>-</w:t>
            </w:r>
          </w:p>
        </w:tc>
      </w:tr>
      <w:tr w:rsidR="009916C7" w:rsidRPr="006F1095" w:rsidTr="00111EB1">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CB749C">
            <w:pPr>
              <w:pStyle w:val="AERtabletextleft"/>
              <w:keepNext/>
              <w:keepLines/>
            </w:pPr>
            <w:r w:rsidRPr="006F1095">
              <w:t xml:space="preserve">Total revenue </w:t>
            </w:r>
            <w:r w:rsidRPr="009916C7">
              <w:t>(unsmoothed)</w:t>
            </w:r>
          </w:p>
        </w:tc>
        <w:tc>
          <w:tcPr>
            <w:tcW w:w="1015" w:type="dxa"/>
          </w:tcPr>
          <w:p w:rsidR="009916C7" w:rsidRPr="006F1095" w:rsidRDefault="009916C7" w:rsidP="00CB749C">
            <w:pPr>
              <w:pStyle w:val="AERtabletextleft"/>
              <w:keepNext/>
              <w:keepLines/>
              <w:cnfStyle w:val="000000010000" w:firstRow="0" w:lastRow="0" w:firstColumn="0" w:lastColumn="0" w:oddVBand="0" w:evenVBand="0" w:oddHBand="0" w:evenHBand="1" w:firstRowFirstColumn="0" w:firstRowLastColumn="0" w:lastRowFirstColumn="0" w:lastRowLastColumn="0"/>
            </w:pPr>
          </w:p>
        </w:tc>
        <w:tc>
          <w:tcPr>
            <w:tcW w:w="1016" w:type="dxa"/>
            <w:noWrap/>
            <w:hideMark/>
          </w:tcPr>
          <w:p w:rsidR="009916C7" w:rsidRPr="009916C7"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6F1095">
              <w:t>997</w:t>
            </w:r>
          </w:p>
        </w:tc>
        <w:tc>
          <w:tcPr>
            <w:tcW w:w="1016" w:type="dxa"/>
            <w:noWrap/>
            <w:hideMark/>
          </w:tcPr>
          <w:p w:rsidR="009916C7" w:rsidRPr="009916C7"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6F1095">
              <w:t>921</w:t>
            </w:r>
          </w:p>
        </w:tc>
        <w:tc>
          <w:tcPr>
            <w:tcW w:w="1015" w:type="dxa"/>
            <w:noWrap/>
            <w:hideMark/>
          </w:tcPr>
          <w:p w:rsidR="009916C7" w:rsidRPr="009916C7"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6F1095">
              <w:t>971</w:t>
            </w:r>
          </w:p>
        </w:tc>
        <w:tc>
          <w:tcPr>
            <w:tcW w:w="1016" w:type="dxa"/>
            <w:noWrap/>
            <w:hideMark/>
          </w:tcPr>
          <w:p w:rsidR="009916C7" w:rsidRPr="009916C7"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6F1095">
              <w:t>991</w:t>
            </w:r>
          </w:p>
        </w:tc>
        <w:tc>
          <w:tcPr>
            <w:tcW w:w="1016" w:type="dxa"/>
            <w:noWrap/>
            <w:hideMark/>
          </w:tcPr>
          <w:p w:rsidR="009916C7" w:rsidRPr="009916C7"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6F1095">
              <w:t>996</w:t>
            </w:r>
          </w:p>
        </w:tc>
      </w:tr>
      <w:tr w:rsidR="009916C7" w:rsidRPr="00E26AA8" w:rsidTr="00111EB1">
        <w:trPr>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CB749C">
            <w:pPr>
              <w:pStyle w:val="AERtabletextleft"/>
              <w:keepNext/>
              <w:keepLines/>
              <w:rPr>
                <w:rStyle w:val="AERtextbold"/>
              </w:rPr>
            </w:pPr>
            <w:r w:rsidRPr="00E26AA8">
              <w:rPr>
                <w:rStyle w:val="AERtextbold"/>
              </w:rPr>
              <w:t>Total revenue (smoothed)</w:t>
            </w:r>
          </w:p>
        </w:tc>
        <w:tc>
          <w:tcPr>
            <w:tcW w:w="1015" w:type="dxa"/>
            <w:noWrap/>
            <w:hideMark/>
          </w:tcPr>
          <w:p w:rsidR="009916C7" w:rsidRPr="009916C7"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rPr>
                <w:rStyle w:val="AERtextbold"/>
              </w:rPr>
            </w:pPr>
            <w:r w:rsidRPr="00026336">
              <w:rPr>
                <w:rStyle w:val="AERtextbold"/>
              </w:rPr>
              <w:t>1</w:t>
            </w:r>
            <w:r w:rsidRPr="009916C7">
              <w:rPr>
                <w:rStyle w:val="AERtextbold"/>
              </w:rPr>
              <w:t>015</w:t>
            </w:r>
          </w:p>
        </w:tc>
        <w:tc>
          <w:tcPr>
            <w:tcW w:w="1016" w:type="dxa"/>
            <w:noWrap/>
            <w:hideMark/>
          </w:tcPr>
          <w:p w:rsidR="009916C7" w:rsidRPr="009916C7"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rPr>
                <w:rStyle w:val="AERtextbold"/>
              </w:rPr>
            </w:pPr>
            <w:r w:rsidRPr="00026336">
              <w:rPr>
                <w:rStyle w:val="AERtextbold"/>
              </w:rPr>
              <w:t>949</w:t>
            </w:r>
          </w:p>
        </w:tc>
        <w:tc>
          <w:tcPr>
            <w:tcW w:w="1016" w:type="dxa"/>
            <w:noWrap/>
            <w:hideMark/>
          </w:tcPr>
          <w:p w:rsidR="009916C7" w:rsidRPr="009916C7"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rPr>
                <w:rStyle w:val="AERtextbold"/>
              </w:rPr>
            </w:pPr>
            <w:r w:rsidRPr="00026336">
              <w:rPr>
                <w:rStyle w:val="AERtextbold"/>
              </w:rPr>
              <w:t>949</w:t>
            </w:r>
          </w:p>
        </w:tc>
        <w:tc>
          <w:tcPr>
            <w:tcW w:w="1015" w:type="dxa"/>
            <w:noWrap/>
            <w:hideMark/>
          </w:tcPr>
          <w:p w:rsidR="009916C7" w:rsidRPr="009916C7"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rPr>
                <w:rStyle w:val="AERtextbold"/>
              </w:rPr>
            </w:pPr>
            <w:r w:rsidRPr="00026336">
              <w:rPr>
                <w:rStyle w:val="AERtextbold"/>
              </w:rPr>
              <w:t>972</w:t>
            </w:r>
          </w:p>
        </w:tc>
        <w:tc>
          <w:tcPr>
            <w:tcW w:w="1016" w:type="dxa"/>
            <w:noWrap/>
            <w:hideMark/>
          </w:tcPr>
          <w:p w:rsidR="009916C7" w:rsidRPr="009916C7"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rPr>
                <w:rStyle w:val="AERtextbold"/>
              </w:rPr>
            </w:pPr>
            <w:r w:rsidRPr="00026336">
              <w:rPr>
                <w:rStyle w:val="AERtextbold"/>
              </w:rPr>
              <w:t>992</w:t>
            </w:r>
          </w:p>
        </w:tc>
        <w:tc>
          <w:tcPr>
            <w:tcW w:w="1016" w:type="dxa"/>
            <w:noWrap/>
            <w:hideMark/>
          </w:tcPr>
          <w:p w:rsidR="009916C7" w:rsidRPr="009916C7"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rPr>
                <w:rStyle w:val="AERtextbold"/>
              </w:rPr>
            </w:pPr>
            <w:r w:rsidRPr="00026336">
              <w:rPr>
                <w:rStyle w:val="AERtextbold"/>
              </w:rPr>
              <w:t>1</w:t>
            </w:r>
            <w:r w:rsidRPr="009916C7">
              <w:rPr>
                <w:rStyle w:val="AERtextbold"/>
              </w:rPr>
              <w:t>023</w:t>
            </w:r>
          </w:p>
        </w:tc>
      </w:tr>
      <w:tr w:rsidR="009916C7" w:rsidRPr="006F1095" w:rsidTr="00111EB1">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CB749C">
            <w:pPr>
              <w:pStyle w:val="AERtabletextleft"/>
              <w:keepNext/>
              <w:keepLines/>
            </w:pPr>
            <w:r w:rsidRPr="006F1095">
              <w:t xml:space="preserve">less: adjustment for revenues recovered from </w:t>
            </w:r>
            <w:r w:rsidRPr="009916C7">
              <w:t>ANS outside DUOS</w:t>
            </w:r>
          </w:p>
        </w:tc>
        <w:tc>
          <w:tcPr>
            <w:tcW w:w="1015" w:type="dxa"/>
          </w:tcPr>
          <w:p w:rsidR="009916C7" w:rsidRPr="006F1095" w:rsidRDefault="009916C7" w:rsidP="00CB749C">
            <w:pPr>
              <w:pStyle w:val="AERtabletextleft"/>
              <w:keepNext/>
              <w:keepLines/>
              <w:cnfStyle w:val="000000010000" w:firstRow="0" w:lastRow="0" w:firstColumn="0" w:lastColumn="0" w:oddVBand="0" w:evenVBand="0" w:oddHBand="0" w:evenHBand="1" w:firstRowFirstColumn="0" w:firstRowLastColumn="0" w:lastRowFirstColumn="0" w:lastRowLastColumn="0"/>
            </w:pPr>
          </w:p>
        </w:tc>
        <w:tc>
          <w:tcPr>
            <w:tcW w:w="1016" w:type="dxa"/>
            <w:noWrap/>
            <w:hideMark/>
          </w:tcPr>
          <w:p w:rsidR="009916C7" w:rsidRPr="009916C7"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6F1095">
              <w:t>10</w:t>
            </w:r>
          </w:p>
        </w:tc>
        <w:tc>
          <w:tcPr>
            <w:tcW w:w="1016" w:type="dxa"/>
            <w:noWrap/>
            <w:hideMark/>
          </w:tcPr>
          <w:p w:rsidR="009916C7" w:rsidRPr="009916C7"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6F1095">
              <w:t>-</w:t>
            </w:r>
          </w:p>
        </w:tc>
        <w:tc>
          <w:tcPr>
            <w:tcW w:w="1015" w:type="dxa"/>
            <w:noWrap/>
            <w:hideMark/>
          </w:tcPr>
          <w:p w:rsidR="009916C7" w:rsidRPr="009916C7"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6F1095">
              <w:t>-</w:t>
            </w:r>
          </w:p>
        </w:tc>
        <w:tc>
          <w:tcPr>
            <w:tcW w:w="1016" w:type="dxa"/>
            <w:noWrap/>
            <w:hideMark/>
          </w:tcPr>
          <w:p w:rsidR="009916C7" w:rsidRPr="009916C7"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6F1095">
              <w:t>-</w:t>
            </w:r>
          </w:p>
        </w:tc>
        <w:tc>
          <w:tcPr>
            <w:tcW w:w="1016" w:type="dxa"/>
            <w:noWrap/>
            <w:hideMark/>
          </w:tcPr>
          <w:p w:rsidR="009916C7" w:rsidRPr="009916C7"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pPr>
            <w:r w:rsidRPr="006F1095">
              <w:t>-</w:t>
            </w:r>
          </w:p>
        </w:tc>
      </w:tr>
      <w:tr w:rsidR="004E7372" w:rsidRPr="006F1095" w:rsidTr="00111EB1">
        <w:trPr>
          <w:trHeight w:val="186"/>
        </w:trPr>
        <w:tc>
          <w:tcPr>
            <w:cnfStyle w:val="001000000000" w:firstRow="0" w:lastRow="0" w:firstColumn="1" w:lastColumn="0" w:oddVBand="0" w:evenVBand="0" w:oddHBand="0" w:evenHBand="0" w:firstRowFirstColumn="0" w:firstRowLastColumn="0" w:lastRowFirstColumn="0" w:lastRowLastColumn="0"/>
            <w:tcW w:w="3097" w:type="dxa"/>
            <w:noWrap/>
          </w:tcPr>
          <w:p w:rsidR="004E7372" w:rsidRPr="006F1095" w:rsidRDefault="00294861" w:rsidP="00CB749C">
            <w:pPr>
              <w:pStyle w:val="AERtabletextleft"/>
              <w:keepNext/>
              <w:keepLines/>
            </w:pPr>
            <w:r w:rsidRPr="00294861">
              <w:t>less: metering costs transferred to ACS</w:t>
            </w:r>
            <w:r w:rsidR="00722630">
              <w:t xml:space="preserve"> from 2015</w:t>
            </w:r>
            <w:r w:rsidR="00630B18">
              <w:t>–</w:t>
            </w:r>
            <w:r w:rsidR="00722630">
              <w:t>16.</w:t>
            </w:r>
          </w:p>
        </w:tc>
        <w:tc>
          <w:tcPr>
            <w:tcW w:w="1015" w:type="dxa"/>
          </w:tcPr>
          <w:p w:rsidR="004E7372" w:rsidRPr="006F1095" w:rsidRDefault="004E7372" w:rsidP="00CB749C">
            <w:pPr>
              <w:pStyle w:val="AERtabletextleft"/>
              <w:keepNext/>
              <w:keepLines/>
              <w:cnfStyle w:val="000000000000" w:firstRow="0" w:lastRow="0" w:firstColumn="0" w:lastColumn="0" w:oddVBand="0" w:evenVBand="0" w:oddHBand="0" w:evenHBand="0" w:firstRowFirstColumn="0" w:firstRowLastColumn="0" w:lastRowFirstColumn="0" w:lastRowLastColumn="0"/>
            </w:pPr>
          </w:p>
        </w:tc>
        <w:tc>
          <w:tcPr>
            <w:tcW w:w="1016" w:type="dxa"/>
            <w:noWrap/>
          </w:tcPr>
          <w:p w:rsidR="004E7372" w:rsidRPr="006F1095" w:rsidRDefault="00294861"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t>-</w:t>
            </w:r>
          </w:p>
        </w:tc>
        <w:tc>
          <w:tcPr>
            <w:tcW w:w="1016" w:type="dxa"/>
            <w:noWrap/>
          </w:tcPr>
          <w:p w:rsidR="004E7372" w:rsidRPr="006F1095" w:rsidRDefault="00294861"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t>-</w:t>
            </w:r>
          </w:p>
        </w:tc>
        <w:tc>
          <w:tcPr>
            <w:tcW w:w="1015" w:type="dxa"/>
            <w:noWrap/>
          </w:tcPr>
          <w:p w:rsidR="004E7372" w:rsidRPr="006F1095" w:rsidRDefault="00294861"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t>-</w:t>
            </w:r>
          </w:p>
        </w:tc>
        <w:tc>
          <w:tcPr>
            <w:tcW w:w="1016" w:type="dxa"/>
            <w:noWrap/>
          </w:tcPr>
          <w:p w:rsidR="004E7372" w:rsidRPr="006F1095" w:rsidRDefault="00294861"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t>-</w:t>
            </w:r>
          </w:p>
        </w:tc>
        <w:tc>
          <w:tcPr>
            <w:tcW w:w="1016" w:type="dxa"/>
            <w:noWrap/>
          </w:tcPr>
          <w:p w:rsidR="004E7372" w:rsidRPr="006F1095" w:rsidRDefault="00294861"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t>-</w:t>
            </w:r>
          </w:p>
        </w:tc>
      </w:tr>
      <w:tr w:rsidR="009916C7" w:rsidRPr="00E26AA8" w:rsidTr="00111EB1">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CB749C">
            <w:pPr>
              <w:pStyle w:val="AERtabletextleft"/>
              <w:keepNext/>
              <w:keepLines/>
              <w:rPr>
                <w:rStyle w:val="AERtextbold"/>
              </w:rPr>
            </w:pPr>
            <w:r w:rsidRPr="00E26AA8">
              <w:rPr>
                <w:rStyle w:val="AERtextbold"/>
              </w:rPr>
              <w:t>Total DUOS revenue</w:t>
            </w:r>
          </w:p>
        </w:tc>
        <w:tc>
          <w:tcPr>
            <w:tcW w:w="1015" w:type="dxa"/>
            <w:noWrap/>
            <w:hideMark/>
          </w:tcPr>
          <w:p w:rsidR="009916C7" w:rsidRPr="009916C7"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rPr>
                <w:rStyle w:val="AERtextbold"/>
              </w:rPr>
            </w:pPr>
            <w:r w:rsidRPr="00026336">
              <w:rPr>
                <w:rStyle w:val="AERtextbold"/>
              </w:rPr>
              <w:t>1</w:t>
            </w:r>
            <w:r w:rsidRPr="009916C7">
              <w:rPr>
                <w:rStyle w:val="AERtextbold"/>
              </w:rPr>
              <w:t>015</w:t>
            </w:r>
          </w:p>
        </w:tc>
        <w:tc>
          <w:tcPr>
            <w:tcW w:w="1016" w:type="dxa"/>
            <w:noWrap/>
            <w:hideMark/>
          </w:tcPr>
          <w:p w:rsidR="009916C7" w:rsidRPr="009916C7"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rPr>
                <w:rStyle w:val="AERtextbold"/>
              </w:rPr>
            </w:pPr>
            <w:r w:rsidRPr="00026336">
              <w:rPr>
                <w:rStyle w:val="AERtextbold"/>
              </w:rPr>
              <w:t>940</w:t>
            </w:r>
          </w:p>
        </w:tc>
        <w:tc>
          <w:tcPr>
            <w:tcW w:w="1016" w:type="dxa"/>
            <w:noWrap/>
            <w:hideMark/>
          </w:tcPr>
          <w:p w:rsidR="009916C7" w:rsidRPr="009916C7"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rPr>
                <w:rStyle w:val="AERtextbold"/>
              </w:rPr>
            </w:pPr>
            <w:r w:rsidRPr="00026336">
              <w:rPr>
                <w:rStyle w:val="AERtextbold"/>
              </w:rPr>
              <w:t>949</w:t>
            </w:r>
          </w:p>
        </w:tc>
        <w:tc>
          <w:tcPr>
            <w:tcW w:w="1015" w:type="dxa"/>
            <w:noWrap/>
            <w:hideMark/>
          </w:tcPr>
          <w:p w:rsidR="009916C7" w:rsidRPr="009916C7"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rPr>
                <w:rStyle w:val="AERtextbold"/>
              </w:rPr>
            </w:pPr>
            <w:r w:rsidRPr="00026336">
              <w:rPr>
                <w:rStyle w:val="AERtextbold"/>
              </w:rPr>
              <w:t>972</w:t>
            </w:r>
          </w:p>
        </w:tc>
        <w:tc>
          <w:tcPr>
            <w:tcW w:w="1016" w:type="dxa"/>
            <w:noWrap/>
            <w:hideMark/>
          </w:tcPr>
          <w:p w:rsidR="009916C7" w:rsidRPr="009916C7"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rPr>
                <w:rStyle w:val="AERtextbold"/>
              </w:rPr>
            </w:pPr>
            <w:r w:rsidRPr="00026336">
              <w:rPr>
                <w:rStyle w:val="AERtextbold"/>
              </w:rPr>
              <w:t>992</w:t>
            </w:r>
          </w:p>
        </w:tc>
        <w:tc>
          <w:tcPr>
            <w:tcW w:w="1016" w:type="dxa"/>
            <w:noWrap/>
            <w:hideMark/>
          </w:tcPr>
          <w:p w:rsidR="009916C7" w:rsidRPr="009916C7" w:rsidRDefault="009916C7" w:rsidP="00CB749C">
            <w:pPr>
              <w:pStyle w:val="AERtabletextright"/>
              <w:keepNext/>
              <w:keepLines/>
              <w:cnfStyle w:val="000000010000" w:firstRow="0" w:lastRow="0" w:firstColumn="0" w:lastColumn="0" w:oddVBand="0" w:evenVBand="0" w:oddHBand="0" w:evenHBand="1" w:firstRowFirstColumn="0" w:firstRowLastColumn="0" w:lastRowFirstColumn="0" w:lastRowLastColumn="0"/>
              <w:rPr>
                <w:rStyle w:val="AERtextbold"/>
              </w:rPr>
            </w:pPr>
            <w:r w:rsidRPr="00026336">
              <w:rPr>
                <w:rStyle w:val="AERtextbold"/>
              </w:rPr>
              <w:t>1</w:t>
            </w:r>
            <w:r w:rsidRPr="009916C7">
              <w:rPr>
                <w:rStyle w:val="AERtextbold"/>
              </w:rPr>
              <w:t>023</w:t>
            </w:r>
          </w:p>
        </w:tc>
      </w:tr>
      <w:tr w:rsidR="009916C7" w:rsidRPr="006F1095" w:rsidTr="00111EB1">
        <w:trPr>
          <w:trHeight w:val="195"/>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CB749C">
            <w:pPr>
              <w:pStyle w:val="AERtabletextleft"/>
              <w:keepNext/>
              <w:keepLines/>
            </w:pPr>
            <w:r w:rsidRPr="006F1095">
              <w:t>Change</w:t>
            </w:r>
            <w:r w:rsidRPr="009916C7">
              <w:rPr>
                <w:rStyle w:val="AERsuperscript"/>
              </w:rPr>
              <w:t>a</w:t>
            </w:r>
            <w:r w:rsidRPr="009916C7">
              <w:t xml:space="preserve"> (%)</w:t>
            </w:r>
          </w:p>
        </w:tc>
        <w:tc>
          <w:tcPr>
            <w:tcW w:w="1015" w:type="dxa"/>
            <w:noWrap/>
            <w:hideMark/>
          </w:tcPr>
          <w:p w:rsidR="009916C7" w:rsidRPr="009916C7"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6F1095">
              <w:t> </w:t>
            </w:r>
          </w:p>
        </w:tc>
        <w:tc>
          <w:tcPr>
            <w:tcW w:w="1016" w:type="dxa"/>
            <w:noWrap/>
            <w:hideMark/>
          </w:tcPr>
          <w:p w:rsidR="009916C7" w:rsidRPr="009916C7"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6F1095">
              <w:t>-7.4%</w:t>
            </w:r>
          </w:p>
        </w:tc>
        <w:tc>
          <w:tcPr>
            <w:tcW w:w="1016" w:type="dxa"/>
            <w:noWrap/>
            <w:hideMark/>
          </w:tcPr>
          <w:p w:rsidR="009916C7" w:rsidRPr="009916C7"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6F1095">
              <w:t>1.0%</w:t>
            </w:r>
          </w:p>
        </w:tc>
        <w:tc>
          <w:tcPr>
            <w:tcW w:w="1015" w:type="dxa"/>
            <w:noWrap/>
            <w:hideMark/>
          </w:tcPr>
          <w:p w:rsidR="009916C7" w:rsidRPr="009916C7"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6F1095">
              <w:t>2.4%</w:t>
            </w:r>
          </w:p>
        </w:tc>
        <w:tc>
          <w:tcPr>
            <w:tcW w:w="1016" w:type="dxa"/>
            <w:noWrap/>
            <w:hideMark/>
          </w:tcPr>
          <w:p w:rsidR="009916C7" w:rsidRPr="009916C7"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6F1095">
              <w:t>2.1%</w:t>
            </w:r>
          </w:p>
        </w:tc>
        <w:tc>
          <w:tcPr>
            <w:tcW w:w="1016" w:type="dxa"/>
            <w:noWrap/>
            <w:hideMark/>
          </w:tcPr>
          <w:p w:rsidR="009916C7" w:rsidRPr="009916C7" w:rsidRDefault="009916C7" w:rsidP="00CB749C">
            <w:pPr>
              <w:pStyle w:val="AERtabletextright"/>
              <w:keepNext/>
              <w:keepLines/>
              <w:cnfStyle w:val="000000000000" w:firstRow="0" w:lastRow="0" w:firstColumn="0" w:lastColumn="0" w:oddVBand="0" w:evenVBand="0" w:oddHBand="0" w:evenHBand="0" w:firstRowFirstColumn="0" w:firstRowLastColumn="0" w:lastRowFirstColumn="0" w:lastRowLastColumn="0"/>
            </w:pPr>
            <w:r w:rsidRPr="006F1095">
              <w:t>3.1%</w:t>
            </w:r>
          </w:p>
        </w:tc>
      </w:tr>
    </w:tbl>
    <w:p w:rsidR="009916C7" w:rsidRDefault="009916C7" w:rsidP="00CB749C">
      <w:pPr>
        <w:pStyle w:val="AERtablesource"/>
        <w:keepNext/>
        <w:keepLines/>
      </w:pPr>
      <w:r w:rsidRPr="006F1095">
        <w:t>Source:</w:t>
      </w:r>
      <w:r>
        <w:tab/>
        <w:t xml:space="preserve">AER </w:t>
      </w:r>
      <w:r w:rsidR="00691C0D">
        <w:t>analysis</w:t>
      </w:r>
      <w:r>
        <w:t>.</w:t>
      </w:r>
    </w:p>
    <w:p w:rsidR="009916C7" w:rsidRPr="006F1095" w:rsidRDefault="009916C7" w:rsidP="00CB749C">
      <w:pPr>
        <w:pStyle w:val="AERtablesource"/>
        <w:keepNext/>
        <w:keepLines/>
      </w:pPr>
      <w:r w:rsidRPr="006F1095">
        <w:t>Notes:</w:t>
      </w:r>
      <w:r w:rsidRPr="006F1095">
        <w:tab/>
      </w:r>
      <w:r w:rsidRPr="00693A45">
        <w:t>Numbers may not sum due to rounding.</w:t>
      </w:r>
    </w:p>
    <w:p w:rsidR="00A65221" w:rsidRDefault="00A65221" w:rsidP="00CB749C">
      <w:pPr>
        <w:pStyle w:val="AERtablesource"/>
        <w:keepNext/>
        <w:keepLines/>
      </w:pPr>
      <w:r>
        <w:tab/>
      </w:r>
      <w:r w:rsidRPr="00A65221">
        <w:t xml:space="preserve">We have adopted the forecast capital and operating expenditure estimates of </w:t>
      </w:r>
      <w:r>
        <w:t>Endeavour Energy</w:t>
      </w:r>
      <w:r w:rsidRPr="00A65221">
        <w:t>. These will be subject to detailed scrutiny when we receive the regulatory proposal</w:t>
      </w:r>
      <w:r>
        <w:t>.</w:t>
      </w:r>
    </w:p>
    <w:p w:rsidR="009916C7" w:rsidRPr="006F1095" w:rsidRDefault="00A65221" w:rsidP="00DA1375">
      <w:pPr>
        <w:pStyle w:val="AERtablesource"/>
        <w:keepNext/>
        <w:keepLines/>
        <w:ind w:left="1440" w:hanging="1440"/>
      </w:pPr>
      <w:r>
        <w:tab/>
      </w:r>
      <w:r w:rsidR="009916C7" w:rsidRPr="006F1095">
        <w:t>a.</w:t>
      </w:r>
      <w:r w:rsidR="009916C7" w:rsidRPr="006F1095">
        <w:tab/>
        <w:t>This row shows the year-on-year change in total nominal revenues. It should not be interpreted as the X-factor change from year to year.</w:t>
      </w:r>
    </w:p>
    <w:p w:rsidR="009916C7" w:rsidRPr="00451B70" w:rsidRDefault="009916C7" w:rsidP="002401A5">
      <w:pPr>
        <w:pStyle w:val="HeadingBoldBlue"/>
        <w:rPr>
          <w:rStyle w:val="AERtextbold"/>
          <w:b/>
        </w:rPr>
      </w:pPr>
      <w:bookmarkStart w:id="106" w:name="_Ref384120909"/>
      <w:r w:rsidRPr="00451B70">
        <w:rPr>
          <w:rStyle w:val="AERtextbold"/>
          <w:b/>
        </w:rPr>
        <w:t>ActewAGL</w:t>
      </w:r>
      <w:bookmarkEnd w:id="106"/>
    </w:p>
    <w:p w:rsidR="009916C7" w:rsidRDefault="009916C7" w:rsidP="009916C7">
      <w:pPr>
        <w:pStyle w:val="AERbodytext"/>
        <w:numPr>
          <w:ilvl w:val="0"/>
          <w:numId w:val="6"/>
        </w:numPr>
      </w:pPr>
      <w:r>
        <w:t>We do not accept ActewAGL's proposed annual revenue requirements for its distribution and transmission networks for the transitional regulatory control period. Instead, we have substituted annual revenue requirements of $145 million and $28 million (nominal)</w:t>
      </w:r>
      <w:r w:rsidR="00691C0D">
        <w:t>, respectively. This is 6.9 per </w:t>
      </w:r>
      <w:r>
        <w:t xml:space="preserve">cent and </w:t>
      </w:r>
      <w:r w:rsidR="00256A85">
        <w:t>6.8</w:t>
      </w:r>
      <w:r>
        <w:t xml:space="preserve"> per cent lower than the respective revenue allowances proposed by ActewAGL.</w:t>
      </w:r>
      <w:r w:rsidRPr="00B34891">
        <w:t xml:space="preserve"> We consider that th</w:t>
      </w:r>
      <w:r>
        <w:t>ese</w:t>
      </w:r>
      <w:r w:rsidRPr="00B34891">
        <w:t xml:space="preserve"> substituted </w:t>
      </w:r>
      <w:r>
        <w:t>revenues</w:t>
      </w:r>
      <w:r w:rsidRPr="00B34891">
        <w:t xml:space="preserve"> </w:t>
      </w:r>
      <w:r>
        <w:t>are</w:t>
      </w:r>
      <w:r w:rsidRPr="00B34891">
        <w:t xml:space="preserve"> likely to minimise price variations</w:t>
      </w:r>
      <w:r>
        <w:t xml:space="preserve"> and better reflect the efficient costs of the networks</w:t>
      </w:r>
      <w:r w:rsidRPr="00B34891">
        <w:t>.</w:t>
      </w:r>
    </w:p>
    <w:p w:rsidR="009916C7" w:rsidRDefault="009E6A34" w:rsidP="009916C7">
      <w:pPr>
        <w:pStyle w:val="AERbodytext"/>
        <w:numPr>
          <w:ilvl w:val="0"/>
          <w:numId w:val="6"/>
        </w:numPr>
      </w:pPr>
      <w:r>
        <w:fldChar w:fldCharType="begin"/>
      </w:r>
      <w:r>
        <w:instrText xml:space="preserve"> REF _Ref384820339 \h </w:instrText>
      </w:r>
      <w:r>
        <w:fldChar w:fldCharType="separate"/>
      </w:r>
      <w:r w:rsidR="00E313D7">
        <w:t xml:space="preserve">Figure </w:t>
      </w:r>
      <w:r w:rsidR="00E313D7">
        <w:rPr>
          <w:noProof/>
        </w:rPr>
        <w:t>4</w:t>
      </w:r>
      <w:r w:rsidR="00E313D7">
        <w:t>.</w:t>
      </w:r>
      <w:r w:rsidR="00E313D7">
        <w:rPr>
          <w:noProof/>
        </w:rPr>
        <w:t>5</w:t>
      </w:r>
      <w:r>
        <w:fldChar w:fldCharType="end"/>
      </w:r>
      <w:r>
        <w:t xml:space="preserve"> and </w:t>
      </w:r>
      <w:r>
        <w:fldChar w:fldCharType="begin"/>
      </w:r>
      <w:r>
        <w:instrText xml:space="preserve"> REF _Ref384820365 \h </w:instrText>
      </w:r>
      <w:r>
        <w:fldChar w:fldCharType="separate"/>
      </w:r>
      <w:r w:rsidR="00E313D7">
        <w:t xml:space="preserve">Figure </w:t>
      </w:r>
      <w:r w:rsidR="00E313D7">
        <w:rPr>
          <w:noProof/>
        </w:rPr>
        <w:t>4</w:t>
      </w:r>
      <w:r w:rsidR="00E313D7">
        <w:t>.</w:t>
      </w:r>
      <w:r w:rsidR="00E313D7">
        <w:rPr>
          <w:noProof/>
        </w:rPr>
        <w:t>6</w:t>
      </w:r>
      <w:r>
        <w:fldChar w:fldCharType="end"/>
      </w:r>
      <w:r>
        <w:t xml:space="preserve"> </w:t>
      </w:r>
      <w:r w:rsidR="009916C7" w:rsidRPr="00947A42">
        <w:t>respectively show ActewAGL’s indicative price paths based on its proposed revenues for its distribution and transmission networks, and the price paths based on our revenues adjusted for the rate of return and gamma.</w:t>
      </w:r>
      <w:r w:rsidR="00034C4F">
        <w:rPr>
          <w:rStyle w:val="FootnoteReference"/>
        </w:rPr>
        <w:footnoteReference w:id="46"/>
      </w:r>
      <w:r w:rsidR="009916C7" w:rsidRPr="00947A42">
        <w:t xml:space="preserve"> For the reasons discussed above, we consider our </w:t>
      </w:r>
      <w:r w:rsidR="009916C7" w:rsidRPr="00947A42">
        <w:lastRenderedPageBreak/>
        <w:t>adjusted revenues for ActewAGL's distribution and transmission networks over the transitional regulatory control period are reasonably likely to result in price paths that minimise price variations. This is because we expect forecast costs to be lower than that proposed by ActewAGL.</w:t>
      </w:r>
    </w:p>
    <w:p w:rsidR="009916C7" w:rsidRDefault="00691C0D" w:rsidP="00691C0D">
      <w:pPr>
        <w:pStyle w:val="Caption"/>
      </w:pPr>
      <w:bookmarkStart w:id="107" w:name="_Ref384820339"/>
      <w:r>
        <w:t xml:space="preserve">Figure </w:t>
      </w:r>
      <w:r w:rsidR="00DD155E">
        <w:fldChar w:fldCharType="begin"/>
      </w:r>
      <w:r w:rsidR="00DD155E">
        <w:instrText xml:space="preserve"> STYLEREF 1 \s </w:instrText>
      </w:r>
      <w:r w:rsidR="00DD155E">
        <w:fldChar w:fldCharType="separate"/>
      </w:r>
      <w:r w:rsidR="00E313D7">
        <w:rPr>
          <w:noProof/>
        </w:rPr>
        <w:t>4</w:t>
      </w:r>
      <w:r w:rsidR="00DD155E">
        <w:rPr>
          <w:noProof/>
        </w:rPr>
        <w:fldChar w:fldCharType="end"/>
      </w:r>
      <w:r w:rsidR="00B460EF">
        <w:t>.</w:t>
      </w:r>
      <w:r w:rsidR="00DD155E">
        <w:fldChar w:fldCharType="begin"/>
      </w:r>
      <w:r w:rsidR="00DD155E">
        <w:instrText xml:space="preserve"> SEQ Figure \* ARABIC \s 1 </w:instrText>
      </w:r>
      <w:r w:rsidR="00DD155E">
        <w:fldChar w:fldCharType="separate"/>
      </w:r>
      <w:r w:rsidR="00E313D7">
        <w:rPr>
          <w:noProof/>
        </w:rPr>
        <w:t>5</w:t>
      </w:r>
      <w:r w:rsidR="00DD155E">
        <w:rPr>
          <w:noProof/>
        </w:rPr>
        <w:fldChar w:fldCharType="end"/>
      </w:r>
      <w:bookmarkEnd w:id="107"/>
      <w:r>
        <w:tab/>
      </w:r>
      <w:r w:rsidR="009916C7">
        <w:t>ActewAGL</w:t>
      </w:r>
      <w:r w:rsidR="009916C7" w:rsidRPr="00292418">
        <w:t xml:space="preserve"> proposed and AER decision indicative price path </w:t>
      </w:r>
      <w:r w:rsidR="009916C7">
        <w:t xml:space="preserve">– distribution </w:t>
      </w:r>
      <w:r w:rsidR="009916C7" w:rsidRPr="00292418">
        <w:t>(nominal price index)</w:t>
      </w:r>
    </w:p>
    <w:p w:rsidR="009916C7" w:rsidRPr="00947A42" w:rsidRDefault="009916C7" w:rsidP="009916C7">
      <w:pPr>
        <w:pStyle w:val="AERbodytext"/>
        <w:numPr>
          <w:ilvl w:val="0"/>
          <w:numId w:val="6"/>
        </w:numPr>
      </w:pPr>
      <w:r w:rsidRPr="009916C7">
        <w:rPr>
          <w:noProof/>
          <w:lang w:eastAsia="en-AU"/>
        </w:rPr>
        <w:drawing>
          <wp:inline distT="0" distB="0" distL="0" distR="0" wp14:anchorId="1779FC6C" wp14:editId="3DD56E30">
            <wp:extent cx="4828540" cy="30054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28540" cy="3005455"/>
                    </a:xfrm>
                    <a:prstGeom prst="rect">
                      <a:avLst/>
                    </a:prstGeom>
                    <a:noFill/>
                  </pic:spPr>
                </pic:pic>
              </a:graphicData>
            </a:graphic>
          </wp:inline>
        </w:drawing>
      </w:r>
    </w:p>
    <w:p w:rsidR="009916C7" w:rsidRDefault="009916C7" w:rsidP="009916C7">
      <w:pPr>
        <w:pStyle w:val="AERtablesource"/>
      </w:pPr>
      <w:r>
        <w:t>Source:</w:t>
      </w:r>
      <w:r>
        <w:tab/>
        <w:t>AER analysis.</w:t>
      </w:r>
    </w:p>
    <w:p w:rsidR="009916C7" w:rsidRDefault="009E6A34" w:rsidP="009E6A34">
      <w:pPr>
        <w:pStyle w:val="Caption"/>
      </w:pPr>
      <w:bookmarkStart w:id="108" w:name="_Ref384820365"/>
      <w:r>
        <w:t xml:space="preserve">Figure </w:t>
      </w:r>
      <w:r w:rsidR="00DD155E">
        <w:fldChar w:fldCharType="begin"/>
      </w:r>
      <w:r w:rsidR="00DD155E">
        <w:instrText xml:space="preserve"> STYLEREF 1 \s </w:instrText>
      </w:r>
      <w:r w:rsidR="00DD155E">
        <w:fldChar w:fldCharType="separate"/>
      </w:r>
      <w:r w:rsidR="00E313D7">
        <w:rPr>
          <w:noProof/>
        </w:rPr>
        <w:t>4</w:t>
      </w:r>
      <w:r w:rsidR="00DD155E">
        <w:rPr>
          <w:noProof/>
        </w:rPr>
        <w:fldChar w:fldCharType="end"/>
      </w:r>
      <w:r w:rsidR="00B460EF">
        <w:t>.</w:t>
      </w:r>
      <w:r w:rsidR="00DD155E">
        <w:fldChar w:fldCharType="begin"/>
      </w:r>
      <w:r w:rsidR="00DD155E">
        <w:instrText xml:space="preserve"> SEQ Figure \* ARABIC \s 1 </w:instrText>
      </w:r>
      <w:r w:rsidR="00DD155E">
        <w:fldChar w:fldCharType="separate"/>
      </w:r>
      <w:r w:rsidR="00E313D7">
        <w:rPr>
          <w:noProof/>
        </w:rPr>
        <w:t>6</w:t>
      </w:r>
      <w:r w:rsidR="00DD155E">
        <w:rPr>
          <w:noProof/>
        </w:rPr>
        <w:fldChar w:fldCharType="end"/>
      </w:r>
      <w:bookmarkEnd w:id="108"/>
      <w:r w:rsidR="009916C7">
        <w:tab/>
      </w:r>
      <w:r w:rsidR="009916C7" w:rsidRPr="00292418">
        <w:t xml:space="preserve">ActewAGL proposed and AER decision indicative price path – </w:t>
      </w:r>
      <w:r w:rsidR="009916C7">
        <w:t>transmission</w:t>
      </w:r>
      <w:r w:rsidR="009916C7" w:rsidRPr="00292418">
        <w:t xml:space="preserve"> (nominal price index)</w:t>
      </w:r>
    </w:p>
    <w:p w:rsidR="009916C7" w:rsidRPr="00947A42" w:rsidRDefault="009916C7" w:rsidP="009916C7">
      <w:pPr>
        <w:pStyle w:val="AERbodytext"/>
        <w:numPr>
          <w:ilvl w:val="0"/>
          <w:numId w:val="6"/>
        </w:numPr>
      </w:pPr>
      <w:r w:rsidRPr="009916C7">
        <w:rPr>
          <w:noProof/>
          <w:lang w:eastAsia="en-AU"/>
        </w:rPr>
        <w:drawing>
          <wp:inline distT="0" distB="0" distL="0" distR="0" wp14:anchorId="3FF0EEB2" wp14:editId="1901F28A">
            <wp:extent cx="4834255" cy="30054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34255" cy="3005455"/>
                    </a:xfrm>
                    <a:prstGeom prst="rect">
                      <a:avLst/>
                    </a:prstGeom>
                    <a:noFill/>
                  </pic:spPr>
                </pic:pic>
              </a:graphicData>
            </a:graphic>
          </wp:inline>
        </w:drawing>
      </w:r>
    </w:p>
    <w:p w:rsidR="009916C7" w:rsidRPr="00292418" w:rsidRDefault="009916C7" w:rsidP="009916C7">
      <w:pPr>
        <w:pStyle w:val="AERtablesource"/>
      </w:pPr>
      <w:r>
        <w:t>Source:</w:t>
      </w:r>
      <w:r>
        <w:tab/>
        <w:t>AER analysis.</w:t>
      </w:r>
    </w:p>
    <w:p w:rsidR="009916C7" w:rsidRPr="00947A42" w:rsidRDefault="00A02E45" w:rsidP="009916C7">
      <w:pPr>
        <w:pStyle w:val="AERbodytext"/>
        <w:numPr>
          <w:ilvl w:val="0"/>
          <w:numId w:val="6"/>
        </w:numPr>
      </w:pPr>
      <w:r>
        <w:fldChar w:fldCharType="begin"/>
      </w:r>
      <w:r>
        <w:instrText xml:space="preserve"> REF _Ref385252796 \h </w:instrText>
      </w:r>
      <w:r>
        <w:fldChar w:fldCharType="separate"/>
      </w:r>
      <w:r w:rsidR="00E313D7">
        <w:t xml:space="preserve">Table </w:t>
      </w:r>
      <w:r w:rsidR="00E313D7">
        <w:rPr>
          <w:noProof/>
        </w:rPr>
        <w:t>4</w:t>
      </w:r>
      <w:r w:rsidR="00E313D7">
        <w:t>.</w:t>
      </w:r>
      <w:r w:rsidR="00E313D7">
        <w:rPr>
          <w:noProof/>
        </w:rPr>
        <w:t>10</w:t>
      </w:r>
      <w:r>
        <w:fldChar w:fldCharType="end"/>
      </w:r>
      <w:r>
        <w:t xml:space="preserve"> and </w:t>
      </w:r>
      <w:r>
        <w:fldChar w:fldCharType="begin"/>
      </w:r>
      <w:r>
        <w:instrText xml:space="preserve"> REF _Ref385252807 \h </w:instrText>
      </w:r>
      <w:r>
        <w:fldChar w:fldCharType="separate"/>
      </w:r>
      <w:r w:rsidR="00E313D7">
        <w:t xml:space="preserve">Table </w:t>
      </w:r>
      <w:r w:rsidR="00E313D7">
        <w:rPr>
          <w:noProof/>
        </w:rPr>
        <w:t>4</w:t>
      </w:r>
      <w:r w:rsidR="00E313D7">
        <w:t>.</w:t>
      </w:r>
      <w:r w:rsidR="00E313D7">
        <w:rPr>
          <w:noProof/>
        </w:rPr>
        <w:t>11</w:t>
      </w:r>
      <w:r>
        <w:fldChar w:fldCharType="end"/>
      </w:r>
      <w:r>
        <w:t xml:space="preserve"> </w:t>
      </w:r>
      <w:r w:rsidR="009916C7" w:rsidRPr="00947A42">
        <w:t xml:space="preserve">respectively show ActewAGL’s distribution and transmission networks proposed revenues (and price paths) for the transitional and subsequent regulatory control periods </w:t>
      </w:r>
      <w:r w:rsidR="009916C7" w:rsidRPr="00947A42">
        <w:lastRenderedPageBreak/>
        <w:t>and our substituted revenues (and price paths) for the transitional and subsequent regulatory control periods.</w:t>
      </w:r>
    </w:p>
    <w:p w:rsidR="009916C7" w:rsidRDefault="00F27D91" w:rsidP="00F27D91">
      <w:pPr>
        <w:pStyle w:val="Caption"/>
        <w:jc w:val="left"/>
      </w:pPr>
      <w:bookmarkStart w:id="109" w:name="_Ref385252796"/>
      <w:bookmarkStart w:id="110" w:name="_Ref383423674"/>
      <w:r>
        <w:t xml:space="preserve">Table </w:t>
      </w:r>
      <w:r w:rsidR="00DD155E">
        <w:fldChar w:fldCharType="begin"/>
      </w:r>
      <w:r w:rsidR="00DD155E">
        <w:instrText xml:space="preserve"> STYLEREF 1 \s </w:instrText>
      </w:r>
      <w:r w:rsidR="00DD155E">
        <w:fldChar w:fldCharType="separate"/>
      </w:r>
      <w:r w:rsidR="00E313D7">
        <w:rPr>
          <w:noProof/>
        </w:rPr>
        <w:t>4</w:t>
      </w:r>
      <w:r w:rsidR="00DD155E">
        <w:rPr>
          <w:noProof/>
        </w:rPr>
        <w:fldChar w:fldCharType="end"/>
      </w:r>
      <w:r w:rsidR="00804FE8">
        <w:t>.</w:t>
      </w:r>
      <w:r w:rsidR="00DD155E">
        <w:fldChar w:fldCharType="begin"/>
      </w:r>
      <w:r w:rsidR="00DD155E">
        <w:instrText xml:space="preserve"> SEQ Table \* ARABI</w:instrText>
      </w:r>
      <w:r w:rsidR="00DD155E">
        <w:instrText xml:space="preserve">C \s 1 </w:instrText>
      </w:r>
      <w:r w:rsidR="00DD155E">
        <w:fldChar w:fldCharType="separate"/>
      </w:r>
      <w:r w:rsidR="00E313D7">
        <w:rPr>
          <w:noProof/>
        </w:rPr>
        <w:t>10</w:t>
      </w:r>
      <w:r w:rsidR="00DD155E">
        <w:rPr>
          <w:noProof/>
        </w:rPr>
        <w:fldChar w:fldCharType="end"/>
      </w:r>
      <w:bookmarkEnd w:id="109"/>
      <w:r>
        <w:tab/>
      </w:r>
      <w:bookmarkEnd w:id="110"/>
      <w:r w:rsidR="009916C7">
        <w:t>ActewAGL</w:t>
      </w:r>
      <w:r w:rsidR="009916C7" w:rsidRPr="00292418">
        <w:t>’s proposed revenue and price path and AER substituted revenue and price path</w:t>
      </w:r>
      <w:r w:rsidR="009916C7">
        <w:t xml:space="preserve"> – distribution</w:t>
      </w:r>
    </w:p>
    <w:tbl>
      <w:tblPr>
        <w:tblStyle w:val="AERtable-numbers"/>
        <w:tblW w:w="9203" w:type="dxa"/>
        <w:tblLayout w:type="fixed"/>
        <w:tblLook w:val="04A0" w:firstRow="1" w:lastRow="0" w:firstColumn="1" w:lastColumn="0" w:noHBand="0" w:noVBand="1"/>
      </w:tblPr>
      <w:tblGrid>
        <w:gridCol w:w="2324"/>
        <w:gridCol w:w="743"/>
        <w:gridCol w:w="403"/>
        <w:gridCol w:w="211"/>
        <w:gridCol w:w="920"/>
        <w:gridCol w:w="16"/>
        <w:gridCol w:w="904"/>
        <w:gridCol w:w="242"/>
        <w:gridCol w:w="372"/>
        <w:gridCol w:w="775"/>
        <w:gridCol w:w="452"/>
        <w:gridCol w:w="307"/>
        <w:gridCol w:w="387"/>
        <w:gridCol w:w="1147"/>
      </w:tblGrid>
      <w:tr w:rsidR="009916C7" w:rsidRPr="00292418" w:rsidTr="00111EB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4" w:type="dxa"/>
            <w:noWrap/>
            <w:hideMark/>
          </w:tcPr>
          <w:p w:rsidR="009916C7" w:rsidRPr="00947A42" w:rsidRDefault="009916C7" w:rsidP="009916C7">
            <w:pPr>
              <w:pStyle w:val="AERtabletextleft"/>
            </w:pPr>
          </w:p>
        </w:tc>
        <w:tc>
          <w:tcPr>
            <w:tcW w:w="1146" w:type="dxa"/>
            <w:gridSpan w:val="2"/>
            <w:noWrap/>
            <w:hideMark/>
          </w:tcPr>
          <w:p w:rsidR="009916C7" w:rsidRPr="00947A42" w:rsidRDefault="009916C7" w:rsidP="009916C7">
            <w:pPr>
              <w:pStyle w:val="AERtabletextright"/>
              <w:cnfStyle w:val="100000000000" w:firstRow="1" w:lastRow="0" w:firstColumn="0" w:lastColumn="0" w:oddVBand="0" w:evenVBand="0" w:oddHBand="0" w:evenHBand="0" w:firstRowFirstColumn="0" w:firstRowLastColumn="0" w:lastRowFirstColumn="0" w:lastRowLastColumn="0"/>
            </w:pPr>
            <w:r w:rsidRPr="00947A42">
              <w:t>2013–14</w:t>
            </w:r>
          </w:p>
        </w:tc>
        <w:tc>
          <w:tcPr>
            <w:tcW w:w="1147" w:type="dxa"/>
            <w:gridSpan w:val="3"/>
            <w:noWrap/>
            <w:hideMark/>
          </w:tcPr>
          <w:p w:rsidR="009916C7" w:rsidRPr="00947A42" w:rsidRDefault="009916C7" w:rsidP="009916C7">
            <w:pPr>
              <w:pStyle w:val="AERtabletextright"/>
              <w:cnfStyle w:val="100000000000" w:firstRow="1" w:lastRow="0" w:firstColumn="0" w:lastColumn="0" w:oddVBand="0" w:evenVBand="0" w:oddHBand="0" w:evenHBand="0" w:firstRowFirstColumn="0" w:firstRowLastColumn="0" w:lastRowFirstColumn="0" w:lastRowLastColumn="0"/>
            </w:pPr>
            <w:r w:rsidRPr="00947A42">
              <w:t>2014–15</w:t>
            </w:r>
          </w:p>
        </w:tc>
        <w:tc>
          <w:tcPr>
            <w:tcW w:w="1146" w:type="dxa"/>
            <w:gridSpan w:val="2"/>
            <w:noWrap/>
            <w:hideMark/>
          </w:tcPr>
          <w:p w:rsidR="009916C7" w:rsidRPr="00947A42" w:rsidRDefault="009916C7" w:rsidP="009916C7">
            <w:pPr>
              <w:pStyle w:val="AERtabletextright"/>
              <w:cnfStyle w:val="100000000000" w:firstRow="1" w:lastRow="0" w:firstColumn="0" w:lastColumn="0" w:oddVBand="0" w:evenVBand="0" w:oddHBand="0" w:evenHBand="0" w:firstRowFirstColumn="0" w:firstRowLastColumn="0" w:lastRowFirstColumn="0" w:lastRowLastColumn="0"/>
            </w:pPr>
            <w:r w:rsidRPr="00947A42">
              <w:t>2015–16</w:t>
            </w:r>
          </w:p>
        </w:tc>
        <w:tc>
          <w:tcPr>
            <w:tcW w:w="1147" w:type="dxa"/>
            <w:gridSpan w:val="2"/>
            <w:noWrap/>
            <w:hideMark/>
          </w:tcPr>
          <w:p w:rsidR="009916C7" w:rsidRPr="00947A42" w:rsidRDefault="009916C7" w:rsidP="009916C7">
            <w:pPr>
              <w:pStyle w:val="AERtabletextright"/>
              <w:cnfStyle w:val="100000000000" w:firstRow="1" w:lastRow="0" w:firstColumn="0" w:lastColumn="0" w:oddVBand="0" w:evenVBand="0" w:oddHBand="0" w:evenHBand="0" w:firstRowFirstColumn="0" w:firstRowLastColumn="0" w:lastRowFirstColumn="0" w:lastRowLastColumn="0"/>
            </w:pPr>
            <w:r w:rsidRPr="00947A42">
              <w:t>2016–17</w:t>
            </w:r>
          </w:p>
        </w:tc>
        <w:tc>
          <w:tcPr>
            <w:tcW w:w="1146" w:type="dxa"/>
            <w:gridSpan w:val="3"/>
            <w:noWrap/>
            <w:hideMark/>
          </w:tcPr>
          <w:p w:rsidR="009916C7" w:rsidRPr="00947A42" w:rsidRDefault="009916C7" w:rsidP="009916C7">
            <w:pPr>
              <w:pStyle w:val="AERtabletextright"/>
              <w:cnfStyle w:val="100000000000" w:firstRow="1" w:lastRow="0" w:firstColumn="0" w:lastColumn="0" w:oddVBand="0" w:evenVBand="0" w:oddHBand="0" w:evenHBand="0" w:firstRowFirstColumn="0" w:firstRowLastColumn="0" w:lastRowFirstColumn="0" w:lastRowLastColumn="0"/>
            </w:pPr>
            <w:r w:rsidRPr="00947A42">
              <w:t>2017–18</w:t>
            </w:r>
          </w:p>
        </w:tc>
        <w:tc>
          <w:tcPr>
            <w:tcW w:w="1147" w:type="dxa"/>
            <w:noWrap/>
            <w:hideMark/>
          </w:tcPr>
          <w:p w:rsidR="009916C7" w:rsidRPr="00947A42" w:rsidRDefault="009916C7" w:rsidP="009916C7">
            <w:pPr>
              <w:pStyle w:val="AERtabletextright"/>
              <w:cnfStyle w:val="100000000000" w:firstRow="1" w:lastRow="0" w:firstColumn="0" w:lastColumn="0" w:oddVBand="0" w:evenVBand="0" w:oddHBand="0" w:evenHBand="0" w:firstRowFirstColumn="0" w:firstRowLastColumn="0" w:lastRowFirstColumn="0" w:lastRowLastColumn="0"/>
            </w:pPr>
            <w:r w:rsidRPr="00947A42">
              <w:t>2018–19</w:t>
            </w:r>
          </w:p>
        </w:tc>
      </w:tr>
      <w:tr w:rsidR="009916C7" w:rsidRPr="001972A0" w:rsidTr="00111EB1">
        <w:trPr>
          <w:trHeight w:val="300"/>
        </w:trPr>
        <w:tc>
          <w:tcPr>
            <w:cnfStyle w:val="001000000000" w:firstRow="0" w:lastRow="0" w:firstColumn="1" w:lastColumn="0" w:oddVBand="0" w:evenVBand="0" w:oddHBand="0" w:evenHBand="0" w:firstRowFirstColumn="0" w:firstRowLastColumn="0" w:lastRowFirstColumn="0" w:lastRowLastColumn="0"/>
            <w:tcW w:w="3067" w:type="dxa"/>
            <w:gridSpan w:val="2"/>
            <w:shd w:val="clear" w:color="auto" w:fill="auto"/>
            <w:noWrap/>
            <w:hideMark/>
          </w:tcPr>
          <w:p w:rsidR="009916C7" w:rsidRPr="009916C7" w:rsidRDefault="009916C7" w:rsidP="009916C7">
            <w:pPr>
              <w:pStyle w:val="AERtabletextleft"/>
              <w:rPr>
                <w:rStyle w:val="AERtextbold"/>
              </w:rPr>
            </w:pPr>
            <w:r w:rsidRPr="001972A0">
              <w:rPr>
                <w:rStyle w:val="AERtextbold"/>
              </w:rPr>
              <w:t>Proposed revenue and price path</w:t>
            </w:r>
          </w:p>
        </w:tc>
        <w:tc>
          <w:tcPr>
            <w:tcW w:w="1534" w:type="dxa"/>
            <w:gridSpan w:val="3"/>
            <w:shd w:val="clear" w:color="auto" w:fill="auto"/>
            <w:noWrap/>
            <w:hideMark/>
          </w:tcPr>
          <w:p w:rsidR="009916C7" w:rsidRPr="001972A0" w:rsidRDefault="009916C7" w:rsidP="009916C7">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p>
        </w:tc>
        <w:tc>
          <w:tcPr>
            <w:tcW w:w="1534" w:type="dxa"/>
            <w:gridSpan w:val="4"/>
            <w:shd w:val="clear" w:color="auto" w:fill="auto"/>
            <w:noWrap/>
            <w:hideMark/>
          </w:tcPr>
          <w:p w:rsidR="009916C7" w:rsidRPr="001972A0" w:rsidRDefault="009916C7" w:rsidP="009916C7">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p>
        </w:tc>
        <w:tc>
          <w:tcPr>
            <w:tcW w:w="1534" w:type="dxa"/>
            <w:gridSpan w:val="3"/>
            <w:shd w:val="clear" w:color="auto" w:fill="auto"/>
            <w:noWrap/>
            <w:hideMark/>
          </w:tcPr>
          <w:p w:rsidR="009916C7" w:rsidRPr="001972A0" w:rsidRDefault="009916C7" w:rsidP="009916C7">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p>
        </w:tc>
        <w:tc>
          <w:tcPr>
            <w:tcW w:w="1534" w:type="dxa"/>
            <w:gridSpan w:val="2"/>
            <w:shd w:val="clear" w:color="auto" w:fill="auto"/>
            <w:noWrap/>
            <w:hideMark/>
          </w:tcPr>
          <w:p w:rsidR="009916C7" w:rsidRPr="001972A0" w:rsidRDefault="009916C7" w:rsidP="009916C7">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p>
        </w:tc>
      </w:tr>
      <w:tr w:rsidR="009916C7" w:rsidRPr="00292418" w:rsidTr="00111EB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4" w:type="dxa"/>
            <w:noWrap/>
            <w:hideMark/>
          </w:tcPr>
          <w:p w:rsidR="009916C7" w:rsidRPr="00947A42" w:rsidRDefault="009916C7" w:rsidP="009916C7">
            <w:pPr>
              <w:pStyle w:val="AERtabletextleft"/>
            </w:pPr>
            <w:r w:rsidRPr="00947A42">
              <w:t>Revenue ($m, nominal)</w:t>
            </w:r>
          </w:p>
        </w:tc>
        <w:tc>
          <w:tcPr>
            <w:tcW w:w="1146" w:type="dxa"/>
            <w:gridSpan w:val="2"/>
            <w:noWrap/>
            <w:hideMark/>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152</w:t>
            </w:r>
            <w:r w:rsidRPr="009916C7">
              <w:rPr>
                <w:rStyle w:val="AERsuperscript"/>
              </w:rPr>
              <w:t>a</w:t>
            </w:r>
          </w:p>
        </w:tc>
        <w:tc>
          <w:tcPr>
            <w:tcW w:w="1147" w:type="dxa"/>
            <w:gridSpan w:val="3"/>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156</w:t>
            </w:r>
          </w:p>
        </w:tc>
        <w:tc>
          <w:tcPr>
            <w:tcW w:w="1146" w:type="dxa"/>
            <w:gridSpan w:val="2"/>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162</w:t>
            </w:r>
          </w:p>
        </w:tc>
        <w:tc>
          <w:tcPr>
            <w:tcW w:w="1147" w:type="dxa"/>
            <w:gridSpan w:val="2"/>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170</w:t>
            </w:r>
          </w:p>
        </w:tc>
        <w:tc>
          <w:tcPr>
            <w:tcW w:w="1146" w:type="dxa"/>
            <w:gridSpan w:val="3"/>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179</w:t>
            </w:r>
          </w:p>
        </w:tc>
        <w:tc>
          <w:tcPr>
            <w:tcW w:w="1147" w:type="dxa"/>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187</w:t>
            </w:r>
          </w:p>
        </w:tc>
      </w:tr>
      <w:tr w:rsidR="009916C7" w:rsidRPr="00292418" w:rsidTr="00256A85">
        <w:trPr>
          <w:trHeight w:val="300"/>
        </w:trPr>
        <w:tc>
          <w:tcPr>
            <w:cnfStyle w:val="001000000000" w:firstRow="0" w:lastRow="0" w:firstColumn="1" w:lastColumn="0" w:oddVBand="0" w:evenVBand="0" w:oddHBand="0" w:evenHBand="0" w:firstRowFirstColumn="0" w:firstRowLastColumn="0" w:lastRowFirstColumn="0" w:lastRowLastColumn="0"/>
            <w:tcW w:w="2324" w:type="dxa"/>
            <w:tcBorders>
              <w:bottom w:val="nil"/>
            </w:tcBorders>
            <w:shd w:val="clear" w:color="auto" w:fill="auto"/>
            <w:noWrap/>
            <w:hideMark/>
          </w:tcPr>
          <w:p w:rsidR="009916C7" w:rsidRPr="009916C7" w:rsidRDefault="009916C7" w:rsidP="00034C4F">
            <w:pPr>
              <w:pStyle w:val="AERtabletextleft"/>
            </w:pPr>
            <w:r w:rsidRPr="00947A42">
              <w:t>Price path (nominal index)</w:t>
            </w:r>
          </w:p>
        </w:tc>
        <w:tc>
          <w:tcPr>
            <w:tcW w:w="1146" w:type="dxa"/>
            <w:gridSpan w:val="2"/>
            <w:tcBorders>
              <w:bottom w:val="nil"/>
            </w:tcBorders>
            <w:shd w:val="clear" w:color="auto" w:fill="auto"/>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1.00</w:t>
            </w:r>
          </w:p>
        </w:tc>
        <w:tc>
          <w:tcPr>
            <w:tcW w:w="1147" w:type="dxa"/>
            <w:gridSpan w:val="3"/>
            <w:tcBorders>
              <w:bottom w:val="nil"/>
            </w:tcBorders>
            <w:shd w:val="clear" w:color="auto" w:fill="auto"/>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1.05</w:t>
            </w:r>
          </w:p>
        </w:tc>
        <w:tc>
          <w:tcPr>
            <w:tcW w:w="1146" w:type="dxa"/>
            <w:gridSpan w:val="2"/>
            <w:tcBorders>
              <w:bottom w:val="nil"/>
            </w:tcBorders>
            <w:shd w:val="clear" w:color="auto" w:fill="auto"/>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1.09</w:t>
            </w:r>
          </w:p>
        </w:tc>
        <w:tc>
          <w:tcPr>
            <w:tcW w:w="1147" w:type="dxa"/>
            <w:gridSpan w:val="2"/>
            <w:tcBorders>
              <w:bottom w:val="nil"/>
            </w:tcBorders>
            <w:shd w:val="clear" w:color="auto" w:fill="auto"/>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1.13</w:t>
            </w:r>
          </w:p>
        </w:tc>
        <w:tc>
          <w:tcPr>
            <w:tcW w:w="1146" w:type="dxa"/>
            <w:gridSpan w:val="3"/>
            <w:tcBorders>
              <w:bottom w:val="nil"/>
            </w:tcBorders>
            <w:shd w:val="clear" w:color="auto" w:fill="auto"/>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1.18</w:t>
            </w:r>
          </w:p>
        </w:tc>
        <w:tc>
          <w:tcPr>
            <w:tcW w:w="1147" w:type="dxa"/>
            <w:tcBorders>
              <w:bottom w:val="nil"/>
            </w:tcBorders>
            <w:shd w:val="clear" w:color="auto" w:fill="auto"/>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1.23</w:t>
            </w:r>
          </w:p>
        </w:tc>
      </w:tr>
      <w:tr w:rsidR="009916C7" w:rsidRPr="00292418" w:rsidTr="00256A8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4" w:type="dxa"/>
            <w:tcBorders>
              <w:bottom w:val="nil"/>
            </w:tcBorders>
            <w:shd w:val="clear" w:color="auto" w:fill="DBE5F1" w:themeFill="accent1" w:themeFillTint="33"/>
            <w:noWrap/>
            <w:hideMark/>
          </w:tcPr>
          <w:p w:rsidR="009916C7" w:rsidRPr="00947A42" w:rsidRDefault="009916C7" w:rsidP="009916C7">
            <w:pPr>
              <w:pStyle w:val="AERtabletextleft"/>
            </w:pPr>
            <w:r w:rsidRPr="00947A42">
              <w:t>Revenue (change %)</w:t>
            </w:r>
          </w:p>
        </w:tc>
        <w:tc>
          <w:tcPr>
            <w:tcW w:w="1146" w:type="dxa"/>
            <w:gridSpan w:val="2"/>
            <w:tcBorders>
              <w:bottom w:val="nil"/>
            </w:tcBorders>
            <w:shd w:val="clear" w:color="auto" w:fill="DBE5F1" w:themeFill="accent1" w:themeFillTint="33"/>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n</w:t>
            </w:r>
            <w:r w:rsidR="00034C4F">
              <w:t>/</w:t>
            </w:r>
            <w:r w:rsidRPr="00947A42">
              <w:t>a</w:t>
            </w:r>
          </w:p>
        </w:tc>
        <w:tc>
          <w:tcPr>
            <w:tcW w:w="1147" w:type="dxa"/>
            <w:gridSpan w:val="3"/>
            <w:tcBorders>
              <w:bottom w:val="nil"/>
            </w:tcBorders>
            <w:shd w:val="clear" w:color="auto" w:fill="DBE5F1" w:themeFill="accent1" w:themeFillTint="33"/>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2.3%</w:t>
            </w:r>
          </w:p>
        </w:tc>
        <w:tc>
          <w:tcPr>
            <w:tcW w:w="1146" w:type="dxa"/>
            <w:gridSpan w:val="2"/>
            <w:tcBorders>
              <w:bottom w:val="nil"/>
            </w:tcBorders>
            <w:shd w:val="clear" w:color="auto" w:fill="DBE5F1" w:themeFill="accent1" w:themeFillTint="33"/>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3.7%</w:t>
            </w:r>
          </w:p>
        </w:tc>
        <w:tc>
          <w:tcPr>
            <w:tcW w:w="1147" w:type="dxa"/>
            <w:gridSpan w:val="2"/>
            <w:tcBorders>
              <w:bottom w:val="nil"/>
            </w:tcBorders>
            <w:shd w:val="clear" w:color="auto" w:fill="DBE5F1" w:themeFill="accent1" w:themeFillTint="33"/>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5.2%</w:t>
            </w:r>
          </w:p>
        </w:tc>
        <w:tc>
          <w:tcPr>
            <w:tcW w:w="1146" w:type="dxa"/>
            <w:gridSpan w:val="3"/>
            <w:tcBorders>
              <w:bottom w:val="nil"/>
            </w:tcBorders>
            <w:shd w:val="clear" w:color="auto" w:fill="DBE5F1" w:themeFill="accent1" w:themeFillTint="33"/>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5.1%</w:t>
            </w:r>
          </w:p>
        </w:tc>
        <w:tc>
          <w:tcPr>
            <w:tcW w:w="1147" w:type="dxa"/>
            <w:tcBorders>
              <w:bottom w:val="nil"/>
            </w:tcBorders>
            <w:shd w:val="clear" w:color="auto" w:fill="DBE5F1" w:themeFill="accent1" w:themeFillTint="33"/>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4.5%</w:t>
            </w:r>
          </w:p>
        </w:tc>
      </w:tr>
      <w:tr w:rsidR="009916C7" w:rsidRPr="00292418" w:rsidTr="00256A85">
        <w:trPr>
          <w:trHeight w:val="300"/>
        </w:trPr>
        <w:tc>
          <w:tcPr>
            <w:cnfStyle w:val="001000000000" w:firstRow="0" w:lastRow="0" w:firstColumn="1" w:lastColumn="0" w:oddVBand="0" w:evenVBand="0" w:oddHBand="0" w:evenHBand="0" w:firstRowFirstColumn="0" w:firstRowLastColumn="0" w:lastRowFirstColumn="0" w:lastRowLastColumn="0"/>
            <w:tcW w:w="2324" w:type="dxa"/>
            <w:tcBorders>
              <w:top w:val="nil"/>
              <w:bottom w:val="nil"/>
            </w:tcBorders>
            <w:noWrap/>
            <w:hideMark/>
          </w:tcPr>
          <w:p w:rsidR="009916C7" w:rsidRPr="00947A42" w:rsidRDefault="009916C7" w:rsidP="009916C7">
            <w:pPr>
              <w:pStyle w:val="AERtabletextleft"/>
            </w:pPr>
            <w:r w:rsidRPr="00947A42">
              <w:t>Price path (change %)</w:t>
            </w:r>
          </w:p>
        </w:tc>
        <w:tc>
          <w:tcPr>
            <w:tcW w:w="1146" w:type="dxa"/>
            <w:gridSpan w:val="2"/>
            <w:tcBorders>
              <w:top w:val="nil"/>
              <w:bottom w:val="nil"/>
            </w:tcBorders>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n</w:t>
            </w:r>
            <w:r w:rsidR="00034C4F">
              <w:t>/</w:t>
            </w:r>
            <w:r w:rsidRPr="00947A42">
              <w:t>a</w:t>
            </w:r>
          </w:p>
        </w:tc>
        <w:tc>
          <w:tcPr>
            <w:tcW w:w="1147" w:type="dxa"/>
            <w:gridSpan w:val="3"/>
            <w:tcBorders>
              <w:top w:val="nil"/>
              <w:bottom w:val="nil"/>
            </w:tcBorders>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4.8%</w:t>
            </w:r>
          </w:p>
        </w:tc>
        <w:tc>
          <w:tcPr>
            <w:tcW w:w="1146" w:type="dxa"/>
            <w:gridSpan w:val="2"/>
            <w:tcBorders>
              <w:top w:val="nil"/>
              <w:bottom w:val="nil"/>
            </w:tcBorders>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4.0%</w:t>
            </w:r>
          </w:p>
        </w:tc>
        <w:tc>
          <w:tcPr>
            <w:tcW w:w="1147" w:type="dxa"/>
            <w:gridSpan w:val="2"/>
            <w:tcBorders>
              <w:top w:val="nil"/>
              <w:bottom w:val="nil"/>
            </w:tcBorders>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4.0%</w:t>
            </w:r>
          </w:p>
        </w:tc>
        <w:tc>
          <w:tcPr>
            <w:tcW w:w="1146" w:type="dxa"/>
            <w:gridSpan w:val="3"/>
            <w:tcBorders>
              <w:top w:val="nil"/>
              <w:bottom w:val="nil"/>
            </w:tcBorders>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4.0%</w:t>
            </w:r>
          </w:p>
        </w:tc>
        <w:tc>
          <w:tcPr>
            <w:tcW w:w="1147" w:type="dxa"/>
            <w:tcBorders>
              <w:top w:val="nil"/>
              <w:bottom w:val="nil"/>
            </w:tcBorders>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4.0%</w:t>
            </w:r>
          </w:p>
        </w:tc>
      </w:tr>
      <w:tr w:rsidR="009916C7" w:rsidRPr="001972A0" w:rsidTr="00256A8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gridSpan w:val="4"/>
            <w:tcBorders>
              <w:bottom w:val="nil"/>
            </w:tcBorders>
            <w:shd w:val="clear" w:color="auto" w:fill="DBE5F1" w:themeFill="accent1" w:themeFillTint="33"/>
            <w:noWrap/>
            <w:hideMark/>
          </w:tcPr>
          <w:p w:rsidR="009916C7" w:rsidRPr="009916C7" w:rsidRDefault="009916C7" w:rsidP="00AF725B">
            <w:pPr>
              <w:pStyle w:val="AERtabletextleft"/>
              <w:rPr>
                <w:rStyle w:val="AERtextbold"/>
              </w:rPr>
            </w:pPr>
            <w:r w:rsidRPr="001972A0">
              <w:rPr>
                <w:rStyle w:val="AERtextbold"/>
              </w:rPr>
              <w:t>AER substitute revenue and price path</w:t>
            </w:r>
          </w:p>
        </w:tc>
        <w:tc>
          <w:tcPr>
            <w:tcW w:w="1840" w:type="dxa"/>
            <w:gridSpan w:val="3"/>
            <w:tcBorders>
              <w:bottom w:val="nil"/>
            </w:tcBorders>
            <w:shd w:val="clear" w:color="auto" w:fill="DBE5F1" w:themeFill="accent1" w:themeFillTint="33"/>
            <w:noWrap/>
            <w:hideMark/>
          </w:tcPr>
          <w:p w:rsidR="009916C7" w:rsidRPr="001972A0" w:rsidRDefault="009916C7" w:rsidP="009916C7">
            <w:pPr>
              <w:pStyle w:val="AERtabletextleft"/>
              <w:cnfStyle w:val="000000010000" w:firstRow="0" w:lastRow="0" w:firstColumn="0" w:lastColumn="0" w:oddVBand="0" w:evenVBand="0" w:oddHBand="0" w:evenHBand="1" w:firstRowFirstColumn="0" w:firstRowLastColumn="0" w:lastRowFirstColumn="0" w:lastRowLastColumn="0"/>
              <w:rPr>
                <w:rStyle w:val="AERtextbold"/>
              </w:rPr>
            </w:pPr>
          </w:p>
        </w:tc>
        <w:tc>
          <w:tcPr>
            <w:tcW w:w="1841" w:type="dxa"/>
            <w:gridSpan w:val="4"/>
            <w:tcBorders>
              <w:bottom w:val="nil"/>
            </w:tcBorders>
            <w:shd w:val="clear" w:color="auto" w:fill="DBE5F1" w:themeFill="accent1" w:themeFillTint="33"/>
            <w:noWrap/>
            <w:hideMark/>
          </w:tcPr>
          <w:p w:rsidR="009916C7" w:rsidRPr="001972A0" w:rsidRDefault="009916C7" w:rsidP="009916C7">
            <w:pPr>
              <w:pStyle w:val="AERtabletextleft"/>
              <w:cnfStyle w:val="000000010000" w:firstRow="0" w:lastRow="0" w:firstColumn="0" w:lastColumn="0" w:oddVBand="0" w:evenVBand="0" w:oddHBand="0" w:evenHBand="1" w:firstRowFirstColumn="0" w:firstRowLastColumn="0" w:lastRowFirstColumn="0" w:lastRowLastColumn="0"/>
              <w:rPr>
                <w:rStyle w:val="AERtextbold"/>
              </w:rPr>
            </w:pPr>
          </w:p>
        </w:tc>
        <w:tc>
          <w:tcPr>
            <w:tcW w:w="1841" w:type="dxa"/>
            <w:gridSpan w:val="3"/>
            <w:tcBorders>
              <w:bottom w:val="nil"/>
            </w:tcBorders>
            <w:shd w:val="clear" w:color="auto" w:fill="DBE5F1" w:themeFill="accent1" w:themeFillTint="33"/>
            <w:noWrap/>
            <w:hideMark/>
          </w:tcPr>
          <w:p w:rsidR="009916C7" w:rsidRPr="001972A0" w:rsidRDefault="009916C7" w:rsidP="009916C7">
            <w:pPr>
              <w:pStyle w:val="AERtabletextleft"/>
              <w:cnfStyle w:val="000000010000" w:firstRow="0" w:lastRow="0" w:firstColumn="0" w:lastColumn="0" w:oddVBand="0" w:evenVBand="0" w:oddHBand="0" w:evenHBand="1" w:firstRowFirstColumn="0" w:firstRowLastColumn="0" w:lastRowFirstColumn="0" w:lastRowLastColumn="0"/>
              <w:rPr>
                <w:rStyle w:val="AERtextbold"/>
              </w:rPr>
            </w:pPr>
          </w:p>
        </w:tc>
      </w:tr>
      <w:tr w:rsidR="009916C7" w:rsidRPr="00292418" w:rsidTr="00256A85">
        <w:trPr>
          <w:trHeight w:val="300"/>
        </w:trPr>
        <w:tc>
          <w:tcPr>
            <w:cnfStyle w:val="001000000000" w:firstRow="0" w:lastRow="0" w:firstColumn="1" w:lastColumn="0" w:oddVBand="0" w:evenVBand="0" w:oddHBand="0" w:evenHBand="0" w:firstRowFirstColumn="0" w:firstRowLastColumn="0" w:lastRowFirstColumn="0" w:lastRowLastColumn="0"/>
            <w:tcW w:w="2324" w:type="dxa"/>
            <w:tcBorders>
              <w:top w:val="nil"/>
              <w:bottom w:val="nil"/>
            </w:tcBorders>
            <w:noWrap/>
            <w:hideMark/>
          </w:tcPr>
          <w:p w:rsidR="009916C7" w:rsidRPr="00947A42" w:rsidRDefault="009916C7" w:rsidP="009916C7">
            <w:pPr>
              <w:pStyle w:val="AERtabletextleft"/>
            </w:pPr>
            <w:r w:rsidRPr="00947A42">
              <w:t>Revenue ($m, nominal)</w:t>
            </w:r>
          </w:p>
        </w:tc>
        <w:tc>
          <w:tcPr>
            <w:tcW w:w="1146" w:type="dxa"/>
            <w:gridSpan w:val="2"/>
            <w:tcBorders>
              <w:top w:val="nil"/>
              <w:bottom w:val="nil"/>
            </w:tcBorders>
            <w:noWrap/>
            <w:hideMark/>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152</w:t>
            </w:r>
            <w:r w:rsidRPr="009916C7">
              <w:rPr>
                <w:rStyle w:val="AERsuperscript"/>
              </w:rPr>
              <w:t>a</w:t>
            </w:r>
          </w:p>
        </w:tc>
        <w:tc>
          <w:tcPr>
            <w:tcW w:w="1147" w:type="dxa"/>
            <w:gridSpan w:val="3"/>
            <w:tcBorders>
              <w:top w:val="nil"/>
              <w:bottom w:val="nil"/>
            </w:tcBorders>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145</w:t>
            </w:r>
          </w:p>
        </w:tc>
        <w:tc>
          <w:tcPr>
            <w:tcW w:w="1146" w:type="dxa"/>
            <w:gridSpan w:val="2"/>
            <w:tcBorders>
              <w:top w:val="nil"/>
              <w:bottom w:val="nil"/>
            </w:tcBorders>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151</w:t>
            </w:r>
          </w:p>
        </w:tc>
        <w:tc>
          <w:tcPr>
            <w:tcW w:w="1147" w:type="dxa"/>
            <w:gridSpan w:val="2"/>
            <w:tcBorders>
              <w:top w:val="nil"/>
              <w:bottom w:val="nil"/>
            </w:tcBorders>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159</w:t>
            </w:r>
          </w:p>
        </w:tc>
        <w:tc>
          <w:tcPr>
            <w:tcW w:w="1146" w:type="dxa"/>
            <w:gridSpan w:val="3"/>
            <w:tcBorders>
              <w:top w:val="nil"/>
              <w:bottom w:val="nil"/>
            </w:tcBorders>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167</w:t>
            </w:r>
          </w:p>
        </w:tc>
        <w:tc>
          <w:tcPr>
            <w:tcW w:w="1147" w:type="dxa"/>
            <w:tcBorders>
              <w:top w:val="nil"/>
              <w:bottom w:val="nil"/>
            </w:tcBorders>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174</w:t>
            </w:r>
          </w:p>
        </w:tc>
      </w:tr>
      <w:tr w:rsidR="009916C7" w:rsidRPr="00292418" w:rsidTr="00256A8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4" w:type="dxa"/>
            <w:tcBorders>
              <w:bottom w:val="nil"/>
            </w:tcBorders>
            <w:shd w:val="clear" w:color="auto" w:fill="DBE5F1" w:themeFill="accent1" w:themeFillTint="33"/>
            <w:noWrap/>
            <w:hideMark/>
          </w:tcPr>
          <w:p w:rsidR="009916C7" w:rsidRPr="009916C7" w:rsidRDefault="009916C7" w:rsidP="00034C4F">
            <w:pPr>
              <w:pStyle w:val="AERtabletextleft"/>
            </w:pPr>
            <w:r w:rsidRPr="00947A42">
              <w:t>Price path (nominal index)</w:t>
            </w:r>
          </w:p>
        </w:tc>
        <w:tc>
          <w:tcPr>
            <w:tcW w:w="1146" w:type="dxa"/>
            <w:gridSpan w:val="2"/>
            <w:tcBorders>
              <w:bottom w:val="nil"/>
            </w:tcBorders>
            <w:shd w:val="clear" w:color="auto" w:fill="DBE5F1" w:themeFill="accent1" w:themeFillTint="33"/>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1.00</w:t>
            </w:r>
          </w:p>
        </w:tc>
        <w:tc>
          <w:tcPr>
            <w:tcW w:w="1147" w:type="dxa"/>
            <w:gridSpan w:val="3"/>
            <w:tcBorders>
              <w:bottom w:val="nil"/>
            </w:tcBorders>
            <w:shd w:val="clear" w:color="auto" w:fill="DBE5F1" w:themeFill="accent1" w:themeFillTint="33"/>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0.98</w:t>
            </w:r>
          </w:p>
        </w:tc>
        <w:tc>
          <w:tcPr>
            <w:tcW w:w="1146" w:type="dxa"/>
            <w:gridSpan w:val="2"/>
            <w:tcBorders>
              <w:bottom w:val="nil"/>
            </w:tcBorders>
            <w:shd w:val="clear" w:color="auto" w:fill="DBE5F1" w:themeFill="accent1" w:themeFillTint="33"/>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1.01</w:t>
            </w:r>
          </w:p>
        </w:tc>
        <w:tc>
          <w:tcPr>
            <w:tcW w:w="1147" w:type="dxa"/>
            <w:gridSpan w:val="2"/>
            <w:tcBorders>
              <w:bottom w:val="nil"/>
            </w:tcBorders>
            <w:shd w:val="clear" w:color="auto" w:fill="DBE5F1" w:themeFill="accent1" w:themeFillTint="33"/>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1.06</w:t>
            </w:r>
          </w:p>
        </w:tc>
        <w:tc>
          <w:tcPr>
            <w:tcW w:w="1146" w:type="dxa"/>
            <w:gridSpan w:val="3"/>
            <w:tcBorders>
              <w:bottom w:val="nil"/>
            </w:tcBorders>
            <w:shd w:val="clear" w:color="auto" w:fill="DBE5F1" w:themeFill="accent1" w:themeFillTint="33"/>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1.10</w:t>
            </w:r>
          </w:p>
        </w:tc>
        <w:tc>
          <w:tcPr>
            <w:tcW w:w="1147" w:type="dxa"/>
            <w:tcBorders>
              <w:bottom w:val="nil"/>
            </w:tcBorders>
            <w:shd w:val="clear" w:color="auto" w:fill="DBE5F1" w:themeFill="accent1" w:themeFillTint="33"/>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1.14</w:t>
            </w:r>
          </w:p>
        </w:tc>
      </w:tr>
      <w:tr w:rsidR="009916C7" w:rsidRPr="00292418" w:rsidTr="00256A85">
        <w:trPr>
          <w:trHeight w:val="300"/>
        </w:trPr>
        <w:tc>
          <w:tcPr>
            <w:cnfStyle w:val="001000000000" w:firstRow="0" w:lastRow="0" w:firstColumn="1" w:lastColumn="0" w:oddVBand="0" w:evenVBand="0" w:oddHBand="0" w:evenHBand="0" w:firstRowFirstColumn="0" w:firstRowLastColumn="0" w:lastRowFirstColumn="0" w:lastRowLastColumn="0"/>
            <w:tcW w:w="2324" w:type="dxa"/>
            <w:tcBorders>
              <w:top w:val="nil"/>
            </w:tcBorders>
            <w:shd w:val="clear" w:color="auto" w:fill="auto"/>
            <w:noWrap/>
            <w:hideMark/>
          </w:tcPr>
          <w:p w:rsidR="009916C7" w:rsidRPr="00947A42" w:rsidRDefault="009916C7" w:rsidP="009916C7">
            <w:pPr>
              <w:pStyle w:val="AERtabletextleft"/>
            </w:pPr>
            <w:r w:rsidRPr="00947A42">
              <w:t>Revenue (change %)</w:t>
            </w:r>
          </w:p>
        </w:tc>
        <w:tc>
          <w:tcPr>
            <w:tcW w:w="1146" w:type="dxa"/>
            <w:gridSpan w:val="2"/>
            <w:tcBorders>
              <w:top w:val="nil"/>
            </w:tcBorders>
            <w:shd w:val="clear" w:color="auto" w:fill="auto"/>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n</w:t>
            </w:r>
            <w:r w:rsidR="00034C4F">
              <w:t>/</w:t>
            </w:r>
            <w:r w:rsidRPr="00947A42">
              <w:t>a</w:t>
            </w:r>
          </w:p>
        </w:tc>
        <w:tc>
          <w:tcPr>
            <w:tcW w:w="1147" w:type="dxa"/>
            <w:gridSpan w:val="3"/>
            <w:tcBorders>
              <w:top w:val="nil"/>
            </w:tcBorders>
            <w:shd w:val="clear" w:color="auto" w:fill="auto"/>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-4.8%</w:t>
            </w:r>
          </w:p>
        </w:tc>
        <w:tc>
          <w:tcPr>
            <w:tcW w:w="1146" w:type="dxa"/>
            <w:gridSpan w:val="2"/>
            <w:tcBorders>
              <w:top w:val="nil"/>
            </w:tcBorders>
            <w:shd w:val="clear" w:color="auto" w:fill="auto"/>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3.8%</w:t>
            </w:r>
          </w:p>
        </w:tc>
        <w:tc>
          <w:tcPr>
            <w:tcW w:w="1147" w:type="dxa"/>
            <w:gridSpan w:val="2"/>
            <w:tcBorders>
              <w:top w:val="nil"/>
            </w:tcBorders>
            <w:shd w:val="clear" w:color="auto" w:fill="auto"/>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5.2%</w:t>
            </w:r>
          </w:p>
        </w:tc>
        <w:tc>
          <w:tcPr>
            <w:tcW w:w="1146" w:type="dxa"/>
            <w:gridSpan w:val="3"/>
            <w:tcBorders>
              <w:top w:val="nil"/>
            </w:tcBorders>
            <w:shd w:val="clear" w:color="auto" w:fill="auto"/>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5.2%</w:t>
            </w:r>
          </w:p>
        </w:tc>
        <w:tc>
          <w:tcPr>
            <w:tcW w:w="1147" w:type="dxa"/>
            <w:tcBorders>
              <w:top w:val="nil"/>
            </w:tcBorders>
            <w:shd w:val="clear" w:color="auto" w:fill="auto"/>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4.5%</w:t>
            </w:r>
          </w:p>
        </w:tc>
      </w:tr>
      <w:tr w:rsidR="009916C7" w:rsidRPr="00292418" w:rsidTr="00111EB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4" w:type="dxa"/>
            <w:noWrap/>
            <w:hideMark/>
          </w:tcPr>
          <w:p w:rsidR="009916C7" w:rsidRPr="00947A42" w:rsidRDefault="009916C7" w:rsidP="009916C7">
            <w:pPr>
              <w:pStyle w:val="AERtabletextleft"/>
            </w:pPr>
            <w:r w:rsidRPr="00947A42">
              <w:t>Price path (change %)</w:t>
            </w:r>
          </w:p>
        </w:tc>
        <w:tc>
          <w:tcPr>
            <w:tcW w:w="1146" w:type="dxa"/>
            <w:gridSpan w:val="2"/>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n</w:t>
            </w:r>
            <w:r w:rsidR="00034C4F">
              <w:t>/</w:t>
            </w:r>
            <w:r w:rsidRPr="00947A42">
              <w:t>a</w:t>
            </w:r>
          </w:p>
        </w:tc>
        <w:tc>
          <w:tcPr>
            <w:tcW w:w="1147" w:type="dxa"/>
            <w:gridSpan w:val="3"/>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-2.5%</w:t>
            </w:r>
          </w:p>
        </w:tc>
        <w:tc>
          <w:tcPr>
            <w:tcW w:w="1146" w:type="dxa"/>
            <w:gridSpan w:val="2"/>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4.0%</w:t>
            </w:r>
          </w:p>
        </w:tc>
        <w:tc>
          <w:tcPr>
            <w:tcW w:w="1147" w:type="dxa"/>
            <w:gridSpan w:val="2"/>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4.0%</w:t>
            </w:r>
          </w:p>
        </w:tc>
        <w:tc>
          <w:tcPr>
            <w:tcW w:w="1146" w:type="dxa"/>
            <w:gridSpan w:val="3"/>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4.0%</w:t>
            </w:r>
          </w:p>
        </w:tc>
        <w:tc>
          <w:tcPr>
            <w:tcW w:w="1147" w:type="dxa"/>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4.0%</w:t>
            </w:r>
          </w:p>
        </w:tc>
      </w:tr>
    </w:tbl>
    <w:p w:rsidR="009916C7" w:rsidRDefault="009916C7" w:rsidP="009916C7">
      <w:pPr>
        <w:pStyle w:val="AERtablesource"/>
      </w:pPr>
      <w:r>
        <w:t>Source:</w:t>
      </w:r>
      <w:r>
        <w:tab/>
        <w:t>AER analysis.</w:t>
      </w:r>
    </w:p>
    <w:p w:rsidR="009916C7" w:rsidRDefault="009916C7" w:rsidP="009916C7">
      <w:pPr>
        <w:pStyle w:val="AERtablesource"/>
      </w:pPr>
      <w:r>
        <w:t>Notes:</w:t>
      </w:r>
      <w:r>
        <w:tab/>
      </w:r>
      <w:r w:rsidRPr="00693A45">
        <w:t>Numbers may not sum due to rounding.</w:t>
      </w:r>
    </w:p>
    <w:p w:rsidR="009916C7" w:rsidRDefault="00EE6780" w:rsidP="009916C7">
      <w:pPr>
        <w:pStyle w:val="AERtablesource"/>
      </w:pPr>
      <w:r>
        <w:tab/>
      </w:r>
      <w:r w:rsidR="009916C7" w:rsidRPr="00E23963">
        <w:t>a.</w:t>
      </w:r>
      <w:r w:rsidR="009916C7" w:rsidRPr="00E23963">
        <w:tab/>
        <w:t xml:space="preserve">This figure has been adjusted to reflect only the (notional) distribution component of 2013–14 revenue. </w:t>
      </w:r>
    </w:p>
    <w:p w:rsidR="009916C7" w:rsidRDefault="00F27D91" w:rsidP="00F27D91">
      <w:pPr>
        <w:pStyle w:val="Caption"/>
        <w:jc w:val="left"/>
      </w:pPr>
      <w:bookmarkStart w:id="111" w:name="_Ref385252807"/>
      <w:bookmarkStart w:id="112" w:name="_Ref383423689"/>
      <w:r>
        <w:t xml:space="preserve">Table </w:t>
      </w:r>
      <w:r w:rsidR="00DD155E">
        <w:fldChar w:fldCharType="begin"/>
      </w:r>
      <w:r w:rsidR="00DD155E">
        <w:instrText xml:space="preserve"> STYLEREF 1 \s </w:instrText>
      </w:r>
      <w:r w:rsidR="00DD155E">
        <w:fldChar w:fldCharType="separate"/>
      </w:r>
      <w:r w:rsidR="00E313D7">
        <w:rPr>
          <w:noProof/>
        </w:rPr>
        <w:t>4</w:t>
      </w:r>
      <w:r w:rsidR="00DD155E">
        <w:rPr>
          <w:noProof/>
        </w:rPr>
        <w:fldChar w:fldCharType="end"/>
      </w:r>
      <w:r w:rsidR="00804FE8">
        <w:t>.</w:t>
      </w:r>
      <w:fldSimple w:instr=" SEQ Table \* ARABIC \s 1 ">
        <w:r w:rsidR="00E313D7">
          <w:rPr>
            <w:noProof/>
          </w:rPr>
          <w:t>11</w:t>
        </w:r>
      </w:fldSimple>
      <w:bookmarkEnd w:id="111"/>
      <w:r>
        <w:tab/>
      </w:r>
      <w:bookmarkEnd w:id="112"/>
      <w:r w:rsidR="009916C7" w:rsidRPr="00292418">
        <w:t xml:space="preserve">ActewAGL’s proposed revenue and price path and AER substituted revenue and price path – </w:t>
      </w:r>
      <w:r w:rsidR="009916C7">
        <w:t>transmission</w:t>
      </w:r>
    </w:p>
    <w:tbl>
      <w:tblPr>
        <w:tblStyle w:val="AERtable-numbers"/>
        <w:tblW w:w="9185" w:type="dxa"/>
        <w:tblLayout w:type="fixed"/>
        <w:tblLook w:val="04A0" w:firstRow="1" w:lastRow="0" w:firstColumn="1" w:lastColumn="0" w:noHBand="0" w:noVBand="1"/>
      </w:tblPr>
      <w:tblGrid>
        <w:gridCol w:w="2324"/>
        <w:gridCol w:w="737"/>
        <w:gridCol w:w="406"/>
        <w:gridCol w:w="207"/>
        <w:gridCol w:w="918"/>
        <w:gridCol w:w="19"/>
        <w:gridCol w:w="900"/>
        <w:gridCol w:w="243"/>
        <w:gridCol w:w="369"/>
        <w:gridCol w:w="775"/>
        <w:gridCol w:w="450"/>
        <w:gridCol w:w="306"/>
        <w:gridCol w:w="387"/>
        <w:gridCol w:w="1144"/>
      </w:tblGrid>
      <w:tr w:rsidR="009916C7" w:rsidRPr="00292418" w:rsidTr="00111EB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4" w:type="dxa"/>
            <w:noWrap/>
            <w:hideMark/>
          </w:tcPr>
          <w:p w:rsidR="009916C7" w:rsidRPr="00947A42" w:rsidRDefault="009916C7" w:rsidP="009916C7">
            <w:pPr>
              <w:pStyle w:val="AERtabletextleft"/>
            </w:pPr>
          </w:p>
        </w:tc>
        <w:tc>
          <w:tcPr>
            <w:tcW w:w="1143" w:type="dxa"/>
            <w:gridSpan w:val="2"/>
            <w:noWrap/>
            <w:hideMark/>
          </w:tcPr>
          <w:p w:rsidR="009916C7" w:rsidRPr="00947A42" w:rsidRDefault="009916C7" w:rsidP="009916C7">
            <w:pPr>
              <w:pStyle w:val="AERtabletextright"/>
              <w:cnfStyle w:val="100000000000" w:firstRow="1" w:lastRow="0" w:firstColumn="0" w:lastColumn="0" w:oddVBand="0" w:evenVBand="0" w:oddHBand="0" w:evenHBand="0" w:firstRowFirstColumn="0" w:firstRowLastColumn="0" w:lastRowFirstColumn="0" w:lastRowLastColumn="0"/>
            </w:pPr>
            <w:r w:rsidRPr="00947A42">
              <w:t>2013–14</w:t>
            </w:r>
          </w:p>
        </w:tc>
        <w:tc>
          <w:tcPr>
            <w:tcW w:w="1144" w:type="dxa"/>
            <w:gridSpan w:val="3"/>
            <w:noWrap/>
            <w:hideMark/>
          </w:tcPr>
          <w:p w:rsidR="009916C7" w:rsidRPr="00947A42" w:rsidRDefault="009916C7" w:rsidP="009916C7">
            <w:pPr>
              <w:pStyle w:val="AERtabletextright"/>
              <w:cnfStyle w:val="100000000000" w:firstRow="1" w:lastRow="0" w:firstColumn="0" w:lastColumn="0" w:oddVBand="0" w:evenVBand="0" w:oddHBand="0" w:evenHBand="0" w:firstRowFirstColumn="0" w:firstRowLastColumn="0" w:lastRowFirstColumn="0" w:lastRowLastColumn="0"/>
            </w:pPr>
            <w:r w:rsidRPr="00947A42">
              <w:t>2014–15</w:t>
            </w:r>
          </w:p>
        </w:tc>
        <w:tc>
          <w:tcPr>
            <w:tcW w:w="1143" w:type="dxa"/>
            <w:gridSpan w:val="2"/>
            <w:noWrap/>
            <w:hideMark/>
          </w:tcPr>
          <w:p w:rsidR="009916C7" w:rsidRPr="00947A42" w:rsidRDefault="009916C7" w:rsidP="009916C7">
            <w:pPr>
              <w:pStyle w:val="AERtabletextright"/>
              <w:cnfStyle w:val="100000000000" w:firstRow="1" w:lastRow="0" w:firstColumn="0" w:lastColumn="0" w:oddVBand="0" w:evenVBand="0" w:oddHBand="0" w:evenHBand="0" w:firstRowFirstColumn="0" w:firstRowLastColumn="0" w:lastRowFirstColumn="0" w:lastRowLastColumn="0"/>
            </w:pPr>
            <w:r w:rsidRPr="00947A42">
              <w:t>2015–16</w:t>
            </w:r>
          </w:p>
        </w:tc>
        <w:tc>
          <w:tcPr>
            <w:tcW w:w="1144" w:type="dxa"/>
            <w:gridSpan w:val="2"/>
            <w:noWrap/>
            <w:hideMark/>
          </w:tcPr>
          <w:p w:rsidR="009916C7" w:rsidRPr="00947A42" w:rsidRDefault="009916C7" w:rsidP="009916C7">
            <w:pPr>
              <w:pStyle w:val="AERtabletextright"/>
              <w:cnfStyle w:val="100000000000" w:firstRow="1" w:lastRow="0" w:firstColumn="0" w:lastColumn="0" w:oddVBand="0" w:evenVBand="0" w:oddHBand="0" w:evenHBand="0" w:firstRowFirstColumn="0" w:firstRowLastColumn="0" w:lastRowFirstColumn="0" w:lastRowLastColumn="0"/>
            </w:pPr>
            <w:r w:rsidRPr="00947A42">
              <w:t>2016–17</w:t>
            </w:r>
          </w:p>
        </w:tc>
        <w:tc>
          <w:tcPr>
            <w:tcW w:w="1143" w:type="dxa"/>
            <w:gridSpan w:val="3"/>
            <w:noWrap/>
            <w:hideMark/>
          </w:tcPr>
          <w:p w:rsidR="009916C7" w:rsidRPr="00947A42" w:rsidRDefault="009916C7" w:rsidP="009916C7">
            <w:pPr>
              <w:pStyle w:val="AERtabletextright"/>
              <w:cnfStyle w:val="100000000000" w:firstRow="1" w:lastRow="0" w:firstColumn="0" w:lastColumn="0" w:oddVBand="0" w:evenVBand="0" w:oddHBand="0" w:evenHBand="0" w:firstRowFirstColumn="0" w:firstRowLastColumn="0" w:lastRowFirstColumn="0" w:lastRowLastColumn="0"/>
            </w:pPr>
            <w:r w:rsidRPr="00947A42">
              <w:t>2017–18</w:t>
            </w:r>
          </w:p>
        </w:tc>
        <w:tc>
          <w:tcPr>
            <w:tcW w:w="1144" w:type="dxa"/>
            <w:noWrap/>
            <w:hideMark/>
          </w:tcPr>
          <w:p w:rsidR="009916C7" w:rsidRPr="00947A42" w:rsidRDefault="009916C7" w:rsidP="009916C7">
            <w:pPr>
              <w:pStyle w:val="AERtabletextright"/>
              <w:cnfStyle w:val="100000000000" w:firstRow="1" w:lastRow="0" w:firstColumn="0" w:lastColumn="0" w:oddVBand="0" w:evenVBand="0" w:oddHBand="0" w:evenHBand="0" w:firstRowFirstColumn="0" w:firstRowLastColumn="0" w:lastRowFirstColumn="0" w:lastRowLastColumn="0"/>
            </w:pPr>
            <w:r w:rsidRPr="00947A42">
              <w:t>2018–19</w:t>
            </w:r>
          </w:p>
        </w:tc>
      </w:tr>
      <w:tr w:rsidR="009916C7" w:rsidRPr="001972A0" w:rsidTr="00111EB1">
        <w:trPr>
          <w:trHeight w:val="300"/>
        </w:trPr>
        <w:tc>
          <w:tcPr>
            <w:cnfStyle w:val="001000000000" w:firstRow="0" w:lastRow="0" w:firstColumn="1" w:lastColumn="0" w:oddVBand="0" w:evenVBand="0" w:oddHBand="0" w:evenHBand="0" w:firstRowFirstColumn="0" w:firstRowLastColumn="0" w:lastRowFirstColumn="0" w:lastRowLastColumn="0"/>
            <w:tcW w:w="3061" w:type="dxa"/>
            <w:gridSpan w:val="2"/>
            <w:shd w:val="clear" w:color="auto" w:fill="auto"/>
            <w:noWrap/>
            <w:hideMark/>
          </w:tcPr>
          <w:p w:rsidR="009916C7" w:rsidRPr="009916C7" w:rsidRDefault="009916C7" w:rsidP="009916C7">
            <w:pPr>
              <w:pStyle w:val="AERtabletextleft"/>
              <w:rPr>
                <w:rStyle w:val="AERtextbold"/>
              </w:rPr>
            </w:pPr>
            <w:r w:rsidRPr="001972A0">
              <w:rPr>
                <w:rStyle w:val="AERtextbold"/>
              </w:rPr>
              <w:t>Proposed revenue and price path</w:t>
            </w:r>
          </w:p>
        </w:tc>
        <w:tc>
          <w:tcPr>
            <w:tcW w:w="1531" w:type="dxa"/>
            <w:gridSpan w:val="3"/>
            <w:shd w:val="clear" w:color="auto" w:fill="auto"/>
            <w:noWrap/>
            <w:hideMark/>
          </w:tcPr>
          <w:p w:rsidR="009916C7" w:rsidRPr="001972A0" w:rsidRDefault="009916C7" w:rsidP="009916C7">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p>
        </w:tc>
        <w:tc>
          <w:tcPr>
            <w:tcW w:w="1531" w:type="dxa"/>
            <w:gridSpan w:val="4"/>
            <w:shd w:val="clear" w:color="auto" w:fill="auto"/>
            <w:noWrap/>
            <w:hideMark/>
          </w:tcPr>
          <w:p w:rsidR="009916C7" w:rsidRPr="001972A0" w:rsidRDefault="009916C7" w:rsidP="009916C7">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p>
        </w:tc>
        <w:tc>
          <w:tcPr>
            <w:tcW w:w="1531" w:type="dxa"/>
            <w:gridSpan w:val="3"/>
            <w:shd w:val="clear" w:color="auto" w:fill="auto"/>
            <w:noWrap/>
            <w:hideMark/>
          </w:tcPr>
          <w:p w:rsidR="009916C7" w:rsidRPr="001972A0" w:rsidRDefault="009916C7" w:rsidP="009916C7">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p>
        </w:tc>
        <w:tc>
          <w:tcPr>
            <w:tcW w:w="1531" w:type="dxa"/>
            <w:gridSpan w:val="2"/>
            <w:shd w:val="clear" w:color="auto" w:fill="auto"/>
            <w:noWrap/>
            <w:hideMark/>
          </w:tcPr>
          <w:p w:rsidR="009916C7" w:rsidRPr="001972A0" w:rsidRDefault="009916C7" w:rsidP="009916C7">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p>
        </w:tc>
      </w:tr>
      <w:tr w:rsidR="009916C7" w:rsidRPr="00292418" w:rsidTr="00111EB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4" w:type="dxa"/>
            <w:noWrap/>
            <w:hideMark/>
          </w:tcPr>
          <w:p w:rsidR="009916C7" w:rsidRPr="00947A42" w:rsidRDefault="009916C7" w:rsidP="009916C7">
            <w:pPr>
              <w:pStyle w:val="AERtabletextleft"/>
            </w:pPr>
            <w:r w:rsidRPr="00947A42">
              <w:t>Revenue ($m, nominal)</w:t>
            </w:r>
          </w:p>
        </w:tc>
        <w:tc>
          <w:tcPr>
            <w:tcW w:w="1143" w:type="dxa"/>
            <w:gridSpan w:val="2"/>
            <w:noWrap/>
            <w:hideMark/>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28</w:t>
            </w:r>
            <w:r w:rsidRPr="009916C7">
              <w:rPr>
                <w:rStyle w:val="AERsuperscript"/>
              </w:rPr>
              <w:t>a</w:t>
            </w:r>
          </w:p>
        </w:tc>
        <w:tc>
          <w:tcPr>
            <w:tcW w:w="1144" w:type="dxa"/>
            <w:gridSpan w:val="3"/>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30</w:t>
            </w:r>
          </w:p>
        </w:tc>
        <w:tc>
          <w:tcPr>
            <w:tcW w:w="1143" w:type="dxa"/>
            <w:gridSpan w:val="2"/>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33</w:t>
            </w:r>
          </w:p>
        </w:tc>
        <w:tc>
          <w:tcPr>
            <w:tcW w:w="1144" w:type="dxa"/>
            <w:gridSpan w:val="2"/>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35</w:t>
            </w:r>
          </w:p>
        </w:tc>
        <w:tc>
          <w:tcPr>
            <w:tcW w:w="1143" w:type="dxa"/>
            <w:gridSpan w:val="3"/>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38</w:t>
            </w:r>
          </w:p>
        </w:tc>
        <w:tc>
          <w:tcPr>
            <w:tcW w:w="1144" w:type="dxa"/>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41</w:t>
            </w:r>
          </w:p>
        </w:tc>
      </w:tr>
      <w:tr w:rsidR="009916C7" w:rsidRPr="00292418" w:rsidTr="00256A85">
        <w:trPr>
          <w:trHeight w:val="300"/>
        </w:trPr>
        <w:tc>
          <w:tcPr>
            <w:cnfStyle w:val="001000000000" w:firstRow="0" w:lastRow="0" w:firstColumn="1" w:lastColumn="0" w:oddVBand="0" w:evenVBand="0" w:oddHBand="0" w:evenHBand="0" w:firstRowFirstColumn="0" w:firstRowLastColumn="0" w:lastRowFirstColumn="0" w:lastRowLastColumn="0"/>
            <w:tcW w:w="2324" w:type="dxa"/>
            <w:tcBorders>
              <w:bottom w:val="nil"/>
            </w:tcBorders>
            <w:shd w:val="clear" w:color="auto" w:fill="auto"/>
            <w:noWrap/>
            <w:hideMark/>
          </w:tcPr>
          <w:p w:rsidR="009916C7" w:rsidRPr="009916C7" w:rsidRDefault="009916C7" w:rsidP="00034C4F">
            <w:pPr>
              <w:pStyle w:val="AERtabletextleft"/>
            </w:pPr>
            <w:r w:rsidRPr="00947A42">
              <w:t>Price path (nominal index)</w:t>
            </w:r>
          </w:p>
        </w:tc>
        <w:tc>
          <w:tcPr>
            <w:tcW w:w="1143" w:type="dxa"/>
            <w:gridSpan w:val="2"/>
            <w:tcBorders>
              <w:bottom w:val="nil"/>
            </w:tcBorders>
            <w:shd w:val="clear" w:color="auto" w:fill="auto"/>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1.00</w:t>
            </w:r>
          </w:p>
        </w:tc>
        <w:tc>
          <w:tcPr>
            <w:tcW w:w="1144" w:type="dxa"/>
            <w:gridSpan w:val="3"/>
            <w:tcBorders>
              <w:bottom w:val="nil"/>
            </w:tcBorders>
            <w:shd w:val="clear" w:color="auto" w:fill="auto"/>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1.07</w:t>
            </w:r>
          </w:p>
        </w:tc>
        <w:tc>
          <w:tcPr>
            <w:tcW w:w="1143" w:type="dxa"/>
            <w:gridSpan w:val="2"/>
            <w:tcBorders>
              <w:bottom w:val="nil"/>
            </w:tcBorders>
            <w:shd w:val="clear" w:color="auto" w:fill="auto"/>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1.16</w:t>
            </w:r>
          </w:p>
        </w:tc>
        <w:tc>
          <w:tcPr>
            <w:tcW w:w="1144" w:type="dxa"/>
            <w:gridSpan w:val="2"/>
            <w:tcBorders>
              <w:bottom w:val="nil"/>
            </w:tcBorders>
            <w:shd w:val="clear" w:color="auto" w:fill="auto"/>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1.24</w:t>
            </w:r>
          </w:p>
        </w:tc>
        <w:tc>
          <w:tcPr>
            <w:tcW w:w="1143" w:type="dxa"/>
            <w:gridSpan w:val="3"/>
            <w:tcBorders>
              <w:bottom w:val="nil"/>
            </w:tcBorders>
            <w:shd w:val="clear" w:color="auto" w:fill="auto"/>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1.33</w:t>
            </w:r>
          </w:p>
        </w:tc>
        <w:tc>
          <w:tcPr>
            <w:tcW w:w="1144" w:type="dxa"/>
            <w:tcBorders>
              <w:bottom w:val="nil"/>
            </w:tcBorders>
            <w:shd w:val="clear" w:color="auto" w:fill="auto"/>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1.41</w:t>
            </w:r>
          </w:p>
        </w:tc>
      </w:tr>
      <w:tr w:rsidR="009916C7" w:rsidRPr="00292418" w:rsidTr="00256A8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4" w:type="dxa"/>
            <w:tcBorders>
              <w:bottom w:val="nil"/>
            </w:tcBorders>
            <w:shd w:val="clear" w:color="auto" w:fill="DBE5F1" w:themeFill="accent1" w:themeFillTint="33"/>
            <w:noWrap/>
            <w:hideMark/>
          </w:tcPr>
          <w:p w:rsidR="009916C7" w:rsidRPr="00947A42" w:rsidRDefault="009916C7" w:rsidP="009916C7">
            <w:pPr>
              <w:pStyle w:val="AERtabletextleft"/>
            </w:pPr>
            <w:r w:rsidRPr="00947A42">
              <w:t>Revenue (change %)</w:t>
            </w:r>
          </w:p>
        </w:tc>
        <w:tc>
          <w:tcPr>
            <w:tcW w:w="1143" w:type="dxa"/>
            <w:gridSpan w:val="2"/>
            <w:tcBorders>
              <w:bottom w:val="nil"/>
            </w:tcBorders>
            <w:shd w:val="clear" w:color="auto" w:fill="DBE5F1" w:themeFill="accent1" w:themeFillTint="33"/>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n</w:t>
            </w:r>
            <w:r w:rsidR="00034C4F">
              <w:t>/</w:t>
            </w:r>
            <w:r w:rsidRPr="00947A42">
              <w:t>a</w:t>
            </w:r>
          </w:p>
        </w:tc>
        <w:tc>
          <w:tcPr>
            <w:tcW w:w="1144" w:type="dxa"/>
            <w:gridSpan w:val="3"/>
            <w:tcBorders>
              <w:bottom w:val="nil"/>
            </w:tcBorders>
            <w:shd w:val="clear" w:color="auto" w:fill="DBE5F1" w:themeFill="accent1" w:themeFillTint="33"/>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7.8%</w:t>
            </w:r>
          </w:p>
        </w:tc>
        <w:tc>
          <w:tcPr>
            <w:tcW w:w="1143" w:type="dxa"/>
            <w:gridSpan w:val="2"/>
            <w:tcBorders>
              <w:bottom w:val="nil"/>
            </w:tcBorders>
            <w:shd w:val="clear" w:color="auto" w:fill="DBE5F1" w:themeFill="accent1" w:themeFillTint="33"/>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7.8%</w:t>
            </w:r>
          </w:p>
        </w:tc>
        <w:tc>
          <w:tcPr>
            <w:tcW w:w="1144" w:type="dxa"/>
            <w:gridSpan w:val="2"/>
            <w:tcBorders>
              <w:bottom w:val="nil"/>
            </w:tcBorders>
            <w:shd w:val="clear" w:color="auto" w:fill="DBE5F1" w:themeFill="accent1" w:themeFillTint="33"/>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7.8%</w:t>
            </w:r>
          </w:p>
        </w:tc>
        <w:tc>
          <w:tcPr>
            <w:tcW w:w="1143" w:type="dxa"/>
            <w:gridSpan w:val="3"/>
            <w:tcBorders>
              <w:bottom w:val="nil"/>
            </w:tcBorders>
            <w:shd w:val="clear" w:color="auto" w:fill="DBE5F1" w:themeFill="accent1" w:themeFillTint="33"/>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7.8%</w:t>
            </w:r>
          </w:p>
        </w:tc>
        <w:tc>
          <w:tcPr>
            <w:tcW w:w="1144" w:type="dxa"/>
            <w:tcBorders>
              <w:bottom w:val="nil"/>
            </w:tcBorders>
            <w:shd w:val="clear" w:color="auto" w:fill="DBE5F1" w:themeFill="accent1" w:themeFillTint="33"/>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7.8%</w:t>
            </w:r>
          </w:p>
        </w:tc>
      </w:tr>
      <w:tr w:rsidR="009916C7" w:rsidRPr="00292418" w:rsidTr="00256A85">
        <w:trPr>
          <w:trHeight w:val="300"/>
        </w:trPr>
        <w:tc>
          <w:tcPr>
            <w:cnfStyle w:val="001000000000" w:firstRow="0" w:lastRow="0" w:firstColumn="1" w:lastColumn="0" w:oddVBand="0" w:evenVBand="0" w:oddHBand="0" w:evenHBand="0" w:firstRowFirstColumn="0" w:firstRowLastColumn="0" w:lastRowFirstColumn="0" w:lastRowLastColumn="0"/>
            <w:tcW w:w="2324" w:type="dxa"/>
            <w:tcBorders>
              <w:top w:val="nil"/>
              <w:bottom w:val="nil"/>
            </w:tcBorders>
            <w:noWrap/>
            <w:hideMark/>
          </w:tcPr>
          <w:p w:rsidR="009916C7" w:rsidRPr="00947A42" w:rsidRDefault="009916C7" w:rsidP="009916C7">
            <w:pPr>
              <w:pStyle w:val="AERtabletextleft"/>
            </w:pPr>
            <w:r w:rsidRPr="00947A42">
              <w:t>Price path (change %)</w:t>
            </w:r>
          </w:p>
        </w:tc>
        <w:tc>
          <w:tcPr>
            <w:tcW w:w="1143" w:type="dxa"/>
            <w:gridSpan w:val="2"/>
            <w:tcBorders>
              <w:top w:val="nil"/>
              <w:bottom w:val="nil"/>
            </w:tcBorders>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n</w:t>
            </w:r>
            <w:r w:rsidR="00034C4F">
              <w:t>/</w:t>
            </w:r>
            <w:r w:rsidRPr="00947A42">
              <w:t>a</w:t>
            </w:r>
          </w:p>
        </w:tc>
        <w:tc>
          <w:tcPr>
            <w:tcW w:w="1144" w:type="dxa"/>
            <w:gridSpan w:val="3"/>
            <w:tcBorders>
              <w:top w:val="nil"/>
              <w:bottom w:val="nil"/>
            </w:tcBorders>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7.5%</w:t>
            </w:r>
          </w:p>
        </w:tc>
        <w:tc>
          <w:tcPr>
            <w:tcW w:w="1143" w:type="dxa"/>
            <w:gridSpan w:val="2"/>
            <w:tcBorders>
              <w:top w:val="nil"/>
              <w:bottom w:val="nil"/>
            </w:tcBorders>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7.7%</w:t>
            </w:r>
          </w:p>
        </w:tc>
        <w:tc>
          <w:tcPr>
            <w:tcW w:w="1144" w:type="dxa"/>
            <w:gridSpan w:val="2"/>
            <w:tcBorders>
              <w:top w:val="nil"/>
              <w:bottom w:val="nil"/>
            </w:tcBorders>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7.2%</w:t>
            </w:r>
          </w:p>
        </w:tc>
        <w:tc>
          <w:tcPr>
            <w:tcW w:w="1143" w:type="dxa"/>
            <w:gridSpan w:val="3"/>
            <w:tcBorders>
              <w:top w:val="nil"/>
              <w:bottom w:val="nil"/>
            </w:tcBorders>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6.9%</w:t>
            </w:r>
          </w:p>
        </w:tc>
        <w:tc>
          <w:tcPr>
            <w:tcW w:w="1144" w:type="dxa"/>
            <w:tcBorders>
              <w:top w:val="nil"/>
              <w:bottom w:val="nil"/>
            </w:tcBorders>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6.6%</w:t>
            </w:r>
          </w:p>
        </w:tc>
      </w:tr>
      <w:tr w:rsidR="009916C7" w:rsidRPr="001972A0" w:rsidTr="00256A8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74" w:type="dxa"/>
            <w:gridSpan w:val="4"/>
            <w:tcBorders>
              <w:bottom w:val="nil"/>
            </w:tcBorders>
            <w:shd w:val="clear" w:color="auto" w:fill="DBE5F1" w:themeFill="accent1" w:themeFillTint="33"/>
            <w:noWrap/>
            <w:hideMark/>
          </w:tcPr>
          <w:p w:rsidR="009916C7" w:rsidRPr="009916C7" w:rsidRDefault="009916C7" w:rsidP="009916C7">
            <w:pPr>
              <w:pStyle w:val="AERtabletextleft"/>
              <w:rPr>
                <w:rStyle w:val="AERtextbold"/>
              </w:rPr>
            </w:pPr>
            <w:r w:rsidRPr="001972A0">
              <w:rPr>
                <w:rStyle w:val="AERtextbold"/>
              </w:rPr>
              <w:t>AER substitute revenue and price path</w:t>
            </w:r>
          </w:p>
        </w:tc>
        <w:tc>
          <w:tcPr>
            <w:tcW w:w="1837" w:type="dxa"/>
            <w:gridSpan w:val="3"/>
            <w:tcBorders>
              <w:bottom w:val="nil"/>
            </w:tcBorders>
            <w:shd w:val="clear" w:color="auto" w:fill="DBE5F1" w:themeFill="accent1" w:themeFillTint="33"/>
            <w:noWrap/>
            <w:hideMark/>
          </w:tcPr>
          <w:p w:rsidR="009916C7" w:rsidRPr="001972A0" w:rsidRDefault="009916C7" w:rsidP="009916C7">
            <w:pPr>
              <w:pStyle w:val="AERtabletextleft"/>
              <w:cnfStyle w:val="000000010000" w:firstRow="0" w:lastRow="0" w:firstColumn="0" w:lastColumn="0" w:oddVBand="0" w:evenVBand="0" w:oddHBand="0" w:evenHBand="1" w:firstRowFirstColumn="0" w:firstRowLastColumn="0" w:lastRowFirstColumn="0" w:lastRowLastColumn="0"/>
              <w:rPr>
                <w:rStyle w:val="AERtextbold"/>
              </w:rPr>
            </w:pPr>
          </w:p>
        </w:tc>
        <w:tc>
          <w:tcPr>
            <w:tcW w:w="1837" w:type="dxa"/>
            <w:gridSpan w:val="4"/>
            <w:tcBorders>
              <w:bottom w:val="nil"/>
            </w:tcBorders>
            <w:shd w:val="clear" w:color="auto" w:fill="DBE5F1" w:themeFill="accent1" w:themeFillTint="33"/>
            <w:noWrap/>
            <w:hideMark/>
          </w:tcPr>
          <w:p w:rsidR="009916C7" w:rsidRPr="001972A0" w:rsidRDefault="009916C7" w:rsidP="009916C7">
            <w:pPr>
              <w:pStyle w:val="AERtabletextleft"/>
              <w:cnfStyle w:val="000000010000" w:firstRow="0" w:lastRow="0" w:firstColumn="0" w:lastColumn="0" w:oddVBand="0" w:evenVBand="0" w:oddHBand="0" w:evenHBand="1" w:firstRowFirstColumn="0" w:firstRowLastColumn="0" w:lastRowFirstColumn="0" w:lastRowLastColumn="0"/>
              <w:rPr>
                <w:rStyle w:val="AERtextbold"/>
              </w:rPr>
            </w:pPr>
          </w:p>
        </w:tc>
        <w:tc>
          <w:tcPr>
            <w:tcW w:w="1837" w:type="dxa"/>
            <w:gridSpan w:val="3"/>
            <w:tcBorders>
              <w:bottom w:val="nil"/>
            </w:tcBorders>
            <w:shd w:val="clear" w:color="auto" w:fill="DBE5F1" w:themeFill="accent1" w:themeFillTint="33"/>
            <w:noWrap/>
            <w:hideMark/>
          </w:tcPr>
          <w:p w:rsidR="009916C7" w:rsidRPr="001972A0" w:rsidRDefault="009916C7" w:rsidP="009916C7">
            <w:pPr>
              <w:pStyle w:val="AERtabletextleft"/>
              <w:cnfStyle w:val="000000010000" w:firstRow="0" w:lastRow="0" w:firstColumn="0" w:lastColumn="0" w:oddVBand="0" w:evenVBand="0" w:oddHBand="0" w:evenHBand="1" w:firstRowFirstColumn="0" w:firstRowLastColumn="0" w:lastRowFirstColumn="0" w:lastRowLastColumn="0"/>
              <w:rPr>
                <w:rStyle w:val="AERtextbold"/>
              </w:rPr>
            </w:pPr>
          </w:p>
        </w:tc>
      </w:tr>
      <w:tr w:rsidR="009916C7" w:rsidRPr="00292418" w:rsidTr="00256A85">
        <w:trPr>
          <w:trHeight w:val="300"/>
        </w:trPr>
        <w:tc>
          <w:tcPr>
            <w:cnfStyle w:val="001000000000" w:firstRow="0" w:lastRow="0" w:firstColumn="1" w:lastColumn="0" w:oddVBand="0" w:evenVBand="0" w:oddHBand="0" w:evenHBand="0" w:firstRowFirstColumn="0" w:firstRowLastColumn="0" w:lastRowFirstColumn="0" w:lastRowLastColumn="0"/>
            <w:tcW w:w="2324" w:type="dxa"/>
            <w:tcBorders>
              <w:top w:val="nil"/>
              <w:bottom w:val="nil"/>
            </w:tcBorders>
            <w:noWrap/>
            <w:hideMark/>
          </w:tcPr>
          <w:p w:rsidR="009916C7" w:rsidRPr="00947A42" w:rsidRDefault="009916C7" w:rsidP="009916C7">
            <w:pPr>
              <w:pStyle w:val="AERtabletextleft"/>
            </w:pPr>
            <w:r w:rsidRPr="00947A42">
              <w:t>Revenue ($m, nominal)</w:t>
            </w:r>
          </w:p>
        </w:tc>
        <w:tc>
          <w:tcPr>
            <w:tcW w:w="1143" w:type="dxa"/>
            <w:gridSpan w:val="2"/>
            <w:tcBorders>
              <w:top w:val="nil"/>
              <w:bottom w:val="nil"/>
            </w:tcBorders>
            <w:noWrap/>
            <w:hideMark/>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28</w:t>
            </w:r>
            <w:r w:rsidRPr="009916C7">
              <w:rPr>
                <w:rStyle w:val="AERsuperscript"/>
              </w:rPr>
              <w:t>a</w:t>
            </w:r>
          </w:p>
        </w:tc>
        <w:tc>
          <w:tcPr>
            <w:tcW w:w="1144" w:type="dxa"/>
            <w:gridSpan w:val="3"/>
            <w:tcBorders>
              <w:top w:val="nil"/>
              <w:bottom w:val="nil"/>
            </w:tcBorders>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28</w:t>
            </w:r>
          </w:p>
        </w:tc>
        <w:tc>
          <w:tcPr>
            <w:tcW w:w="1143" w:type="dxa"/>
            <w:gridSpan w:val="2"/>
            <w:tcBorders>
              <w:top w:val="nil"/>
              <w:bottom w:val="nil"/>
            </w:tcBorders>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30</w:t>
            </w:r>
          </w:p>
        </w:tc>
        <w:tc>
          <w:tcPr>
            <w:tcW w:w="1144" w:type="dxa"/>
            <w:gridSpan w:val="2"/>
            <w:tcBorders>
              <w:top w:val="nil"/>
              <w:bottom w:val="nil"/>
            </w:tcBorders>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33</w:t>
            </w:r>
          </w:p>
        </w:tc>
        <w:tc>
          <w:tcPr>
            <w:tcW w:w="1143" w:type="dxa"/>
            <w:gridSpan w:val="3"/>
            <w:tcBorders>
              <w:top w:val="nil"/>
              <w:bottom w:val="nil"/>
            </w:tcBorders>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35</w:t>
            </w:r>
          </w:p>
        </w:tc>
        <w:tc>
          <w:tcPr>
            <w:tcW w:w="1144" w:type="dxa"/>
            <w:tcBorders>
              <w:top w:val="nil"/>
              <w:bottom w:val="nil"/>
            </w:tcBorders>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38</w:t>
            </w:r>
          </w:p>
        </w:tc>
      </w:tr>
      <w:tr w:rsidR="009916C7" w:rsidRPr="00292418" w:rsidTr="00256A8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4" w:type="dxa"/>
            <w:tcBorders>
              <w:bottom w:val="nil"/>
            </w:tcBorders>
            <w:shd w:val="clear" w:color="auto" w:fill="DBE5F1" w:themeFill="accent1" w:themeFillTint="33"/>
            <w:noWrap/>
            <w:hideMark/>
          </w:tcPr>
          <w:p w:rsidR="009916C7" w:rsidRPr="009916C7" w:rsidRDefault="009916C7" w:rsidP="009916C7">
            <w:pPr>
              <w:pStyle w:val="AERtabletextleft"/>
            </w:pPr>
            <w:r w:rsidRPr="00292418">
              <w:t>Price path (nominal index)</w:t>
            </w:r>
          </w:p>
        </w:tc>
        <w:tc>
          <w:tcPr>
            <w:tcW w:w="1143" w:type="dxa"/>
            <w:gridSpan w:val="2"/>
            <w:tcBorders>
              <w:bottom w:val="nil"/>
            </w:tcBorders>
            <w:shd w:val="clear" w:color="auto" w:fill="DBE5F1" w:themeFill="accent1" w:themeFillTint="33"/>
            <w:noWrap/>
            <w:hideMark/>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92418">
              <w:t>1.00</w:t>
            </w:r>
          </w:p>
        </w:tc>
        <w:tc>
          <w:tcPr>
            <w:tcW w:w="1144" w:type="dxa"/>
            <w:gridSpan w:val="3"/>
            <w:tcBorders>
              <w:bottom w:val="nil"/>
            </w:tcBorders>
            <w:shd w:val="clear" w:color="auto" w:fill="DBE5F1" w:themeFill="accent1" w:themeFillTint="33"/>
            <w:noWrap/>
            <w:hideMark/>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92418">
              <w:t>1.00</w:t>
            </w:r>
          </w:p>
        </w:tc>
        <w:tc>
          <w:tcPr>
            <w:tcW w:w="1143" w:type="dxa"/>
            <w:gridSpan w:val="2"/>
            <w:tcBorders>
              <w:bottom w:val="nil"/>
            </w:tcBorders>
            <w:shd w:val="clear" w:color="auto" w:fill="DBE5F1" w:themeFill="accent1" w:themeFillTint="33"/>
            <w:noWrap/>
            <w:hideMark/>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92418">
              <w:t>1.08</w:t>
            </w:r>
          </w:p>
        </w:tc>
        <w:tc>
          <w:tcPr>
            <w:tcW w:w="1144" w:type="dxa"/>
            <w:gridSpan w:val="2"/>
            <w:tcBorders>
              <w:bottom w:val="nil"/>
            </w:tcBorders>
            <w:shd w:val="clear" w:color="auto" w:fill="DBE5F1" w:themeFill="accent1" w:themeFillTint="33"/>
            <w:noWrap/>
            <w:hideMark/>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92418">
              <w:t>1.16</w:t>
            </w:r>
          </w:p>
        </w:tc>
        <w:tc>
          <w:tcPr>
            <w:tcW w:w="1143" w:type="dxa"/>
            <w:gridSpan w:val="3"/>
            <w:tcBorders>
              <w:bottom w:val="nil"/>
            </w:tcBorders>
            <w:shd w:val="clear" w:color="auto" w:fill="DBE5F1" w:themeFill="accent1" w:themeFillTint="33"/>
            <w:noWrap/>
            <w:hideMark/>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92418">
              <w:t>1.24</w:t>
            </w:r>
          </w:p>
        </w:tc>
        <w:tc>
          <w:tcPr>
            <w:tcW w:w="1144" w:type="dxa"/>
            <w:tcBorders>
              <w:bottom w:val="nil"/>
            </w:tcBorders>
            <w:shd w:val="clear" w:color="auto" w:fill="DBE5F1" w:themeFill="accent1" w:themeFillTint="33"/>
            <w:noWrap/>
            <w:hideMark/>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92418">
              <w:t>1.32</w:t>
            </w:r>
          </w:p>
        </w:tc>
      </w:tr>
      <w:tr w:rsidR="009916C7" w:rsidRPr="00292418" w:rsidTr="00256A85">
        <w:trPr>
          <w:trHeight w:val="300"/>
        </w:trPr>
        <w:tc>
          <w:tcPr>
            <w:cnfStyle w:val="001000000000" w:firstRow="0" w:lastRow="0" w:firstColumn="1" w:lastColumn="0" w:oddVBand="0" w:evenVBand="0" w:oddHBand="0" w:evenHBand="0" w:firstRowFirstColumn="0" w:firstRowLastColumn="0" w:lastRowFirstColumn="0" w:lastRowLastColumn="0"/>
            <w:tcW w:w="2324" w:type="dxa"/>
            <w:tcBorders>
              <w:top w:val="nil"/>
            </w:tcBorders>
            <w:shd w:val="clear" w:color="auto" w:fill="auto"/>
            <w:noWrap/>
            <w:hideMark/>
          </w:tcPr>
          <w:p w:rsidR="009916C7" w:rsidRPr="00947A42" w:rsidRDefault="009916C7" w:rsidP="009916C7">
            <w:pPr>
              <w:pStyle w:val="AERtabletextleft"/>
            </w:pPr>
            <w:r w:rsidRPr="00947A42">
              <w:t>Revenue (change %)</w:t>
            </w:r>
          </w:p>
        </w:tc>
        <w:tc>
          <w:tcPr>
            <w:tcW w:w="1143" w:type="dxa"/>
            <w:gridSpan w:val="2"/>
            <w:tcBorders>
              <w:top w:val="nil"/>
            </w:tcBorders>
            <w:shd w:val="clear" w:color="auto" w:fill="auto"/>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n</w:t>
            </w:r>
            <w:r w:rsidR="00034C4F">
              <w:t>/</w:t>
            </w:r>
            <w:r w:rsidRPr="00947A42">
              <w:t>a</w:t>
            </w:r>
          </w:p>
        </w:tc>
        <w:tc>
          <w:tcPr>
            <w:tcW w:w="1144" w:type="dxa"/>
            <w:gridSpan w:val="3"/>
            <w:tcBorders>
              <w:top w:val="nil"/>
            </w:tcBorders>
            <w:shd w:val="clear" w:color="auto" w:fill="auto"/>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0.4%</w:t>
            </w:r>
          </w:p>
        </w:tc>
        <w:tc>
          <w:tcPr>
            <w:tcW w:w="1143" w:type="dxa"/>
            <w:gridSpan w:val="2"/>
            <w:tcBorders>
              <w:top w:val="nil"/>
            </w:tcBorders>
            <w:shd w:val="clear" w:color="auto" w:fill="auto"/>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7.8%</w:t>
            </w:r>
          </w:p>
        </w:tc>
        <w:tc>
          <w:tcPr>
            <w:tcW w:w="1144" w:type="dxa"/>
            <w:gridSpan w:val="2"/>
            <w:tcBorders>
              <w:top w:val="nil"/>
            </w:tcBorders>
            <w:shd w:val="clear" w:color="auto" w:fill="auto"/>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7.8%</w:t>
            </w:r>
          </w:p>
        </w:tc>
        <w:tc>
          <w:tcPr>
            <w:tcW w:w="1143" w:type="dxa"/>
            <w:gridSpan w:val="3"/>
            <w:tcBorders>
              <w:top w:val="nil"/>
            </w:tcBorders>
            <w:shd w:val="clear" w:color="auto" w:fill="auto"/>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7.8%</w:t>
            </w:r>
          </w:p>
        </w:tc>
        <w:tc>
          <w:tcPr>
            <w:tcW w:w="1144" w:type="dxa"/>
            <w:tcBorders>
              <w:top w:val="nil"/>
            </w:tcBorders>
            <w:shd w:val="clear" w:color="auto" w:fill="auto"/>
            <w:noWrap/>
            <w:hideMark/>
          </w:tcPr>
          <w:p w:rsidR="009916C7" w:rsidRPr="00947A4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947A42">
              <w:t>7.8%</w:t>
            </w:r>
          </w:p>
        </w:tc>
      </w:tr>
      <w:tr w:rsidR="009916C7" w:rsidRPr="00292418" w:rsidTr="00111EB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4" w:type="dxa"/>
            <w:noWrap/>
            <w:hideMark/>
          </w:tcPr>
          <w:p w:rsidR="009916C7" w:rsidRPr="00947A42" w:rsidRDefault="009916C7" w:rsidP="009916C7">
            <w:pPr>
              <w:pStyle w:val="AERtabletextleft"/>
            </w:pPr>
            <w:r w:rsidRPr="00947A42">
              <w:t>Price path (change %)</w:t>
            </w:r>
          </w:p>
        </w:tc>
        <w:tc>
          <w:tcPr>
            <w:tcW w:w="1143" w:type="dxa"/>
            <w:gridSpan w:val="2"/>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n</w:t>
            </w:r>
            <w:r w:rsidR="00034C4F">
              <w:t>/</w:t>
            </w:r>
            <w:r w:rsidRPr="00947A42">
              <w:t>a</w:t>
            </w:r>
          </w:p>
        </w:tc>
        <w:tc>
          <w:tcPr>
            <w:tcW w:w="1144" w:type="dxa"/>
            <w:gridSpan w:val="3"/>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0.1%</w:t>
            </w:r>
          </w:p>
        </w:tc>
        <w:tc>
          <w:tcPr>
            <w:tcW w:w="1143" w:type="dxa"/>
            <w:gridSpan w:val="2"/>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7.7%</w:t>
            </w:r>
          </w:p>
        </w:tc>
        <w:tc>
          <w:tcPr>
            <w:tcW w:w="1144" w:type="dxa"/>
            <w:gridSpan w:val="2"/>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7.3%</w:t>
            </w:r>
          </w:p>
        </w:tc>
        <w:tc>
          <w:tcPr>
            <w:tcW w:w="1143" w:type="dxa"/>
            <w:gridSpan w:val="3"/>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7.0%</w:t>
            </w:r>
          </w:p>
        </w:tc>
        <w:tc>
          <w:tcPr>
            <w:tcW w:w="1144" w:type="dxa"/>
            <w:noWrap/>
            <w:hideMark/>
          </w:tcPr>
          <w:p w:rsidR="009916C7" w:rsidRPr="00947A4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947A42">
              <w:t>6.7%</w:t>
            </w:r>
          </w:p>
        </w:tc>
      </w:tr>
    </w:tbl>
    <w:p w:rsidR="009916C7" w:rsidRDefault="009916C7" w:rsidP="009916C7">
      <w:pPr>
        <w:pStyle w:val="AERtablesource"/>
      </w:pPr>
      <w:r>
        <w:t>Source:</w:t>
      </w:r>
      <w:r>
        <w:tab/>
        <w:t>AER analysis.</w:t>
      </w:r>
    </w:p>
    <w:p w:rsidR="009916C7" w:rsidRPr="00693A45" w:rsidRDefault="009916C7" w:rsidP="009916C7">
      <w:pPr>
        <w:pStyle w:val="AERtablesource"/>
      </w:pPr>
      <w:r>
        <w:t>Notes:</w:t>
      </w:r>
      <w:r>
        <w:tab/>
      </w:r>
      <w:r w:rsidRPr="00693A45">
        <w:t>Numbers may not sum due to rounding.</w:t>
      </w:r>
    </w:p>
    <w:p w:rsidR="009916C7" w:rsidRDefault="00EE6780" w:rsidP="009916C7">
      <w:pPr>
        <w:pStyle w:val="AERtablesource"/>
      </w:pPr>
      <w:r>
        <w:tab/>
      </w:r>
      <w:r w:rsidR="009916C7" w:rsidRPr="006F1095">
        <w:t>a.</w:t>
      </w:r>
      <w:r w:rsidR="009916C7" w:rsidRPr="006F1095">
        <w:tab/>
      </w:r>
      <w:r w:rsidR="009916C7">
        <w:t xml:space="preserve">This figure has been adjusted to reflect only the (notional) transmission component of 2013–14 revenue. </w:t>
      </w:r>
    </w:p>
    <w:p w:rsidR="009916C7" w:rsidRPr="00947A42" w:rsidRDefault="00A02E45" w:rsidP="009916C7">
      <w:pPr>
        <w:pStyle w:val="AERbodytext"/>
        <w:numPr>
          <w:ilvl w:val="0"/>
          <w:numId w:val="6"/>
        </w:numPr>
      </w:pPr>
      <w:r>
        <w:fldChar w:fldCharType="begin"/>
      </w:r>
      <w:r>
        <w:instrText xml:space="preserve"> REF _Ref385252837 \h </w:instrText>
      </w:r>
      <w:r>
        <w:fldChar w:fldCharType="separate"/>
      </w:r>
      <w:r w:rsidR="00E313D7">
        <w:t xml:space="preserve">Table </w:t>
      </w:r>
      <w:r w:rsidR="00E313D7">
        <w:rPr>
          <w:noProof/>
        </w:rPr>
        <w:t>4</w:t>
      </w:r>
      <w:r w:rsidR="00E313D7">
        <w:t>.</w:t>
      </w:r>
      <w:r w:rsidR="00E313D7">
        <w:rPr>
          <w:noProof/>
        </w:rPr>
        <w:t>12</w:t>
      </w:r>
      <w:r>
        <w:fldChar w:fldCharType="end"/>
      </w:r>
      <w:r>
        <w:t xml:space="preserve"> and </w:t>
      </w:r>
      <w:r>
        <w:fldChar w:fldCharType="begin"/>
      </w:r>
      <w:r>
        <w:instrText xml:space="preserve"> REF _Ref385252879 \h </w:instrText>
      </w:r>
      <w:r>
        <w:fldChar w:fldCharType="separate"/>
      </w:r>
      <w:r w:rsidR="00E313D7">
        <w:t xml:space="preserve">Table </w:t>
      </w:r>
      <w:r w:rsidR="00E313D7">
        <w:rPr>
          <w:noProof/>
        </w:rPr>
        <w:t>4</w:t>
      </w:r>
      <w:r w:rsidR="00E313D7">
        <w:t>.</w:t>
      </w:r>
      <w:r w:rsidR="00E313D7">
        <w:rPr>
          <w:noProof/>
        </w:rPr>
        <w:t>13</w:t>
      </w:r>
      <w:r>
        <w:fldChar w:fldCharType="end"/>
      </w:r>
      <w:r>
        <w:t xml:space="preserve"> </w:t>
      </w:r>
      <w:r w:rsidR="009916C7" w:rsidRPr="00947A42">
        <w:t xml:space="preserve">show our indicative revenue allowances for ActewAGL's distribution and transmission networks over the transitional and subsequent regulatory control periods. They show the </w:t>
      </w:r>
      <w:r w:rsidR="009916C7" w:rsidRPr="00947A42">
        <w:lastRenderedPageBreak/>
        <w:t xml:space="preserve">break down by key building block components. For ActewAGL's distribution network no adjustment is required for metering, ANS or ERW, with all costs recovered separately from the DUOS charges. </w:t>
      </w:r>
    </w:p>
    <w:p w:rsidR="009916C7" w:rsidRPr="006F1095" w:rsidRDefault="00F27D91" w:rsidP="00F27D91">
      <w:pPr>
        <w:pStyle w:val="Caption"/>
        <w:jc w:val="left"/>
      </w:pPr>
      <w:bookmarkStart w:id="113" w:name="_Ref385252837"/>
      <w:bookmarkStart w:id="114" w:name="_Ref383448544"/>
      <w:r>
        <w:t xml:space="preserve">Table </w:t>
      </w:r>
      <w:r w:rsidR="00DD155E">
        <w:fldChar w:fldCharType="begin"/>
      </w:r>
      <w:r w:rsidR="00DD155E">
        <w:instrText xml:space="preserve"> STYLEREF 1 \s </w:instrText>
      </w:r>
      <w:r w:rsidR="00DD155E">
        <w:fldChar w:fldCharType="separate"/>
      </w:r>
      <w:r w:rsidR="00E313D7">
        <w:rPr>
          <w:noProof/>
        </w:rPr>
        <w:t>4</w:t>
      </w:r>
      <w:r w:rsidR="00DD155E">
        <w:rPr>
          <w:noProof/>
        </w:rPr>
        <w:fldChar w:fldCharType="end"/>
      </w:r>
      <w:r w:rsidR="00804FE8">
        <w:t>.</w:t>
      </w:r>
      <w:r w:rsidR="00DD155E">
        <w:fldChar w:fldCharType="begin"/>
      </w:r>
      <w:r w:rsidR="00DD155E">
        <w:instrText xml:space="preserve"> SEQ Table \* ARABIC \s 1 </w:instrText>
      </w:r>
      <w:r w:rsidR="00DD155E">
        <w:fldChar w:fldCharType="separate"/>
      </w:r>
      <w:r w:rsidR="00E313D7">
        <w:rPr>
          <w:noProof/>
        </w:rPr>
        <w:t>12</w:t>
      </w:r>
      <w:r w:rsidR="00DD155E">
        <w:rPr>
          <w:noProof/>
        </w:rPr>
        <w:fldChar w:fldCharType="end"/>
      </w:r>
      <w:bookmarkEnd w:id="113"/>
      <w:r>
        <w:tab/>
      </w:r>
      <w:bookmarkEnd w:id="114"/>
      <w:r w:rsidR="009916C7" w:rsidRPr="006F1095">
        <w:t>AER</w:t>
      </w:r>
      <w:r w:rsidR="009916C7">
        <w:t xml:space="preserve">'s revenue assessment for ActewAGL – distribution </w:t>
      </w:r>
      <w:r w:rsidR="009916C7" w:rsidRPr="006F1095">
        <w:t>($m, nominal)</w:t>
      </w:r>
    </w:p>
    <w:tbl>
      <w:tblPr>
        <w:tblStyle w:val="AERtable-numbers"/>
        <w:tblW w:w="9191" w:type="dxa"/>
        <w:tblLayout w:type="fixed"/>
        <w:tblLook w:val="04A0" w:firstRow="1" w:lastRow="0" w:firstColumn="1" w:lastColumn="0" w:noHBand="0" w:noVBand="1"/>
      </w:tblPr>
      <w:tblGrid>
        <w:gridCol w:w="3097"/>
        <w:gridCol w:w="1015"/>
        <w:gridCol w:w="1016"/>
        <w:gridCol w:w="1016"/>
        <w:gridCol w:w="1015"/>
        <w:gridCol w:w="1016"/>
        <w:gridCol w:w="1016"/>
      </w:tblGrid>
      <w:tr w:rsidR="009916C7" w:rsidRPr="006F1095" w:rsidTr="00111EB1">
        <w:trPr>
          <w:cnfStyle w:val="100000000000" w:firstRow="1" w:lastRow="0" w:firstColumn="0" w:lastColumn="0" w:oddVBand="0" w:evenVBand="0" w:oddHBand="0"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9916C7">
            <w:pPr>
              <w:pStyle w:val="AERtabletextleft"/>
            </w:pPr>
          </w:p>
        </w:tc>
        <w:tc>
          <w:tcPr>
            <w:tcW w:w="1015" w:type="dxa"/>
            <w:noWrap/>
            <w:hideMark/>
          </w:tcPr>
          <w:p w:rsidR="009916C7" w:rsidRPr="009916C7" w:rsidRDefault="009916C7" w:rsidP="009916C7">
            <w:pPr>
              <w:pStyle w:val="AERtabletextright"/>
              <w:cnfStyle w:val="100000000000" w:firstRow="1" w:lastRow="0" w:firstColumn="0" w:lastColumn="0" w:oddVBand="0" w:evenVBand="0" w:oddHBand="0" w:evenHBand="0" w:firstRowFirstColumn="0" w:firstRowLastColumn="0" w:lastRowFirstColumn="0" w:lastRowLastColumn="0"/>
            </w:pPr>
            <w:r w:rsidRPr="006F1095">
              <w:t>2013–14</w:t>
            </w:r>
          </w:p>
        </w:tc>
        <w:tc>
          <w:tcPr>
            <w:tcW w:w="1016" w:type="dxa"/>
            <w:noWrap/>
            <w:hideMark/>
          </w:tcPr>
          <w:p w:rsidR="009916C7" w:rsidRPr="009916C7" w:rsidRDefault="009916C7" w:rsidP="009916C7">
            <w:pPr>
              <w:pStyle w:val="AERtabletextright"/>
              <w:cnfStyle w:val="100000000000" w:firstRow="1" w:lastRow="0" w:firstColumn="0" w:lastColumn="0" w:oddVBand="0" w:evenVBand="0" w:oddHBand="0" w:evenHBand="0" w:firstRowFirstColumn="0" w:firstRowLastColumn="0" w:lastRowFirstColumn="0" w:lastRowLastColumn="0"/>
            </w:pPr>
            <w:r w:rsidRPr="006F1095">
              <w:t>2014–15</w:t>
            </w:r>
          </w:p>
        </w:tc>
        <w:tc>
          <w:tcPr>
            <w:tcW w:w="1016" w:type="dxa"/>
            <w:noWrap/>
            <w:hideMark/>
          </w:tcPr>
          <w:p w:rsidR="009916C7" w:rsidRPr="009916C7" w:rsidRDefault="009916C7" w:rsidP="009916C7">
            <w:pPr>
              <w:pStyle w:val="AERtabletextright"/>
              <w:cnfStyle w:val="100000000000" w:firstRow="1" w:lastRow="0" w:firstColumn="0" w:lastColumn="0" w:oddVBand="0" w:evenVBand="0" w:oddHBand="0" w:evenHBand="0" w:firstRowFirstColumn="0" w:firstRowLastColumn="0" w:lastRowFirstColumn="0" w:lastRowLastColumn="0"/>
            </w:pPr>
            <w:r w:rsidRPr="006F1095">
              <w:t>2015–16</w:t>
            </w:r>
          </w:p>
        </w:tc>
        <w:tc>
          <w:tcPr>
            <w:tcW w:w="1015" w:type="dxa"/>
            <w:noWrap/>
            <w:hideMark/>
          </w:tcPr>
          <w:p w:rsidR="009916C7" w:rsidRPr="009916C7" w:rsidRDefault="009916C7" w:rsidP="009916C7">
            <w:pPr>
              <w:pStyle w:val="AERtabletextright"/>
              <w:cnfStyle w:val="100000000000" w:firstRow="1" w:lastRow="0" w:firstColumn="0" w:lastColumn="0" w:oddVBand="0" w:evenVBand="0" w:oddHBand="0" w:evenHBand="0" w:firstRowFirstColumn="0" w:firstRowLastColumn="0" w:lastRowFirstColumn="0" w:lastRowLastColumn="0"/>
            </w:pPr>
            <w:r w:rsidRPr="006F1095">
              <w:t>2016–17</w:t>
            </w:r>
          </w:p>
        </w:tc>
        <w:tc>
          <w:tcPr>
            <w:tcW w:w="1016" w:type="dxa"/>
            <w:noWrap/>
            <w:hideMark/>
          </w:tcPr>
          <w:p w:rsidR="009916C7" w:rsidRPr="009916C7" w:rsidRDefault="009916C7" w:rsidP="009916C7">
            <w:pPr>
              <w:pStyle w:val="AERtabletextright"/>
              <w:cnfStyle w:val="100000000000" w:firstRow="1" w:lastRow="0" w:firstColumn="0" w:lastColumn="0" w:oddVBand="0" w:evenVBand="0" w:oddHBand="0" w:evenHBand="0" w:firstRowFirstColumn="0" w:firstRowLastColumn="0" w:lastRowFirstColumn="0" w:lastRowLastColumn="0"/>
            </w:pPr>
            <w:r w:rsidRPr="006F1095">
              <w:t>2017–18</w:t>
            </w:r>
          </w:p>
        </w:tc>
        <w:tc>
          <w:tcPr>
            <w:tcW w:w="1016" w:type="dxa"/>
            <w:noWrap/>
            <w:hideMark/>
          </w:tcPr>
          <w:p w:rsidR="009916C7" w:rsidRPr="009916C7" w:rsidRDefault="009916C7" w:rsidP="009916C7">
            <w:pPr>
              <w:pStyle w:val="AERtabletextright"/>
              <w:cnfStyle w:val="100000000000" w:firstRow="1" w:lastRow="0" w:firstColumn="0" w:lastColumn="0" w:oddVBand="0" w:evenVBand="0" w:oddHBand="0" w:evenHBand="0" w:firstRowFirstColumn="0" w:firstRowLastColumn="0" w:lastRowFirstColumn="0" w:lastRowLastColumn="0"/>
            </w:pPr>
            <w:r w:rsidRPr="006F1095">
              <w:t>2018–19</w:t>
            </w:r>
          </w:p>
        </w:tc>
      </w:tr>
      <w:tr w:rsidR="009916C7" w:rsidRPr="006F1095" w:rsidTr="00111EB1">
        <w:trPr>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9916C7">
            <w:pPr>
              <w:pStyle w:val="AERtabletextleft"/>
            </w:pPr>
            <w:r w:rsidRPr="00246FA2">
              <w:t>Return on capital</w:t>
            </w:r>
          </w:p>
        </w:tc>
        <w:tc>
          <w:tcPr>
            <w:tcW w:w="1015" w:type="dxa"/>
            <w:noWrap/>
          </w:tcPr>
          <w:p w:rsidR="009916C7" w:rsidRPr="00246FA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p>
        </w:tc>
        <w:tc>
          <w:tcPr>
            <w:tcW w:w="1016"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246FA2">
              <w:t>56</w:t>
            </w:r>
          </w:p>
        </w:tc>
        <w:tc>
          <w:tcPr>
            <w:tcW w:w="1016"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246FA2">
              <w:t>60</w:t>
            </w:r>
          </w:p>
        </w:tc>
        <w:tc>
          <w:tcPr>
            <w:tcW w:w="1015"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246FA2">
              <w:t>63</w:t>
            </w:r>
          </w:p>
        </w:tc>
        <w:tc>
          <w:tcPr>
            <w:tcW w:w="1016"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246FA2">
              <w:t>65</w:t>
            </w:r>
          </w:p>
        </w:tc>
        <w:tc>
          <w:tcPr>
            <w:tcW w:w="1016"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246FA2">
              <w:t>68</w:t>
            </w:r>
          </w:p>
        </w:tc>
      </w:tr>
      <w:tr w:rsidR="009916C7" w:rsidRPr="006F1095" w:rsidTr="00111EB1">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9916C7">
            <w:pPr>
              <w:pStyle w:val="AERtabletextleft"/>
            </w:pPr>
            <w:r w:rsidRPr="00246FA2">
              <w:t>Return of capital</w:t>
            </w:r>
          </w:p>
        </w:tc>
        <w:tc>
          <w:tcPr>
            <w:tcW w:w="1015"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 </w:t>
            </w:r>
          </w:p>
        </w:tc>
        <w:tc>
          <w:tcPr>
            <w:tcW w:w="1016"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27</w:t>
            </w:r>
          </w:p>
        </w:tc>
        <w:tc>
          <w:tcPr>
            <w:tcW w:w="1016"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31</w:t>
            </w:r>
          </w:p>
        </w:tc>
        <w:tc>
          <w:tcPr>
            <w:tcW w:w="1015"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31</w:t>
            </w:r>
          </w:p>
        </w:tc>
        <w:tc>
          <w:tcPr>
            <w:tcW w:w="1016"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33</w:t>
            </w:r>
          </w:p>
        </w:tc>
        <w:tc>
          <w:tcPr>
            <w:tcW w:w="1016"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33</w:t>
            </w:r>
          </w:p>
        </w:tc>
      </w:tr>
      <w:tr w:rsidR="009916C7" w:rsidRPr="006F1095" w:rsidTr="00111EB1">
        <w:trPr>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9916C7">
            <w:pPr>
              <w:pStyle w:val="AERtabletextleft"/>
            </w:pPr>
            <w:r w:rsidRPr="00246FA2">
              <w:t>Operating expenditure</w:t>
            </w:r>
          </w:p>
        </w:tc>
        <w:tc>
          <w:tcPr>
            <w:tcW w:w="1015" w:type="dxa"/>
            <w:noWrap/>
          </w:tcPr>
          <w:p w:rsidR="009916C7" w:rsidRPr="00246FA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p>
        </w:tc>
        <w:tc>
          <w:tcPr>
            <w:tcW w:w="1016"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246FA2">
              <w:t>65</w:t>
            </w:r>
          </w:p>
        </w:tc>
        <w:tc>
          <w:tcPr>
            <w:tcW w:w="1016"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246FA2">
              <w:t>65</w:t>
            </w:r>
          </w:p>
        </w:tc>
        <w:tc>
          <w:tcPr>
            <w:tcW w:w="1015"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246FA2">
              <w:t>63</w:t>
            </w:r>
          </w:p>
        </w:tc>
        <w:tc>
          <w:tcPr>
            <w:tcW w:w="1016"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246FA2">
              <w:t>64</w:t>
            </w:r>
          </w:p>
        </w:tc>
        <w:tc>
          <w:tcPr>
            <w:tcW w:w="1016"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246FA2">
              <w:t>69</w:t>
            </w:r>
          </w:p>
        </w:tc>
      </w:tr>
      <w:tr w:rsidR="009916C7" w:rsidRPr="006F1095" w:rsidTr="00111EB1">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9916C7">
            <w:pPr>
              <w:pStyle w:val="AERtabletextleft"/>
            </w:pPr>
            <w:r w:rsidRPr="00246FA2">
              <w:t>Efficiency carryover</w:t>
            </w:r>
          </w:p>
        </w:tc>
        <w:tc>
          <w:tcPr>
            <w:tcW w:w="1015"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 </w:t>
            </w:r>
          </w:p>
        </w:tc>
        <w:tc>
          <w:tcPr>
            <w:tcW w:w="1016"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-13</w:t>
            </w:r>
          </w:p>
        </w:tc>
        <w:tc>
          <w:tcPr>
            <w:tcW w:w="1016"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-10</w:t>
            </w:r>
          </w:p>
        </w:tc>
        <w:tc>
          <w:tcPr>
            <w:tcW w:w="1015"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-2</w:t>
            </w:r>
          </w:p>
        </w:tc>
        <w:tc>
          <w:tcPr>
            <w:tcW w:w="1016"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-2</w:t>
            </w:r>
          </w:p>
        </w:tc>
        <w:tc>
          <w:tcPr>
            <w:tcW w:w="1016"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0</w:t>
            </w:r>
          </w:p>
        </w:tc>
      </w:tr>
      <w:tr w:rsidR="009916C7" w:rsidRPr="006F1095" w:rsidTr="00111EB1">
        <w:trPr>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9916C7">
            <w:pPr>
              <w:pStyle w:val="AERtabletextleft"/>
            </w:pPr>
            <w:r w:rsidRPr="00246FA2">
              <w:t xml:space="preserve">Net tax </w:t>
            </w:r>
            <w:r w:rsidRPr="009916C7">
              <w:t>allowance</w:t>
            </w:r>
          </w:p>
        </w:tc>
        <w:tc>
          <w:tcPr>
            <w:tcW w:w="1015" w:type="dxa"/>
            <w:noWrap/>
          </w:tcPr>
          <w:p w:rsidR="009916C7" w:rsidRPr="00246FA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p>
        </w:tc>
        <w:tc>
          <w:tcPr>
            <w:tcW w:w="1016"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246FA2">
              <w:t>5</w:t>
            </w:r>
          </w:p>
        </w:tc>
        <w:tc>
          <w:tcPr>
            <w:tcW w:w="1016"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246FA2">
              <w:t>6</w:t>
            </w:r>
          </w:p>
        </w:tc>
        <w:tc>
          <w:tcPr>
            <w:tcW w:w="1015"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246FA2">
              <w:t>5</w:t>
            </w:r>
          </w:p>
        </w:tc>
        <w:tc>
          <w:tcPr>
            <w:tcW w:w="1016"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246FA2">
              <w:t>6</w:t>
            </w:r>
          </w:p>
        </w:tc>
        <w:tc>
          <w:tcPr>
            <w:tcW w:w="1016"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246FA2">
              <w:t>7</w:t>
            </w:r>
          </w:p>
        </w:tc>
      </w:tr>
      <w:tr w:rsidR="009916C7" w:rsidRPr="006F1095" w:rsidTr="00111EB1">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9916C7">
            <w:pPr>
              <w:pStyle w:val="AERtabletextleft"/>
            </w:pPr>
            <w:r w:rsidRPr="00246FA2">
              <w:t>Total revenue (unsmoothed)</w:t>
            </w:r>
          </w:p>
        </w:tc>
        <w:tc>
          <w:tcPr>
            <w:tcW w:w="1015" w:type="dxa"/>
          </w:tcPr>
          <w:p w:rsidR="009916C7" w:rsidRPr="009916C7" w:rsidRDefault="009916C7" w:rsidP="009916C7">
            <w:pPr>
              <w:pStyle w:val="AERtabletextleft"/>
              <w:cnfStyle w:val="000000010000" w:firstRow="0" w:lastRow="0" w:firstColumn="0" w:lastColumn="0" w:oddVBand="0" w:evenVBand="0" w:oddHBand="0" w:evenHBand="1" w:firstRowFirstColumn="0" w:firstRowLastColumn="0" w:lastRowFirstColumn="0" w:lastRowLastColumn="0"/>
            </w:pPr>
            <w:r w:rsidRPr="00246FA2">
              <w:t> </w:t>
            </w:r>
          </w:p>
        </w:tc>
        <w:tc>
          <w:tcPr>
            <w:tcW w:w="1016"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141</w:t>
            </w:r>
          </w:p>
        </w:tc>
        <w:tc>
          <w:tcPr>
            <w:tcW w:w="1016"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152</w:t>
            </w:r>
          </w:p>
        </w:tc>
        <w:tc>
          <w:tcPr>
            <w:tcW w:w="1015"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160</w:t>
            </w:r>
          </w:p>
        </w:tc>
        <w:tc>
          <w:tcPr>
            <w:tcW w:w="1016"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166</w:t>
            </w:r>
          </w:p>
        </w:tc>
        <w:tc>
          <w:tcPr>
            <w:tcW w:w="1016"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176</w:t>
            </w:r>
          </w:p>
        </w:tc>
      </w:tr>
      <w:tr w:rsidR="009916C7" w:rsidRPr="00115C6C" w:rsidTr="00111EB1">
        <w:trPr>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9916C7">
            <w:pPr>
              <w:pStyle w:val="AERtabletextleft"/>
              <w:rPr>
                <w:rStyle w:val="AERtextbold"/>
              </w:rPr>
            </w:pPr>
            <w:r w:rsidRPr="00246FA2">
              <w:rPr>
                <w:rStyle w:val="AERtextbold"/>
              </w:rPr>
              <w:t xml:space="preserve">Total </w:t>
            </w:r>
            <w:r w:rsidRPr="009916C7">
              <w:rPr>
                <w:rStyle w:val="AERtextbold"/>
              </w:rPr>
              <w:t>DUOS revenue (smoothed)</w:t>
            </w:r>
          </w:p>
        </w:tc>
        <w:tc>
          <w:tcPr>
            <w:tcW w:w="1015"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26336">
              <w:rPr>
                <w:rStyle w:val="AERtextbold"/>
              </w:rPr>
              <w:t>152</w:t>
            </w:r>
            <w:r w:rsidRPr="009916C7">
              <w:rPr>
                <w:rStyle w:val="AERsuperscript"/>
              </w:rPr>
              <w:t>a</w:t>
            </w:r>
          </w:p>
        </w:tc>
        <w:tc>
          <w:tcPr>
            <w:tcW w:w="1016"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26336">
              <w:rPr>
                <w:rStyle w:val="AERtextbold"/>
              </w:rPr>
              <w:t>145</w:t>
            </w:r>
          </w:p>
        </w:tc>
        <w:tc>
          <w:tcPr>
            <w:tcW w:w="1016"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26336">
              <w:rPr>
                <w:rStyle w:val="AERtextbold"/>
              </w:rPr>
              <w:t>151</w:t>
            </w:r>
          </w:p>
        </w:tc>
        <w:tc>
          <w:tcPr>
            <w:tcW w:w="1015"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26336">
              <w:rPr>
                <w:rStyle w:val="AERtextbold"/>
              </w:rPr>
              <w:t>159</w:t>
            </w:r>
          </w:p>
        </w:tc>
        <w:tc>
          <w:tcPr>
            <w:tcW w:w="1016"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26336">
              <w:rPr>
                <w:rStyle w:val="AERtextbold"/>
              </w:rPr>
              <w:t>167</w:t>
            </w:r>
          </w:p>
        </w:tc>
        <w:tc>
          <w:tcPr>
            <w:tcW w:w="1016"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26336">
              <w:rPr>
                <w:rStyle w:val="AERtextbold"/>
              </w:rPr>
              <w:t>174</w:t>
            </w:r>
          </w:p>
        </w:tc>
      </w:tr>
      <w:tr w:rsidR="009916C7" w:rsidRPr="006F1095" w:rsidTr="00111EB1">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9916C7">
            <w:pPr>
              <w:pStyle w:val="AERtabletextleft"/>
            </w:pPr>
            <w:r w:rsidRPr="00246FA2">
              <w:t>Change</w:t>
            </w:r>
            <w:r w:rsidRPr="009916C7">
              <w:rPr>
                <w:rStyle w:val="AERsuperscript"/>
              </w:rPr>
              <w:t>b</w:t>
            </w:r>
            <w:r w:rsidRPr="009916C7">
              <w:t xml:space="preserve"> (%)</w:t>
            </w:r>
          </w:p>
        </w:tc>
        <w:tc>
          <w:tcPr>
            <w:tcW w:w="1015"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 </w:t>
            </w:r>
          </w:p>
        </w:tc>
        <w:tc>
          <w:tcPr>
            <w:tcW w:w="1016"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-4.8%</w:t>
            </w:r>
          </w:p>
        </w:tc>
        <w:tc>
          <w:tcPr>
            <w:tcW w:w="1016"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3.8%</w:t>
            </w:r>
          </w:p>
        </w:tc>
        <w:tc>
          <w:tcPr>
            <w:tcW w:w="1015"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5.2%</w:t>
            </w:r>
          </w:p>
        </w:tc>
        <w:tc>
          <w:tcPr>
            <w:tcW w:w="1016"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t>5.</w:t>
            </w:r>
            <w:r w:rsidRPr="009916C7">
              <w:t>2%</w:t>
            </w:r>
          </w:p>
        </w:tc>
        <w:tc>
          <w:tcPr>
            <w:tcW w:w="1016"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t>4.5</w:t>
            </w:r>
            <w:r w:rsidRPr="009916C7">
              <w:t>%</w:t>
            </w:r>
          </w:p>
        </w:tc>
      </w:tr>
    </w:tbl>
    <w:p w:rsidR="009916C7" w:rsidRDefault="009916C7" w:rsidP="009916C7">
      <w:pPr>
        <w:pStyle w:val="AERtablesource"/>
      </w:pPr>
      <w:r w:rsidRPr="006F1095">
        <w:t>Source:</w:t>
      </w:r>
      <w:r>
        <w:tab/>
        <w:t xml:space="preserve">AER </w:t>
      </w:r>
      <w:r w:rsidR="009E6A34">
        <w:t>analysis</w:t>
      </w:r>
      <w:r>
        <w:t>.</w:t>
      </w:r>
    </w:p>
    <w:p w:rsidR="009916C7" w:rsidRPr="006F1095" w:rsidRDefault="009916C7" w:rsidP="009916C7">
      <w:pPr>
        <w:pStyle w:val="AERtablesource"/>
      </w:pPr>
      <w:r w:rsidRPr="006F1095">
        <w:t>Notes:</w:t>
      </w:r>
      <w:r w:rsidRPr="006F1095">
        <w:tab/>
      </w:r>
      <w:r w:rsidRPr="00693A45">
        <w:t>Numbers may not sum due to rounding.</w:t>
      </w:r>
    </w:p>
    <w:p w:rsidR="00A65221" w:rsidRDefault="00A65221" w:rsidP="009916C7">
      <w:pPr>
        <w:pStyle w:val="AERtablesource"/>
      </w:pPr>
      <w:r>
        <w:tab/>
      </w:r>
      <w:r w:rsidRPr="00A65221">
        <w:t xml:space="preserve">We have adopted the forecast capital and operating expenditure estimates of </w:t>
      </w:r>
      <w:r>
        <w:t>ActewAGL</w:t>
      </w:r>
      <w:r w:rsidRPr="00A65221">
        <w:t xml:space="preserve">. These will be subject to detailed scrutiny when we </w:t>
      </w:r>
      <w:r>
        <w:t>receive the regulatory proposal.</w:t>
      </w:r>
    </w:p>
    <w:p w:rsidR="009916C7" w:rsidRDefault="00A65221" w:rsidP="009916C7">
      <w:pPr>
        <w:pStyle w:val="AERtablesource"/>
      </w:pPr>
      <w:r>
        <w:tab/>
      </w:r>
      <w:r w:rsidR="009916C7" w:rsidRPr="006F1095">
        <w:t>a.</w:t>
      </w:r>
      <w:r w:rsidR="009916C7" w:rsidRPr="006F1095">
        <w:tab/>
      </w:r>
      <w:r w:rsidR="009916C7">
        <w:t xml:space="preserve">This figure has been adjusted to reflect only the (notional) distribution component of 2013–14 revenue. </w:t>
      </w:r>
    </w:p>
    <w:p w:rsidR="009916C7" w:rsidRDefault="00A65221" w:rsidP="00DA1375">
      <w:pPr>
        <w:pStyle w:val="AERtablesource"/>
        <w:ind w:left="1440" w:hanging="1440"/>
      </w:pPr>
      <w:r>
        <w:tab/>
      </w:r>
      <w:r w:rsidR="009916C7">
        <w:t>b.</w:t>
      </w:r>
      <w:r w:rsidR="009916C7">
        <w:tab/>
      </w:r>
      <w:r w:rsidR="009916C7" w:rsidRPr="006F1095">
        <w:t>This row shows the year-on-year change in total nominal revenues. It should not be interpreted as the X-factor change from year to year.</w:t>
      </w:r>
    </w:p>
    <w:p w:rsidR="00433577" w:rsidRPr="00433577" w:rsidRDefault="00433577" w:rsidP="00433577">
      <w:pPr>
        <w:pStyle w:val="AERbodytext"/>
      </w:pPr>
      <w:r w:rsidRPr="0023073C">
        <w:t xml:space="preserve">Under the revenue yield approach </w:t>
      </w:r>
      <w:r>
        <w:t xml:space="preserve">applying </w:t>
      </w:r>
      <w:r w:rsidRPr="0023073C">
        <w:t xml:space="preserve">to </w:t>
      </w:r>
      <w:r>
        <w:t xml:space="preserve">ActewAGL’s </w:t>
      </w:r>
      <w:r w:rsidRPr="0023073C">
        <w:t>distribution</w:t>
      </w:r>
      <w:r>
        <w:t xml:space="preserve"> network</w:t>
      </w:r>
      <w:r w:rsidRPr="0023073C">
        <w:t>, ActewAGL will need to apply an X fa</w:t>
      </w:r>
      <w:r>
        <w:t>ctor of 19.59 per cent for 2014–</w:t>
      </w:r>
      <w:r w:rsidRPr="0023073C">
        <w:t xml:space="preserve">15 in its control </w:t>
      </w:r>
      <w:r>
        <w:t xml:space="preserve">mechanism </w:t>
      </w:r>
      <w:r w:rsidRPr="0023073C">
        <w:t>equation. This real decrease in average distribution charges reflects the transfer of pre</w:t>
      </w:r>
      <w:r>
        <w:t>viously classified distribution</w:t>
      </w:r>
      <w:r w:rsidRPr="0023073C">
        <w:t xml:space="preserve"> </w:t>
      </w:r>
      <w:r>
        <w:t xml:space="preserve">charges </w:t>
      </w:r>
      <w:r w:rsidRPr="0023073C">
        <w:t>to transmission charges (14.75 per cent) and other distribution cost reductions (4.84 per cent).</w:t>
      </w:r>
    </w:p>
    <w:p w:rsidR="009916C7" w:rsidRPr="00246FA2" w:rsidRDefault="00F27D91" w:rsidP="009916C7">
      <w:pPr>
        <w:pStyle w:val="Caption"/>
      </w:pPr>
      <w:bookmarkStart w:id="115" w:name="_Ref385252879"/>
      <w:bookmarkStart w:id="116" w:name="_Ref383448546"/>
      <w:bookmarkStart w:id="117" w:name="_Ref385252862"/>
      <w:r>
        <w:t xml:space="preserve">Table </w:t>
      </w:r>
      <w:r w:rsidR="00DD155E">
        <w:fldChar w:fldCharType="begin"/>
      </w:r>
      <w:r w:rsidR="00DD155E">
        <w:instrText xml:space="preserve"> STYLEREF 1 \s </w:instrText>
      </w:r>
      <w:r w:rsidR="00DD155E">
        <w:fldChar w:fldCharType="separate"/>
      </w:r>
      <w:r w:rsidR="00E313D7">
        <w:rPr>
          <w:noProof/>
        </w:rPr>
        <w:t>4</w:t>
      </w:r>
      <w:r w:rsidR="00DD155E">
        <w:rPr>
          <w:noProof/>
        </w:rPr>
        <w:fldChar w:fldCharType="end"/>
      </w:r>
      <w:r w:rsidR="00804FE8">
        <w:t>.</w:t>
      </w:r>
      <w:r w:rsidR="00DD155E">
        <w:fldChar w:fldCharType="begin"/>
      </w:r>
      <w:r w:rsidR="00DD155E">
        <w:instrText xml:space="preserve"> SEQ Table \* ARABIC \s 1 </w:instrText>
      </w:r>
      <w:r w:rsidR="00DD155E">
        <w:fldChar w:fldCharType="separate"/>
      </w:r>
      <w:r w:rsidR="00E313D7">
        <w:rPr>
          <w:noProof/>
        </w:rPr>
        <w:t>13</w:t>
      </w:r>
      <w:r w:rsidR="00DD155E">
        <w:rPr>
          <w:noProof/>
        </w:rPr>
        <w:fldChar w:fldCharType="end"/>
      </w:r>
      <w:bookmarkEnd w:id="115"/>
      <w:r>
        <w:tab/>
      </w:r>
      <w:bookmarkEnd w:id="116"/>
      <w:r w:rsidR="009916C7" w:rsidRPr="00246FA2">
        <w:t xml:space="preserve">AER's revenue assessment for ActewAGL </w:t>
      </w:r>
      <w:r w:rsidR="009916C7">
        <w:t>–</w:t>
      </w:r>
      <w:r w:rsidR="009916C7" w:rsidRPr="00246FA2">
        <w:t xml:space="preserve"> </w:t>
      </w:r>
      <w:r w:rsidR="009916C7">
        <w:t>transmission</w:t>
      </w:r>
      <w:r w:rsidR="009916C7" w:rsidRPr="00246FA2">
        <w:t xml:space="preserve"> ($m, nominal)</w:t>
      </w:r>
      <w:bookmarkEnd w:id="117"/>
    </w:p>
    <w:tbl>
      <w:tblPr>
        <w:tblStyle w:val="AERtable-numbers"/>
        <w:tblW w:w="9191" w:type="dxa"/>
        <w:tblLayout w:type="fixed"/>
        <w:tblLook w:val="04A0" w:firstRow="1" w:lastRow="0" w:firstColumn="1" w:lastColumn="0" w:noHBand="0" w:noVBand="1"/>
      </w:tblPr>
      <w:tblGrid>
        <w:gridCol w:w="3097"/>
        <w:gridCol w:w="1015"/>
        <w:gridCol w:w="1016"/>
        <w:gridCol w:w="1016"/>
        <w:gridCol w:w="1015"/>
        <w:gridCol w:w="1016"/>
        <w:gridCol w:w="1016"/>
      </w:tblGrid>
      <w:tr w:rsidR="009916C7" w:rsidRPr="006F1095" w:rsidTr="00111EB1">
        <w:trPr>
          <w:cnfStyle w:val="100000000000" w:firstRow="1" w:lastRow="0" w:firstColumn="0" w:lastColumn="0" w:oddVBand="0" w:evenVBand="0" w:oddHBand="0"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9916C7">
            <w:pPr>
              <w:pStyle w:val="AERtabletextleft"/>
            </w:pPr>
          </w:p>
        </w:tc>
        <w:tc>
          <w:tcPr>
            <w:tcW w:w="1015" w:type="dxa"/>
            <w:noWrap/>
            <w:hideMark/>
          </w:tcPr>
          <w:p w:rsidR="009916C7" w:rsidRPr="009916C7" w:rsidRDefault="009916C7" w:rsidP="009916C7">
            <w:pPr>
              <w:pStyle w:val="AERtabletextright"/>
              <w:cnfStyle w:val="100000000000" w:firstRow="1" w:lastRow="0" w:firstColumn="0" w:lastColumn="0" w:oddVBand="0" w:evenVBand="0" w:oddHBand="0" w:evenHBand="0" w:firstRowFirstColumn="0" w:firstRowLastColumn="0" w:lastRowFirstColumn="0" w:lastRowLastColumn="0"/>
            </w:pPr>
            <w:r w:rsidRPr="00246FA2">
              <w:t>2013–14</w:t>
            </w:r>
          </w:p>
        </w:tc>
        <w:tc>
          <w:tcPr>
            <w:tcW w:w="1016" w:type="dxa"/>
            <w:noWrap/>
            <w:hideMark/>
          </w:tcPr>
          <w:p w:rsidR="009916C7" w:rsidRPr="009916C7" w:rsidRDefault="009916C7" w:rsidP="009916C7">
            <w:pPr>
              <w:pStyle w:val="AERtabletextright"/>
              <w:cnfStyle w:val="100000000000" w:firstRow="1" w:lastRow="0" w:firstColumn="0" w:lastColumn="0" w:oddVBand="0" w:evenVBand="0" w:oddHBand="0" w:evenHBand="0" w:firstRowFirstColumn="0" w:firstRowLastColumn="0" w:lastRowFirstColumn="0" w:lastRowLastColumn="0"/>
            </w:pPr>
            <w:r w:rsidRPr="00246FA2">
              <w:t>2014–15</w:t>
            </w:r>
          </w:p>
        </w:tc>
        <w:tc>
          <w:tcPr>
            <w:tcW w:w="1016" w:type="dxa"/>
            <w:noWrap/>
            <w:hideMark/>
          </w:tcPr>
          <w:p w:rsidR="009916C7" w:rsidRPr="009916C7" w:rsidRDefault="009916C7" w:rsidP="009916C7">
            <w:pPr>
              <w:pStyle w:val="AERtabletextright"/>
              <w:cnfStyle w:val="100000000000" w:firstRow="1" w:lastRow="0" w:firstColumn="0" w:lastColumn="0" w:oddVBand="0" w:evenVBand="0" w:oddHBand="0" w:evenHBand="0" w:firstRowFirstColumn="0" w:firstRowLastColumn="0" w:lastRowFirstColumn="0" w:lastRowLastColumn="0"/>
            </w:pPr>
            <w:r w:rsidRPr="00246FA2">
              <w:t>2015–16</w:t>
            </w:r>
          </w:p>
        </w:tc>
        <w:tc>
          <w:tcPr>
            <w:tcW w:w="1015" w:type="dxa"/>
            <w:noWrap/>
            <w:hideMark/>
          </w:tcPr>
          <w:p w:rsidR="009916C7" w:rsidRPr="009916C7" w:rsidRDefault="009916C7" w:rsidP="009916C7">
            <w:pPr>
              <w:pStyle w:val="AERtabletextright"/>
              <w:cnfStyle w:val="100000000000" w:firstRow="1" w:lastRow="0" w:firstColumn="0" w:lastColumn="0" w:oddVBand="0" w:evenVBand="0" w:oddHBand="0" w:evenHBand="0" w:firstRowFirstColumn="0" w:firstRowLastColumn="0" w:lastRowFirstColumn="0" w:lastRowLastColumn="0"/>
            </w:pPr>
            <w:r w:rsidRPr="00246FA2">
              <w:t>2016–17</w:t>
            </w:r>
          </w:p>
        </w:tc>
        <w:tc>
          <w:tcPr>
            <w:tcW w:w="1016" w:type="dxa"/>
            <w:noWrap/>
            <w:hideMark/>
          </w:tcPr>
          <w:p w:rsidR="009916C7" w:rsidRPr="009916C7" w:rsidRDefault="009916C7" w:rsidP="009916C7">
            <w:pPr>
              <w:pStyle w:val="AERtabletextright"/>
              <w:cnfStyle w:val="100000000000" w:firstRow="1" w:lastRow="0" w:firstColumn="0" w:lastColumn="0" w:oddVBand="0" w:evenVBand="0" w:oddHBand="0" w:evenHBand="0" w:firstRowFirstColumn="0" w:firstRowLastColumn="0" w:lastRowFirstColumn="0" w:lastRowLastColumn="0"/>
            </w:pPr>
            <w:r w:rsidRPr="00246FA2">
              <w:t>2017–18</w:t>
            </w:r>
          </w:p>
        </w:tc>
        <w:tc>
          <w:tcPr>
            <w:tcW w:w="1016" w:type="dxa"/>
            <w:noWrap/>
            <w:hideMark/>
          </w:tcPr>
          <w:p w:rsidR="009916C7" w:rsidRPr="009916C7" w:rsidRDefault="009916C7" w:rsidP="009916C7">
            <w:pPr>
              <w:pStyle w:val="AERtabletextright"/>
              <w:cnfStyle w:val="100000000000" w:firstRow="1" w:lastRow="0" w:firstColumn="0" w:lastColumn="0" w:oddVBand="0" w:evenVBand="0" w:oddHBand="0" w:evenHBand="0" w:firstRowFirstColumn="0" w:firstRowLastColumn="0" w:lastRowFirstColumn="0" w:lastRowLastColumn="0"/>
            </w:pPr>
            <w:r w:rsidRPr="00246FA2">
              <w:t>2018–19</w:t>
            </w:r>
          </w:p>
        </w:tc>
      </w:tr>
      <w:tr w:rsidR="009916C7" w:rsidRPr="006F1095" w:rsidTr="00111EB1">
        <w:trPr>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9916C7">
            <w:pPr>
              <w:pStyle w:val="AERtabletextleft"/>
            </w:pPr>
            <w:r w:rsidRPr="00246FA2">
              <w:t>Return on capital</w:t>
            </w:r>
          </w:p>
        </w:tc>
        <w:tc>
          <w:tcPr>
            <w:tcW w:w="1015" w:type="dxa"/>
            <w:noWrap/>
          </w:tcPr>
          <w:p w:rsidR="009916C7" w:rsidRPr="00246FA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p>
        </w:tc>
        <w:tc>
          <w:tcPr>
            <w:tcW w:w="1016"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246FA2">
              <w:t>12</w:t>
            </w:r>
          </w:p>
        </w:tc>
        <w:tc>
          <w:tcPr>
            <w:tcW w:w="1016"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246FA2">
              <w:t>13</w:t>
            </w:r>
          </w:p>
        </w:tc>
        <w:tc>
          <w:tcPr>
            <w:tcW w:w="1015"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246FA2">
              <w:t>14</w:t>
            </w:r>
          </w:p>
        </w:tc>
        <w:tc>
          <w:tcPr>
            <w:tcW w:w="1016"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246FA2">
              <w:t>16</w:t>
            </w:r>
          </w:p>
        </w:tc>
        <w:tc>
          <w:tcPr>
            <w:tcW w:w="1016"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246FA2">
              <w:t>17</w:t>
            </w:r>
          </w:p>
        </w:tc>
      </w:tr>
      <w:tr w:rsidR="009916C7" w:rsidRPr="006F1095" w:rsidTr="00111EB1">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9916C7">
            <w:pPr>
              <w:pStyle w:val="AERtabletextleft"/>
            </w:pPr>
            <w:r w:rsidRPr="00246FA2">
              <w:t>Return of capital</w:t>
            </w:r>
          </w:p>
        </w:tc>
        <w:tc>
          <w:tcPr>
            <w:tcW w:w="1015" w:type="dxa"/>
            <w:noWrap/>
          </w:tcPr>
          <w:p w:rsidR="009916C7" w:rsidRPr="00246FA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p>
        </w:tc>
        <w:tc>
          <w:tcPr>
            <w:tcW w:w="1016"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4</w:t>
            </w:r>
          </w:p>
        </w:tc>
        <w:tc>
          <w:tcPr>
            <w:tcW w:w="1016"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5</w:t>
            </w:r>
          </w:p>
        </w:tc>
        <w:tc>
          <w:tcPr>
            <w:tcW w:w="1015"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5</w:t>
            </w:r>
          </w:p>
        </w:tc>
        <w:tc>
          <w:tcPr>
            <w:tcW w:w="1016"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6</w:t>
            </w:r>
          </w:p>
        </w:tc>
        <w:tc>
          <w:tcPr>
            <w:tcW w:w="1016"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6</w:t>
            </w:r>
          </w:p>
        </w:tc>
      </w:tr>
      <w:tr w:rsidR="009916C7" w:rsidRPr="006F1095" w:rsidTr="00111EB1">
        <w:trPr>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9916C7">
            <w:pPr>
              <w:pStyle w:val="AERtabletextleft"/>
            </w:pPr>
            <w:r w:rsidRPr="00246FA2">
              <w:t>Operating expenditure</w:t>
            </w:r>
          </w:p>
        </w:tc>
        <w:tc>
          <w:tcPr>
            <w:tcW w:w="1015" w:type="dxa"/>
            <w:noWrap/>
          </w:tcPr>
          <w:p w:rsidR="009916C7" w:rsidRPr="00246FA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p>
        </w:tc>
        <w:tc>
          <w:tcPr>
            <w:tcW w:w="1016"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246FA2">
              <w:t>13</w:t>
            </w:r>
          </w:p>
        </w:tc>
        <w:tc>
          <w:tcPr>
            <w:tcW w:w="1016"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246FA2">
              <w:t>13</w:t>
            </w:r>
          </w:p>
        </w:tc>
        <w:tc>
          <w:tcPr>
            <w:tcW w:w="1015"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246FA2">
              <w:t>13</w:t>
            </w:r>
          </w:p>
        </w:tc>
        <w:tc>
          <w:tcPr>
            <w:tcW w:w="1016"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246FA2">
              <w:t>13</w:t>
            </w:r>
          </w:p>
        </w:tc>
        <w:tc>
          <w:tcPr>
            <w:tcW w:w="1016"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246FA2">
              <w:t>14</w:t>
            </w:r>
          </w:p>
        </w:tc>
      </w:tr>
      <w:tr w:rsidR="009916C7" w:rsidRPr="006F1095" w:rsidTr="00111EB1">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9916C7">
            <w:pPr>
              <w:pStyle w:val="AERtabletextleft"/>
            </w:pPr>
            <w:r w:rsidRPr="00246FA2">
              <w:t>Efficiency carryover</w:t>
            </w:r>
          </w:p>
        </w:tc>
        <w:tc>
          <w:tcPr>
            <w:tcW w:w="1015" w:type="dxa"/>
            <w:noWrap/>
          </w:tcPr>
          <w:p w:rsidR="009916C7" w:rsidRPr="00246FA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p>
        </w:tc>
        <w:tc>
          <w:tcPr>
            <w:tcW w:w="1016"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-2</w:t>
            </w:r>
          </w:p>
        </w:tc>
        <w:tc>
          <w:tcPr>
            <w:tcW w:w="1016"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-1</w:t>
            </w:r>
          </w:p>
        </w:tc>
        <w:tc>
          <w:tcPr>
            <w:tcW w:w="1015"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0</w:t>
            </w:r>
          </w:p>
        </w:tc>
        <w:tc>
          <w:tcPr>
            <w:tcW w:w="1016"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0</w:t>
            </w:r>
          </w:p>
        </w:tc>
        <w:tc>
          <w:tcPr>
            <w:tcW w:w="1016"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0</w:t>
            </w:r>
          </w:p>
        </w:tc>
      </w:tr>
      <w:tr w:rsidR="009916C7" w:rsidRPr="006F1095" w:rsidTr="00111EB1">
        <w:trPr>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9916C7">
            <w:pPr>
              <w:pStyle w:val="AERtabletextleft"/>
            </w:pPr>
            <w:r w:rsidRPr="00246FA2">
              <w:t>Net tax allowance</w:t>
            </w:r>
          </w:p>
        </w:tc>
        <w:tc>
          <w:tcPr>
            <w:tcW w:w="1015" w:type="dxa"/>
            <w:noWrap/>
          </w:tcPr>
          <w:p w:rsidR="009916C7" w:rsidRPr="00246FA2"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p>
        </w:tc>
        <w:tc>
          <w:tcPr>
            <w:tcW w:w="1016"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246FA2">
              <w:t>1</w:t>
            </w:r>
          </w:p>
        </w:tc>
        <w:tc>
          <w:tcPr>
            <w:tcW w:w="1016"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246FA2">
              <w:t>1</w:t>
            </w:r>
          </w:p>
        </w:tc>
        <w:tc>
          <w:tcPr>
            <w:tcW w:w="1015"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246FA2">
              <w:t>1</w:t>
            </w:r>
          </w:p>
        </w:tc>
        <w:tc>
          <w:tcPr>
            <w:tcW w:w="1016"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246FA2">
              <w:t>1</w:t>
            </w:r>
          </w:p>
        </w:tc>
        <w:tc>
          <w:tcPr>
            <w:tcW w:w="1016"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pPr>
            <w:r w:rsidRPr="00246FA2">
              <w:t>1</w:t>
            </w:r>
          </w:p>
        </w:tc>
      </w:tr>
      <w:tr w:rsidR="009916C7" w:rsidRPr="006F1095" w:rsidTr="00111EB1">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9916C7">
            <w:pPr>
              <w:pStyle w:val="AERtabletextleft"/>
            </w:pPr>
            <w:r w:rsidRPr="00246FA2">
              <w:t>Total revenue (unsmoothed)</w:t>
            </w:r>
          </w:p>
        </w:tc>
        <w:tc>
          <w:tcPr>
            <w:tcW w:w="1015" w:type="dxa"/>
          </w:tcPr>
          <w:p w:rsidR="009916C7" w:rsidRPr="00246FA2" w:rsidRDefault="009916C7" w:rsidP="009916C7">
            <w:pPr>
              <w:pStyle w:val="AERtabletextleft"/>
              <w:cnfStyle w:val="000000010000" w:firstRow="0" w:lastRow="0" w:firstColumn="0" w:lastColumn="0" w:oddVBand="0" w:evenVBand="0" w:oddHBand="0" w:evenHBand="1" w:firstRowFirstColumn="0" w:firstRowLastColumn="0" w:lastRowFirstColumn="0" w:lastRowLastColumn="0"/>
            </w:pPr>
          </w:p>
        </w:tc>
        <w:tc>
          <w:tcPr>
            <w:tcW w:w="1016"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28</w:t>
            </w:r>
          </w:p>
        </w:tc>
        <w:tc>
          <w:tcPr>
            <w:tcW w:w="1016"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30</w:t>
            </w:r>
          </w:p>
        </w:tc>
        <w:tc>
          <w:tcPr>
            <w:tcW w:w="1015"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32</w:t>
            </w:r>
          </w:p>
        </w:tc>
        <w:tc>
          <w:tcPr>
            <w:tcW w:w="1016"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35</w:t>
            </w:r>
          </w:p>
        </w:tc>
        <w:tc>
          <w:tcPr>
            <w:tcW w:w="1016"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38</w:t>
            </w:r>
          </w:p>
        </w:tc>
      </w:tr>
      <w:tr w:rsidR="009916C7" w:rsidRPr="00115C6C" w:rsidTr="00111EB1">
        <w:trPr>
          <w:trHeight w:val="186"/>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9916C7">
            <w:pPr>
              <w:pStyle w:val="AERtabletextleft"/>
              <w:rPr>
                <w:rStyle w:val="AERtextbold"/>
              </w:rPr>
            </w:pPr>
            <w:r w:rsidRPr="00246FA2">
              <w:rPr>
                <w:rStyle w:val="AERtextbold"/>
              </w:rPr>
              <w:t xml:space="preserve">Total </w:t>
            </w:r>
            <w:r w:rsidRPr="009916C7">
              <w:rPr>
                <w:rStyle w:val="AERtextbold"/>
              </w:rPr>
              <w:t>TUOS revenue (smoothed)</w:t>
            </w:r>
          </w:p>
        </w:tc>
        <w:tc>
          <w:tcPr>
            <w:tcW w:w="1015"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26336">
              <w:rPr>
                <w:rStyle w:val="AERtextbold"/>
              </w:rPr>
              <w:t>28</w:t>
            </w:r>
            <w:r w:rsidRPr="009916C7">
              <w:rPr>
                <w:rStyle w:val="AERsuperscript"/>
              </w:rPr>
              <w:t>a</w:t>
            </w:r>
          </w:p>
        </w:tc>
        <w:tc>
          <w:tcPr>
            <w:tcW w:w="1016"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26336">
              <w:rPr>
                <w:rStyle w:val="AERtextbold"/>
              </w:rPr>
              <w:t>28</w:t>
            </w:r>
          </w:p>
        </w:tc>
        <w:tc>
          <w:tcPr>
            <w:tcW w:w="1016"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26336">
              <w:rPr>
                <w:rStyle w:val="AERtextbold"/>
              </w:rPr>
              <w:t>30</w:t>
            </w:r>
          </w:p>
        </w:tc>
        <w:tc>
          <w:tcPr>
            <w:tcW w:w="1015"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26336">
              <w:rPr>
                <w:rStyle w:val="AERtextbold"/>
              </w:rPr>
              <w:t>33</w:t>
            </w:r>
          </w:p>
        </w:tc>
        <w:tc>
          <w:tcPr>
            <w:tcW w:w="1016"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26336">
              <w:rPr>
                <w:rStyle w:val="AERtextbold"/>
              </w:rPr>
              <w:t>35</w:t>
            </w:r>
          </w:p>
        </w:tc>
        <w:tc>
          <w:tcPr>
            <w:tcW w:w="1016" w:type="dxa"/>
            <w:noWrap/>
          </w:tcPr>
          <w:p w:rsidR="009916C7" w:rsidRPr="009916C7" w:rsidRDefault="009916C7" w:rsidP="009916C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26336">
              <w:rPr>
                <w:rStyle w:val="AERtextbold"/>
              </w:rPr>
              <w:t>38</w:t>
            </w:r>
          </w:p>
        </w:tc>
      </w:tr>
      <w:tr w:rsidR="009916C7" w:rsidRPr="006F1095" w:rsidTr="00111EB1">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097" w:type="dxa"/>
            <w:noWrap/>
            <w:hideMark/>
          </w:tcPr>
          <w:p w:rsidR="009916C7" w:rsidRPr="009916C7" w:rsidRDefault="009916C7" w:rsidP="009916C7">
            <w:pPr>
              <w:pStyle w:val="AERtabletextleft"/>
            </w:pPr>
            <w:r w:rsidRPr="00246FA2">
              <w:t>Change</w:t>
            </w:r>
            <w:r w:rsidRPr="009916C7">
              <w:rPr>
                <w:rStyle w:val="AERsuperscript"/>
              </w:rPr>
              <w:t>b</w:t>
            </w:r>
            <w:r w:rsidRPr="009916C7">
              <w:t xml:space="preserve"> (%)</w:t>
            </w:r>
          </w:p>
        </w:tc>
        <w:tc>
          <w:tcPr>
            <w:tcW w:w="1015" w:type="dxa"/>
            <w:noWrap/>
          </w:tcPr>
          <w:p w:rsidR="009916C7" w:rsidRPr="00246FA2"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p>
        </w:tc>
        <w:tc>
          <w:tcPr>
            <w:tcW w:w="1016"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0.4%</w:t>
            </w:r>
          </w:p>
        </w:tc>
        <w:tc>
          <w:tcPr>
            <w:tcW w:w="1016"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7.8%</w:t>
            </w:r>
          </w:p>
        </w:tc>
        <w:tc>
          <w:tcPr>
            <w:tcW w:w="1015"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7.8%</w:t>
            </w:r>
          </w:p>
        </w:tc>
        <w:tc>
          <w:tcPr>
            <w:tcW w:w="1016"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7.8%</w:t>
            </w:r>
          </w:p>
        </w:tc>
        <w:tc>
          <w:tcPr>
            <w:tcW w:w="1016" w:type="dxa"/>
            <w:noWrap/>
          </w:tcPr>
          <w:p w:rsidR="009916C7" w:rsidRPr="009916C7" w:rsidRDefault="009916C7" w:rsidP="009916C7">
            <w:pPr>
              <w:pStyle w:val="AERtabletextright"/>
              <w:cnfStyle w:val="000000010000" w:firstRow="0" w:lastRow="0" w:firstColumn="0" w:lastColumn="0" w:oddVBand="0" w:evenVBand="0" w:oddHBand="0" w:evenHBand="1" w:firstRowFirstColumn="0" w:firstRowLastColumn="0" w:lastRowFirstColumn="0" w:lastRowLastColumn="0"/>
            </w:pPr>
            <w:r w:rsidRPr="00246FA2">
              <w:t>7.8%</w:t>
            </w:r>
          </w:p>
        </w:tc>
      </w:tr>
    </w:tbl>
    <w:p w:rsidR="009916C7" w:rsidRPr="00246FA2" w:rsidRDefault="009916C7" w:rsidP="009916C7">
      <w:pPr>
        <w:pStyle w:val="AERtablesource"/>
      </w:pPr>
      <w:r w:rsidRPr="00246FA2">
        <w:t>Source:</w:t>
      </w:r>
      <w:r w:rsidRPr="00246FA2">
        <w:tab/>
        <w:t xml:space="preserve">AER </w:t>
      </w:r>
      <w:r w:rsidR="009E6A34">
        <w:t>analysis</w:t>
      </w:r>
      <w:r w:rsidRPr="00246FA2">
        <w:t>.</w:t>
      </w:r>
    </w:p>
    <w:p w:rsidR="009916C7" w:rsidRPr="00246FA2" w:rsidRDefault="009916C7" w:rsidP="009916C7">
      <w:pPr>
        <w:pStyle w:val="AERtablesource"/>
      </w:pPr>
      <w:r w:rsidRPr="00246FA2">
        <w:t>Notes:</w:t>
      </w:r>
      <w:r w:rsidRPr="00246FA2">
        <w:tab/>
      </w:r>
      <w:r w:rsidRPr="00693A45">
        <w:t>Numbers may not sum due to rounding.</w:t>
      </w:r>
    </w:p>
    <w:p w:rsidR="00A65221" w:rsidRDefault="00A65221" w:rsidP="009916C7">
      <w:pPr>
        <w:pStyle w:val="AERtablesource"/>
      </w:pPr>
      <w:r>
        <w:tab/>
      </w:r>
      <w:r w:rsidRPr="00A65221">
        <w:t>We have adopted the forecast capital and operating expenditure estimates of ActewAGL. These will be subject to detailed scrutiny when we receive the regulatory proposal.</w:t>
      </w:r>
    </w:p>
    <w:p w:rsidR="009916C7" w:rsidRDefault="00A65221" w:rsidP="009916C7">
      <w:pPr>
        <w:pStyle w:val="AERtablesource"/>
      </w:pPr>
      <w:r>
        <w:tab/>
      </w:r>
      <w:r w:rsidR="009916C7" w:rsidRPr="00246FA2">
        <w:t>a.</w:t>
      </w:r>
      <w:r w:rsidR="009916C7" w:rsidRPr="00246FA2">
        <w:tab/>
      </w:r>
      <w:r w:rsidR="009916C7">
        <w:t>This figure has been adjusted to reflect only the (notional) transmission component of 2013–14 revenue.</w:t>
      </w:r>
    </w:p>
    <w:p w:rsidR="009916C7" w:rsidRPr="00246FA2" w:rsidRDefault="00A65221" w:rsidP="00DA1375">
      <w:pPr>
        <w:pStyle w:val="AERtablesource"/>
        <w:ind w:left="1440" w:hanging="1440"/>
      </w:pPr>
      <w:r>
        <w:tab/>
      </w:r>
      <w:r w:rsidR="009916C7">
        <w:t>b.</w:t>
      </w:r>
      <w:r w:rsidR="009916C7">
        <w:tab/>
      </w:r>
      <w:r w:rsidR="009916C7" w:rsidRPr="00246FA2">
        <w:t>This row shows the year-on-year change in total nominal revenues. It should not be interpreted as the X-factor change from year to year.</w:t>
      </w:r>
    </w:p>
    <w:p w:rsidR="009916C7" w:rsidRDefault="009916C7" w:rsidP="003F0974">
      <w:pPr>
        <w:pStyle w:val="Heading2"/>
      </w:pPr>
      <w:bookmarkStart w:id="118" w:name="_Toc381368880"/>
      <w:bookmarkStart w:id="119" w:name="_Toc383436065"/>
      <w:bookmarkStart w:id="120" w:name="_Toc384716222"/>
      <w:bookmarkStart w:id="121" w:name="_Toc385326314"/>
      <w:r>
        <w:lastRenderedPageBreak/>
        <w:t>Key components and drivers of the annual revenue requirement</w:t>
      </w:r>
      <w:bookmarkEnd w:id="118"/>
      <w:bookmarkEnd w:id="119"/>
      <w:bookmarkEnd w:id="120"/>
      <w:bookmarkEnd w:id="121"/>
    </w:p>
    <w:p w:rsidR="009916C7" w:rsidRPr="00C76DF9" w:rsidRDefault="009916C7" w:rsidP="009916C7">
      <w:pPr>
        <w:pStyle w:val="AERbodytext"/>
        <w:numPr>
          <w:ilvl w:val="0"/>
          <w:numId w:val="6"/>
        </w:numPr>
      </w:pPr>
      <w:r>
        <w:t xml:space="preserve">The </w:t>
      </w:r>
      <w:r w:rsidRPr="00C76DF9">
        <w:t xml:space="preserve">annual </w:t>
      </w:r>
      <w:r>
        <w:t>revenue requirement</w:t>
      </w:r>
      <w:r w:rsidRPr="00C76DF9">
        <w:t xml:space="preserve"> for a regulatory control period is built up from various revenue components. These components include return on capital, regulatory depreciation, operating expenditure (opex)</w:t>
      </w:r>
      <w:r>
        <w:t>,</w:t>
      </w:r>
      <w:r w:rsidRPr="00C76DF9">
        <w:t xml:space="preserve"> cost of corporate income tax and rewards/penalties of certain schemes (such as the efficiency benefit sharing scheme (EBSS) for opex). In most cases, these revenue components depend on other inputs or drivers</w:t>
      </w:r>
      <w:r>
        <w:t>.</w:t>
      </w:r>
      <w:r w:rsidRPr="00C76DF9">
        <w:t xml:space="preserve"> In particular</w:t>
      </w:r>
      <w:r>
        <w:t>:</w:t>
      </w:r>
    </w:p>
    <w:p w:rsidR="009916C7" w:rsidRPr="00C23850" w:rsidRDefault="009916C7" w:rsidP="00C23850">
      <w:pPr>
        <w:pStyle w:val="AERbulletlistfirststyle"/>
      </w:pPr>
      <w:r w:rsidRPr="00C23850">
        <w:t>The return on capital depends on the size of the regulatory asset base (RAB) and the rate of return or weighted average cost of capital (WACC). The RAB in turn depends on the forecast capex allowance approved going forward and the amount actually spent in the past. The RAB is also indexed for inflation. The WACC also in turn depends on various drivers such as the return on debt and return on equity, and specific parameters such as the risk free rate.</w:t>
      </w:r>
    </w:p>
    <w:p w:rsidR="009916C7" w:rsidRPr="00C23850" w:rsidRDefault="009916C7" w:rsidP="00C23850">
      <w:pPr>
        <w:pStyle w:val="AERbulletlistfirststyle"/>
      </w:pPr>
      <w:r w:rsidRPr="00C23850">
        <w:t>Regulatory depreciation (or return of capital) depends on the RAB (and in turn capex) and the useful lives of the assets, which determine over how many years the capex will be recovered. Because the RAB and WACC both include components for inflation, regulatory depreciation includes an offsetting inflation adjustment. This is to avoid the double counting of inflation when calculating total revenues.</w:t>
      </w:r>
    </w:p>
    <w:p w:rsidR="009916C7" w:rsidRPr="00C23850" w:rsidRDefault="009916C7" w:rsidP="00C23850">
      <w:pPr>
        <w:pStyle w:val="AERbulletlistfirststyle"/>
      </w:pPr>
      <w:r w:rsidRPr="00C23850">
        <w:t>Opex depends on the various sources of operating expenses, including the size of the RAB.</w:t>
      </w:r>
    </w:p>
    <w:p w:rsidR="009916C7" w:rsidRPr="00C23850" w:rsidRDefault="009916C7" w:rsidP="00C23850">
      <w:pPr>
        <w:pStyle w:val="AERbulletlistfirststyle"/>
      </w:pPr>
      <w:r w:rsidRPr="00C23850">
        <w:t>The cost of corporate income tax depends on the tax rate and all the inputs that determine the level of total revenue (including any rewards/penalties from schemes). It also depends, in particular, on the size of offsetting tax expenses (including tax depreciation) and the expected use of imputation credits by investors (gamma).</w:t>
      </w:r>
    </w:p>
    <w:p w:rsidR="009916C7" w:rsidRPr="00C23850" w:rsidRDefault="009916C7" w:rsidP="00C23850">
      <w:pPr>
        <w:pStyle w:val="AERbulletlistfirststyle"/>
      </w:pPr>
      <w:r w:rsidRPr="00C23850">
        <w:t>Scheme rewards/penalties depend on the particulars of the scheme, including the actual performance of the DNSP measured under the scheme.</w:t>
      </w:r>
    </w:p>
    <w:p w:rsidR="009916C7" w:rsidRDefault="009E6A34" w:rsidP="009916C7">
      <w:pPr>
        <w:pStyle w:val="AERbodytext"/>
        <w:numPr>
          <w:ilvl w:val="0"/>
          <w:numId w:val="6"/>
        </w:numPr>
      </w:pPr>
      <w:r>
        <w:fldChar w:fldCharType="begin"/>
      </w:r>
      <w:r>
        <w:instrText xml:space="preserve"> REF _Ref384820462 \h </w:instrText>
      </w:r>
      <w:r>
        <w:fldChar w:fldCharType="separate"/>
      </w:r>
      <w:r w:rsidR="00E313D7">
        <w:t xml:space="preserve">Figure </w:t>
      </w:r>
      <w:r w:rsidR="00E313D7">
        <w:rPr>
          <w:noProof/>
        </w:rPr>
        <w:t>4</w:t>
      </w:r>
      <w:r w:rsidR="00E313D7">
        <w:t>.</w:t>
      </w:r>
      <w:r w:rsidR="00E313D7">
        <w:rPr>
          <w:noProof/>
        </w:rPr>
        <w:t>7</w:t>
      </w:r>
      <w:r>
        <w:fldChar w:fldCharType="end"/>
      </w:r>
      <w:r>
        <w:t xml:space="preserve"> </w:t>
      </w:r>
      <w:r w:rsidR="009916C7" w:rsidRPr="00C76DF9">
        <w:t>shows the relative size of these five revenue components for the NSW/ACT DNSPs based on their transitional re</w:t>
      </w:r>
      <w:r w:rsidR="009916C7">
        <w:t>gulatory</w:t>
      </w:r>
      <w:r w:rsidR="009916C7" w:rsidRPr="00C76DF9">
        <w:t xml:space="preserve"> proposals for the </w:t>
      </w:r>
      <w:r w:rsidR="009916C7" w:rsidRPr="002866F9">
        <w:t xml:space="preserve">transitional and subsequent </w:t>
      </w:r>
      <w:r w:rsidR="009916C7" w:rsidRPr="00C76DF9">
        <w:t>regulatory control periods. The return on capital (and its drivers such as RAB, capex and rate of return) makes up the largest proport</w:t>
      </w:r>
      <w:r w:rsidR="009916C7">
        <w:t>ion of total revenue at over 50</w:t>
      </w:r>
      <w:r w:rsidR="009916C7" w:rsidRPr="00C76DF9">
        <w:t xml:space="preserve"> per cent. Opex makes up the n</w:t>
      </w:r>
      <w:r w:rsidR="009916C7">
        <w:t>ext largest proportion at 3</w:t>
      </w:r>
      <w:r w:rsidR="009916C7" w:rsidRPr="00C76DF9">
        <w:t>0 per cent and regulatory depreciation (and its drivers such as RAB, capex and useful asset liv</w:t>
      </w:r>
      <w:r w:rsidR="009916C7">
        <w:t xml:space="preserve">es) makes up </w:t>
      </w:r>
      <w:r w:rsidR="009916C7" w:rsidRPr="00C76DF9">
        <w:t>just under 10 per cent of total revenue. The remaining components of tax and scheme rewards/penalties make up less than 10 per cent of total revenue.</w:t>
      </w:r>
    </w:p>
    <w:p w:rsidR="00D823AA" w:rsidRDefault="009E6A34" w:rsidP="009E6A34">
      <w:pPr>
        <w:pStyle w:val="Caption"/>
      </w:pPr>
      <w:bookmarkStart w:id="122" w:name="_Ref384820462"/>
      <w:r>
        <w:lastRenderedPageBreak/>
        <w:t xml:space="preserve">Figure </w:t>
      </w:r>
      <w:r w:rsidR="00DD155E">
        <w:fldChar w:fldCharType="begin"/>
      </w:r>
      <w:r w:rsidR="00DD155E">
        <w:instrText xml:space="preserve"> STYLEREF 1 \s </w:instrText>
      </w:r>
      <w:r w:rsidR="00DD155E">
        <w:fldChar w:fldCharType="separate"/>
      </w:r>
      <w:r w:rsidR="00E313D7">
        <w:rPr>
          <w:noProof/>
        </w:rPr>
        <w:t>4</w:t>
      </w:r>
      <w:r w:rsidR="00DD155E">
        <w:rPr>
          <w:noProof/>
        </w:rPr>
        <w:fldChar w:fldCharType="end"/>
      </w:r>
      <w:r w:rsidR="00B460EF">
        <w:t>.</w:t>
      </w:r>
      <w:r w:rsidR="00DD155E">
        <w:fldChar w:fldCharType="begin"/>
      </w:r>
      <w:r w:rsidR="00DD155E">
        <w:instrText xml:space="preserve"> SEQ Figure \* ARABIC \s 1 </w:instrText>
      </w:r>
      <w:r w:rsidR="00DD155E">
        <w:fldChar w:fldCharType="separate"/>
      </w:r>
      <w:r w:rsidR="00E313D7">
        <w:rPr>
          <w:noProof/>
        </w:rPr>
        <w:t>7</w:t>
      </w:r>
      <w:r w:rsidR="00DD155E">
        <w:rPr>
          <w:noProof/>
        </w:rPr>
        <w:fldChar w:fldCharType="end"/>
      </w:r>
      <w:bookmarkEnd w:id="122"/>
      <w:r w:rsidR="00804FE8">
        <w:tab/>
      </w:r>
      <w:r w:rsidR="009916C7" w:rsidRPr="00A4431D">
        <w:t>The relative size of the revenue components, total NSW/ACT</w:t>
      </w:r>
    </w:p>
    <w:p w:rsidR="009916C7" w:rsidRPr="00C76DF9" w:rsidRDefault="009916C7" w:rsidP="00F27D91">
      <w:pPr>
        <w:pStyle w:val="AERbodytext"/>
        <w:keepNext/>
        <w:keepLines/>
      </w:pPr>
      <w:r w:rsidRPr="009916C7">
        <w:rPr>
          <w:noProof/>
          <w:lang w:eastAsia="en-AU"/>
        </w:rPr>
        <w:drawing>
          <wp:inline distT="0" distB="0" distL="0" distR="0" wp14:anchorId="7AC263BB" wp14:editId="0E7907B4">
            <wp:extent cx="5684808" cy="4451230"/>
            <wp:effectExtent l="0" t="0" r="0" b="6985"/>
            <wp:docPr id="23" name="Picture 2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88509" cy="4454128"/>
                    </a:xfrm>
                    <a:prstGeom prst="rect">
                      <a:avLst/>
                    </a:prstGeom>
                    <a:noFill/>
                    <a:ln>
                      <a:noFill/>
                    </a:ln>
                  </pic:spPr>
                </pic:pic>
              </a:graphicData>
            </a:graphic>
          </wp:inline>
        </w:drawing>
      </w:r>
    </w:p>
    <w:p w:rsidR="009916C7" w:rsidRPr="0002085B" w:rsidRDefault="009916C7" w:rsidP="00F27D91">
      <w:pPr>
        <w:pStyle w:val="AERtablesource"/>
        <w:keepNext/>
        <w:keepLines/>
      </w:pPr>
      <w:r w:rsidRPr="0002085B">
        <w:t>Source:</w:t>
      </w:r>
      <w:r w:rsidRPr="0002085B">
        <w:tab/>
      </w:r>
      <w:r>
        <w:t>AER analysis, using proposed revenue figures for 2014–19 for all DNSPs (including their distribution and transmission networks).</w:t>
      </w:r>
    </w:p>
    <w:p w:rsidR="009916C7" w:rsidRPr="00C76DF9" w:rsidRDefault="009916C7" w:rsidP="009916C7">
      <w:pPr>
        <w:pStyle w:val="AERbodytext"/>
        <w:numPr>
          <w:ilvl w:val="0"/>
          <w:numId w:val="6"/>
        </w:numPr>
      </w:pPr>
      <w:r>
        <w:t xml:space="preserve">The following sections set out our </w:t>
      </w:r>
      <w:r w:rsidRPr="00C76DF9">
        <w:t xml:space="preserve">views of these key components based on a high level assessment of the </w:t>
      </w:r>
      <w:r>
        <w:t xml:space="preserve">limited information available to us at this time, including the </w:t>
      </w:r>
      <w:r w:rsidRPr="00C76DF9">
        <w:t>transitional re</w:t>
      </w:r>
      <w:r>
        <w:t>gulatory</w:t>
      </w:r>
      <w:r w:rsidRPr="00C76DF9">
        <w:t xml:space="preserve"> proposals of </w:t>
      </w:r>
      <w:r>
        <w:t>the NSW/ACT DNSPs</w:t>
      </w:r>
      <w:r w:rsidRPr="00C76DF9">
        <w:t>.</w:t>
      </w:r>
    </w:p>
    <w:p w:rsidR="009916C7" w:rsidRDefault="009916C7" w:rsidP="003F0974">
      <w:pPr>
        <w:pStyle w:val="Heading3"/>
      </w:pPr>
      <w:bookmarkStart w:id="123" w:name="_Toc382573773"/>
      <w:bookmarkStart w:id="124" w:name="_Toc383436066"/>
      <w:bookmarkStart w:id="125" w:name="_Toc384716223"/>
      <w:bookmarkStart w:id="126" w:name="_Ref384725533"/>
      <w:r w:rsidRPr="00804E46">
        <w:t>Rate of return</w:t>
      </w:r>
      <w:bookmarkEnd w:id="123"/>
      <w:bookmarkEnd w:id="124"/>
      <w:bookmarkEnd w:id="125"/>
      <w:bookmarkEnd w:id="126"/>
    </w:p>
    <w:p w:rsidR="009916C7" w:rsidRPr="00A00826" w:rsidRDefault="009916C7" w:rsidP="009916C7">
      <w:r w:rsidRPr="00A00826">
        <w:t>Ausgrid, Essential Energy and Endeavour Energy all proposed an indicative rate of return range from 8.5</w:t>
      </w:r>
      <w:r w:rsidR="00804FE8">
        <w:t xml:space="preserve"> to </w:t>
      </w:r>
      <w:r w:rsidRPr="00A00826">
        <w:t>9.1 per cent.</w:t>
      </w:r>
      <w:r w:rsidRPr="00A00826">
        <w:rPr>
          <w:rStyle w:val="AERsuperscript"/>
        </w:rPr>
        <w:footnoteReference w:id="47"/>
      </w:r>
      <w:r w:rsidRPr="00A00826">
        <w:rPr>
          <w:rStyle w:val="AERsuperscript"/>
        </w:rPr>
        <w:t xml:space="preserve"> </w:t>
      </w:r>
      <w:r w:rsidRPr="00A00826">
        <w:t>In this section, we collectively discuss these proposals as being from ‘the NSW DNSPs’. Their proposed range included:</w:t>
      </w:r>
    </w:p>
    <w:p w:rsidR="009916C7" w:rsidRPr="00A00826" w:rsidRDefault="009916C7" w:rsidP="00C23850">
      <w:pPr>
        <w:pStyle w:val="AERbulletlistfirststyle"/>
      </w:pPr>
      <w:r>
        <w:t>Return</w:t>
      </w:r>
      <w:r w:rsidRPr="00A00826">
        <w:t xml:space="preserve"> </w:t>
      </w:r>
      <w:r>
        <w:t>on</w:t>
      </w:r>
      <w:r w:rsidR="008C0BE8">
        <w:t xml:space="preserve"> debt: </w:t>
      </w:r>
      <w:r w:rsidRPr="00A00826">
        <w:t>7.6</w:t>
      </w:r>
      <w:r w:rsidR="00804FE8">
        <w:t xml:space="preserve"> to </w:t>
      </w:r>
      <w:r w:rsidRPr="00A00826">
        <w:t xml:space="preserve">7.8 per cent, based on an immediate transition to the </w:t>
      </w:r>
      <w:r>
        <w:t xml:space="preserve">trailing average </w:t>
      </w:r>
      <w:r w:rsidRPr="00A00826">
        <w:t xml:space="preserve">portfolio </w:t>
      </w:r>
      <w:r>
        <w:t>return</w:t>
      </w:r>
      <w:r w:rsidRPr="00A00826">
        <w:t xml:space="preserve"> </w:t>
      </w:r>
      <w:r>
        <w:t>on</w:t>
      </w:r>
      <w:r w:rsidRPr="00A00826">
        <w:t xml:space="preserve"> debt approach</w:t>
      </w:r>
    </w:p>
    <w:p w:rsidR="009916C7" w:rsidRPr="00A00826" w:rsidRDefault="009916C7" w:rsidP="00C23850">
      <w:pPr>
        <w:pStyle w:val="AERbulletlistfirststyle"/>
      </w:pPr>
      <w:r>
        <w:t>Return</w:t>
      </w:r>
      <w:r w:rsidRPr="00A00826">
        <w:t xml:space="preserve"> </w:t>
      </w:r>
      <w:r>
        <w:t>on</w:t>
      </w:r>
      <w:r w:rsidR="008C0BE8">
        <w:t xml:space="preserve"> equity: 10.0</w:t>
      </w:r>
      <w:r w:rsidR="00804FE8">
        <w:t xml:space="preserve"> to </w:t>
      </w:r>
      <w:r w:rsidRPr="00A00826">
        <w:t xml:space="preserve">11.0 per cent, based on a multiple-model approach </w:t>
      </w:r>
    </w:p>
    <w:p w:rsidR="009916C7" w:rsidRPr="00A00826" w:rsidRDefault="009916C7" w:rsidP="009E6A34">
      <w:pPr>
        <w:keepNext/>
      </w:pPr>
      <w:r w:rsidRPr="00A00826">
        <w:lastRenderedPageBreak/>
        <w:t>ActewAGL proposed an indicative rate of return range from 8.8</w:t>
      </w:r>
      <w:r w:rsidR="00804FE8">
        <w:t xml:space="preserve"> to </w:t>
      </w:r>
      <w:r w:rsidRPr="00A00826">
        <w:t xml:space="preserve">9.5 per cent. </w:t>
      </w:r>
      <w:r w:rsidRPr="00A00826">
        <w:rPr>
          <w:rStyle w:val="AERsuperscript"/>
        </w:rPr>
        <w:footnoteReference w:id="48"/>
      </w:r>
      <w:r w:rsidRPr="00A00826">
        <w:t xml:space="preserve"> This range included:</w:t>
      </w:r>
    </w:p>
    <w:p w:rsidR="009916C7" w:rsidRPr="00A00826" w:rsidRDefault="009916C7" w:rsidP="00C23850">
      <w:pPr>
        <w:pStyle w:val="AERbulletlistfirststyle"/>
      </w:pPr>
      <w:r>
        <w:t>Return</w:t>
      </w:r>
      <w:r w:rsidRPr="00A00826">
        <w:t xml:space="preserve"> </w:t>
      </w:r>
      <w:r>
        <w:t>on</w:t>
      </w:r>
      <w:r w:rsidR="008C0BE8">
        <w:t xml:space="preserve"> debt:</w:t>
      </w:r>
      <w:r w:rsidRPr="00A00826">
        <w:t xml:space="preserve"> 8.0 per cent, </w:t>
      </w:r>
      <w:r>
        <w:t xml:space="preserve">based on </w:t>
      </w:r>
      <w:r w:rsidRPr="00A00826">
        <w:t>an immediate transition to the portfolio cost of debt approach</w:t>
      </w:r>
    </w:p>
    <w:p w:rsidR="009916C7" w:rsidRPr="00A00826" w:rsidRDefault="009916C7" w:rsidP="00C23850">
      <w:pPr>
        <w:pStyle w:val="AERbulletlistfirststyle"/>
      </w:pPr>
      <w:r>
        <w:t>Return</w:t>
      </w:r>
      <w:r w:rsidRPr="00A00826">
        <w:t xml:space="preserve"> </w:t>
      </w:r>
      <w:r>
        <w:t>on</w:t>
      </w:r>
      <w:r w:rsidR="008C0BE8">
        <w:t xml:space="preserve"> equity: 10.0</w:t>
      </w:r>
      <w:r w:rsidR="00804FE8">
        <w:t xml:space="preserve"> to </w:t>
      </w:r>
      <w:r w:rsidRPr="00A00826">
        <w:t>11.</w:t>
      </w:r>
      <w:r w:rsidR="008C0BE8">
        <w:t>8 per cent, based on a multiple–</w:t>
      </w:r>
      <w:r w:rsidRPr="00A00826">
        <w:t>model approach</w:t>
      </w:r>
    </w:p>
    <w:p w:rsidR="009916C7" w:rsidRPr="00A00826" w:rsidRDefault="009916C7" w:rsidP="009916C7">
      <w:r>
        <w:t>T</w:t>
      </w:r>
      <w:r w:rsidRPr="00A00826">
        <w:t>he</w:t>
      </w:r>
      <w:r>
        <w:t xml:space="preserve"> </w:t>
      </w:r>
      <w:r w:rsidR="009E6A34">
        <w:t>DNSPs</w:t>
      </w:r>
      <w:r>
        <w:t xml:space="preserve"> were</w:t>
      </w:r>
      <w:r w:rsidRPr="00A00826">
        <w:t xml:space="preserve"> required to submit</w:t>
      </w:r>
      <w:r>
        <w:t xml:space="preserve"> in their TRPs</w:t>
      </w:r>
      <w:r w:rsidRPr="00A00826">
        <w:t xml:space="preserve"> an indicative rate of return range </w:t>
      </w:r>
      <w:r>
        <w:t>that</w:t>
      </w:r>
      <w:r w:rsidRPr="00A00826">
        <w:t>:</w:t>
      </w:r>
      <w:r w:rsidRPr="006F6F82">
        <w:rPr>
          <w:rStyle w:val="AERsuperscript"/>
        </w:rPr>
        <w:footnoteReference w:id="49"/>
      </w:r>
    </w:p>
    <w:p w:rsidR="009916C7" w:rsidRPr="00A00826" w:rsidRDefault="009916C7" w:rsidP="00C23850">
      <w:pPr>
        <w:pStyle w:val="AERbulletlistfirststyle"/>
      </w:pPr>
      <w:r>
        <w:t>take</w:t>
      </w:r>
      <w:r w:rsidRPr="00A00826">
        <w:t xml:space="preserve"> into account available market information</w:t>
      </w:r>
    </w:p>
    <w:p w:rsidR="009916C7" w:rsidRPr="00A00826" w:rsidRDefault="009916C7" w:rsidP="00C23850">
      <w:pPr>
        <w:pStyle w:val="AERbulletlistfirststyle"/>
      </w:pPr>
      <w:r>
        <w:t>take</w:t>
      </w:r>
      <w:r w:rsidRPr="00A00826">
        <w:t xml:space="preserve"> into account expected market trends </w:t>
      </w:r>
    </w:p>
    <w:p w:rsidR="009916C7" w:rsidRPr="00A00826" w:rsidRDefault="009916C7" w:rsidP="00C23850">
      <w:pPr>
        <w:pStyle w:val="AERbulletlistfirststyle"/>
      </w:pPr>
      <w:r w:rsidRPr="00A00826">
        <w:t>has regard to the rate of return guidelines published by the AER.</w:t>
      </w:r>
    </w:p>
    <w:p w:rsidR="009916C7" w:rsidRDefault="009916C7" w:rsidP="009916C7">
      <w:r>
        <w:t>The DNSPs' proposals depart from our rate of return guideline in a number of significant ways. Specifically, where the rate of return guideline specifies a 10 year transition to the trailing average portfolio return on debt approach, the NSW DNSPs and ActewAGL have all proposed to immediately apply a trailing average portfolio.</w:t>
      </w:r>
      <w:r>
        <w:rPr>
          <w:rStyle w:val="FootnoteReference"/>
        </w:rPr>
        <w:footnoteReference w:id="50"/>
      </w:r>
      <w:r>
        <w:t xml:space="preserve"> In estimating the cost of equity, the </w:t>
      </w:r>
      <w:r w:rsidR="009E6A34">
        <w:t>DNSPs</w:t>
      </w:r>
      <w:r>
        <w:t xml:space="preserve"> have had significant regard to models including the Fama-French model and a dividend growth model that departs from the AER's preferred form as set out in the guideline. </w:t>
      </w:r>
    </w:p>
    <w:p w:rsidR="009916C7" w:rsidRPr="00A00826" w:rsidRDefault="009916C7" w:rsidP="009916C7">
      <w:r w:rsidRPr="00A00826">
        <w:t xml:space="preserve">Much of the information the </w:t>
      </w:r>
      <w:r w:rsidR="009E6A34">
        <w:t>DNSPs</w:t>
      </w:r>
      <w:r w:rsidRPr="00A00826">
        <w:t xml:space="preserve"> submitted relies on information that was before the AER during the guideline process.</w:t>
      </w:r>
      <w:r w:rsidRPr="00A00826">
        <w:rPr>
          <w:rStyle w:val="AERsuperscript"/>
        </w:rPr>
        <w:footnoteReference w:id="51"/>
      </w:r>
      <w:r w:rsidRPr="00A00826">
        <w:t xml:space="preserve"> Our guideline was made taking into account this and other information and expected market trends and was published in December 2013. Nonetheless, the </w:t>
      </w:r>
      <w:r w:rsidR="009E6A34">
        <w:t>DNSPs</w:t>
      </w:r>
      <w:r w:rsidRPr="00A00826">
        <w:t xml:space="preserve"> have proposed departures from the guideline. In contrast:</w:t>
      </w:r>
    </w:p>
    <w:p w:rsidR="009916C7" w:rsidRPr="00A00826" w:rsidRDefault="009916C7" w:rsidP="00C23850">
      <w:pPr>
        <w:pStyle w:val="AERbulletlistfirststyle"/>
      </w:pPr>
      <w:r w:rsidRPr="00A00826">
        <w:t>the Major Energy Users (MEU) submitted that for the transitional year, the WACC should be based on the current approach as applied most recently to SP AusNet.</w:t>
      </w:r>
      <w:r w:rsidRPr="00A00826">
        <w:rPr>
          <w:rStyle w:val="AERsuperscript"/>
        </w:rPr>
        <w:footnoteReference w:id="52"/>
      </w:r>
      <w:r w:rsidRPr="00A00826">
        <w:t xml:space="preserve"> Further, the MEU submitted it was concerned that the </w:t>
      </w:r>
      <w:r w:rsidR="009E6A34">
        <w:t>DNSPs</w:t>
      </w:r>
      <w:r w:rsidRPr="00A00826">
        <w:t xml:space="preserve"> have combined estimates from the old and new WACC approaches in a way that results in an increased WACC.</w:t>
      </w:r>
      <w:r w:rsidRPr="00A00826">
        <w:rPr>
          <w:rStyle w:val="AERsuperscript"/>
        </w:rPr>
        <w:footnoteReference w:id="53"/>
      </w:r>
    </w:p>
    <w:p w:rsidR="009916C7" w:rsidRDefault="009916C7" w:rsidP="007129F8">
      <w:pPr>
        <w:pStyle w:val="AERbulletlistfirststyle"/>
        <w:keepNext/>
      </w:pPr>
      <w:r>
        <w:lastRenderedPageBreak/>
        <w:t>t</w:t>
      </w:r>
      <w:r w:rsidRPr="00A00826">
        <w:t xml:space="preserve">he Public Interest Advocacy Centre (PIAC) ‘strongly objected’ to proposed departures from the rate of return guideline and supported the application of guideline parameters and approaches in the </w:t>
      </w:r>
      <w:r w:rsidR="00E05D13">
        <w:t>placeholder</w:t>
      </w:r>
      <w:r w:rsidR="00E05D13" w:rsidRPr="00A00826" w:rsidDel="00E05D13">
        <w:t xml:space="preserve"> </w:t>
      </w:r>
      <w:r w:rsidRPr="00A00826">
        <w:t>determination. In particular, the PIAC note</w:t>
      </w:r>
      <w:r>
        <w:t>d</w:t>
      </w:r>
      <w:r w:rsidRPr="00A00826">
        <w:t xml:space="preserve"> that the guideline process included a comprehensive consultation process with a broad range of stakeholders, where</w:t>
      </w:r>
      <w:r>
        <w:t>as</w:t>
      </w:r>
      <w:r w:rsidRPr="00A00826">
        <w:t xml:space="preserve"> the proposed departures have not been submitted to the same level of rigorous analysis.</w:t>
      </w:r>
      <w:r w:rsidRPr="00CE045D">
        <w:rPr>
          <w:rStyle w:val="AERsuperscript"/>
        </w:rPr>
        <w:footnoteReference w:id="54"/>
      </w:r>
      <w:r w:rsidRPr="00A00826">
        <w:t xml:space="preserve"> Further, on specific parameters, the PIAC made submissions also relevant to the transitional proposals. In particular, it submitted that</w:t>
      </w:r>
      <w:r>
        <w:t>:</w:t>
      </w:r>
    </w:p>
    <w:p w:rsidR="009916C7" w:rsidRPr="00A00826" w:rsidRDefault="009916C7" w:rsidP="009916C7">
      <w:pPr>
        <w:pStyle w:val="AERbulletlistsecondstyle"/>
      </w:pPr>
      <w:r w:rsidRPr="00A00826">
        <w:t xml:space="preserve"> we should continue to set the risk free rate as specified in the rate of return guideline, and not using long term historical averages.</w:t>
      </w:r>
      <w:r w:rsidRPr="00A00826">
        <w:rPr>
          <w:rStyle w:val="AERsuperscript"/>
        </w:rPr>
        <w:footnoteReference w:id="55"/>
      </w:r>
      <w:r w:rsidRPr="00A00826">
        <w:rPr>
          <w:rStyle w:val="AERsuperscript"/>
        </w:rPr>
        <w:t xml:space="preserve"> </w:t>
      </w:r>
    </w:p>
    <w:p w:rsidR="009916C7" w:rsidRDefault="009916C7" w:rsidP="009916C7">
      <w:pPr>
        <w:pStyle w:val="AERbulletlistsecondstyle"/>
      </w:pPr>
      <w:r w:rsidRPr="00A00826">
        <w:t>an equity beta of 0.7 overstates the non-diversifiable risks of an efficient benchmark Australian regulated network company, in light of the supportive regulatory regime. However, while the PIAC accepts the AER’s conclusion, it recommends the adoption of a value no higher than 0.7.</w:t>
      </w:r>
      <w:r w:rsidRPr="00A00826">
        <w:rPr>
          <w:rStyle w:val="AERsuperscript"/>
        </w:rPr>
        <w:footnoteReference w:id="56"/>
      </w:r>
    </w:p>
    <w:p w:rsidR="009916C7" w:rsidRPr="00A00826" w:rsidRDefault="009916C7" w:rsidP="009916C7">
      <w:pPr>
        <w:pStyle w:val="AERbulletlistsecondstyle"/>
      </w:pPr>
      <w:r>
        <w:t>while the 6.5 per cent MRP proposed by the NSW DNSPs is consistent with the AER's point estimate derived during the guideline process, it is inappropriate when combined with a novel approach to estimating the risk free rate and a higher equity beta than set out in the guideline.</w:t>
      </w:r>
      <w:r>
        <w:rPr>
          <w:rStyle w:val="FootnoteReference"/>
        </w:rPr>
        <w:footnoteReference w:id="57"/>
      </w:r>
    </w:p>
    <w:p w:rsidR="009916C7" w:rsidRPr="00A00826" w:rsidRDefault="009916C7" w:rsidP="009916C7">
      <w:pPr>
        <w:pStyle w:val="AERbulletlistsecondstyle"/>
      </w:pPr>
      <w:r w:rsidRPr="00A00826">
        <w:t xml:space="preserve">we should apply the transition to the trailing average </w:t>
      </w:r>
      <w:r>
        <w:t xml:space="preserve">portfolio </w:t>
      </w:r>
      <w:r w:rsidRPr="00A00826">
        <w:t xml:space="preserve">cost of debt approach, as set out in the rate of return guideline. Further, the PIAC submitted that an immediate transition to the portfolio </w:t>
      </w:r>
      <w:r>
        <w:t>return</w:t>
      </w:r>
      <w:r w:rsidRPr="00A00826">
        <w:t xml:space="preserve"> </w:t>
      </w:r>
      <w:r>
        <w:t>on</w:t>
      </w:r>
      <w:r w:rsidRPr="00A00826">
        <w:t xml:space="preserve"> debt would result in an unequitable sharing of risks between consumers and </w:t>
      </w:r>
      <w:r w:rsidR="000565BE">
        <w:t>NSW/ACT DNSPs</w:t>
      </w:r>
      <w:r w:rsidRPr="00A00826">
        <w:t>.</w:t>
      </w:r>
      <w:r w:rsidRPr="00A00826">
        <w:rPr>
          <w:rStyle w:val="AERsuperscript"/>
        </w:rPr>
        <w:footnoteReference w:id="58"/>
      </w:r>
    </w:p>
    <w:p w:rsidR="009916C7" w:rsidRPr="00A00826" w:rsidRDefault="009916C7" w:rsidP="009916C7">
      <w:r w:rsidRPr="00A00826">
        <w:t xml:space="preserve">In light of the extensive consultation and analysis in the rate of return guideline, we consider the </w:t>
      </w:r>
      <w:r w:rsidR="000565BE" w:rsidRPr="000565BE">
        <w:t>NSW/ACT DNSPs</w:t>
      </w:r>
      <w:r w:rsidR="000565BE">
        <w:t xml:space="preserve"> </w:t>
      </w:r>
      <w:r w:rsidRPr="00A00826">
        <w:t>have not clearly or sufficiently demonstrated how and why the proposed ranges account for available market information and expected trends. In contrast, we consider the rate of return guideline meets these requirements. Our reasons for this conclusion are set out extensively in the guideline explanatory statement, but in summary:</w:t>
      </w:r>
    </w:p>
    <w:p w:rsidR="009916C7" w:rsidRPr="00A00826" w:rsidRDefault="009916C7" w:rsidP="00C23850">
      <w:pPr>
        <w:pStyle w:val="AERbulletlistfirststyle"/>
      </w:pPr>
      <w:r w:rsidRPr="00A00826">
        <w:t>we rigorously and consistently assessed a wide range of information that could inform rate of return calculations, including relevant data and recent market trends</w:t>
      </w:r>
    </w:p>
    <w:p w:rsidR="009916C7" w:rsidRPr="00A00826" w:rsidRDefault="009916C7" w:rsidP="00C23850">
      <w:pPr>
        <w:pStyle w:val="AERbulletlistfirststyle"/>
      </w:pPr>
      <w:r w:rsidRPr="00A00826">
        <w:t>we consulted widely with stakeholders, including consumers, to give us confidence that the final positions satisfied the NEO.</w:t>
      </w:r>
    </w:p>
    <w:p w:rsidR="009916C7" w:rsidRDefault="009916C7" w:rsidP="009916C7">
      <w:pPr>
        <w:pStyle w:val="AERbodytext"/>
        <w:numPr>
          <w:ilvl w:val="0"/>
          <w:numId w:val="6"/>
        </w:numPr>
      </w:pPr>
      <w:r w:rsidRPr="00CD1E53">
        <w:t xml:space="preserve">Due to the nature of the transitional review and the task set out in the NER, we have had regard to the rate of return guideline to the extent possible. Specifically, we have applied the value of imputation credits set out in the guideline. Similarly, we have had regard to the guideline approach to estimate the return on debt, although we have yet to finalise selection of a third party data provider as specified in the guideline. As identified below, we have taken account of the RBA data series for the purposes of this </w:t>
      </w:r>
      <w:r w:rsidR="00E05D13">
        <w:t>placeholder</w:t>
      </w:r>
      <w:r w:rsidRPr="00CD1E53">
        <w:t xml:space="preserve"> determination. To estimate the return on equity, we have primarily relied on </w:t>
      </w:r>
      <w:r w:rsidRPr="00CD1E53">
        <w:lastRenderedPageBreak/>
        <w:t xml:space="preserve">application of the foundation model. There are other sources of information that will need to be considered in applying the guideline during the full determination process. </w:t>
      </w:r>
    </w:p>
    <w:p w:rsidR="009916C7" w:rsidRDefault="009916C7" w:rsidP="009916C7">
      <w:pPr>
        <w:numPr>
          <w:ilvl w:val="0"/>
          <w:numId w:val="6"/>
        </w:numPr>
      </w:pPr>
      <w:r w:rsidRPr="00544144">
        <w:t xml:space="preserve">For these reasons, we will use the foundation </w:t>
      </w:r>
      <w:r>
        <w:t xml:space="preserve">model </w:t>
      </w:r>
      <w:r w:rsidRPr="00544144">
        <w:t>as a practical and high-level way to estimate the return on equity for t</w:t>
      </w:r>
      <w:r>
        <w:t xml:space="preserve">he </w:t>
      </w:r>
      <w:r w:rsidR="00E05D13">
        <w:t xml:space="preserve">placeholder </w:t>
      </w:r>
      <w:r>
        <w:t>determinations.</w:t>
      </w:r>
    </w:p>
    <w:p w:rsidR="009916C7" w:rsidRPr="00A00826" w:rsidRDefault="009916C7" w:rsidP="009916C7">
      <w:r w:rsidRPr="00A00826">
        <w:t xml:space="preserve">We have applied the methods and point estimates established in the guideline process. We developed these positions through an extensive consultation process over an extended period. Importantly, we had substantial expert and consumer input to the guideline as well as input from other stakeholders. As a result, it encapsulates an outcome reached after careful consideration and deliberation with stakeholders across the market. We therefore consider that the approaches and principles set out in the guideline meet the NER requirements and are most likely to result in outcomes that are in the long-term interests of consumers. </w:t>
      </w:r>
    </w:p>
    <w:p w:rsidR="009916C7" w:rsidRPr="00A00826" w:rsidRDefault="009916C7" w:rsidP="009916C7">
      <w:r w:rsidRPr="00A00826">
        <w:t>Employing approaches set out in the guideline we have developed an indicative range to compare against the proposals submitted by the NSW DNSPs and ActewAGL. We developed our indicative range by undertaking the following high level steps:</w:t>
      </w:r>
    </w:p>
    <w:p w:rsidR="009916C7" w:rsidRPr="00A00826" w:rsidRDefault="009916C7" w:rsidP="00C23850">
      <w:pPr>
        <w:pStyle w:val="AERbulletlistfirststyle"/>
      </w:pPr>
      <w:r w:rsidRPr="00A00826">
        <w:t xml:space="preserve">Our high level estimate of the </w:t>
      </w:r>
      <w:r>
        <w:t>return</w:t>
      </w:r>
      <w:r w:rsidRPr="00A00826">
        <w:t xml:space="preserve"> </w:t>
      </w:r>
      <w:r>
        <w:t>on</w:t>
      </w:r>
      <w:r w:rsidRPr="00A00826">
        <w:t xml:space="preserve"> equity based on the foundation model specified in the guideline is 8.9.</w:t>
      </w:r>
      <w:r w:rsidRPr="00A00826">
        <w:rPr>
          <w:rStyle w:val="AERsuperscript"/>
        </w:rPr>
        <w:footnoteReference w:id="59"/>
      </w:r>
      <w:r w:rsidRPr="00A00826">
        <w:t xml:space="preserve"> Whilst the CAPM is only one of a number of sources of evidence that we will use to estimate the </w:t>
      </w:r>
      <w:r>
        <w:t>return</w:t>
      </w:r>
      <w:r w:rsidRPr="00A00826">
        <w:t xml:space="preserve"> </w:t>
      </w:r>
      <w:r>
        <w:t>on</w:t>
      </w:r>
      <w:r w:rsidRPr="00A00826">
        <w:t xml:space="preserve"> equity, it is the foundation model and is likely to be significant in determining the final estimate. Our high level estimate is made up of:</w:t>
      </w:r>
    </w:p>
    <w:p w:rsidR="009916C7" w:rsidRPr="00A00826" w:rsidRDefault="009916C7" w:rsidP="009916C7">
      <w:pPr>
        <w:pStyle w:val="AERbulletlistsecondstyle"/>
      </w:pPr>
      <w:r w:rsidRPr="00A00826">
        <w:t>Risk free rate—4.3, based on 10 year commonwealth government security (CGS) yields over a recent 20 day averaging period starting in mid-December 2013.</w:t>
      </w:r>
      <w:r w:rsidRPr="00A00826">
        <w:rPr>
          <w:rStyle w:val="AERsuperscript"/>
        </w:rPr>
        <w:footnoteReference w:id="60"/>
      </w:r>
      <w:r w:rsidRPr="00A00826">
        <w:rPr>
          <w:rStyle w:val="AERsuperscript"/>
        </w:rPr>
        <w:t xml:space="preserve"> </w:t>
      </w:r>
      <w:r w:rsidRPr="00A00826">
        <w:t>This was close to the publication of the rate of return guideline, and gives us confidence the estimates are consistent with the same market conditions. However, we also note that the risk free rate has slightly decreased since this time.</w:t>
      </w:r>
      <w:r w:rsidRPr="00A00826">
        <w:rPr>
          <w:rStyle w:val="AERsuperscript"/>
        </w:rPr>
        <w:footnoteReference w:id="61"/>
      </w:r>
    </w:p>
    <w:p w:rsidR="009916C7" w:rsidRPr="00A00826" w:rsidRDefault="009916C7" w:rsidP="009916C7">
      <w:pPr>
        <w:pStyle w:val="AERbulletlistsecondstyle"/>
      </w:pPr>
      <w:r w:rsidRPr="00A00826">
        <w:t>Market risk premium—6.5, based on the rate of return guideline point estimate.</w:t>
      </w:r>
      <w:r w:rsidRPr="00A00826">
        <w:rPr>
          <w:rStyle w:val="AERsuperscript"/>
        </w:rPr>
        <w:footnoteReference w:id="62"/>
      </w:r>
    </w:p>
    <w:p w:rsidR="009916C7" w:rsidRPr="00A00826" w:rsidRDefault="009916C7" w:rsidP="009916C7">
      <w:pPr>
        <w:pStyle w:val="AERbulletlistsecondstyle"/>
      </w:pPr>
      <w:r w:rsidRPr="00A00826">
        <w:t>Equity beta—0.7, based on the rate of return guideline point estimate.</w:t>
      </w:r>
      <w:r w:rsidRPr="00A00826">
        <w:rPr>
          <w:rStyle w:val="AERsuperscript"/>
        </w:rPr>
        <w:footnoteReference w:id="63"/>
      </w:r>
      <w:r w:rsidRPr="00A00826">
        <w:t xml:space="preserve"> </w:t>
      </w:r>
    </w:p>
    <w:p w:rsidR="009916C7" w:rsidRPr="00A00826" w:rsidRDefault="009916C7" w:rsidP="00C23850">
      <w:pPr>
        <w:pStyle w:val="AERbulletlistfirststyle"/>
      </w:pPr>
      <w:r w:rsidRPr="00A00826">
        <w:t xml:space="preserve">A </w:t>
      </w:r>
      <w:r>
        <w:t>return</w:t>
      </w:r>
      <w:r w:rsidRPr="00A00826">
        <w:t xml:space="preserve"> </w:t>
      </w:r>
      <w:r>
        <w:t>on</w:t>
      </w:r>
      <w:r w:rsidRPr="00A00826">
        <w:t xml:space="preserve"> debt between 6.7 and 7.5. The lower estimate in this range is based on the 7 year Bloomberg BBB rate fair value curve over the same recent 20 day averaging period, extrapolated to 10 years with paired bonds.</w:t>
      </w:r>
      <w:r w:rsidRPr="00A00826">
        <w:rPr>
          <w:rStyle w:val="AERsuperscript"/>
        </w:rPr>
        <w:footnoteReference w:id="64"/>
      </w:r>
      <w:r w:rsidRPr="00A00826">
        <w:rPr>
          <w:rStyle w:val="AERsuperscript"/>
        </w:rPr>
        <w:t xml:space="preserve"> </w:t>
      </w:r>
      <w:r w:rsidRPr="00A00826">
        <w:t>The upper estimate in the range is based on the R</w:t>
      </w:r>
      <w:r>
        <w:t>BA’s 10 year return on debt yield</w:t>
      </w:r>
      <w:r w:rsidRPr="00A00826">
        <w:t>.</w:t>
      </w:r>
      <w:r w:rsidRPr="00A00826">
        <w:rPr>
          <w:rStyle w:val="AERsuperscript"/>
        </w:rPr>
        <w:footnoteReference w:id="65"/>
      </w:r>
      <w:r w:rsidRPr="00A00826">
        <w:t xml:space="preserve"> We are currently reviewing available data sources to estimate the </w:t>
      </w:r>
      <w:r>
        <w:t>return</w:t>
      </w:r>
      <w:r w:rsidRPr="00A00826">
        <w:t xml:space="preserve"> </w:t>
      </w:r>
      <w:r>
        <w:t>on</w:t>
      </w:r>
      <w:r w:rsidRPr="00A00826">
        <w:t xml:space="preserve"> debt. In particular, we will assess their suitability for determining the </w:t>
      </w:r>
      <w:r>
        <w:t>return</w:t>
      </w:r>
      <w:r w:rsidRPr="00A00826">
        <w:t xml:space="preserve"> </w:t>
      </w:r>
      <w:r>
        <w:t>on</w:t>
      </w:r>
      <w:r w:rsidRPr="00A00826">
        <w:t xml:space="preserve"> debt for regulated service providers. </w:t>
      </w:r>
    </w:p>
    <w:p w:rsidR="009916C7" w:rsidRPr="00A00826" w:rsidRDefault="009916C7" w:rsidP="009916C7">
      <w:r w:rsidRPr="00A00826">
        <w:t xml:space="preserve">Combined, this </w:t>
      </w:r>
      <w:r>
        <w:t>return</w:t>
      </w:r>
      <w:r w:rsidRPr="00A00826">
        <w:t xml:space="preserve"> </w:t>
      </w:r>
      <w:r>
        <w:t>on</w:t>
      </w:r>
      <w:r w:rsidRPr="00A00826">
        <w:t xml:space="preserve"> debt and cost of equity produces a WACC range of 7.6 to 8.1.</w:t>
      </w:r>
    </w:p>
    <w:p w:rsidR="009916C7" w:rsidRPr="00A00826" w:rsidRDefault="009916C7" w:rsidP="009916C7">
      <w:r w:rsidRPr="00A00826">
        <w:lastRenderedPageBreak/>
        <w:t>In order to minimise the risk of future price variations, we have applied a WACC of 8.1,</w:t>
      </w:r>
      <w:r w:rsidRPr="00A00826">
        <w:rPr>
          <w:rStyle w:val="AERsuperscript"/>
        </w:rPr>
        <w:footnoteReference w:id="66"/>
      </w:r>
      <w:r w:rsidRPr="00A00826">
        <w:rPr>
          <w:rStyle w:val="AERsuperscript"/>
        </w:rPr>
        <w:t xml:space="preserve"> </w:t>
      </w:r>
      <w:r w:rsidRPr="00A00826">
        <w:t xml:space="preserve">which is the top of our indicative range. This estimate process is not a full application of the rate of return guideline, which is not possible in the timeframe of the transitional review. </w:t>
      </w:r>
      <w:r w:rsidRPr="006B787F">
        <w:t xml:space="preserve">However, it does give priority to sources of evidence and point estimates that we </w:t>
      </w:r>
      <w:r>
        <w:t>consider are appropriate for this high level</w:t>
      </w:r>
      <w:r w:rsidRPr="006B787F">
        <w:t xml:space="preserve"> process</w:t>
      </w:r>
      <w:r w:rsidRPr="00A00826">
        <w:t xml:space="preserve">. While we recognise that the final WACC estimate could be higher or lower than this estimate, we have taken account of current market conditions in preparing this estimate. </w:t>
      </w:r>
    </w:p>
    <w:p w:rsidR="009916C7" w:rsidRPr="00A00826" w:rsidRDefault="009916C7" w:rsidP="009916C7">
      <w:r w:rsidRPr="00A00826">
        <w:t xml:space="preserve">Based on this, our analysis indicates that </w:t>
      </w:r>
      <w:r>
        <w:t xml:space="preserve">the </w:t>
      </w:r>
      <w:r w:rsidR="000565BE">
        <w:t>NSW/ACT DNSPs</w:t>
      </w:r>
      <w:r>
        <w:t>'</w:t>
      </w:r>
      <w:r w:rsidRPr="00A00826">
        <w:t xml:space="preserve"> proposed rate of return ranges are overstated. Further, we consider that the proposed ranges do not appropriately take into account the available market information and expected market trends reflected in recent debt market data and in the cost of equity analysis set out in the rate of return guideline. Comparing the upper bound of our range (8.1) to the point estimates applied by the </w:t>
      </w:r>
      <w:r w:rsidR="000565BE" w:rsidRPr="000565BE">
        <w:t>NSW/ACT DNSPs</w:t>
      </w:r>
      <w:r w:rsidR="000565BE">
        <w:t xml:space="preserve"> </w:t>
      </w:r>
      <w:r w:rsidRPr="00A00826">
        <w:t>to develop the transitional year revenue requirements (8.5 per cent and 8.9 per</w:t>
      </w:r>
      <w:r>
        <w:t xml:space="preserve"> </w:t>
      </w:r>
      <w:r w:rsidRPr="00A00826">
        <w:t xml:space="preserve">cent) suggests the </w:t>
      </w:r>
      <w:r w:rsidR="000565BE">
        <w:t>NSW/ACT DNSPs</w:t>
      </w:r>
      <w:r w:rsidRPr="00A00826">
        <w:t xml:space="preserve"> have overstated the rate of return by </w:t>
      </w:r>
      <w:r>
        <w:t>approximately</w:t>
      </w:r>
      <w:r w:rsidRPr="00A00826">
        <w:t xml:space="preserve"> </w:t>
      </w:r>
      <w:r>
        <w:t>4</w:t>
      </w:r>
      <w:r w:rsidRPr="00A00826">
        <w:t xml:space="preserve">0 basis points and </w:t>
      </w:r>
      <w:r>
        <w:t>8</w:t>
      </w:r>
      <w:r w:rsidRPr="00A00826">
        <w:t>0 basis points</w:t>
      </w:r>
      <w:r>
        <w:t xml:space="preserve"> respectively</w:t>
      </w:r>
      <w:r w:rsidRPr="00A00826">
        <w:t>.</w:t>
      </w:r>
    </w:p>
    <w:p w:rsidR="009916C7" w:rsidRDefault="009916C7" w:rsidP="003F0974">
      <w:pPr>
        <w:pStyle w:val="Heading3"/>
      </w:pPr>
      <w:bookmarkStart w:id="127" w:name="_Toc383436067"/>
      <w:bookmarkStart w:id="128" w:name="_Ref384120599"/>
      <w:bookmarkStart w:id="129" w:name="_Toc384716224"/>
      <w:r>
        <w:t>Opening regulatory asset base</w:t>
      </w:r>
      <w:bookmarkEnd w:id="127"/>
      <w:bookmarkEnd w:id="128"/>
      <w:bookmarkEnd w:id="129"/>
    </w:p>
    <w:p w:rsidR="009916C7" w:rsidRDefault="00804FE8" w:rsidP="009916C7">
      <w:pPr>
        <w:pStyle w:val="AERbodytext"/>
        <w:numPr>
          <w:ilvl w:val="0"/>
          <w:numId w:val="6"/>
        </w:numPr>
      </w:pPr>
      <w:r>
        <w:fldChar w:fldCharType="begin"/>
      </w:r>
      <w:r>
        <w:instrText xml:space="preserve"> REF _Ref384808298 \h </w:instrText>
      </w:r>
      <w:r>
        <w:fldChar w:fldCharType="separate"/>
      </w:r>
      <w:r w:rsidR="00E313D7">
        <w:t xml:space="preserve">Table </w:t>
      </w:r>
      <w:r w:rsidR="00E313D7">
        <w:rPr>
          <w:noProof/>
        </w:rPr>
        <w:t>4</w:t>
      </w:r>
      <w:r w:rsidR="00E313D7">
        <w:t>.</w:t>
      </w:r>
      <w:r w:rsidR="00E313D7">
        <w:rPr>
          <w:noProof/>
        </w:rPr>
        <w:t>14</w:t>
      </w:r>
      <w:r>
        <w:fldChar w:fldCharType="end"/>
      </w:r>
      <w:r>
        <w:t xml:space="preserve"> </w:t>
      </w:r>
      <w:r w:rsidR="009916C7" w:rsidRPr="008B760E">
        <w:t xml:space="preserve">presents an overview of the proposed indicative opening RABs for the NSW/ACT </w:t>
      </w:r>
      <w:r w:rsidR="009916C7">
        <w:t>DNSPs</w:t>
      </w:r>
      <w:r w:rsidR="009916C7" w:rsidRPr="008B760E">
        <w:t xml:space="preserve"> as at 1 July 2014. </w:t>
      </w:r>
      <w:r w:rsidR="009916C7" w:rsidRPr="008212B1">
        <w:t xml:space="preserve">It compares the projected RABs from the 2009 AER </w:t>
      </w:r>
      <w:r w:rsidR="009916C7">
        <w:t xml:space="preserve">distribution </w:t>
      </w:r>
      <w:r w:rsidR="009916C7" w:rsidRPr="008212B1">
        <w:t>determinations against the proposed opening RAB values included in each TRP (reflecting actual capex over the 2009–13 period and estimates for 2013–14, actual depreciation and CPI outcomes).</w:t>
      </w:r>
      <w:r w:rsidR="009916C7">
        <w:t xml:space="preserve"> </w:t>
      </w:r>
      <w:r w:rsidR="009916C7" w:rsidRPr="008212B1">
        <w:t xml:space="preserve">The proposed opening RABs at the start of the transitional regulatory control period for </w:t>
      </w:r>
      <w:r w:rsidR="009916C7">
        <w:t>Ausgrid's distribution and transmission networks</w:t>
      </w:r>
      <w:r w:rsidR="009916C7" w:rsidRPr="008212B1">
        <w:t xml:space="preserve"> are </w:t>
      </w:r>
      <w:r w:rsidR="009916C7">
        <w:t>10.8</w:t>
      </w:r>
      <w:r w:rsidR="009916C7" w:rsidRPr="008212B1">
        <w:t xml:space="preserve"> per cent and </w:t>
      </w:r>
      <w:r w:rsidR="009916C7">
        <w:t>8</w:t>
      </w:r>
      <w:r w:rsidR="009916C7" w:rsidRPr="008212B1">
        <w:t>.8 per cent below the projected values respectively.</w:t>
      </w:r>
      <w:r w:rsidR="009916C7">
        <w:t xml:space="preserve"> Endeavour Energy's and Essential Energy's opening RABs are also below the projected values by 7.5 per cent and 11.0 per cent respectively. </w:t>
      </w:r>
      <w:r w:rsidR="009916C7" w:rsidRPr="008212B1">
        <w:t xml:space="preserve">The primary reason for the lower RABs is that actual capex over the </w:t>
      </w:r>
      <w:r w:rsidR="009916C7">
        <w:t>current</w:t>
      </w:r>
      <w:r w:rsidR="009916C7" w:rsidRPr="008212B1">
        <w:t xml:space="preserve"> regulatory control period was lower than forecast.</w:t>
      </w:r>
      <w:r w:rsidR="009916C7">
        <w:t xml:space="preserve"> </w:t>
      </w:r>
    </w:p>
    <w:p w:rsidR="009916C7" w:rsidRDefault="009916C7" w:rsidP="009916C7">
      <w:pPr>
        <w:pStyle w:val="AERbodytext"/>
        <w:numPr>
          <w:ilvl w:val="0"/>
          <w:numId w:val="6"/>
        </w:numPr>
      </w:pPr>
      <w:r>
        <w:t>The opening RAB for ActewAGL's combined distribution and transmission networks is 5.6 per cent higher than the projected value reflecting actual capex being higher than forecast over the current regulatory control period.</w:t>
      </w:r>
    </w:p>
    <w:p w:rsidR="009916C7" w:rsidRDefault="009916C7" w:rsidP="009916C7">
      <w:pPr>
        <w:pStyle w:val="AERbodytext"/>
        <w:numPr>
          <w:ilvl w:val="0"/>
          <w:numId w:val="6"/>
        </w:numPr>
      </w:pPr>
      <w:r>
        <w:t xml:space="preserve">We have undertaken a high level review of the proposed inputs in the AER's roll forward model (RFM) used to determine the opening RAB and found that they generally conform to our expectations. For the limited purposes of this </w:t>
      </w:r>
      <w:r w:rsidR="00E05D13">
        <w:t xml:space="preserve">placeholder </w:t>
      </w:r>
      <w:r>
        <w:t>determination, we have adopted the DNSPs’ proposed opening RABs for assessing the transitional revenue estimate. Nonetheless,</w:t>
      </w:r>
      <w:r w:rsidRPr="00B53E86">
        <w:t xml:space="preserve"> </w:t>
      </w:r>
      <w:r>
        <w:t xml:space="preserve">we will </w:t>
      </w:r>
      <w:r w:rsidRPr="00B53E86">
        <w:t xml:space="preserve">have to </w:t>
      </w:r>
      <w:r>
        <w:t>review</w:t>
      </w:r>
      <w:r w:rsidRPr="00B53E86">
        <w:t xml:space="preserve"> </w:t>
      </w:r>
      <w:r>
        <w:t>these opening RABs</w:t>
      </w:r>
      <w:r w:rsidRPr="00B53E86">
        <w:t xml:space="preserve"> for the </w:t>
      </w:r>
      <w:r>
        <w:t>full determination process.</w:t>
      </w:r>
    </w:p>
    <w:p w:rsidR="009916C7" w:rsidRDefault="00F27D91" w:rsidP="007129F8">
      <w:pPr>
        <w:pStyle w:val="Caption"/>
        <w:jc w:val="left"/>
      </w:pPr>
      <w:bookmarkStart w:id="130" w:name="_Ref384808298"/>
      <w:r>
        <w:lastRenderedPageBreak/>
        <w:t xml:space="preserve">Table </w:t>
      </w:r>
      <w:r w:rsidR="00DD155E">
        <w:fldChar w:fldCharType="begin"/>
      </w:r>
      <w:r w:rsidR="00DD155E">
        <w:instrText xml:space="preserve"> STYLEREF 1 \s </w:instrText>
      </w:r>
      <w:r w:rsidR="00DD155E">
        <w:fldChar w:fldCharType="separate"/>
      </w:r>
      <w:r w:rsidR="00E313D7">
        <w:rPr>
          <w:noProof/>
        </w:rPr>
        <w:t>4</w:t>
      </w:r>
      <w:r w:rsidR="00DD155E">
        <w:rPr>
          <w:noProof/>
        </w:rPr>
        <w:fldChar w:fldCharType="end"/>
      </w:r>
      <w:r w:rsidR="00804FE8">
        <w:t>.</w:t>
      </w:r>
      <w:r w:rsidR="00DD155E">
        <w:fldChar w:fldCharType="begin"/>
      </w:r>
      <w:r w:rsidR="00DD155E">
        <w:instrText xml:space="preserve"> SEQ Table \* ARABIC \s 1 </w:instrText>
      </w:r>
      <w:r w:rsidR="00DD155E">
        <w:fldChar w:fldCharType="separate"/>
      </w:r>
      <w:r w:rsidR="00E313D7">
        <w:rPr>
          <w:noProof/>
        </w:rPr>
        <w:t>14</w:t>
      </w:r>
      <w:r w:rsidR="00DD155E">
        <w:rPr>
          <w:noProof/>
        </w:rPr>
        <w:fldChar w:fldCharType="end"/>
      </w:r>
      <w:bookmarkEnd w:id="130"/>
      <w:r>
        <w:tab/>
      </w:r>
      <w:r w:rsidR="009916C7" w:rsidRPr="00A4431D">
        <w:t>Proposed opening RAB as at 1 July 2014 in comparison with projection ($m, nominal)</w:t>
      </w:r>
    </w:p>
    <w:tbl>
      <w:tblPr>
        <w:tblStyle w:val="AERtable-numbers"/>
        <w:tblW w:w="9242" w:type="dxa"/>
        <w:tblLook w:val="04A0" w:firstRow="1" w:lastRow="0" w:firstColumn="1" w:lastColumn="0" w:noHBand="0" w:noVBand="1"/>
      </w:tblPr>
      <w:tblGrid>
        <w:gridCol w:w="3794"/>
        <w:gridCol w:w="1816"/>
        <w:gridCol w:w="1816"/>
        <w:gridCol w:w="1816"/>
      </w:tblGrid>
      <w:tr w:rsidR="009916C7" w:rsidRPr="006E23C1" w:rsidTr="00F27D9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rsidR="009916C7" w:rsidRPr="00C97C19" w:rsidRDefault="009916C7" w:rsidP="007129F8">
            <w:pPr>
              <w:pStyle w:val="AERtabletextleft"/>
              <w:keepNext/>
            </w:pPr>
          </w:p>
        </w:tc>
        <w:tc>
          <w:tcPr>
            <w:tcW w:w="1816" w:type="dxa"/>
            <w:noWrap/>
            <w:hideMark/>
          </w:tcPr>
          <w:p w:rsidR="009916C7" w:rsidRPr="009916C7" w:rsidRDefault="009916C7" w:rsidP="007129F8">
            <w:pPr>
              <w:pStyle w:val="AERtabletextright"/>
              <w:keepNext/>
              <w:cnfStyle w:val="100000000000" w:firstRow="1" w:lastRow="0" w:firstColumn="0" w:lastColumn="0" w:oddVBand="0" w:evenVBand="0" w:oddHBand="0" w:evenHBand="0" w:firstRowFirstColumn="0" w:firstRowLastColumn="0" w:lastRowFirstColumn="0" w:lastRowLastColumn="0"/>
            </w:pPr>
            <w:r>
              <w:t>Projection</w:t>
            </w:r>
          </w:p>
        </w:tc>
        <w:tc>
          <w:tcPr>
            <w:tcW w:w="1816" w:type="dxa"/>
            <w:noWrap/>
            <w:hideMark/>
          </w:tcPr>
          <w:p w:rsidR="009916C7" w:rsidRPr="00C97C19" w:rsidRDefault="009916C7" w:rsidP="007129F8">
            <w:pPr>
              <w:pStyle w:val="AERtabletextright"/>
              <w:keepNext/>
              <w:cnfStyle w:val="100000000000" w:firstRow="1" w:lastRow="0" w:firstColumn="0" w:lastColumn="0" w:oddVBand="0" w:evenVBand="0" w:oddHBand="0" w:evenHBand="0" w:firstRowFirstColumn="0" w:firstRowLastColumn="0" w:lastRowFirstColumn="0" w:lastRowLastColumn="0"/>
            </w:pPr>
            <w:r w:rsidRPr="00C97C19">
              <w:t>Actual</w:t>
            </w:r>
          </w:p>
        </w:tc>
        <w:tc>
          <w:tcPr>
            <w:tcW w:w="1816" w:type="dxa"/>
            <w:noWrap/>
            <w:hideMark/>
          </w:tcPr>
          <w:p w:rsidR="009916C7" w:rsidRPr="00C97C19" w:rsidRDefault="009916C7" w:rsidP="007129F8">
            <w:pPr>
              <w:pStyle w:val="AERtabletextright"/>
              <w:keepNext/>
              <w:cnfStyle w:val="100000000000" w:firstRow="1" w:lastRow="0" w:firstColumn="0" w:lastColumn="0" w:oddVBand="0" w:evenVBand="0" w:oddHBand="0" w:evenHBand="0" w:firstRowFirstColumn="0" w:firstRowLastColumn="0" w:lastRowFirstColumn="0" w:lastRowLastColumn="0"/>
            </w:pPr>
            <w:r w:rsidRPr="00C97C19">
              <w:t>Difference (%)</w:t>
            </w:r>
          </w:p>
        </w:tc>
      </w:tr>
      <w:tr w:rsidR="009916C7" w:rsidRPr="006E23C1" w:rsidTr="00F27D91">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rsidR="009916C7" w:rsidRPr="00C97C19" w:rsidRDefault="009916C7" w:rsidP="007129F8">
            <w:pPr>
              <w:pStyle w:val="AERtabletextleft"/>
              <w:keepNext/>
            </w:pPr>
            <w:r w:rsidRPr="00C97C19">
              <w:t>Ausgrid – distribution</w:t>
            </w:r>
          </w:p>
        </w:tc>
        <w:tc>
          <w:tcPr>
            <w:tcW w:w="1816" w:type="dxa"/>
            <w:noWrap/>
            <w:hideMark/>
          </w:tcPr>
          <w:p w:rsidR="009916C7" w:rsidRPr="00C97C19" w:rsidRDefault="009916C7" w:rsidP="007129F8">
            <w:pPr>
              <w:pStyle w:val="AERtabletextright"/>
              <w:keepNext/>
              <w:cnfStyle w:val="000000000000" w:firstRow="0" w:lastRow="0" w:firstColumn="0" w:lastColumn="0" w:oddVBand="0" w:evenVBand="0" w:oddHBand="0" w:evenHBand="0" w:firstRowFirstColumn="0" w:firstRowLastColumn="0" w:lastRowFirstColumn="0" w:lastRowLastColumn="0"/>
            </w:pPr>
            <w:r w:rsidRPr="00C97C19">
              <w:t>14051</w:t>
            </w:r>
          </w:p>
        </w:tc>
        <w:tc>
          <w:tcPr>
            <w:tcW w:w="1816" w:type="dxa"/>
            <w:noWrap/>
            <w:hideMark/>
          </w:tcPr>
          <w:p w:rsidR="009916C7" w:rsidRPr="00C97C19" w:rsidRDefault="009916C7" w:rsidP="007129F8">
            <w:pPr>
              <w:pStyle w:val="AERtabletextright"/>
              <w:keepNext/>
              <w:cnfStyle w:val="000000000000" w:firstRow="0" w:lastRow="0" w:firstColumn="0" w:lastColumn="0" w:oddVBand="0" w:evenVBand="0" w:oddHBand="0" w:evenHBand="0" w:firstRowFirstColumn="0" w:firstRowLastColumn="0" w:lastRowFirstColumn="0" w:lastRowLastColumn="0"/>
            </w:pPr>
            <w:r w:rsidRPr="00C97C19">
              <w:t>12536</w:t>
            </w:r>
          </w:p>
        </w:tc>
        <w:tc>
          <w:tcPr>
            <w:tcW w:w="1816" w:type="dxa"/>
            <w:noWrap/>
            <w:hideMark/>
          </w:tcPr>
          <w:p w:rsidR="009916C7" w:rsidRPr="00C97C19" w:rsidRDefault="009916C7" w:rsidP="007129F8">
            <w:pPr>
              <w:pStyle w:val="AERtabletextright"/>
              <w:keepNext/>
              <w:cnfStyle w:val="000000000000" w:firstRow="0" w:lastRow="0" w:firstColumn="0" w:lastColumn="0" w:oddVBand="0" w:evenVBand="0" w:oddHBand="0" w:evenHBand="0" w:firstRowFirstColumn="0" w:firstRowLastColumn="0" w:lastRowFirstColumn="0" w:lastRowLastColumn="0"/>
            </w:pPr>
            <w:r w:rsidRPr="00C97C19">
              <w:t>-10.8%</w:t>
            </w:r>
          </w:p>
        </w:tc>
      </w:tr>
      <w:tr w:rsidR="009916C7" w:rsidRPr="006E23C1" w:rsidTr="00F27D9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rsidR="009916C7" w:rsidRPr="00C97C19" w:rsidRDefault="009916C7" w:rsidP="007129F8">
            <w:pPr>
              <w:pStyle w:val="AERtabletextleft"/>
              <w:keepNext/>
            </w:pPr>
            <w:r w:rsidRPr="00C97C19">
              <w:t>Ausgrid – transmission</w:t>
            </w:r>
          </w:p>
        </w:tc>
        <w:tc>
          <w:tcPr>
            <w:tcW w:w="1816" w:type="dxa"/>
            <w:noWrap/>
            <w:hideMark/>
          </w:tcPr>
          <w:p w:rsidR="009916C7" w:rsidRPr="00C97C19" w:rsidRDefault="009916C7" w:rsidP="007129F8">
            <w:pPr>
              <w:pStyle w:val="AERtabletextright"/>
              <w:keepNext/>
              <w:cnfStyle w:val="000000010000" w:firstRow="0" w:lastRow="0" w:firstColumn="0" w:lastColumn="0" w:oddVBand="0" w:evenVBand="0" w:oddHBand="0" w:evenHBand="1" w:firstRowFirstColumn="0" w:firstRowLastColumn="0" w:lastRowFirstColumn="0" w:lastRowLastColumn="0"/>
            </w:pPr>
            <w:r w:rsidRPr="00C97C19">
              <w:t>2313</w:t>
            </w:r>
          </w:p>
        </w:tc>
        <w:tc>
          <w:tcPr>
            <w:tcW w:w="1816" w:type="dxa"/>
            <w:noWrap/>
            <w:hideMark/>
          </w:tcPr>
          <w:p w:rsidR="009916C7" w:rsidRPr="00C97C19" w:rsidRDefault="009916C7" w:rsidP="007129F8">
            <w:pPr>
              <w:pStyle w:val="AERtabletextright"/>
              <w:keepNext/>
              <w:cnfStyle w:val="000000010000" w:firstRow="0" w:lastRow="0" w:firstColumn="0" w:lastColumn="0" w:oddVBand="0" w:evenVBand="0" w:oddHBand="0" w:evenHBand="1" w:firstRowFirstColumn="0" w:firstRowLastColumn="0" w:lastRowFirstColumn="0" w:lastRowLastColumn="0"/>
            </w:pPr>
            <w:r w:rsidRPr="00C97C19">
              <w:t>2109</w:t>
            </w:r>
          </w:p>
        </w:tc>
        <w:tc>
          <w:tcPr>
            <w:tcW w:w="1816" w:type="dxa"/>
            <w:noWrap/>
            <w:hideMark/>
          </w:tcPr>
          <w:p w:rsidR="009916C7" w:rsidRPr="00C97C19" w:rsidRDefault="009916C7" w:rsidP="007129F8">
            <w:pPr>
              <w:pStyle w:val="AERtabletextright"/>
              <w:keepNext/>
              <w:cnfStyle w:val="000000010000" w:firstRow="0" w:lastRow="0" w:firstColumn="0" w:lastColumn="0" w:oddVBand="0" w:evenVBand="0" w:oddHBand="0" w:evenHBand="1" w:firstRowFirstColumn="0" w:firstRowLastColumn="0" w:lastRowFirstColumn="0" w:lastRowLastColumn="0"/>
            </w:pPr>
            <w:r w:rsidRPr="00C97C19">
              <w:t>-8.8%</w:t>
            </w:r>
          </w:p>
        </w:tc>
      </w:tr>
      <w:tr w:rsidR="009916C7" w:rsidRPr="006E23C1" w:rsidTr="00F27D91">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rsidR="009916C7" w:rsidRPr="00C97C19" w:rsidRDefault="009916C7" w:rsidP="007129F8">
            <w:pPr>
              <w:pStyle w:val="AERtabletextleft"/>
              <w:keepNext/>
            </w:pPr>
            <w:r w:rsidRPr="00C97C19">
              <w:t>Essential Energy</w:t>
            </w:r>
          </w:p>
        </w:tc>
        <w:tc>
          <w:tcPr>
            <w:tcW w:w="1816" w:type="dxa"/>
            <w:noWrap/>
            <w:hideMark/>
          </w:tcPr>
          <w:p w:rsidR="009916C7" w:rsidRPr="00C97C19" w:rsidRDefault="009916C7" w:rsidP="007129F8">
            <w:pPr>
              <w:pStyle w:val="AERtabletextright"/>
              <w:keepNext/>
              <w:cnfStyle w:val="000000000000" w:firstRow="0" w:lastRow="0" w:firstColumn="0" w:lastColumn="0" w:oddVBand="0" w:evenVBand="0" w:oddHBand="0" w:evenHBand="0" w:firstRowFirstColumn="0" w:firstRowLastColumn="0" w:lastRowFirstColumn="0" w:lastRowLastColumn="0"/>
            </w:pPr>
            <w:r w:rsidRPr="00C97C19">
              <w:t>7743</w:t>
            </w:r>
          </w:p>
        </w:tc>
        <w:tc>
          <w:tcPr>
            <w:tcW w:w="1816" w:type="dxa"/>
            <w:noWrap/>
            <w:hideMark/>
          </w:tcPr>
          <w:p w:rsidR="009916C7" w:rsidRPr="00C97C19" w:rsidRDefault="009916C7" w:rsidP="007129F8">
            <w:pPr>
              <w:pStyle w:val="AERtabletextright"/>
              <w:keepNext/>
              <w:cnfStyle w:val="000000000000" w:firstRow="0" w:lastRow="0" w:firstColumn="0" w:lastColumn="0" w:oddVBand="0" w:evenVBand="0" w:oddHBand="0" w:evenHBand="0" w:firstRowFirstColumn="0" w:firstRowLastColumn="0" w:lastRowFirstColumn="0" w:lastRowLastColumn="0"/>
            </w:pPr>
            <w:r w:rsidRPr="00C97C19">
              <w:t>6888</w:t>
            </w:r>
          </w:p>
        </w:tc>
        <w:tc>
          <w:tcPr>
            <w:tcW w:w="1816" w:type="dxa"/>
            <w:noWrap/>
            <w:hideMark/>
          </w:tcPr>
          <w:p w:rsidR="009916C7" w:rsidRPr="00C97C19" w:rsidRDefault="009916C7" w:rsidP="007129F8">
            <w:pPr>
              <w:pStyle w:val="AERtabletextright"/>
              <w:keepNext/>
              <w:cnfStyle w:val="000000000000" w:firstRow="0" w:lastRow="0" w:firstColumn="0" w:lastColumn="0" w:oddVBand="0" w:evenVBand="0" w:oddHBand="0" w:evenHBand="0" w:firstRowFirstColumn="0" w:firstRowLastColumn="0" w:lastRowFirstColumn="0" w:lastRowLastColumn="0"/>
            </w:pPr>
            <w:r w:rsidRPr="00C97C19">
              <w:t>-11.0%</w:t>
            </w:r>
          </w:p>
        </w:tc>
      </w:tr>
      <w:tr w:rsidR="009916C7" w:rsidRPr="006E23C1" w:rsidTr="00F27D9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rsidR="009916C7" w:rsidRPr="009916C7" w:rsidRDefault="009916C7" w:rsidP="007129F8">
            <w:pPr>
              <w:pStyle w:val="AERtabletextleft"/>
              <w:keepNext/>
            </w:pPr>
            <w:r w:rsidRPr="00DC0E0A">
              <w:t>Endeavour</w:t>
            </w:r>
            <w:r w:rsidRPr="009916C7">
              <w:t xml:space="preserve"> Energy</w:t>
            </w:r>
          </w:p>
        </w:tc>
        <w:tc>
          <w:tcPr>
            <w:tcW w:w="1816" w:type="dxa"/>
            <w:noWrap/>
            <w:hideMark/>
          </w:tcPr>
          <w:p w:rsidR="009916C7" w:rsidRPr="009916C7" w:rsidRDefault="009916C7" w:rsidP="007129F8">
            <w:pPr>
              <w:pStyle w:val="AERtabletextright"/>
              <w:keepNext/>
              <w:cnfStyle w:val="000000010000" w:firstRow="0" w:lastRow="0" w:firstColumn="0" w:lastColumn="0" w:oddVBand="0" w:evenVBand="0" w:oddHBand="0" w:evenHBand="1" w:firstRowFirstColumn="0" w:firstRowLastColumn="0" w:lastRowFirstColumn="0" w:lastRowLastColumn="0"/>
            </w:pPr>
            <w:r>
              <w:t>6</w:t>
            </w:r>
            <w:r w:rsidRPr="009916C7">
              <w:t>068</w:t>
            </w:r>
          </w:p>
        </w:tc>
        <w:tc>
          <w:tcPr>
            <w:tcW w:w="1816" w:type="dxa"/>
            <w:noWrap/>
            <w:hideMark/>
          </w:tcPr>
          <w:p w:rsidR="009916C7" w:rsidRPr="009916C7" w:rsidRDefault="009916C7" w:rsidP="007129F8">
            <w:pPr>
              <w:pStyle w:val="AERtabletextright"/>
              <w:keepNext/>
              <w:cnfStyle w:val="000000010000" w:firstRow="0" w:lastRow="0" w:firstColumn="0" w:lastColumn="0" w:oddVBand="0" w:evenVBand="0" w:oddHBand="0" w:evenHBand="1" w:firstRowFirstColumn="0" w:firstRowLastColumn="0" w:lastRowFirstColumn="0" w:lastRowLastColumn="0"/>
            </w:pPr>
            <w:r>
              <w:t>5</w:t>
            </w:r>
            <w:r w:rsidRPr="009916C7">
              <w:t>616</w:t>
            </w:r>
          </w:p>
        </w:tc>
        <w:tc>
          <w:tcPr>
            <w:tcW w:w="1816" w:type="dxa"/>
            <w:noWrap/>
            <w:hideMark/>
          </w:tcPr>
          <w:p w:rsidR="009916C7" w:rsidRPr="00DC0E0A" w:rsidRDefault="009916C7" w:rsidP="007129F8">
            <w:pPr>
              <w:pStyle w:val="AERtabletextright"/>
              <w:keepNext/>
              <w:cnfStyle w:val="000000010000" w:firstRow="0" w:lastRow="0" w:firstColumn="0" w:lastColumn="0" w:oddVBand="0" w:evenVBand="0" w:oddHBand="0" w:evenHBand="1" w:firstRowFirstColumn="0" w:firstRowLastColumn="0" w:lastRowFirstColumn="0" w:lastRowLastColumn="0"/>
            </w:pPr>
            <w:r w:rsidRPr="00DC0E0A">
              <w:t>-7.5%</w:t>
            </w:r>
          </w:p>
        </w:tc>
      </w:tr>
      <w:tr w:rsidR="009916C7" w:rsidRPr="006E23C1" w:rsidTr="00F27D91">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rsidR="009916C7" w:rsidRPr="009916C7" w:rsidRDefault="009916C7" w:rsidP="007129F8">
            <w:pPr>
              <w:pStyle w:val="AERtabletextleft"/>
              <w:keepNext/>
            </w:pPr>
            <w:r w:rsidRPr="00C97C19">
              <w:t>ActewAGL</w:t>
            </w:r>
            <w:r w:rsidRPr="009916C7">
              <w:rPr>
                <w:rStyle w:val="AERsuperscript"/>
              </w:rPr>
              <w:t>a</w:t>
            </w:r>
          </w:p>
        </w:tc>
        <w:tc>
          <w:tcPr>
            <w:tcW w:w="1816" w:type="dxa"/>
            <w:noWrap/>
            <w:hideMark/>
          </w:tcPr>
          <w:p w:rsidR="009916C7" w:rsidRPr="00C97C19" w:rsidRDefault="009916C7" w:rsidP="007129F8">
            <w:pPr>
              <w:pStyle w:val="AERtabletextright"/>
              <w:keepNext/>
              <w:cnfStyle w:val="000000000000" w:firstRow="0" w:lastRow="0" w:firstColumn="0" w:lastColumn="0" w:oddVBand="0" w:evenVBand="0" w:oddHBand="0" w:evenHBand="0" w:firstRowFirstColumn="0" w:firstRowLastColumn="0" w:lastRowFirstColumn="0" w:lastRowLastColumn="0"/>
            </w:pPr>
            <w:r w:rsidRPr="00C97C19">
              <w:t>809</w:t>
            </w:r>
          </w:p>
        </w:tc>
        <w:tc>
          <w:tcPr>
            <w:tcW w:w="1816" w:type="dxa"/>
            <w:noWrap/>
            <w:hideMark/>
          </w:tcPr>
          <w:p w:rsidR="009916C7" w:rsidRPr="00C97C19" w:rsidRDefault="009916C7" w:rsidP="007129F8">
            <w:pPr>
              <w:pStyle w:val="AERtabletextright"/>
              <w:keepNext/>
              <w:cnfStyle w:val="000000000000" w:firstRow="0" w:lastRow="0" w:firstColumn="0" w:lastColumn="0" w:oddVBand="0" w:evenVBand="0" w:oddHBand="0" w:evenHBand="0" w:firstRowFirstColumn="0" w:firstRowLastColumn="0" w:lastRowFirstColumn="0" w:lastRowLastColumn="0"/>
            </w:pPr>
            <w:r w:rsidRPr="00C97C19">
              <w:t>855</w:t>
            </w:r>
          </w:p>
        </w:tc>
        <w:tc>
          <w:tcPr>
            <w:tcW w:w="1816" w:type="dxa"/>
            <w:noWrap/>
            <w:hideMark/>
          </w:tcPr>
          <w:p w:rsidR="009916C7" w:rsidRPr="00C97C19" w:rsidRDefault="009916C7" w:rsidP="007129F8">
            <w:pPr>
              <w:pStyle w:val="AERtabletextright"/>
              <w:keepNext/>
              <w:cnfStyle w:val="000000000000" w:firstRow="0" w:lastRow="0" w:firstColumn="0" w:lastColumn="0" w:oddVBand="0" w:evenVBand="0" w:oddHBand="0" w:evenHBand="0" w:firstRowFirstColumn="0" w:firstRowLastColumn="0" w:lastRowFirstColumn="0" w:lastRowLastColumn="0"/>
            </w:pPr>
            <w:r w:rsidRPr="00C97C19">
              <w:t>5.6%</w:t>
            </w:r>
          </w:p>
        </w:tc>
      </w:tr>
    </w:tbl>
    <w:p w:rsidR="009916C7" w:rsidRPr="008B760E" w:rsidRDefault="00804FE8" w:rsidP="007129F8">
      <w:pPr>
        <w:pStyle w:val="AERtablesource"/>
        <w:keepNext/>
      </w:pPr>
      <w:r>
        <w:t>Source:</w:t>
      </w:r>
      <w:r>
        <w:tab/>
      </w:r>
      <w:r w:rsidR="00DB2819">
        <w:t>AER analysis</w:t>
      </w:r>
      <w:r w:rsidR="009E6A34">
        <w:t>.</w:t>
      </w:r>
    </w:p>
    <w:p w:rsidR="009916C7" w:rsidRPr="008B760E" w:rsidRDefault="009916C7" w:rsidP="00804FE8">
      <w:pPr>
        <w:pStyle w:val="AERtablesource"/>
        <w:tabs>
          <w:tab w:val="left" w:pos="993"/>
        </w:tabs>
        <w:ind w:left="992" w:hanging="992"/>
      </w:pPr>
      <w:r w:rsidRPr="008B760E">
        <w:t>Notes:</w:t>
      </w:r>
      <w:r w:rsidR="00804FE8">
        <w:tab/>
      </w:r>
      <w:r w:rsidRPr="008B760E">
        <w:t>a.</w:t>
      </w:r>
      <w:r w:rsidRPr="008B760E">
        <w:tab/>
      </w:r>
      <w:r>
        <w:t>At the 2009 determination ActewAGL's distribution and transmission networks were combined. The figures presented represent the combined opening RABs of the two networks.</w:t>
      </w:r>
    </w:p>
    <w:bookmarkStart w:id="131" w:name="_Ref383702544"/>
    <w:p w:rsidR="009916C7" w:rsidRDefault="009E6A34" w:rsidP="009916C7">
      <w:pPr>
        <w:pStyle w:val="AERbodytext"/>
        <w:numPr>
          <w:ilvl w:val="0"/>
          <w:numId w:val="6"/>
        </w:numPr>
      </w:pPr>
      <w:r>
        <w:fldChar w:fldCharType="begin"/>
      </w:r>
      <w:r>
        <w:instrText xml:space="preserve"> REF _Ref384820889 \h </w:instrText>
      </w:r>
      <w:r>
        <w:fldChar w:fldCharType="separate"/>
      </w:r>
      <w:r w:rsidR="00E313D7">
        <w:t xml:space="preserve">Figure </w:t>
      </w:r>
      <w:r w:rsidR="00E313D7">
        <w:rPr>
          <w:noProof/>
        </w:rPr>
        <w:t>4</w:t>
      </w:r>
      <w:r w:rsidR="00E313D7">
        <w:t>.</w:t>
      </w:r>
      <w:r w:rsidR="00E313D7">
        <w:rPr>
          <w:noProof/>
        </w:rPr>
        <w:t>8</w:t>
      </w:r>
      <w:r>
        <w:fldChar w:fldCharType="end"/>
      </w:r>
      <w:r w:rsidR="009916C7">
        <w:t xml:space="preserve"> </w:t>
      </w:r>
      <w:r w:rsidR="009916C7" w:rsidRPr="008212B1">
        <w:t xml:space="preserve">shows the growth in </w:t>
      </w:r>
      <w:r w:rsidR="009916C7">
        <w:t>Ausgrid's distribution</w:t>
      </w:r>
      <w:r w:rsidR="009916C7" w:rsidRPr="008212B1">
        <w:t xml:space="preserve"> RAB from 2009 to 2019. At the commencement of the </w:t>
      </w:r>
      <w:r w:rsidR="009916C7">
        <w:t>current</w:t>
      </w:r>
      <w:r w:rsidR="009916C7" w:rsidRPr="008212B1">
        <w:t xml:space="preserve"> regulatory control period, </w:t>
      </w:r>
      <w:r w:rsidR="009916C7">
        <w:t>Ausgrid</w:t>
      </w:r>
      <w:r w:rsidR="009916C7" w:rsidRPr="008212B1">
        <w:t xml:space="preserve">’s opening </w:t>
      </w:r>
      <w:r w:rsidR="009916C7">
        <w:t xml:space="preserve">distribution </w:t>
      </w:r>
      <w:r w:rsidR="009916C7" w:rsidRPr="008212B1">
        <w:t>RAB was $</w:t>
      </w:r>
      <w:r w:rsidR="009916C7">
        <w:t>7297</w:t>
      </w:r>
      <w:r w:rsidR="009916C7" w:rsidRPr="008212B1">
        <w:t xml:space="preserve"> million (nominal). Based on the TRP, the opening RAB as at 1 July 2014 is $</w:t>
      </w:r>
      <w:r w:rsidR="009916C7">
        <w:t>12 536</w:t>
      </w:r>
      <w:r w:rsidR="009916C7" w:rsidRPr="008212B1">
        <w:t xml:space="preserve"> million (nominal). This compares to a RAB at 1 July 2014 of $</w:t>
      </w:r>
      <w:r w:rsidR="009916C7">
        <w:t>14 051</w:t>
      </w:r>
      <w:r w:rsidR="009916C7" w:rsidRPr="008212B1">
        <w:t xml:space="preserve"> million (nominal), as projected in the 2009 </w:t>
      </w:r>
      <w:r w:rsidR="009916C7">
        <w:t xml:space="preserve">distribution </w:t>
      </w:r>
      <w:r w:rsidR="009916C7" w:rsidRPr="008212B1">
        <w:t xml:space="preserve">determination. </w:t>
      </w:r>
      <w:r w:rsidR="009916C7" w:rsidRPr="00572838">
        <w:t>The proposed opening RAB at 1 July 2014 is $12</w:t>
      </w:r>
      <w:r w:rsidR="009916C7">
        <w:t> </w:t>
      </w:r>
      <w:r w:rsidR="009916C7" w:rsidRPr="00572838">
        <w:t>280 million (nomina</w:t>
      </w:r>
      <w:r w:rsidR="009916C7">
        <w:t>l), exclusive of metering assets.</w:t>
      </w:r>
      <w:r w:rsidR="009916C7">
        <w:rPr>
          <w:rStyle w:val="FootnoteReference"/>
        </w:rPr>
        <w:footnoteReference w:id="67"/>
      </w:r>
      <w:r w:rsidR="009916C7">
        <w:t xml:space="preserve"> </w:t>
      </w:r>
      <w:r w:rsidR="009916C7" w:rsidRPr="008212B1">
        <w:t>The closing RAB at 30 June 2019 is proposed to be $</w:t>
      </w:r>
      <w:r w:rsidR="009916C7">
        <w:t>15 660</w:t>
      </w:r>
      <w:r w:rsidR="009916C7" w:rsidRPr="008212B1">
        <w:t xml:space="preserve"> million (nominal), representing an average annual growth rate of </w:t>
      </w:r>
      <w:r w:rsidR="009916C7">
        <w:t>5.0</w:t>
      </w:r>
      <w:r w:rsidR="009916C7" w:rsidRPr="008212B1">
        <w:t xml:space="preserve"> per cent. This closing RAB is largely driven by the proposed forecast capex as discussed below.</w:t>
      </w:r>
      <w:bookmarkEnd w:id="131"/>
    </w:p>
    <w:p w:rsidR="009916C7" w:rsidRDefault="009E6A34" w:rsidP="009E6A34">
      <w:pPr>
        <w:pStyle w:val="Caption"/>
      </w:pPr>
      <w:bookmarkStart w:id="132" w:name="_Ref384820889"/>
      <w:r>
        <w:t xml:space="preserve">Figure </w:t>
      </w:r>
      <w:r w:rsidR="00DD155E">
        <w:fldChar w:fldCharType="begin"/>
      </w:r>
      <w:r w:rsidR="00DD155E">
        <w:instrText xml:space="preserve"> STYLEREF 1 \s </w:instrText>
      </w:r>
      <w:r w:rsidR="00DD155E">
        <w:fldChar w:fldCharType="separate"/>
      </w:r>
      <w:r w:rsidR="00E313D7">
        <w:rPr>
          <w:noProof/>
        </w:rPr>
        <w:t>4</w:t>
      </w:r>
      <w:r w:rsidR="00DD155E">
        <w:rPr>
          <w:noProof/>
        </w:rPr>
        <w:fldChar w:fldCharType="end"/>
      </w:r>
      <w:r w:rsidR="00B460EF">
        <w:t>.</w:t>
      </w:r>
      <w:r w:rsidR="00DD155E">
        <w:fldChar w:fldCharType="begin"/>
      </w:r>
      <w:r w:rsidR="00DD155E">
        <w:instrText xml:space="preserve"> SEQ Figure \* ARABIC \s 1 </w:instrText>
      </w:r>
      <w:r w:rsidR="00DD155E">
        <w:fldChar w:fldCharType="separate"/>
      </w:r>
      <w:r w:rsidR="00E313D7">
        <w:rPr>
          <w:noProof/>
        </w:rPr>
        <w:t>8</w:t>
      </w:r>
      <w:r w:rsidR="00DD155E">
        <w:rPr>
          <w:noProof/>
        </w:rPr>
        <w:fldChar w:fldCharType="end"/>
      </w:r>
      <w:bookmarkEnd w:id="132"/>
      <w:r w:rsidR="009916C7">
        <w:tab/>
        <w:t xml:space="preserve">Ausgrid's opening </w:t>
      </w:r>
      <w:r w:rsidR="009916C7" w:rsidRPr="005644DE">
        <w:t>RAB</w:t>
      </w:r>
      <w:r w:rsidR="009916C7">
        <w:t>,</w:t>
      </w:r>
      <w:r w:rsidR="009916C7" w:rsidRPr="005644DE">
        <w:t xml:space="preserve"> 2009–19 – distribution ($m, nominal)</w:t>
      </w:r>
    </w:p>
    <w:p w:rsidR="009916C7" w:rsidRPr="00C97C19" w:rsidRDefault="009916C7" w:rsidP="009916C7">
      <w:pPr>
        <w:pStyle w:val="AERbodytext"/>
        <w:numPr>
          <w:ilvl w:val="0"/>
          <w:numId w:val="6"/>
        </w:numPr>
      </w:pPr>
      <w:r w:rsidRPr="00424EB0">
        <w:t xml:space="preserve"> </w:t>
      </w:r>
      <w:r w:rsidRPr="009916C7">
        <w:rPr>
          <w:noProof/>
          <w:lang w:eastAsia="en-AU"/>
        </w:rPr>
        <w:drawing>
          <wp:inline distT="0" distB="0" distL="0" distR="0" wp14:anchorId="54294727" wp14:editId="4E9B76F0">
            <wp:extent cx="5419725" cy="30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19725" cy="3048000"/>
                    </a:xfrm>
                    <a:prstGeom prst="rect">
                      <a:avLst/>
                    </a:prstGeom>
                    <a:noFill/>
                    <a:ln>
                      <a:noFill/>
                    </a:ln>
                  </pic:spPr>
                </pic:pic>
              </a:graphicData>
            </a:graphic>
          </wp:inline>
        </w:drawing>
      </w:r>
    </w:p>
    <w:p w:rsidR="009916C7" w:rsidRPr="00D941D5" w:rsidRDefault="009916C7" w:rsidP="009916C7">
      <w:pPr>
        <w:pStyle w:val="AERtablesource"/>
      </w:pPr>
      <w:r w:rsidRPr="00D941D5">
        <w:t>Source:</w:t>
      </w:r>
      <w:r w:rsidRPr="00D941D5">
        <w:tab/>
      </w:r>
      <w:r w:rsidR="00DB2819">
        <w:t>AER analysis</w:t>
      </w:r>
      <w:r w:rsidR="009E6A34">
        <w:t>.</w:t>
      </w:r>
    </w:p>
    <w:p w:rsidR="009916C7" w:rsidRDefault="009E6A34" w:rsidP="009916C7">
      <w:pPr>
        <w:pStyle w:val="AERbodytext"/>
        <w:numPr>
          <w:ilvl w:val="0"/>
          <w:numId w:val="6"/>
        </w:numPr>
      </w:pPr>
      <w:r>
        <w:fldChar w:fldCharType="begin"/>
      </w:r>
      <w:r>
        <w:instrText xml:space="preserve"> REF _Ref384820916 \h </w:instrText>
      </w:r>
      <w:r>
        <w:fldChar w:fldCharType="separate"/>
      </w:r>
      <w:r w:rsidR="00E313D7">
        <w:t xml:space="preserve">Figure </w:t>
      </w:r>
      <w:r w:rsidR="00E313D7">
        <w:rPr>
          <w:noProof/>
        </w:rPr>
        <w:t>4</w:t>
      </w:r>
      <w:r w:rsidR="00E313D7">
        <w:t>.</w:t>
      </w:r>
      <w:r w:rsidR="00E313D7">
        <w:rPr>
          <w:noProof/>
        </w:rPr>
        <w:t>9</w:t>
      </w:r>
      <w:r>
        <w:fldChar w:fldCharType="end"/>
      </w:r>
      <w:r>
        <w:t xml:space="preserve"> </w:t>
      </w:r>
      <w:r w:rsidR="009916C7" w:rsidRPr="008212B1">
        <w:t xml:space="preserve">shows the growth in </w:t>
      </w:r>
      <w:r w:rsidR="009916C7">
        <w:t xml:space="preserve">Ausgrid's transmission </w:t>
      </w:r>
      <w:r w:rsidR="009916C7" w:rsidRPr="008212B1">
        <w:t xml:space="preserve">RAB from 2009 to 2019. At the commencement of the </w:t>
      </w:r>
      <w:r w:rsidR="009916C7">
        <w:t>current</w:t>
      </w:r>
      <w:r w:rsidR="009916C7" w:rsidRPr="008212B1">
        <w:t xml:space="preserve"> regulatory control period, </w:t>
      </w:r>
      <w:r w:rsidR="009916C7">
        <w:t>Ausgrid</w:t>
      </w:r>
      <w:r w:rsidR="009916C7" w:rsidRPr="008212B1">
        <w:t xml:space="preserve">’s opening </w:t>
      </w:r>
      <w:r w:rsidR="009916C7">
        <w:t xml:space="preserve">transmission </w:t>
      </w:r>
      <w:r w:rsidR="009916C7" w:rsidRPr="008212B1">
        <w:t xml:space="preserve">RAB was </w:t>
      </w:r>
      <w:r w:rsidR="009916C7" w:rsidRPr="008212B1">
        <w:lastRenderedPageBreak/>
        <w:t>$</w:t>
      </w:r>
      <w:r w:rsidR="009916C7">
        <w:t>1028</w:t>
      </w:r>
      <w:r w:rsidR="009916C7" w:rsidRPr="008212B1">
        <w:t xml:space="preserve"> million (nominal). Based on the TRP, the opening RAB as at 1 July 2014 is $</w:t>
      </w:r>
      <w:r w:rsidR="009916C7">
        <w:t>2109</w:t>
      </w:r>
      <w:r w:rsidR="009916C7" w:rsidRPr="008212B1">
        <w:t xml:space="preserve"> million (nominal). This compares to a RAB at 1 July 2014 of $</w:t>
      </w:r>
      <w:r w:rsidR="009916C7">
        <w:t>2313</w:t>
      </w:r>
      <w:r w:rsidR="009916C7" w:rsidRPr="008212B1">
        <w:t xml:space="preserve"> million (nominal), as projected in the 2009 determination. The closing RAB at 30 June 2019 is proposed to be $</w:t>
      </w:r>
      <w:r w:rsidR="009916C7">
        <w:t>2610</w:t>
      </w:r>
      <w:r w:rsidR="009916C7" w:rsidRPr="008212B1">
        <w:t xml:space="preserve"> million (nominal), representing an average annual growth rate of 4.</w:t>
      </w:r>
      <w:r w:rsidR="009916C7">
        <w:t>4</w:t>
      </w:r>
      <w:r w:rsidR="009916C7" w:rsidRPr="008212B1">
        <w:t xml:space="preserve"> per cent. This closing RAB is largely driven by the proposed forecast capex as discussed below.</w:t>
      </w:r>
    </w:p>
    <w:p w:rsidR="009916C7" w:rsidRDefault="009E6A34" w:rsidP="009E6A34">
      <w:pPr>
        <w:pStyle w:val="Caption"/>
      </w:pPr>
      <w:bookmarkStart w:id="133" w:name="_Ref384820916"/>
      <w:r>
        <w:t xml:space="preserve">Figure </w:t>
      </w:r>
      <w:r w:rsidR="00DD155E">
        <w:fldChar w:fldCharType="begin"/>
      </w:r>
      <w:r w:rsidR="00DD155E">
        <w:instrText xml:space="preserve"> STYLEREF 1 \s </w:instrText>
      </w:r>
      <w:r w:rsidR="00DD155E">
        <w:fldChar w:fldCharType="separate"/>
      </w:r>
      <w:r w:rsidR="00E313D7">
        <w:rPr>
          <w:noProof/>
        </w:rPr>
        <w:t>4</w:t>
      </w:r>
      <w:r w:rsidR="00DD155E">
        <w:rPr>
          <w:noProof/>
        </w:rPr>
        <w:fldChar w:fldCharType="end"/>
      </w:r>
      <w:r w:rsidR="00B460EF">
        <w:t>.</w:t>
      </w:r>
      <w:r w:rsidR="00DD155E">
        <w:fldChar w:fldCharType="begin"/>
      </w:r>
      <w:r w:rsidR="00DD155E">
        <w:instrText xml:space="preserve"> SEQ Figure \* ARABIC \s 1 </w:instrText>
      </w:r>
      <w:r w:rsidR="00DD155E">
        <w:fldChar w:fldCharType="separate"/>
      </w:r>
      <w:r w:rsidR="00E313D7">
        <w:rPr>
          <w:noProof/>
        </w:rPr>
        <w:t>9</w:t>
      </w:r>
      <w:r w:rsidR="00DD155E">
        <w:rPr>
          <w:noProof/>
        </w:rPr>
        <w:fldChar w:fldCharType="end"/>
      </w:r>
      <w:bookmarkEnd w:id="133"/>
      <w:r w:rsidR="00804FE8">
        <w:tab/>
      </w:r>
      <w:r w:rsidR="009916C7">
        <w:t>Ausgrid's</w:t>
      </w:r>
      <w:r w:rsidR="009916C7" w:rsidRPr="008278CB">
        <w:t xml:space="preserve"> </w:t>
      </w:r>
      <w:r w:rsidR="009916C7">
        <w:t xml:space="preserve">opening </w:t>
      </w:r>
      <w:r w:rsidR="009916C7" w:rsidRPr="008278CB">
        <w:t>RAB</w:t>
      </w:r>
      <w:r w:rsidR="009916C7">
        <w:t>,</w:t>
      </w:r>
      <w:r w:rsidR="009916C7" w:rsidRPr="008278CB">
        <w:t xml:space="preserve"> 2009–19 – </w:t>
      </w:r>
      <w:r w:rsidR="009916C7">
        <w:t>transmission</w:t>
      </w:r>
      <w:r w:rsidR="009916C7" w:rsidRPr="008278CB">
        <w:t xml:space="preserve"> ($m, nominal)</w:t>
      </w:r>
    </w:p>
    <w:p w:rsidR="009916C7" w:rsidRPr="00C97C19" w:rsidRDefault="009916C7" w:rsidP="009916C7">
      <w:pPr>
        <w:pStyle w:val="AERbodytext"/>
        <w:numPr>
          <w:ilvl w:val="0"/>
          <w:numId w:val="6"/>
        </w:numPr>
      </w:pPr>
      <w:r w:rsidRPr="009916C7">
        <w:rPr>
          <w:noProof/>
          <w:lang w:eastAsia="en-AU"/>
        </w:rPr>
        <w:drawing>
          <wp:inline distT="0" distB="0" distL="0" distR="0" wp14:anchorId="3D2EB1E0" wp14:editId="436AAC4D">
            <wp:extent cx="5114925" cy="304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14925" cy="3048000"/>
                    </a:xfrm>
                    <a:prstGeom prst="rect">
                      <a:avLst/>
                    </a:prstGeom>
                    <a:noFill/>
                    <a:ln>
                      <a:noFill/>
                    </a:ln>
                  </pic:spPr>
                </pic:pic>
              </a:graphicData>
            </a:graphic>
          </wp:inline>
        </w:drawing>
      </w:r>
    </w:p>
    <w:p w:rsidR="009916C7" w:rsidRPr="00F33F90" w:rsidRDefault="009916C7" w:rsidP="009916C7">
      <w:pPr>
        <w:pStyle w:val="AERtablesource"/>
      </w:pPr>
      <w:r w:rsidRPr="00F33F90">
        <w:t>Source:</w:t>
      </w:r>
      <w:r w:rsidRPr="00F33F90">
        <w:tab/>
      </w:r>
      <w:r w:rsidR="00DB2819">
        <w:t>AER analysis</w:t>
      </w:r>
      <w:r w:rsidR="009E6A34">
        <w:t>.</w:t>
      </w:r>
    </w:p>
    <w:p w:rsidR="009916C7" w:rsidRPr="00C97C19" w:rsidRDefault="009E6A34" w:rsidP="009916C7">
      <w:pPr>
        <w:pStyle w:val="AERbodytext"/>
        <w:numPr>
          <w:ilvl w:val="0"/>
          <w:numId w:val="6"/>
        </w:numPr>
      </w:pPr>
      <w:r>
        <w:fldChar w:fldCharType="begin"/>
      </w:r>
      <w:r>
        <w:instrText xml:space="preserve"> REF _Ref384820942 \h </w:instrText>
      </w:r>
      <w:r>
        <w:fldChar w:fldCharType="separate"/>
      </w:r>
      <w:r w:rsidR="00E313D7">
        <w:t xml:space="preserve">Figure </w:t>
      </w:r>
      <w:r w:rsidR="00E313D7">
        <w:rPr>
          <w:noProof/>
        </w:rPr>
        <w:t>4</w:t>
      </w:r>
      <w:r w:rsidR="00E313D7">
        <w:t>.</w:t>
      </w:r>
      <w:r w:rsidR="00E313D7">
        <w:rPr>
          <w:noProof/>
        </w:rPr>
        <w:t>10</w:t>
      </w:r>
      <w:r>
        <w:fldChar w:fldCharType="end"/>
      </w:r>
      <w:r>
        <w:t xml:space="preserve"> </w:t>
      </w:r>
      <w:r w:rsidR="009916C7" w:rsidRPr="00C97C19">
        <w:t xml:space="preserve">shows the growth in Essential Energy's RAB from 2009 to 2019. At the commencement of the </w:t>
      </w:r>
      <w:r w:rsidR="009916C7">
        <w:t>current</w:t>
      </w:r>
      <w:r w:rsidR="009916C7" w:rsidRPr="00C97C19">
        <w:t xml:space="preserve"> regulatory control period, Essential Energy’s opening distribution RAB was $4319 million (nominal). Based on the TRP, the opening RAB as at 1 July 2014 is $6888 million (nominal). This compares to a RAB at 1 July 2014 of $7743 million (nominal), as projected in the 2009 determination. The proposed opening RAB at 1 July 2014 is $6790 million (nominal), exclusive of metering assets.</w:t>
      </w:r>
      <w:r w:rsidR="009916C7" w:rsidRPr="00C97C19">
        <w:rPr>
          <w:rStyle w:val="FootnoteReference"/>
        </w:rPr>
        <w:footnoteReference w:id="68"/>
      </w:r>
      <w:r w:rsidR="009916C7" w:rsidRPr="00C97C19">
        <w:t xml:space="preserve"> The closing RAB at 30 June 2019 is proposed to be $8947 million (nominal), representing an average annual growth rate of 5.7 per cent. This closing RAB is largely driven by the proposed forecast capex as discussed below.</w:t>
      </w:r>
    </w:p>
    <w:p w:rsidR="009916C7" w:rsidRDefault="009E6A34" w:rsidP="009E6A34">
      <w:pPr>
        <w:pStyle w:val="Caption"/>
      </w:pPr>
      <w:bookmarkStart w:id="134" w:name="_Ref384820942"/>
      <w:r>
        <w:lastRenderedPageBreak/>
        <w:t xml:space="preserve">Figure </w:t>
      </w:r>
      <w:r w:rsidR="00DD155E">
        <w:fldChar w:fldCharType="begin"/>
      </w:r>
      <w:r w:rsidR="00DD155E">
        <w:instrText xml:space="preserve"> STYLEREF 1 \s </w:instrText>
      </w:r>
      <w:r w:rsidR="00DD155E">
        <w:fldChar w:fldCharType="separate"/>
      </w:r>
      <w:r w:rsidR="00E313D7">
        <w:rPr>
          <w:noProof/>
        </w:rPr>
        <w:t>4</w:t>
      </w:r>
      <w:r w:rsidR="00DD155E">
        <w:rPr>
          <w:noProof/>
        </w:rPr>
        <w:fldChar w:fldCharType="end"/>
      </w:r>
      <w:r w:rsidR="00B460EF">
        <w:t>.</w:t>
      </w:r>
      <w:r w:rsidR="00DD155E">
        <w:fldChar w:fldCharType="begin"/>
      </w:r>
      <w:r w:rsidR="00DD155E">
        <w:instrText xml:space="preserve"> SEQ Figure \* ARABIC \s 1 </w:instrText>
      </w:r>
      <w:r w:rsidR="00DD155E">
        <w:fldChar w:fldCharType="separate"/>
      </w:r>
      <w:r w:rsidR="00E313D7">
        <w:rPr>
          <w:noProof/>
        </w:rPr>
        <w:t>10</w:t>
      </w:r>
      <w:r w:rsidR="00DD155E">
        <w:rPr>
          <w:noProof/>
        </w:rPr>
        <w:fldChar w:fldCharType="end"/>
      </w:r>
      <w:bookmarkEnd w:id="134"/>
      <w:r w:rsidR="00804FE8">
        <w:tab/>
      </w:r>
      <w:r w:rsidR="009916C7">
        <w:t>Essential Energy's opening</w:t>
      </w:r>
      <w:r w:rsidR="009916C7" w:rsidRPr="00DC0E0A">
        <w:t xml:space="preserve"> RAB</w:t>
      </w:r>
      <w:r w:rsidR="009916C7">
        <w:t xml:space="preserve">, 2009–19 </w:t>
      </w:r>
      <w:r w:rsidR="009916C7" w:rsidRPr="00DC0E0A">
        <w:t>($m, nominal)</w:t>
      </w:r>
    </w:p>
    <w:p w:rsidR="009916C7" w:rsidRPr="00C97C19" w:rsidRDefault="009916C7" w:rsidP="009916C7">
      <w:pPr>
        <w:pStyle w:val="AERbodytext"/>
        <w:numPr>
          <w:ilvl w:val="0"/>
          <w:numId w:val="6"/>
        </w:numPr>
      </w:pPr>
      <w:r w:rsidRPr="009916C7">
        <w:rPr>
          <w:noProof/>
          <w:lang w:eastAsia="en-AU"/>
        </w:rPr>
        <w:drawing>
          <wp:inline distT="0" distB="0" distL="0" distR="0" wp14:anchorId="6E60DC36" wp14:editId="14ED0672">
            <wp:extent cx="5124450" cy="304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24450" cy="3048000"/>
                    </a:xfrm>
                    <a:prstGeom prst="rect">
                      <a:avLst/>
                    </a:prstGeom>
                    <a:noFill/>
                    <a:ln>
                      <a:noFill/>
                    </a:ln>
                  </pic:spPr>
                </pic:pic>
              </a:graphicData>
            </a:graphic>
          </wp:inline>
        </w:drawing>
      </w:r>
    </w:p>
    <w:p w:rsidR="009916C7" w:rsidRDefault="009916C7" w:rsidP="009916C7">
      <w:pPr>
        <w:pStyle w:val="AERtablesource"/>
      </w:pPr>
      <w:r>
        <w:t>Source:</w:t>
      </w:r>
      <w:r>
        <w:tab/>
      </w:r>
      <w:r w:rsidR="00B460EF">
        <w:t>AER analysis.</w:t>
      </w:r>
    </w:p>
    <w:p w:rsidR="009916C7" w:rsidRPr="00C97C19" w:rsidRDefault="00B460EF" w:rsidP="009916C7">
      <w:pPr>
        <w:pStyle w:val="AERbodytext"/>
        <w:numPr>
          <w:ilvl w:val="0"/>
          <w:numId w:val="6"/>
        </w:numPr>
      </w:pPr>
      <w:r>
        <w:fldChar w:fldCharType="begin"/>
      </w:r>
      <w:r>
        <w:instrText xml:space="preserve"> REF _Ref384820995 \h </w:instrText>
      </w:r>
      <w:r>
        <w:fldChar w:fldCharType="separate"/>
      </w:r>
      <w:r w:rsidR="00E313D7">
        <w:t xml:space="preserve">Figure </w:t>
      </w:r>
      <w:r w:rsidR="00E313D7">
        <w:rPr>
          <w:noProof/>
        </w:rPr>
        <w:t>4</w:t>
      </w:r>
      <w:r w:rsidR="00E313D7">
        <w:t>.</w:t>
      </w:r>
      <w:r w:rsidR="00E313D7">
        <w:rPr>
          <w:noProof/>
        </w:rPr>
        <w:t>11</w:t>
      </w:r>
      <w:r>
        <w:fldChar w:fldCharType="end"/>
      </w:r>
      <w:r>
        <w:t xml:space="preserve"> </w:t>
      </w:r>
      <w:r w:rsidR="009916C7" w:rsidRPr="00C97C19">
        <w:t xml:space="preserve">shows the growth in Endeavour Energy's RAB from 2009 to 2019. At the commencement of the </w:t>
      </w:r>
      <w:r w:rsidR="009916C7">
        <w:t>current</w:t>
      </w:r>
      <w:r w:rsidR="009916C7" w:rsidRPr="00C97C19">
        <w:t xml:space="preserve"> regulatory control period, Endeavour Energy’s opening distribution RAB was $3690 million (nominal). Based on the TRP, the opening RAB as at 1 July 2014 is $5616 million (nominal). This compares to a RAB at 1 July 2014 of $6068 million (nominal), as projected in the 2009 determination. The proposed opening RAB at 1 July 2014 is $5593 million (nominal), exclusive of metering assets.</w:t>
      </w:r>
      <w:r w:rsidR="009916C7" w:rsidRPr="00C97C19">
        <w:rPr>
          <w:rStyle w:val="FootnoteReference"/>
        </w:rPr>
        <w:footnoteReference w:id="69"/>
      </w:r>
      <w:r w:rsidR="009916C7" w:rsidRPr="00C97C19">
        <w:t xml:space="preserve"> The closing RAB at 30 June 2019 is proposed to be $7063 million (nominal), representing an average annual growth rate of 4.8 per cent. This closing RAB is largely driven by the proposed forecast capex as discussed below.</w:t>
      </w:r>
    </w:p>
    <w:p w:rsidR="009916C7" w:rsidRDefault="00B460EF" w:rsidP="00B460EF">
      <w:pPr>
        <w:pStyle w:val="Caption"/>
      </w:pPr>
      <w:bookmarkStart w:id="135" w:name="_Ref384820995"/>
      <w:r>
        <w:lastRenderedPageBreak/>
        <w:t xml:space="preserve">Figure </w:t>
      </w:r>
      <w:r w:rsidR="00DD155E">
        <w:fldChar w:fldCharType="begin"/>
      </w:r>
      <w:r w:rsidR="00DD155E">
        <w:instrText xml:space="preserve"> STYLEREF 1 \s </w:instrText>
      </w:r>
      <w:r w:rsidR="00DD155E">
        <w:fldChar w:fldCharType="separate"/>
      </w:r>
      <w:r w:rsidR="00E313D7">
        <w:rPr>
          <w:noProof/>
        </w:rPr>
        <w:t>4</w:t>
      </w:r>
      <w:r w:rsidR="00DD155E">
        <w:rPr>
          <w:noProof/>
        </w:rPr>
        <w:fldChar w:fldCharType="end"/>
      </w:r>
      <w:r>
        <w:t>.</w:t>
      </w:r>
      <w:r w:rsidR="00DD155E">
        <w:fldChar w:fldCharType="begin"/>
      </w:r>
      <w:r w:rsidR="00DD155E">
        <w:instrText xml:space="preserve"> SEQ Figure \* ARABIC \s 1 </w:instrText>
      </w:r>
      <w:r w:rsidR="00DD155E">
        <w:fldChar w:fldCharType="separate"/>
      </w:r>
      <w:r w:rsidR="00E313D7">
        <w:rPr>
          <w:noProof/>
        </w:rPr>
        <w:t>11</w:t>
      </w:r>
      <w:r w:rsidR="00DD155E">
        <w:rPr>
          <w:noProof/>
        </w:rPr>
        <w:fldChar w:fldCharType="end"/>
      </w:r>
      <w:bookmarkEnd w:id="135"/>
      <w:r w:rsidR="00804FE8">
        <w:tab/>
      </w:r>
      <w:r w:rsidR="009916C7">
        <w:t>Endeavour</w:t>
      </w:r>
      <w:r w:rsidR="009916C7" w:rsidRPr="00DC0E0A">
        <w:t xml:space="preserve"> Energy's </w:t>
      </w:r>
      <w:r w:rsidR="009916C7">
        <w:t xml:space="preserve">opening </w:t>
      </w:r>
      <w:r w:rsidR="009916C7" w:rsidRPr="00DC0E0A">
        <w:t>RAB</w:t>
      </w:r>
      <w:r w:rsidR="009916C7">
        <w:t>,</w:t>
      </w:r>
      <w:r w:rsidR="009916C7" w:rsidRPr="00DC0E0A">
        <w:t xml:space="preserve"> 2009–19 ($m, nominal)</w:t>
      </w:r>
    </w:p>
    <w:p w:rsidR="009916C7" w:rsidRPr="00C97C19" w:rsidRDefault="009916C7" w:rsidP="009916C7">
      <w:pPr>
        <w:pStyle w:val="AERbodytext"/>
        <w:numPr>
          <w:ilvl w:val="0"/>
          <w:numId w:val="6"/>
        </w:numPr>
      </w:pPr>
      <w:r w:rsidRPr="009916C7">
        <w:rPr>
          <w:noProof/>
          <w:lang w:eastAsia="en-AU"/>
        </w:rPr>
        <w:drawing>
          <wp:inline distT="0" distB="0" distL="0" distR="0" wp14:anchorId="641CFC6F" wp14:editId="470D10EE">
            <wp:extent cx="5114925" cy="3048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14925" cy="3048000"/>
                    </a:xfrm>
                    <a:prstGeom prst="rect">
                      <a:avLst/>
                    </a:prstGeom>
                    <a:noFill/>
                    <a:ln>
                      <a:noFill/>
                    </a:ln>
                  </pic:spPr>
                </pic:pic>
              </a:graphicData>
            </a:graphic>
          </wp:inline>
        </w:drawing>
      </w:r>
    </w:p>
    <w:p w:rsidR="00DB2819" w:rsidRPr="00C97C19" w:rsidRDefault="00DB2819" w:rsidP="00DB2819">
      <w:pPr>
        <w:pStyle w:val="AERtablesource"/>
      </w:pPr>
      <w:r>
        <w:t>Source:</w:t>
      </w:r>
      <w:r>
        <w:tab/>
        <w:t>AER analysis</w:t>
      </w:r>
      <w:r w:rsidR="00B460EF">
        <w:t>.</w:t>
      </w:r>
    </w:p>
    <w:p w:rsidR="009916C7" w:rsidRDefault="009916C7" w:rsidP="009916C7">
      <w:pPr>
        <w:pStyle w:val="AERtablesource"/>
      </w:pPr>
    </w:p>
    <w:p w:rsidR="009916C7" w:rsidRPr="00C97C19" w:rsidRDefault="00B460EF" w:rsidP="009916C7">
      <w:pPr>
        <w:pStyle w:val="AERbodytext"/>
        <w:numPr>
          <w:ilvl w:val="0"/>
          <w:numId w:val="6"/>
        </w:numPr>
      </w:pPr>
      <w:r>
        <w:fldChar w:fldCharType="begin"/>
      </w:r>
      <w:r>
        <w:instrText xml:space="preserve"> REF _Ref384821055 \h </w:instrText>
      </w:r>
      <w:r>
        <w:fldChar w:fldCharType="separate"/>
      </w:r>
      <w:r w:rsidR="00E313D7">
        <w:t xml:space="preserve">Figure </w:t>
      </w:r>
      <w:r w:rsidR="00E313D7">
        <w:rPr>
          <w:noProof/>
        </w:rPr>
        <w:t>4</w:t>
      </w:r>
      <w:r w:rsidR="00E313D7">
        <w:t>.</w:t>
      </w:r>
      <w:r w:rsidR="00E313D7">
        <w:rPr>
          <w:noProof/>
        </w:rPr>
        <w:t>12</w:t>
      </w:r>
      <w:r>
        <w:fldChar w:fldCharType="end"/>
      </w:r>
      <w:r>
        <w:t xml:space="preserve"> </w:t>
      </w:r>
      <w:r w:rsidR="009916C7" w:rsidRPr="00C97C19">
        <w:t xml:space="preserve">shows the growth in ActewAGL's combined distribution and transmission RAB from 2009 to 2019. At the commencement of the </w:t>
      </w:r>
      <w:r w:rsidR="009916C7">
        <w:t>current</w:t>
      </w:r>
      <w:r w:rsidR="009916C7" w:rsidRPr="00C97C19">
        <w:t xml:space="preserve"> regulatory control period, ActewAGL’s combined opening RAB was $599 million (nominal). Based on the TRP, the opening RAB a</w:t>
      </w:r>
      <w:r>
        <w:t>s at 1 July 2014 is $855 </w:t>
      </w:r>
      <w:r w:rsidR="009916C7" w:rsidRPr="00C97C19">
        <w:t xml:space="preserve">million (nominal). This compares to a RAB at 1 July 2014 of $809 million (nominal), as projected in the 2009 distribution determination. For the </w:t>
      </w:r>
      <w:r w:rsidR="009916C7">
        <w:t>transitional and subsequent</w:t>
      </w:r>
      <w:r w:rsidR="009916C7" w:rsidRPr="00C97C19">
        <w:t xml:space="preserve"> regulatory control periods ActewAGL's distribution and transmission networks will be treated separately. The opening RAB as at 1 July 2014 for ActewAGL's distribution and transmission networks are </w:t>
      </w:r>
      <w:r>
        <w:t>$701 million (nominal) and $154 </w:t>
      </w:r>
      <w:r w:rsidR="009916C7" w:rsidRPr="00C97C19">
        <w:t>million (nominal) respectively. The closing RABs at 30 June 2019 are proposed to be $</w:t>
      </w:r>
      <w:r>
        <w:t>881 </w:t>
      </w:r>
      <w:r w:rsidR="009916C7" w:rsidRPr="00C97C19">
        <w:t>million (nominal) and $221 million (nominal) for its distribution and transmission networks respectively. This represents an average annual growth rate of 4.7 per cent for its d</w:t>
      </w:r>
      <w:r>
        <w:t>istribution network and 7.5 per </w:t>
      </w:r>
      <w:r w:rsidR="009916C7" w:rsidRPr="00C97C19">
        <w:t>cent for its transmission network. The closing RABs are largely driven by the proposed forecast capex as discussed below.</w:t>
      </w:r>
    </w:p>
    <w:p w:rsidR="009916C7" w:rsidRDefault="00B460EF" w:rsidP="00B460EF">
      <w:pPr>
        <w:pStyle w:val="Caption"/>
      </w:pPr>
      <w:bookmarkStart w:id="136" w:name="_Ref384821055"/>
      <w:r>
        <w:lastRenderedPageBreak/>
        <w:t xml:space="preserve">Figure </w:t>
      </w:r>
      <w:r w:rsidR="00DD155E">
        <w:fldChar w:fldCharType="begin"/>
      </w:r>
      <w:r w:rsidR="00DD155E">
        <w:instrText xml:space="preserve"> STYLEREF 1 \s </w:instrText>
      </w:r>
      <w:r w:rsidR="00DD155E">
        <w:fldChar w:fldCharType="separate"/>
      </w:r>
      <w:r w:rsidR="00E313D7">
        <w:rPr>
          <w:noProof/>
        </w:rPr>
        <w:t>4</w:t>
      </w:r>
      <w:r w:rsidR="00DD155E">
        <w:rPr>
          <w:noProof/>
        </w:rPr>
        <w:fldChar w:fldCharType="end"/>
      </w:r>
      <w:r>
        <w:t>.</w:t>
      </w:r>
      <w:r w:rsidR="00DD155E">
        <w:fldChar w:fldCharType="begin"/>
      </w:r>
      <w:r w:rsidR="00DD155E">
        <w:instrText xml:space="preserve"> SEQ Figure \* ARABIC \s 1 </w:instrText>
      </w:r>
      <w:r w:rsidR="00DD155E">
        <w:fldChar w:fldCharType="separate"/>
      </w:r>
      <w:r w:rsidR="00E313D7">
        <w:rPr>
          <w:noProof/>
        </w:rPr>
        <w:t>12</w:t>
      </w:r>
      <w:r w:rsidR="00DD155E">
        <w:rPr>
          <w:noProof/>
        </w:rPr>
        <w:fldChar w:fldCharType="end"/>
      </w:r>
      <w:bookmarkEnd w:id="136"/>
      <w:r w:rsidR="009916C7">
        <w:tab/>
        <w:t>ActewAGL</w:t>
      </w:r>
      <w:r w:rsidR="009916C7" w:rsidRPr="00424EB0">
        <w:t xml:space="preserve">'s </w:t>
      </w:r>
      <w:r w:rsidR="009916C7">
        <w:t xml:space="preserve">opening </w:t>
      </w:r>
      <w:r w:rsidR="009916C7" w:rsidRPr="00424EB0">
        <w:t>RAB</w:t>
      </w:r>
      <w:r w:rsidR="009916C7">
        <w:t>,</w:t>
      </w:r>
      <w:r w:rsidR="009916C7" w:rsidRPr="00424EB0">
        <w:t xml:space="preserve"> 2009–19</w:t>
      </w:r>
      <w:r w:rsidR="009916C7">
        <w:t xml:space="preserve"> – distribution and transmission </w:t>
      </w:r>
      <w:r w:rsidR="009916C7" w:rsidRPr="00424EB0">
        <w:t>($m, nominal)</w:t>
      </w:r>
    </w:p>
    <w:p w:rsidR="009916C7" w:rsidRPr="00C97C19" w:rsidRDefault="009916C7" w:rsidP="009916C7">
      <w:pPr>
        <w:pStyle w:val="AERbodytext"/>
        <w:numPr>
          <w:ilvl w:val="0"/>
          <w:numId w:val="6"/>
        </w:numPr>
      </w:pPr>
      <w:r w:rsidRPr="009916C7">
        <w:rPr>
          <w:noProof/>
          <w:lang w:eastAsia="en-AU"/>
        </w:rPr>
        <w:drawing>
          <wp:inline distT="0" distB="0" distL="0" distR="0" wp14:anchorId="5B4F55CC" wp14:editId="0D9B5D10">
            <wp:extent cx="5419725" cy="3048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19725" cy="3048000"/>
                    </a:xfrm>
                    <a:prstGeom prst="rect">
                      <a:avLst/>
                    </a:prstGeom>
                    <a:noFill/>
                    <a:ln>
                      <a:noFill/>
                    </a:ln>
                  </pic:spPr>
                </pic:pic>
              </a:graphicData>
            </a:graphic>
          </wp:inline>
        </w:drawing>
      </w:r>
    </w:p>
    <w:p w:rsidR="009916C7" w:rsidRPr="00C97C19" w:rsidRDefault="009916C7" w:rsidP="009916C7">
      <w:pPr>
        <w:pStyle w:val="AERtablesource"/>
      </w:pPr>
      <w:r>
        <w:t>Source:</w:t>
      </w:r>
      <w:r>
        <w:tab/>
      </w:r>
      <w:r w:rsidR="00DB2819">
        <w:t>AER analysis</w:t>
      </w:r>
      <w:r w:rsidR="00B460EF">
        <w:t>.</w:t>
      </w:r>
    </w:p>
    <w:p w:rsidR="009916C7" w:rsidRDefault="009916C7" w:rsidP="003F0974">
      <w:pPr>
        <w:pStyle w:val="Heading3"/>
      </w:pPr>
      <w:bookmarkStart w:id="137" w:name="_Toc383436068"/>
      <w:bookmarkStart w:id="138" w:name="_Toc384716225"/>
      <w:r>
        <w:t>Operating and capital expenditure</w:t>
      </w:r>
      <w:bookmarkEnd w:id="137"/>
      <w:bookmarkEnd w:id="138"/>
    </w:p>
    <w:p w:rsidR="009916C7" w:rsidRDefault="009916C7" w:rsidP="009916C7">
      <w:pPr>
        <w:pStyle w:val="AERbodytext"/>
        <w:numPr>
          <w:ilvl w:val="0"/>
          <w:numId w:val="6"/>
        </w:numPr>
      </w:pPr>
      <w:r>
        <w:t xml:space="preserve">We have adopted each of the </w:t>
      </w:r>
      <w:r w:rsidR="00B460EF">
        <w:t>NSW/ACT DNSPs</w:t>
      </w:r>
      <w:r>
        <w:t xml:space="preserve">' indicative opex and capex proposals as an input into the placeholder annual revenue requirement for each business. We consider this to be appropriate given the AEMC only intended for this review to be a high level assessment. We also note that given the limited information that the </w:t>
      </w:r>
      <w:r w:rsidR="00B460EF">
        <w:t>NSW/ACT DNSPs</w:t>
      </w:r>
      <w:r>
        <w:t xml:space="preserve"> were required to provide in their TRPs, and the time we had to assess these proposals, a more detailed review of opex and capex was not possible. </w:t>
      </w:r>
    </w:p>
    <w:p w:rsidR="009916C7" w:rsidRDefault="009916C7" w:rsidP="009916C7">
      <w:pPr>
        <w:pStyle w:val="AERbodytext"/>
        <w:numPr>
          <w:ilvl w:val="0"/>
          <w:numId w:val="6"/>
        </w:numPr>
      </w:pPr>
      <w:r>
        <w:t>Also, f</w:t>
      </w:r>
      <w:r w:rsidRPr="002C724F">
        <w:t xml:space="preserve">or the transitional proposals we do not need to review the </w:t>
      </w:r>
      <w:r w:rsidR="00B460EF">
        <w:t>NSW/ACT DNSPs</w:t>
      </w:r>
      <w:r w:rsidRPr="002C724F">
        <w:t>’ forecast capex for the transitional regulatory control period as this does not impact on the revenue estimate for that year.</w:t>
      </w:r>
      <w:r w:rsidR="00B460EF">
        <w:rPr>
          <w:rStyle w:val="FootnoteReference"/>
        </w:rPr>
        <w:footnoteReference w:id="70"/>
      </w:r>
    </w:p>
    <w:p w:rsidR="009916C7" w:rsidRDefault="009916C7" w:rsidP="009916C7">
      <w:pPr>
        <w:pStyle w:val="AERbodytext"/>
        <w:numPr>
          <w:ilvl w:val="0"/>
          <w:numId w:val="6"/>
        </w:numPr>
      </w:pPr>
      <w:r>
        <w:t xml:space="preserve">We will conduct a detailed assessment of each of the </w:t>
      </w:r>
      <w:r w:rsidR="00B460EF">
        <w:t>NSW/ACT DNSPs</w:t>
      </w:r>
      <w:r>
        <w:t xml:space="preserve">' forecast opex and capex as part of our full determination process using the approach outlined in our Expenditure Forecasting Assessment Guideline. We will have regard to all the relevant information in undertaking this assessment including information provided by each of the </w:t>
      </w:r>
      <w:r w:rsidR="00B460EF">
        <w:t>NSW/ACT DNSPs</w:t>
      </w:r>
      <w:r>
        <w:t xml:space="preserve">, stakeholder submissions, and comments from the Consumer Challenge Panel. As part of this process, the AER will apply a range of assessment techniques to test the prudency and efficiency of the </w:t>
      </w:r>
      <w:r w:rsidR="00B460EF">
        <w:t xml:space="preserve">NSW/ACT DNSPs </w:t>
      </w:r>
      <w:r>
        <w:t>' proposals.</w:t>
      </w:r>
    </w:p>
    <w:p w:rsidR="009916C7" w:rsidRDefault="009916C7" w:rsidP="009916C7">
      <w:pPr>
        <w:pStyle w:val="AERbodytext"/>
        <w:numPr>
          <w:ilvl w:val="0"/>
          <w:numId w:val="6"/>
        </w:numPr>
      </w:pPr>
      <w:r>
        <w:t>Any difference between our placeholder allowance for opex and capex and our allowance for opex and capex determined after our detailed assessment will be reflected in regulated revenues for the subsequent regulatory control period.</w:t>
      </w:r>
      <w:r w:rsidRPr="007B4470">
        <w:t xml:space="preserve"> </w:t>
      </w:r>
    </w:p>
    <w:p w:rsidR="009916C7" w:rsidRDefault="009916C7" w:rsidP="00B460EF">
      <w:pPr>
        <w:pStyle w:val="AERbodytext"/>
        <w:keepNext/>
        <w:numPr>
          <w:ilvl w:val="0"/>
          <w:numId w:val="6"/>
        </w:numPr>
      </w:pPr>
      <w:r>
        <w:lastRenderedPageBreak/>
        <w:t>A</w:t>
      </w:r>
      <w:r w:rsidR="008C0BE8">
        <w:t>ppendix B</w:t>
      </w:r>
      <w:r>
        <w:t xml:space="preserve"> provides a brief summary of:</w:t>
      </w:r>
    </w:p>
    <w:p w:rsidR="009916C7" w:rsidRDefault="009916C7" w:rsidP="009916C7">
      <w:pPr>
        <w:pStyle w:val="AERbulletlistsecondstyle"/>
      </w:pPr>
      <w:r>
        <w:t xml:space="preserve">each of the </w:t>
      </w:r>
      <w:r w:rsidR="00B460EF">
        <w:t>NSW/ACT DNSPs</w:t>
      </w:r>
      <w:r>
        <w:t xml:space="preserve">' forecast opex for the transitional and subsequent </w:t>
      </w:r>
      <w:r w:rsidRPr="007B4470">
        <w:t>regulatory control period</w:t>
      </w:r>
      <w:r>
        <w:t>s</w:t>
      </w:r>
      <w:r w:rsidRPr="007B4470">
        <w:t>.</w:t>
      </w:r>
    </w:p>
    <w:p w:rsidR="009916C7" w:rsidRPr="00074B3D" w:rsidRDefault="009916C7" w:rsidP="009916C7">
      <w:pPr>
        <w:pStyle w:val="AERbulletlistsecondstyle"/>
        <w:rPr>
          <w:rStyle w:val="AERbody"/>
        </w:rPr>
      </w:pPr>
      <w:r>
        <w:t xml:space="preserve">each of the </w:t>
      </w:r>
      <w:r w:rsidR="00B460EF">
        <w:t>NSW/ACT DNSPs</w:t>
      </w:r>
      <w:r>
        <w:t>'</w:t>
      </w:r>
      <w:r w:rsidRPr="007B4470">
        <w:t xml:space="preserve"> capex performance in the </w:t>
      </w:r>
      <w:r>
        <w:t xml:space="preserve">current </w:t>
      </w:r>
      <w:r w:rsidRPr="007B4470">
        <w:t xml:space="preserve">regulatory control period, and their indicative proposed forecast capex for the </w:t>
      </w:r>
      <w:r>
        <w:t xml:space="preserve">transitional and subsequent </w:t>
      </w:r>
      <w:r w:rsidRPr="007B4470">
        <w:t>regulatory control period</w:t>
      </w:r>
      <w:r>
        <w:t>s</w:t>
      </w:r>
      <w:r w:rsidRPr="007B4470">
        <w:t>.</w:t>
      </w:r>
      <w:r w:rsidRPr="00074B3D">
        <w:rPr>
          <w:rStyle w:val="AERbody"/>
        </w:rPr>
        <w:t xml:space="preserve"> </w:t>
      </w:r>
    </w:p>
    <w:p w:rsidR="009916C7" w:rsidRDefault="009916C7" w:rsidP="003F0974">
      <w:pPr>
        <w:pStyle w:val="Heading3"/>
      </w:pPr>
      <w:bookmarkStart w:id="139" w:name="_Toc383436069"/>
      <w:bookmarkStart w:id="140" w:name="_Toc384716226"/>
      <w:r w:rsidRPr="00B414B3">
        <w:t>Regulatory depreciation</w:t>
      </w:r>
      <w:bookmarkEnd w:id="139"/>
      <w:bookmarkEnd w:id="140"/>
    </w:p>
    <w:p w:rsidR="009916C7" w:rsidRDefault="009916C7" w:rsidP="009916C7">
      <w:pPr>
        <w:pStyle w:val="AERbodytext"/>
        <w:numPr>
          <w:ilvl w:val="0"/>
          <w:numId w:val="6"/>
        </w:numPr>
      </w:pPr>
      <w:r>
        <w:t xml:space="preserve">The </w:t>
      </w:r>
      <w:r w:rsidR="008C0BE8">
        <w:t>DNSPs</w:t>
      </w:r>
      <w:r>
        <w:t xml:space="preserve"> </w:t>
      </w:r>
      <w:r w:rsidRPr="00B414B3">
        <w:t>provided indicative estimates for their forecasts of regulatory depreciation. We do not propose any adjustment to these amounts at this time. A significant driver of regulatory depreciation is the RA</w:t>
      </w:r>
      <w:r>
        <w:t>B. As discussed in section</w:t>
      </w:r>
      <w:r w:rsidR="0073374C">
        <w:t xml:space="preserve"> </w:t>
      </w:r>
      <w:r w:rsidR="0073374C">
        <w:fldChar w:fldCharType="begin"/>
      </w:r>
      <w:r w:rsidR="0073374C">
        <w:instrText xml:space="preserve"> REF _Ref384120599 \r \h </w:instrText>
      </w:r>
      <w:r w:rsidR="0073374C">
        <w:fldChar w:fldCharType="separate"/>
      </w:r>
      <w:r w:rsidR="00E313D7">
        <w:t>4.2.2</w:t>
      </w:r>
      <w:r w:rsidR="0073374C">
        <w:fldChar w:fldCharType="end"/>
      </w:r>
      <w:r w:rsidRPr="00B414B3">
        <w:t xml:space="preserve">, we are not making any changes to the proposed RAB for the purposes of this </w:t>
      </w:r>
      <w:r w:rsidR="00E05D13">
        <w:t>placeholder</w:t>
      </w:r>
      <w:r w:rsidR="00E05D13" w:rsidRPr="00B414B3">
        <w:t xml:space="preserve"> </w:t>
      </w:r>
      <w:r w:rsidRPr="00B414B3">
        <w:t xml:space="preserve">determination for </w:t>
      </w:r>
      <w:r>
        <w:t xml:space="preserve">any </w:t>
      </w:r>
      <w:r w:rsidR="000565BE">
        <w:t>DNSP</w:t>
      </w:r>
      <w:r w:rsidRPr="00B414B3">
        <w:t>. The proposed asset lives used in the calculation of r</w:t>
      </w:r>
      <w:r>
        <w:t xml:space="preserve">egulatory depreciation by each </w:t>
      </w:r>
      <w:r w:rsidR="000565BE">
        <w:t>DNSP</w:t>
      </w:r>
      <w:r w:rsidRPr="00B414B3">
        <w:t xml:space="preserve"> are generally consistent with what we w</w:t>
      </w:r>
      <w:r>
        <w:t>ould expect</w:t>
      </w:r>
      <w:r w:rsidRPr="00B414B3">
        <w:t xml:space="preserve"> based on previous decisions on the lives of different types of assets and the timing of actual capex. For the </w:t>
      </w:r>
      <w:r>
        <w:t xml:space="preserve">limited </w:t>
      </w:r>
      <w:r w:rsidRPr="00B414B3">
        <w:t xml:space="preserve">purposes of this </w:t>
      </w:r>
      <w:r w:rsidR="00E05D13">
        <w:t>placeholder</w:t>
      </w:r>
      <w:r w:rsidR="00E05D13" w:rsidRPr="00B414B3">
        <w:t xml:space="preserve"> </w:t>
      </w:r>
      <w:r w:rsidRPr="00B414B3">
        <w:t xml:space="preserve">determination, we have adopted the </w:t>
      </w:r>
      <w:r w:rsidR="000565BE">
        <w:t>NSW/ACT DNSPs</w:t>
      </w:r>
      <w:r w:rsidRPr="00B414B3">
        <w:t xml:space="preserve">’ proposed asset lives for assessing the transitional revenue estimate. Nonetheless, we will have to </w:t>
      </w:r>
      <w:r>
        <w:t>review</w:t>
      </w:r>
      <w:r w:rsidRPr="00B414B3">
        <w:t xml:space="preserve"> these asset lives for the full determination process.</w:t>
      </w:r>
    </w:p>
    <w:p w:rsidR="009916C7" w:rsidRPr="00B414B3" w:rsidRDefault="009916C7" w:rsidP="003F0974">
      <w:pPr>
        <w:pStyle w:val="Heading3"/>
      </w:pPr>
      <w:bookmarkStart w:id="141" w:name="_Toc383436070"/>
      <w:bookmarkStart w:id="142" w:name="_Toc384716227"/>
      <w:bookmarkStart w:id="143" w:name="_Ref384725545"/>
      <w:r w:rsidRPr="00B414B3">
        <w:t>Cost of corporate income tax</w:t>
      </w:r>
      <w:bookmarkEnd w:id="141"/>
      <w:bookmarkEnd w:id="142"/>
      <w:bookmarkEnd w:id="143"/>
    </w:p>
    <w:p w:rsidR="009916C7" w:rsidRPr="00B414B3" w:rsidRDefault="009916C7" w:rsidP="009916C7">
      <w:pPr>
        <w:pStyle w:val="AERbodytext"/>
        <w:numPr>
          <w:ilvl w:val="0"/>
          <w:numId w:val="6"/>
        </w:numPr>
      </w:pPr>
      <w:r w:rsidRPr="00B414B3">
        <w:t xml:space="preserve">The cost of corporate income tax building block is calculated in the AER’s post-tax revenue model (PTRM) and is affected by all inputs. In terms of key inputs into the tax calculation, the </w:t>
      </w:r>
      <w:r w:rsidR="000565BE">
        <w:t>NSW/ACT DNSPs</w:t>
      </w:r>
      <w:r w:rsidRPr="00B414B3">
        <w:t xml:space="preserve"> have used the AER’s RFM to determine their opening tax asset bases and remaining tax asset lives</w:t>
      </w:r>
      <w:r w:rsidR="00637473">
        <w:t>, although Aus</w:t>
      </w:r>
      <w:r w:rsidR="00B460EF">
        <w:t>g</w:t>
      </w:r>
      <w:r w:rsidR="00637473">
        <w:t xml:space="preserve">rid was an exception in using its own accounting system to determine the </w:t>
      </w:r>
      <w:r w:rsidR="00C52B5D">
        <w:t xml:space="preserve">tax </w:t>
      </w:r>
      <w:r w:rsidR="00637473">
        <w:t>asset lives.</w:t>
      </w:r>
      <w:r w:rsidRPr="00B414B3">
        <w:t xml:space="preserve"> We also project similar tax asset bases using the RFM and remaining tax a</w:t>
      </w:r>
      <w:r>
        <w:t xml:space="preserve">sset lives which are broadly consistent with the </w:t>
      </w:r>
      <w:r w:rsidR="000565BE">
        <w:t>NSW/ACT DNSPs</w:t>
      </w:r>
      <w:r w:rsidRPr="00B414B3">
        <w:t>’ proposals. For the</w:t>
      </w:r>
      <w:r>
        <w:t xml:space="preserve"> limited</w:t>
      </w:r>
      <w:r w:rsidRPr="00B414B3">
        <w:t xml:space="preserve"> purposes of this </w:t>
      </w:r>
      <w:r w:rsidR="00E05D13">
        <w:t>placeholder</w:t>
      </w:r>
      <w:r w:rsidR="00E05D13" w:rsidRPr="00B414B3">
        <w:t xml:space="preserve"> </w:t>
      </w:r>
      <w:r w:rsidRPr="00B414B3">
        <w:t>dete</w:t>
      </w:r>
      <w:r>
        <w:t xml:space="preserve">rmination, we have adopted the </w:t>
      </w:r>
      <w:r w:rsidR="000565BE">
        <w:t>NSW/ACT DNSPs</w:t>
      </w:r>
      <w:r w:rsidRPr="00B414B3">
        <w:t xml:space="preserve">’ proposed opening tax asset bases for assessing the transitional revenue estimate. Nonetheless, we will have to </w:t>
      </w:r>
      <w:r>
        <w:t>review</w:t>
      </w:r>
      <w:r w:rsidRPr="00B414B3">
        <w:t xml:space="preserve"> these inputs for the full determination process.</w:t>
      </w:r>
    </w:p>
    <w:p w:rsidR="009916C7" w:rsidRPr="005729A2" w:rsidRDefault="009916C7" w:rsidP="009916C7">
      <w:pPr>
        <w:pStyle w:val="AERbodytext"/>
        <w:numPr>
          <w:ilvl w:val="0"/>
          <w:numId w:val="6"/>
        </w:numPr>
      </w:pPr>
      <w:r w:rsidRPr="005729A2">
        <w:t xml:space="preserve">The </w:t>
      </w:r>
      <w:r w:rsidR="00973557">
        <w:t>DNSP</w:t>
      </w:r>
      <w:r>
        <w:t xml:space="preserve">s' </w:t>
      </w:r>
      <w:r w:rsidRPr="005729A2">
        <w:t>proposed</w:t>
      </w:r>
      <w:r>
        <w:t xml:space="preserve"> corporate income</w:t>
      </w:r>
      <w:r w:rsidRPr="005729A2">
        <w:t xml:space="preserve"> tax allowances </w:t>
      </w:r>
      <w:r>
        <w:t xml:space="preserve">for the transitional and subsequent regulatory control periods </w:t>
      </w:r>
      <w:r w:rsidRPr="005729A2">
        <w:t xml:space="preserve">are significantly higher compared to </w:t>
      </w:r>
      <w:r>
        <w:t xml:space="preserve">those in </w:t>
      </w:r>
      <w:r w:rsidRPr="005729A2">
        <w:t xml:space="preserve">the </w:t>
      </w:r>
      <w:r>
        <w:t>current</w:t>
      </w:r>
      <w:r w:rsidRPr="005729A2">
        <w:t xml:space="preserve"> regulatory control period. </w:t>
      </w:r>
      <w:r>
        <w:t xml:space="preserve">This can be largely explained by all the </w:t>
      </w:r>
      <w:r w:rsidR="000565BE">
        <w:t>NSW/ACT DNSPs</w:t>
      </w:r>
      <w:r>
        <w:t xml:space="preserve"> lowering their estimate of gamma from 0.5 to 0.25. This reduces significantly the amount of tax offsets. In addition, lower interest expenses forecast for the transitional and subsequent regulatory period also reduce the amount of tax offsets for all </w:t>
      </w:r>
      <w:r w:rsidR="000565BE">
        <w:t>NSW/ACT DNSPs</w:t>
      </w:r>
      <w:r>
        <w:t xml:space="preserve">. Finally, there are </w:t>
      </w:r>
      <w:r w:rsidRPr="005729A2">
        <w:t>business specific factors</w:t>
      </w:r>
      <w:r>
        <w:t xml:space="preserve"> that lead to the increase in the forecast corporate income tax</w:t>
      </w:r>
      <w:r w:rsidRPr="005729A2">
        <w:t xml:space="preserve">. </w:t>
      </w:r>
      <w:r>
        <w:t>For example, ActewAGL has relatively higher revenues (due in part to a higher RAB and higher forecast customer contributions</w:t>
      </w:r>
      <w:r>
        <w:rPr>
          <w:rStyle w:val="FootnoteReference"/>
        </w:rPr>
        <w:footnoteReference w:id="71"/>
      </w:r>
      <w:r>
        <w:t>) that r</w:t>
      </w:r>
      <w:r w:rsidRPr="005729A2">
        <w:t>esult</w:t>
      </w:r>
      <w:r>
        <w:t xml:space="preserve"> in higher cost of corporate income tax</w:t>
      </w:r>
      <w:r w:rsidRPr="005729A2">
        <w:t>.</w:t>
      </w:r>
      <w:r>
        <w:rPr>
          <w:rStyle w:val="FootnoteReference"/>
        </w:rPr>
        <w:footnoteReference w:id="72"/>
      </w:r>
      <w:r w:rsidRPr="005729A2">
        <w:t xml:space="preserve"> The increase in </w:t>
      </w:r>
      <w:r>
        <w:t>corporate income tax for</w:t>
      </w:r>
      <w:r w:rsidRPr="005729A2">
        <w:t xml:space="preserve"> </w:t>
      </w:r>
      <w:r>
        <w:t>Ausg</w:t>
      </w:r>
      <w:r w:rsidRPr="005729A2">
        <w:t>rid</w:t>
      </w:r>
      <w:r>
        <w:t xml:space="preserve"> distribution</w:t>
      </w:r>
      <w:r w:rsidRPr="005729A2">
        <w:t xml:space="preserve"> is </w:t>
      </w:r>
      <w:r>
        <w:t xml:space="preserve">in part driven by </w:t>
      </w:r>
      <w:r w:rsidRPr="005729A2">
        <w:t xml:space="preserve">higher revenues from the </w:t>
      </w:r>
      <w:r>
        <w:t xml:space="preserve">forecast </w:t>
      </w:r>
      <w:r w:rsidRPr="005729A2">
        <w:t>EBSS reward</w:t>
      </w:r>
      <w:r>
        <w:t>, which generates no corresponding tax offsets.</w:t>
      </w:r>
      <w:r>
        <w:rPr>
          <w:rStyle w:val="FootnoteReference"/>
        </w:rPr>
        <w:footnoteReference w:id="73"/>
      </w:r>
      <w:r>
        <w:t xml:space="preserve"> The AER will review these factors as part of the full determination process.</w:t>
      </w:r>
    </w:p>
    <w:p w:rsidR="009916C7" w:rsidRDefault="009916C7" w:rsidP="009916C7">
      <w:pPr>
        <w:pStyle w:val="AERbodytext"/>
        <w:numPr>
          <w:ilvl w:val="0"/>
          <w:numId w:val="6"/>
        </w:numPr>
      </w:pPr>
      <w:r>
        <w:lastRenderedPageBreak/>
        <w:t xml:space="preserve">At this time, however, we consider that the gamma input should be amended. The </w:t>
      </w:r>
      <w:r w:rsidR="000565BE">
        <w:t>NSW/ACT DNSPs</w:t>
      </w:r>
      <w:r w:rsidRPr="00B414B3">
        <w:t xml:space="preserve"> adopted a value of 0.25 for gamma. </w:t>
      </w:r>
      <w:r>
        <w:t>The D</w:t>
      </w:r>
      <w:r w:rsidRPr="00B414B3">
        <w:t>NSPs based their proposals on material that was before the AER during the guideline process.</w:t>
      </w:r>
      <w:r w:rsidRPr="002835E4">
        <w:t xml:space="preserve"> </w:t>
      </w:r>
      <w:r>
        <w:t>Our assessment of this information is included in our reasoning for our guideline</w:t>
      </w:r>
      <w:r w:rsidR="003D0BB2">
        <w:t>.</w:t>
      </w:r>
      <w:r>
        <w:t xml:space="preserve"> </w:t>
      </w:r>
      <w:r w:rsidRPr="00B414B3">
        <w:t>In contrast</w:t>
      </w:r>
      <w:r w:rsidRPr="006A21D1">
        <w:t xml:space="preserve"> </w:t>
      </w:r>
      <w:r>
        <w:t>to the proposals submitted by the DNSPs</w:t>
      </w:r>
      <w:r w:rsidRPr="00B414B3">
        <w:t>, we set out in the rate of return guideline that our estimate of t</w:t>
      </w:r>
      <w:r>
        <w:t>he value of gamma is 0.5</w:t>
      </w:r>
      <w:r w:rsidRPr="006C279D">
        <w:t xml:space="preserve"> </w:t>
      </w:r>
      <w:r>
        <w:t xml:space="preserve">taking into account the information available to us. For these </w:t>
      </w:r>
      <w:r w:rsidR="00E05D13">
        <w:t xml:space="preserve">placeholder </w:t>
      </w:r>
      <w:r>
        <w:t>determinations, we have also taken into account t</w:t>
      </w:r>
      <w:r w:rsidRPr="00140F20">
        <w:t xml:space="preserve">he </w:t>
      </w:r>
      <w:r>
        <w:t>submission of the PIAC, which</w:t>
      </w:r>
      <w:r w:rsidRPr="00140F20">
        <w:t xml:space="preserve"> support</w:t>
      </w:r>
      <w:r>
        <w:t>s</w:t>
      </w:r>
      <w:r w:rsidRPr="00140F20">
        <w:t xml:space="preserve"> the use of the gamma value of 0.5 as set out in the AER’s guideline.</w:t>
      </w:r>
      <w:r w:rsidRPr="00140F20">
        <w:rPr>
          <w:rStyle w:val="FootnoteReference"/>
        </w:rPr>
        <w:footnoteReference w:id="74"/>
      </w:r>
      <w:r w:rsidRPr="00B414B3">
        <w:t xml:space="preserve"> </w:t>
      </w:r>
    </w:p>
    <w:p w:rsidR="009916C7" w:rsidRPr="005729A2" w:rsidRDefault="009916C7" w:rsidP="009916C7">
      <w:pPr>
        <w:pStyle w:val="AERbodytext"/>
        <w:numPr>
          <w:ilvl w:val="0"/>
          <w:numId w:val="6"/>
        </w:numPr>
      </w:pPr>
      <w:r w:rsidRPr="00B414B3">
        <w:t>The use of our estimate reduces the proposed cost of corporate income tax by 50 per cent</w:t>
      </w:r>
      <w:r>
        <w:t>, rather than 25 per cent as proposed by the DNSPs</w:t>
      </w:r>
      <w:r w:rsidRPr="00B414B3">
        <w:t>. We consider that the costs of corporate income tax in the transitional re</w:t>
      </w:r>
      <w:r>
        <w:t>gulatory</w:t>
      </w:r>
      <w:r w:rsidRPr="00B414B3">
        <w:t xml:space="preserve"> proposals are overstated</w:t>
      </w:r>
      <w:r w:rsidRPr="006C279D">
        <w:t xml:space="preserve"> </w:t>
      </w:r>
      <w:r>
        <w:t>based on the extensive analysis in our rate of return guideline</w:t>
      </w:r>
      <w:r w:rsidRPr="00B414B3">
        <w:t xml:space="preserve">. We therefore consider </w:t>
      </w:r>
      <w:r>
        <w:t xml:space="preserve">that for the purposes of this high level assessment in this determination, </w:t>
      </w:r>
      <w:r w:rsidRPr="00B414B3">
        <w:t xml:space="preserve">the value of gamma should be changed to 0.5 for </w:t>
      </w:r>
      <w:r>
        <w:t>these</w:t>
      </w:r>
      <w:r w:rsidRPr="00B414B3">
        <w:t xml:space="preserve"> </w:t>
      </w:r>
      <w:r w:rsidR="00E05D13">
        <w:t>placeholder</w:t>
      </w:r>
      <w:r w:rsidR="00E05D13" w:rsidRPr="00B414B3">
        <w:t xml:space="preserve"> </w:t>
      </w:r>
      <w:r w:rsidRPr="00B414B3">
        <w:t>determination</w:t>
      </w:r>
      <w:r>
        <w:t>s</w:t>
      </w:r>
      <w:r w:rsidRPr="00B414B3">
        <w:t xml:space="preserve">. </w:t>
      </w:r>
    </w:p>
    <w:p w:rsidR="002401A5" w:rsidRDefault="002401A5" w:rsidP="003F0974">
      <w:pPr>
        <w:pStyle w:val="Heading1"/>
        <w:sectPr w:rsidR="002401A5" w:rsidSect="000B70D8">
          <w:footerReference w:type="default" r:id="rId36"/>
          <w:pgSz w:w="11906" w:h="16838" w:code="9"/>
          <w:pgMar w:top="1440" w:right="1440" w:bottom="1440" w:left="1440" w:header="709" w:footer="709" w:gutter="0"/>
          <w:cols w:space="708"/>
          <w:docGrid w:linePitch="360"/>
        </w:sectPr>
      </w:pPr>
      <w:bookmarkStart w:id="144" w:name="_Toc383436071"/>
      <w:bookmarkStart w:id="145" w:name="_Toc384716228"/>
    </w:p>
    <w:p w:rsidR="009916C7" w:rsidRDefault="009916C7" w:rsidP="003F0974">
      <w:pPr>
        <w:pStyle w:val="Heading1"/>
      </w:pPr>
      <w:bookmarkStart w:id="146" w:name="_Ref384806000"/>
      <w:bookmarkStart w:id="147" w:name="_Toc385326315"/>
      <w:r>
        <w:lastRenderedPageBreak/>
        <w:t>Other constituent decisions</w:t>
      </w:r>
      <w:bookmarkEnd w:id="144"/>
      <w:bookmarkEnd w:id="145"/>
      <w:bookmarkEnd w:id="146"/>
      <w:bookmarkEnd w:id="147"/>
      <w:r>
        <w:t xml:space="preserve"> </w:t>
      </w:r>
    </w:p>
    <w:p w:rsidR="00B50ADF" w:rsidRPr="00B50ADF" w:rsidRDefault="00B50ADF" w:rsidP="00451B70">
      <w:pPr>
        <w:pStyle w:val="AERbodytext"/>
      </w:pPr>
      <w:r>
        <w:t xml:space="preserve">In making our </w:t>
      </w:r>
      <w:r w:rsidR="00E05D13">
        <w:t xml:space="preserve">placeholder </w:t>
      </w:r>
      <w:r>
        <w:t xml:space="preserve">determination, we must include decisions on the </w:t>
      </w:r>
      <w:r w:rsidR="009E0C43">
        <w:t xml:space="preserve">various other </w:t>
      </w:r>
      <w:r>
        <w:t xml:space="preserve">matters </w:t>
      </w:r>
      <w:r w:rsidR="009E0C43">
        <w:t xml:space="preserve">in accordance with clause 6.12.1 </w:t>
      </w:r>
      <w:r w:rsidR="003945D7">
        <w:t xml:space="preserve">of the NER </w:t>
      </w:r>
      <w:r w:rsidR="009E0C43">
        <w:t>(as modified by clauses 11.55 and 11.56) and</w:t>
      </w:r>
      <w:r>
        <w:t xml:space="preserve"> clause 11.56.3 of the </w:t>
      </w:r>
      <w:r w:rsidR="009E0C43">
        <w:t>NER</w:t>
      </w:r>
      <w:r>
        <w:t xml:space="preserve"> (the constituent decisions). As appropriate, we have set out our reasons for these decisions below. We note that in respect of several of the constituent decisions, we do not have any discretion. Rather, we must make decisions as set out in the transitional rules.</w:t>
      </w:r>
    </w:p>
    <w:p w:rsidR="009916C7" w:rsidRDefault="009916C7" w:rsidP="003F0974">
      <w:pPr>
        <w:pStyle w:val="Heading2"/>
      </w:pPr>
      <w:bookmarkStart w:id="148" w:name="_Toc384716229"/>
      <w:bookmarkStart w:id="149" w:name="_Toc385326316"/>
      <w:bookmarkStart w:id="150" w:name="_Toc383436072"/>
      <w:r>
        <w:t>D-factor scheme and the D</w:t>
      </w:r>
      <w:r w:rsidR="004F731B">
        <w:t xml:space="preserve">emand </w:t>
      </w:r>
      <w:r>
        <w:t>M</w:t>
      </w:r>
      <w:r w:rsidR="004F731B">
        <w:t>anagement and Embedded Generation Connection and Incentive Scheme</w:t>
      </w:r>
      <w:bookmarkEnd w:id="148"/>
      <w:bookmarkEnd w:id="149"/>
      <w:r w:rsidRPr="00423117">
        <w:t xml:space="preserve"> </w:t>
      </w:r>
    </w:p>
    <w:p w:rsidR="009916C7" w:rsidRDefault="009916C7" w:rsidP="009916C7">
      <w:pPr>
        <w:pStyle w:val="AERbodytext"/>
        <w:numPr>
          <w:ilvl w:val="0"/>
          <w:numId w:val="6"/>
        </w:numPr>
      </w:pPr>
      <w:r>
        <w:t>The r</w:t>
      </w:r>
      <w:r w:rsidRPr="00A940CC">
        <w:t xml:space="preserve">ules require </w:t>
      </w:r>
      <w:r>
        <w:t>us to</w:t>
      </w:r>
      <w:r w:rsidRPr="00A940CC">
        <w:t xml:space="preserve"> develop and implement mechanisms to incentivise distributors</w:t>
      </w:r>
      <w:r>
        <w:t xml:space="preserve"> to consider</w:t>
      </w:r>
      <w:r w:rsidRPr="00A940CC">
        <w:t xml:space="preserve"> </w:t>
      </w:r>
      <w:r>
        <w:t xml:space="preserve">economically efficient </w:t>
      </w:r>
      <w:r w:rsidRPr="00A940CC">
        <w:t>alternatives to building more network</w:t>
      </w:r>
      <w:r>
        <w:t>.</w:t>
      </w:r>
      <w:r w:rsidRPr="001717EA">
        <w:rPr>
          <w:rStyle w:val="FootnoteReference"/>
        </w:rPr>
        <w:footnoteReference w:id="75"/>
      </w:r>
      <w:r>
        <w:t xml:space="preserve"> To meet this requirement, and motivated by the need to improve distributors' capability in the demand management</w:t>
      </w:r>
      <w:r w:rsidRPr="00D801DC">
        <w:t xml:space="preserve"> </w:t>
      </w:r>
      <w:r>
        <w:t>area</w:t>
      </w:r>
      <w:r w:rsidRPr="00D801DC">
        <w:t xml:space="preserve">, we </w:t>
      </w:r>
      <w:r>
        <w:t xml:space="preserve">implemented a </w:t>
      </w:r>
      <w:r w:rsidRPr="00494796">
        <w:t xml:space="preserve">demand management incentive scheme </w:t>
      </w:r>
      <w:r>
        <w:t>(</w:t>
      </w:r>
      <w:r w:rsidRPr="00D801DC">
        <w:t>DMIS</w:t>
      </w:r>
      <w:r>
        <w:t xml:space="preserve">) </w:t>
      </w:r>
      <w:r w:rsidRPr="00D801DC">
        <w:t xml:space="preserve">in our </w:t>
      </w:r>
      <w:r w:rsidR="00CD4453">
        <w:t xml:space="preserve">NSW/ACT </w:t>
      </w:r>
      <w:r>
        <w:t>distribution</w:t>
      </w:r>
      <w:r w:rsidRPr="00D801DC">
        <w:t xml:space="preserve"> determination</w:t>
      </w:r>
      <w:r>
        <w:t>s</w:t>
      </w:r>
      <w:r w:rsidRPr="00D801DC">
        <w:t xml:space="preserve"> for the current regulatory period</w:t>
      </w:r>
      <w:r>
        <w:t>.</w:t>
      </w:r>
      <w:r>
        <w:rPr>
          <w:rStyle w:val="FootnoteReference"/>
        </w:rPr>
        <w:footnoteReference w:id="76"/>
      </w:r>
    </w:p>
    <w:p w:rsidR="009916C7" w:rsidRDefault="009916C7" w:rsidP="009916C7">
      <w:pPr>
        <w:pStyle w:val="AERbodytext"/>
        <w:numPr>
          <w:ilvl w:val="0"/>
          <w:numId w:val="6"/>
        </w:numPr>
      </w:pPr>
      <w:r>
        <w:t xml:space="preserve">The current DMIS </w:t>
      </w:r>
      <w:r w:rsidR="00CD4453">
        <w:t xml:space="preserve">for </w:t>
      </w:r>
      <w:r>
        <w:t>NSW/ACT DNSPs includes two components—the demand management innovation allowance (DMIA)</w:t>
      </w:r>
      <w:r w:rsidRPr="0057413E">
        <w:rPr>
          <w:rStyle w:val="AERsuperscript"/>
        </w:rPr>
        <w:footnoteReference w:id="77"/>
      </w:r>
      <w:r>
        <w:t xml:space="preserve"> and the D-factor.</w:t>
      </w:r>
      <w:r w:rsidRPr="0057413E">
        <w:rPr>
          <w:rStyle w:val="AERsuperscript"/>
        </w:rPr>
        <w:footnoteReference w:id="78"/>
      </w:r>
      <w:r w:rsidRPr="0057413E">
        <w:t xml:space="preserve"> </w:t>
      </w:r>
    </w:p>
    <w:p w:rsidR="009916C7" w:rsidRDefault="009916C7" w:rsidP="009916C7">
      <w:pPr>
        <w:pStyle w:val="AERbodytext"/>
        <w:numPr>
          <w:ilvl w:val="0"/>
          <w:numId w:val="6"/>
        </w:numPr>
      </w:pPr>
      <w:r w:rsidRPr="0057413E">
        <w:t>The DMIA</w:t>
      </w:r>
      <w:r>
        <w:t xml:space="preserve"> is</w:t>
      </w:r>
      <w:r w:rsidRPr="0057413E">
        <w:t xml:space="preserve"> a</w:t>
      </w:r>
      <w:r>
        <w:t xml:space="preserve"> capped allowance for distributors to </w:t>
      </w:r>
      <w:r w:rsidRPr="00086D68">
        <w:t>investigate and c</w:t>
      </w:r>
      <w:r>
        <w:t>onduct broad-based and/or peak demand management</w:t>
      </w:r>
      <w:r w:rsidRPr="00086D68">
        <w:t xml:space="preserve"> projects</w:t>
      </w:r>
      <w:r>
        <w:t>. It contains two parts:</w:t>
      </w:r>
    </w:p>
    <w:p w:rsidR="009916C7" w:rsidRDefault="009916C7" w:rsidP="00C23850">
      <w:pPr>
        <w:pStyle w:val="AERbulletlistfirststyle"/>
      </w:pPr>
      <w:r>
        <w:t xml:space="preserve">Part A provides for an innovation allowance to be incorporated into each distributor's </w:t>
      </w:r>
      <w:r w:rsidRPr="0057413E">
        <w:t xml:space="preserve">revenue </w:t>
      </w:r>
      <w:r>
        <w:t xml:space="preserve">allowance for opex each year of the </w:t>
      </w:r>
      <w:r w:rsidRPr="0057413E">
        <w:t xml:space="preserve">regulatory control period. </w:t>
      </w:r>
      <w:r>
        <w:t>D</w:t>
      </w:r>
      <w:r w:rsidRPr="0057413E">
        <w:t>istributor</w:t>
      </w:r>
      <w:r>
        <w:t>s</w:t>
      </w:r>
      <w:r w:rsidRPr="0057413E">
        <w:t xml:space="preserve"> </w:t>
      </w:r>
      <w:r>
        <w:t>prepare</w:t>
      </w:r>
      <w:r w:rsidRPr="0057413E">
        <w:t xml:space="preserve"> annual report</w:t>
      </w:r>
      <w:r>
        <w:t>s</w:t>
      </w:r>
      <w:r w:rsidRPr="0057413E">
        <w:t xml:space="preserve"> on their expenditure under the DMIA</w:t>
      </w:r>
      <w:r w:rsidRPr="008D016F">
        <w:rPr>
          <w:rStyle w:val="AERsuperscript"/>
        </w:rPr>
        <w:footnoteReference w:id="79"/>
      </w:r>
      <w:r w:rsidRPr="008D016F">
        <w:t xml:space="preserve"> </w:t>
      </w:r>
      <w:r w:rsidRPr="0057413E">
        <w:t xml:space="preserve"> in the previous year, which we then assess </w:t>
      </w:r>
      <w:r>
        <w:t>against</w:t>
      </w:r>
      <w:r w:rsidRPr="0057413E">
        <w:t xml:space="preserve"> </w:t>
      </w:r>
      <w:r>
        <w:t>specific criteria</w:t>
      </w:r>
      <w:r w:rsidRPr="0057413E">
        <w:t>.</w:t>
      </w:r>
      <w:r w:rsidRPr="0057413E">
        <w:rPr>
          <w:rStyle w:val="AERsuperscript"/>
        </w:rPr>
        <w:footnoteReference w:id="80"/>
      </w:r>
      <w:r w:rsidRPr="0057413E">
        <w:t xml:space="preserve"> </w:t>
      </w:r>
    </w:p>
    <w:p w:rsidR="009916C7" w:rsidRPr="009916C7" w:rsidRDefault="009916C7" w:rsidP="00C23850">
      <w:pPr>
        <w:pStyle w:val="AERbulletlistfirststyle"/>
        <w:rPr>
          <w:rStyle w:val="AERbody"/>
          <w:rFonts w:eastAsia="Calibri"/>
        </w:rPr>
      </w:pPr>
      <w:r>
        <w:t xml:space="preserve">Part B compensates distributors for any foregone revenue demonstrated to have resulted from demand management initiatives approved under Part A. In the current regulatory control period, </w:t>
      </w:r>
      <w:r w:rsidRPr="009B15BF">
        <w:t xml:space="preserve">NSW </w:t>
      </w:r>
      <w:r w:rsidR="00F15383">
        <w:t>DNSPs</w:t>
      </w:r>
      <w:r w:rsidR="00F15383" w:rsidRPr="009B15BF">
        <w:t xml:space="preserve"> </w:t>
      </w:r>
      <w:r w:rsidRPr="009B15BF">
        <w:t xml:space="preserve">are </w:t>
      </w:r>
      <w:r>
        <w:t>subject to a</w:t>
      </w:r>
      <w:r w:rsidRPr="009B15BF">
        <w:t xml:space="preserve"> weighted average price cap (WAPC) form of control. Under this control mechanism, </w:t>
      </w:r>
      <w:r>
        <w:t xml:space="preserve">if a demand management project results in a fall in demand for direct control services, the distributor's </w:t>
      </w:r>
      <w:r w:rsidRPr="009B15BF">
        <w:t xml:space="preserve">recoverable revenues </w:t>
      </w:r>
      <w:r>
        <w:t xml:space="preserve">will </w:t>
      </w:r>
      <w:r w:rsidRPr="009B15BF">
        <w:t>fall</w:t>
      </w:r>
      <w:r>
        <w:t xml:space="preserve"> as</w:t>
      </w:r>
      <w:r w:rsidRPr="009B15BF">
        <w:t xml:space="preserve"> prices are fixed.</w:t>
      </w:r>
      <w:r>
        <w:t xml:space="preserve"> For this reason, foregone revenue is recoverable under Part B of the DMIA.</w:t>
      </w:r>
    </w:p>
    <w:p w:rsidR="009916C7" w:rsidRDefault="009916C7" w:rsidP="002401A5">
      <w:pPr>
        <w:pStyle w:val="HeadingBoldBlue"/>
      </w:pPr>
      <w:r>
        <w:lastRenderedPageBreak/>
        <w:t>NSW</w:t>
      </w:r>
    </w:p>
    <w:p w:rsidR="009916C7" w:rsidRDefault="008D7D67" w:rsidP="009916C7">
      <w:pPr>
        <w:pStyle w:val="AERbodytext"/>
        <w:numPr>
          <w:ilvl w:val="0"/>
          <w:numId w:val="6"/>
        </w:numPr>
      </w:pPr>
      <w:r>
        <w:t>As set out in the framework and approach paper, w</w:t>
      </w:r>
      <w:r w:rsidR="009916C7" w:rsidRPr="00423117">
        <w:t xml:space="preserve">e </w:t>
      </w:r>
      <w:r w:rsidR="009916C7">
        <w:t>determine</w:t>
      </w:r>
      <w:r w:rsidR="009916C7" w:rsidRPr="00423117">
        <w:t xml:space="preserve"> </w:t>
      </w:r>
      <w:r w:rsidR="00C34ACD">
        <w:t>that</w:t>
      </w:r>
      <w:r w:rsidR="009916C7" w:rsidRPr="00423117">
        <w:t xml:space="preserve"> </w:t>
      </w:r>
      <w:r>
        <w:t xml:space="preserve">Part A of </w:t>
      </w:r>
      <w:r w:rsidR="009916C7" w:rsidRPr="00423117">
        <w:t>the DMIA</w:t>
      </w:r>
      <w:r w:rsidR="00C34ACD">
        <w:t xml:space="preserve"> will continue to apply</w:t>
      </w:r>
      <w:r w:rsidR="009916C7" w:rsidRPr="00423117">
        <w:t xml:space="preserve"> but </w:t>
      </w:r>
      <w:r>
        <w:t>we</w:t>
      </w:r>
      <w:r w:rsidR="00C34ACD">
        <w:t xml:space="preserve"> determine not to</w:t>
      </w:r>
      <w:r>
        <w:t xml:space="preserve"> apply either Part B of the DMIA or</w:t>
      </w:r>
      <w:r w:rsidRPr="00423117">
        <w:t xml:space="preserve"> </w:t>
      </w:r>
      <w:r w:rsidR="009916C7" w:rsidRPr="00423117">
        <w:t xml:space="preserve">the D-Factor scheme for NSW distributors </w:t>
      </w:r>
      <w:r w:rsidR="008C5F10">
        <w:t>in</w:t>
      </w:r>
      <w:r w:rsidR="008C5F10" w:rsidRPr="00423117">
        <w:t xml:space="preserve"> </w:t>
      </w:r>
      <w:r w:rsidR="009916C7" w:rsidRPr="00423117">
        <w:t>the transitional regulatory control period.</w:t>
      </w:r>
      <w:r w:rsidR="00915A87">
        <w:rPr>
          <w:rStyle w:val="FootnoteReference"/>
        </w:rPr>
        <w:footnoteReference w:id="81"/>
      </w:r>
      <w:r w:rsidR="009916C7" w:rsidRPr="00423117">
        <w:t xml:space="preserve"> </w:t>
      </w:r>
    </w:p>
    <w:p w:rsidR="009916C7" w:rsidRDefault="008D7D67" w:rsidP="009916C7">
      <w:pPr>
        <w:pStyle w:val="AERbodytext"/>
        <w:numPr>
          <w:ilvl w:val="0"/>
          <w:numId w:val="6"/>
        </w:numPr>
      </w:pPr>
      <w:r>
        <w:t>W</w:t>
      </w:r>
      <w:r w:rsidR="009916C7">
        <w:t xml:space="preserve">e </w:t>
      </w:r>
      <w:r>
        <w:t>do not apply the</w:t>
      </w:r>
      <w:r w:rsidR="009916C7">
        <w:t xml:space="preserve"> Part B foregone revenue component of the DMIA </w:t>
      </w:r>
      <w:r>
        <w:t xml:space="preserve">or the D-factor in the transitional regulatory control period </w:t>
      </w:r>
      <w:r w:rsidR="009916C7">
        <w:t xml:space="preserve">due to the move to a revenue cap. </w:t>
      </w:r>
    </w:p>
    <w:p w:rsidR="009916C7" w:rsidRDefault="009916C7" w:rsidP="009916C7">
      <w:pPr>
        <w:pStyle w:val="AERbodytext"/>
        <w:numPr>
          <w:ilvl w:val="0"/>
          <w:numId w:val="6"/>
        </w:numPr>
      </w:pPr>
      <w:r>
        <w:t xml:space="preserve">The current innovation allowance amounts will continue in the transitional </w:t>
      </w:r>
      <w:r w:rsidR="008D7D67">
        <w:t>regulatory control period</w:t>
      </w:r>
      <w:r>
        <w:t xml:space="preserve">. </w:t>
      </w:r>
    </w:p>
    <w:p w:rsidR="009916C7" w:rsidRDefault="009916C7" w:rsidP="009916C7">
      <w:pPr>
        <w:pStyle w:val="AERbodytext"/>
        <w:numPr>
          <w:ilvl w:val="0"/>
          <w:numId w:val="6"/>
        </w:numPr>
      </w:pPr>
      <w:r w:rsidRPr="00E5252F">
        <w:t>However, as the D-factor operates on a two</w:t>
      </w:r>
      <w:r>
        <w:t>-</w:t>
      </w:r>
      <w:r w:rsidRPr="00E5252F">
        <w:t xml:space="preserve">year lag, distributors will be able to recover </w:t>
      </w:r>
      <w:r>
        <w:t xml:space="preserve">the </w:t>
      </w:r>
      <w:r w:rsidRPr="00E5252F">
        <w:t xml:space="preserve">costs </w:t>
      </w:r>
      <w:r>
        <w:t xml:space="preserve">and foregone </w:t>
      </w:r>
      <w:r w:rsidRPr="00E5252F">
        <w:t xml:space="preserve">revenues </w:t>
      </w:r>
      <w:r>
        <w:t>of applicable</w:t>
      </w:r>
      <w:r w:rsidRPr="00E5252F">
        <w:t xml:space="preserve"> </w:t>
      </w:r>
      <w:r>
        <w:t xml:space="preserve">demand management projects in the current </w:t>
      </w:r>
      <w:r w:rsidRPr="004C7901">
        <w:t>regulatory control</w:t>
      </w:r>
      <w:r>
        <w:t xml:space="preserve"> period in the transitional and subsequent regulatory control</w:t>
      </w:r>
      <w:r w:rsidRPr="00E5252F">
        <w:t xml:space="preserve"> period</w:t>
      </w:r>
      <w:r>
        <w:t>s</w:t>
      </w:r>
      <w:r w:rsidRPr="00E5252F">
        <w:t>.</w:t>
      </w:r>
      <w:r>
        <w:t xml:space="preserve"> </w:t>
      </w:r>
    </w:p>
    <w:p w:rsidR="009916C7" w:rsidRDefault="009916C7" w:rsidP="002401A5">
      <w:pPr>
        <w:pStyle w:val="HeadingBoldBlue"/>
      </w:pPr>
      <w:r>
        <w:t>ACT</w:t>
      </w:r>
    </w:p>
    <w:p w:rsidR="009916C7" w:rsidRDefault="008D7D67" w:rsidP="009916C7">
      <w:pPr>
        <w:pStyle w:val="AERbodytext"/>
        <w:numPr>
          <w:ilvl w:val="0"/>
          <w:numId w:val="6"/>
        </w:numPr>
      </w:pPr>
      <w:r>
        <w:t>In the current regulatory control period</w:t>
      </w:r>
      <w:r w:rsidRPr="009916C7">
        <w:t xml:space="preserve"> </w:t>
      </w:r>
      <w:r w:rsidR="009916C7" w:rsidRPr="009916C7">
        <w:t xml:space="preserve">only Part A of the </w:t>
      </w:r>
      <w:r>
        <w:t>DMIA</w:t>
      </w:r>
      <w:r w:rsidRPr="009916C7">
        <w:t xml:space="preserve"> </w:t>
      </w:r>
      <w:r w:rsidR="009916C7" w:rsidRPr="009916C7">
        <w:t xml:space="preserve">applies to ActewAGL. We </w:t>
      </w:r>
      <w:r w:rsidR="009916C7">
        <w:t>determine</w:t>
      </w:r>
      <w:r w:rsidR="009916C7" w:rsidRPr="009916C7">
        <w:t xml:space="preserve"> to continue applying the </w:t>
      </w:r>
      <w:r w:rsidR="00836E25" w:rsidRPr="009916C7">
        <w:t>DMI</w:t>
      </w:r>
      <w:r w:rsidR="00836E25">
        <w:t>A</w:t>
      </w:r>
      <w:r w:rsidR="00836E25" w:rsidRPr="009916C7">
        <w:t xml:space="preserve"> </w:t>
      </w:r>
      <w:r w:rsidR="009916C7" w:rsidRPr="009916C7">
        <w:t xml:space="preserve">(that is, Part A only) to ActewAGL </w:t>
      </w:r>
      <w:r w:rsidR="00836E25">
        <w:t>in</w:t>
      </w:r>
      <w:r w:rsidR="00836E25" w:rsidRPr="009916C7">
        <w:t xml:space="preserve"> </w:t>
      </w:r>
      <w:r w:rsidR="009916C7" w:rsidRPr="009916C7">
        <w:t>the transitional regu</w:t>
      </w:r>
      <w:r w:rsidR="009916C7">
        <w:t xml:space="preserve">latory control period. </w:t>
      </w:r>
    </w:p>
    <w:p w:rsidR="009916C7" w:rsidRDefault="009916C7" w:rsidP="003F0974">
      <w:pPr>
        <w:pStyle w:val="Heading2"/>
      </w:pPr>
      <w:bookmarkStart w:id="151" w:name="_Toc384716230"/>
      <w:bookmarkStart w:id="152" w:name="_Toc385326317"/>
      <w:r>
        <w:t>E</w:t>
      </w:r>
      <w:r w:rsidR="00CD4453">
        <w:t xml:space="preserve">fficiency </w:t>
      </w:r>
      <w:r>
        <w:t>B</w:t>
      </w:r>
      <w:r w:rsidR="00CD4453">
        <w:t xml:space="preserve">enefit </w:t>
      </w:r>
      <w:r>
        <w:t>S</w:t>
      </w:r>
      <w:r w:rsidR="00CD4453">
        <w:t xml:space="preserve">haring </w:t>
      </w:r>
      <w:r>
        <w:t>S</w:t>
      </w:r>
      <w:r w:rsidR="00CD4453">
        <w:t>cheme</w:t>
      </w:r>
      <w:bookmarkEnd w:id="151"/>
      <w:bookmarkEnd w:id="152"/>
      <w:r>
        <w:t xml:space="preserve"> </w:t>
      </w:r>
      <w:bookmarkEnd w:id="150"/>
    </w:p>
    <w:p w:rsidR="009916C7" w:rsidRPr="004B4471" w:rsidRDefault="009916C7" w:rsidP="009916C7">
      <w:pPr>
        <w:pStyle w:val="AERbodytext"/>
        <w:numPr>
          <w:ilvl w:val="0"/>
          <w:numId w:val="6"/>
        </w:numPr>
      </w:pPr>
      <w:r w:rsidRPr="004B4471">
        <w:t>The efficiency benefit sharing scheme (EBSS) provide</w:t>
      </w:r>
      <w:r w:rsidR="009D623A">
        <w:t>s</w:t>
      </w:r>
      <w:r w:rsidRPr="004B4471">
        <w:t xml:space="preserve"> a continuous incentive for distributors to pursue efficiency improvements in ope</w:t>
      </w:r>
      <w:r>
        <w:t>rating e</w:t>
      </w:r>
      <w:r w:rsidRPr="004B4471">
        <w:t>x</w:t>
      </w:r>
      <w:r>
        <w:t>penditure</w:t>
      </w:r>
      <w:r w:rsidRPr="004B4471">
        <w:t xml:space="preserve">, and provide for a fair sharing of these between distributors and network users. Consumers benefit from improved efficiencies through lower regulated prices. </w:t>
      </w:r>
    </w:p>
    <w:p w:rsidR="009916C7" w:rsidRPr="004B4471" w:rsidRDefault="009916C7" w:rsidP="00B876E6">
      <w:pPr>
        <w:pStyle w:val="AERbodytext"/>
      </w:pPr>
      <w:r w:rsidRPr="004B4471">
        <w:t>The transitional rules set out that th</w:t>
      </w:r>
      <w:r>
        <w:t xml:space="preserve">e EBSS which applied to the NSW/ACT </w:t>
      </w:r>
      <w:r w:rsidR="000565BE">
        <w:t>DNSPs</w:t>
      </w:r>
      <w:r>
        <w:t xml:space="preserve"> </w:t>
      </w:r>
      <w:r w:rsidRPr="004B4471">
        <w:t>under the distribution determinations for their current regulatory control period, will apply to them for the transitional period subject to an</w:t>
      </w:r>
      <w:r w:rsidR="00B876E6">
        <w:t>y modifications set out in the S</w:t>
      </w:r>
      <w:r w:rsidRPr="004B4471">
        <w:t>tage 2</w:t>
      </w:r>
      <w:r w:rsidR="00B876E6">
        <w:t xml:space="preserve"> </w:t>
      </w:r>
      <w:r w:rsidR="00B876E6" w:rsidRPr="00B876E6">
        <w:t>framework and approach paper</w:t>
      </w:r>
      <w:r w:rsidRPr="004B4471">
        <w:t>. These modifications can include non-appl</w:t>
      </w:r>
      <w:r>
        <w:t>ication of the relevant scheme.</w:t>
      </w:r>
      <w:r>
        <w:rPr>
          <w:rStyle w:val="FootnoteReference"/>
        </w:rPr>
        <w:footnoteReference w:id="82"/>
      </w:r>
    </w:p>
    <w:p w:rsidR="009916C7" w:rsidRPr="004B4471" w:rsidRDefault="009916C7" w:rsidP="009916C7">
      <w:pPr>
        <w:pStyle w:val="AERbodytext"/>
        <w:numPr>
          <w:ilvl w:val="0"/>
          <w:numId w:val="6"/>
        </w:numPr>
      </w:pPr>
      <w:r w:rsidRPr="004B4471">
        <w:t>The EBSS must provide for a fair sharing between distributors and network users of opex efficien</w:t>
      </w:r>
      <w:r>
        <w:t>cy gains and efficiency losses.</w:t>
      </w:r>
      <w:r>
        <w:rPr>
          <w:rStyle w:val="FootnoteReference"/>
        </w:rPr>
        <w:footnoteReference w:id="83"/>
      </w:r>
      <w:r w:rsidRPr="004B4471">
        <w:t xml:space="preserve"> We must also have regard to the following factors in develo</w:t>
      </w:r>
      <w:r>
        <w:t>ping and implementing the EBSS:</w:t>
      </w:r>
      <w:r>
        <w:rPr>
          <w:rStyle w:val="FootnoteReference"/>
        </w:rPr>
        <w:footnoteReference w:id="84"/>
      </w:r>
    </w:p>
    <w:p w:rsidR="009916C7" w:rsidRPr="004B4471" w:rsidRDefault="009916C7" w:rsidP="00C23850">
      <w:pPr>
        <w:pStyle w:val="AERbulletlistfirststyle"/>
      </w:pPr>
      <w:r w:rsidRPr="004B4471">
        <w:t>the need to ensure that benefits to electricity consumers likely to result from the scheme are sufficient to warrant any reward or penalty under the scheme</w:t>
      </w:r>
    </w:p>
    <w:p w:rsidR="009916C7" w:rsidRPr="004B4471" w:rsidRDefault="009916C7" w:rsidP="00C23850">
      <w:pPr>
        <w:pStyle w:val="AERbulletlistfirststyle"/>
      </w:pPr>
      <w:r w:rsidRPr="004B4471">
        <w:t>the need to provide distributors with a continuous incentive to reduce opex</w:t>
      </w:r>
    </w:p>
    <w:p w:rsidR="009916C7" w:rsidRPr="004B4471" w:rsidRDefault="009916C7" w:rsidP="00C23850">
      <w:pPr>
        <w:pStyle w:val="AERbulletlistfirststyle"/>
      </w:pPr>
      <w:r w:rsidRPr="004B4471">
        <w:t>the desirability of both rewarding distributors for efficiency gains and penalising distributors for efficiency losses</w:t>
      </w:r>
    </w:p>
    <w:p w:rsidR="009916C7" w:rsidRPr="004B4471" w:rsidRDefault="009916C7" w:rsidP="00C23850">
      <w:pPr>
        <w:pStyle w:val="AERbulletlistfirststyle"/>
      </w:pPr>
      <w:r w:rsidRPr="004B4471">
        <w:lastRenderedPageBreak/>
        <w:t>any incentives that distributors may have to capitalise expenditure</w:t>
      </w:r>
    </w:p>
    <w:p w:rsidR="009916C7" w:rsidRPr="004B4471" w:rsidRDefault="009916C7" w:rsidP="00C23850">
      <w:pPr>
        <w:pStyle w:val="AERbulletlistfirststyle"/>
      </w:pPr>
      <w:r w:rsidRPr="004B4471">
        <w:t>the possible effects of the scheme on incentives for the implementation of non-network alternatives.</w:t>
      </w:r>
    </w:p>
    <w:p w:rsidR="009916C7" w:rsidRPr="004B4471" w:rsidRDefault="009916C7" w:rsidP="009916C7">
      <w:pPr>
        <w:pStyle w:val="AERbodytext"/>
        <w:numPr>
          <w:ilvl w:val="0"/>
          <w:numId w:val="6"/>
        </w:numPr>
      </w:pPr>
      <w:r w:rsidRPr="004B4471">
        <w:t xml:space="preserve">Under </w:t>
      </w:r>
      <w:r>
        <w:t>the transitional rules we may:</w:t>
      </w:r>
      <w:r>
        <w:rPr>
          <w:rStyle w:val="FootnoteReference"/>
        </w:rPr>
        <w:footnoteReference w:id="85"/>
      </w:r>
    </w:p>
    <w:p w:rsidR="009916C7" w:rsidRPr="004B4471" w:rsidRDefault="009916C7" w:rsidP="00C23850">
      <w:pPr>
        <w:pStyle w:val="AERbulletlistfirststyle"/>
      </w:pPr>
      <w:r w:rsidRPr="004B4471">
        <w:t>apply the current EBSS in the transitional period</w:t>
      </w:r>
    </w:p>
    <w:p w:rsidR="009916C7" w:rsidRPr="004B4471" w:rsidRDefault="009916C7" w:rsidP="00C23850">
      <w:pPr>
        <w:pStyle w:val="AERbulletlistfirststyle"/>
      </w:pPr>
      <w:r w:rsidRPr="004B4471">
        <w:t>apply the current EBSS with modifications</w:t>
      </w:r>
    </w:p>
    <w:p w:rsidR="009916C7" w:rsidRPr="004B4471" w:rsidRDefault="009916C7" w:rsidP="00C23850">
      <w:pPr>
        <w:pStyle w:val="AERbulletlistfirststyle"/>
      </w:pPr>
      <w:r w:rsidRPr="004B4471">
        <w:t>not apply the EBSS.</w:t>
      </w:r>
    </w:p>
    <w:p w:rsidR="009916C7" w:rsidRPr="000A53FF" w:rsidRDefault="00836E25" w:rsidP="00B876E6">
      <w:pPr>
        <w:pStyle w:val="AERbodytext"/>
      </w:pPr>
      <w:r>
        <w:t>In accordance wi</w:t>
      </w:r>
      <w:r w:rsidR="00B876E6">
        <w:t>th the approach set out in the S</w:t>
      </w:r>
      <w:r>
        <w:t xml:space="preserve">tage 2 </w:t>
      </w:r>
      <w:r w:rsidR="00B876E6" w:rsidRPr="00B876E6">
        <w:t>framework and approach paper</w:t>
      </w:r>
      <w:r>
        <w:t>, t</w:t>
      </w:r>
      <w:r w:rsidRPr="000A53FF">
        <w:t xml:space="preserve">he </w:t>
      </w:r>
      <w:r w:rsidR="009916C7" w:rsidRPr="000A53FF">
        <w:t xml:space="preserve">AER determines that the EBSS that will apply to </w:t>
      </w:r>
      <w:r w:rsidR="009916C7">
        <w:t xml:space="preserve">the </w:t>
      </w:r>
      <w:r w:rsidR="000565BE">
        <w:t>NSW/ACT DNSPs</w:t>
      </w:r>
      <w:r w:rsidR="009916C7">
        <w:t xml:space="preserve"> </w:t>
      </w:r>
      <w:r w:rsidR="009916C7" w:rsidRPr="000A53FF">
        <w:t xml:space="preserve">for the transitional regulatory control period will be the same as that applied to </w:t>
      </w:r>
      <w:r w:rsidR="009916C7">
        <w:t xml:space="preserve">the </w:t>
      </w:r>
      <w:r w:rsidR="000565BE">
        <w:t>NSW/ACT DNSPs</w:t>
      </w:r>
      <w:r w:rsidR="009916C7">
        <w:t xml:space="preserve"> </w:t>
      </w:r>
      <w:r w:rsidR="009916C7" w:rsidRPr="000A53FF">
        <w:t xml:space="preserve">in the current regulatory control period but modified to be in terms of version 2 of the efficiency benefit sharing scheme </w:t>
      </w:r>
      <w:r w:rsidR="00376239">
        <w:t xml:space="preserve">(the new EBSS) </w:t>
      </w:r>
      <w:r w:rsidR="009916C7" w:rsidRPr="000A53FF">
        <w:t>as if the transitional regulatory control period was the first year of the subsequent regulatory control period</w:t>
      </w:r>
      <w:r w:rsidR="00B460EF">
        <w:t>.</w:t>
      </w:r>
      <w:r w:rsidR="009916C7">
        <w:rPr>
          <w:rStyle w:val="FootnoteReference"/>
        </w:rPr>
        <w:footnoteReference w:id="86"/>
      </w:r>
    </w:p>
    <w:p w:rsidR="009916C7" w:rsidRPr="004B4471" w:rsidRDefault="009916C7" w:rsidP="009916C7">
      <w:pPr>
        <w:pStyle w:val="AERbodytext"/>
        <w:numPr>
          <w:ilvl w:val="0"/>
          <w:numId w:val="6"/>
        </w:numPr>
      </w:pPr>
      <w:r w:rsidRPr="004B4471">
        <w:t>We have taken this approach because:</w:t>
      </w:r>
    </w:p>
    <w:p w:rsidR="009916C7" w:rsidRPr="00131096" w:rsidRDefault="009916C7" w:rsidP="00C23850">
      <w:pPr>
        <w:pStyle w:val="AERbulletlistfirststyle"/>
      </w:pPr>
      <w:r w:rsidRPr="00131096">
        <w:t>We consider it is preferable to apply the new scheme consistently to all network service providers as soon as practicable. The new EBSS and accompanying explanatory statement were</w:t>
      </w:r>
      <w:r>
        <w:t xml:space="preserve"> published on 29 November 2013.</w:t>
      </w:r>
      <w:r>
        <w:rPr>
          <w:rStyle w:val="FootnoteReference"/>
        </w:rPr>
        <w:footnoteReference w:id="87"/>
      </w:r>
      <w:r w:rsidRPr="00131096">
        <w:t xml:space="preserve"> In developing the new scheme we had regard to the criteria in the rules and took into account stakeholder views. We developed the new EBSS for all network service providers with the intent of applying a nationally consistent approach to incentives for opex performance. </w:t>
      </w:r>
    </w:p>
    <w:p w:rsidR="00836E25" w:rsidRDefault="00F80CF4" w:rsidP="00C23850">
      <w:pPr>
        <w:pStyle w:val="AERbulletlistfirststyle"/>
      </w:pPr>
      <w:r>
        <w:t xml:space="preserve">The EBSS operates on an incremental basis, and performance in one year is related to performance in the previous year. </w:t>
      </w:r>
      <w:r w:rsidRPr="00F80CF4">
        <w:t>Not applying the EBSS in the transitional period could disrupt the incentives provided by the EBSS to make efficiency gains in other years. Not applying the EBSS to the transitional period also alters the carryover payments a distributor receives. In turn, this alters the sharing of efficiency gains and losses between distributors and consumers. This may have undesirable outcomes for distributors or consumers, inconsistent with the factors we must have regard to in developing and implementing the EBSS</w:t>
      </w:r>
      <w:r>
        <w:t xml:space="preserve">. </w:t>
      </w:r>
      <w:r w:rsidR="009916C7" w:rsidRPr="00131096">
        <w:t>I</w:t>
      </w:r>
      <w:r w:rsidR="00376239">
        <w:t>n these circumstances, i</w:t>
      </w:r>
      <w:r w:rsidR="009916C7" w:rsidRPr="00131096">
        <w:t xml:space="preserve">t is </w:t>
      </w:r>
      <w:r w:rsidR="00376239">
        <w:t>important</w:t>
      </w:r>
      <w:r w:rsidR="00376239" w:rsidRPr="00131096">
        <w:t xml:space="preserve"> </w:t>
      </w:r>
      <w:r w:rsidR="009916C7" w:rsidRPr="00131096">
        <w:t xml:space="preserve">for the same scheme to apply for the entirety of the </w:t>
      </w:r>
      <w:r w:rsidR="00836E25">
        <w:t xml:space="preserve">transitional and subsequent </w:t>
      </w:r>
      <w:r w:rsidR="009916C7" w:rsidRPr="00131096">
        <w:t>regulatory control period</w:t>
      </w:r>
      <w:r w:rsidR="00836E25">
        <w:t xml:space="preserve">s </w:t>
      </w:r>
      <w:r w:rsidR="00376239">
        <w:t xml:space="preserve">as if the transitional regulatory control period was the first year of the subsequent regulatory control period </w:t>
      </w:r>
      <w:r w:rsidR="00836E25">
        <w:t>to enable a consistent and workable application of the EBSS</w:t>
      </w:r>
      <w:r w:rsidR="009916C7" w:rsidRPr="00131096">
        <w:t xml:space="preserve">. </w:t>
      </w:r>
    </w:p>
    <w:p w:rsidR="009916C7" w:rsidRPr="00131096" w:rsidRDefault="00376239" w:rsidP="00C23850">
      <w:pPr>
        <w:pStyle w:val="AERbulletlistfirststyle"/>
      </w:pPr>
      <w:r>
        <w:t>T</w:t>
      </w:r>
      <w:r w:rsidR="009916C7" w:rsidRPr="00131096">
        <w:t xml:space="preserve">he new EBSS revises the approach to adjustments and exclusions. Therefore, applying the current EBSS in the transitional period followed by the new EBSS for the subsequent period could result in exclusions being permitted in the transitional </w:t>
      </w:r>
      <w:r w:rsidR="00836E25">
        <w:t xml:space="preserve">regulatory control </w:t>
      </w:r>
      <w:r w:rsidR="009916C7" w:rsidRPr="00131096">
        <w:t xml:space="preserve">period but not </w:t>
      </w:r>
      <w:r w:rsidR="00836E25">
        <w:t>in the subsequent regulatory control</w:t>
      </w:r>
      <w:r w:rsidR="009916C7" w:rsidRPr="00131096">
        <w:t xml:space="preserve"> period, </w:t>
      </w:r>
      <w:r w:rsidR="00836E25">
        <w:t xml:space="preserve">leading to </w:t>
      </w:r>
      <w:r w:rsidR="009916C7" w:rsidRPr="00131096">
        <w:t xml:space="preserve">an inconsistent approach to adjustments. </w:t>
      </w:r>
    </w:p>
    <w:p w:rsidR="009916C7" w:rsidRDefault="009916C7" w:rsidP="003F0974">
      <w:pPr>
        <w:pStyle w:val="Heading2"/>
      </w:pPr>
      <w:bookmarkStart w:id="153" w:name="_Toc383436073"/>
      <w:bookmarkStart w:id="154" w:name="_Toc384716231"/>
      <w:bookmarkStart w:id="155" w:name="_Toc385326318"/>
      <w:r>
        <w:lastRenderedPageBreak/>
        <w:t>S</w:t>
      </w:r>
      <w:r w:rsidR="00CD4453">
        <w:t xml:space="preserve">ervice </w:t>
      </w:r>
      <w:r>
        <w:t>T</w:t>
      </w:r>
      <w:r w:rsidR="00CD4453">
        <w:t xml:space="preserve">arget </w:t>
      </w:r>
      <w:r>
        <w:t>P</w:t>
      </w:r>
      <w:r w:rsidR="00CD4453">
        <w:t xml:space="preserve">erformance </w:t>
      </w:r>
      <w:r>
        <w:t>I</w:t>
      </w:r>
      <w:r w:rsidR="00CD4453">
        <w:t xml:space="preserve">ncentive </w:t>
      </w:r>
      <w:r>
        <w:t>S</w:t>
      </w:r>
      <w:bookmarkEnd w:id="153"/>
      <w:r w:rsidR="00CD4453">
        <w:t>cheme</w:t>
      </w:r>
      <w:bookmarkEnd w:id="154"/>
      <w:bookmarkEnd w:id="155"/>
    </w:p>
    <w:p w:rsidR="009916C7" w:rsidRPr="00131096" w:rsidRDefault="009916C7" w:rsidP="009916C7">
      <w:pPr>
        <w:pStyle w:val="AERbodytext"/>
        <w:numPr>
          <w:ilvl w:val="0"/>
          <w:numId w:val="6"/>
        </w:numPr>
      </w:pPr>
      <w:r>
        <w:t>Our national distribution STPIS</w:t>
      </w:r>
      <w:r w:rsidRPr="00131096">
        <w:t xml:space="preserve"> provides a financial incentive to distributors to maintain and improve service performance.</w:t>
      </w:r>
      <w:r w:rsidR="00B460EF" w:rsidRPr="00B460EF">
        <w:rPr>
          <w:rStyle w:val="FootnoteReference"/>
        </w:rPr>
        <w:t xml:space="preserve"> </w:t>
      </w:r>
      <w:r w:rsidR="00B460EF">
        <w:rPr>
          <w:rStyle w:val="FootnoteReference"/>
        </w:rPr>
        <w:footnoteReference w:id="88"/>
      </w:r>
      <w:r w:rsidRPr="00131096">
        <w:t xml:space="preserve"> The STPIS </w:t>
      </w:r>
      <w:r w:rsidR="001F6D06">
        <w:t>provides</w:t>
      </w:r>
      <w:r w:rsidRPr="00131096">
        <w:t xml:space="preserve"> that cost efficiencies incentivised under our expenditure schemes do not arise through the deterioration of service quality for customers. Penalties and rewards under the STPIS are calibrated with how willing customers are to pay for improved service. This aligns the distributors' incentives towards efficient price and non-price outcomes with the long-term interests of consumers, consistent with the NEO.</w:t>
      </w:r>
    </w:p>
    <w:p w:rsidR="009916C7" w:rsidRPr="00131096" w:rsidRDefault="009916C7" w:rsidP="009916C7">
      <w:pPr>
        <w:pStyle w:val="AERbodytext"/>
        <w:numPr>
          <w:ilvl w:val="0"/>
          <w:numId w:val="6"/>
        </w:numPr>
      </w:pPr>
      <w:r w:rsidRPr="00131096">
        <w:t xml:space="preserve">Our national STPIS does not currently apply </w:t>
      </w:r>
      <w:r>
        <w:t>to the</w:t>
      </w:r>
      <w:r w:rsidRPr="00131096">
        <w:t xml:space="preserve"> NSW</w:t>
      </w:r>
      <w:r>
        <w:t xml:space="preserve">/ACT </w:t>
      </w:r>
      <w:r w:rsidR="000565BE">
        <w:t>DNSPs</w:t>
      </w:r>
      <w:r w:rsidRPr="00131096">
        <w:t>. That is, NSW distributors are not currently subject to financial penalty or reward through an s-factor adjustment to revenue. However, jurisdictional GSL arrangements do apply. At the time of the 2009 determinatio</w:t>
      </w:r>
      <w:r w:rsidR="000565BE">
        <w:t xml:space="preserve">ns, we did not consider the NSW/ACT DNSPs </w:t>
      </w:r>
      <w:r w:rsidRPr="00131096">
        <w:t>had sufficient relevant historical data to establi</w:t>
      </w:r>
      <w:r>
        <w:t>sh service performance targets.</w:t>
      </w:r>
      <w:r>
        <w:rPr>
          <w:rStyle w:val="FootnoteReference"/>
        </w:rPr>
        <w:footnoteReference w:id="89"/>
      </w:r>
    </w:p>
    <w:p w:rsidR="009916C7" w:rsidRPr="00940382" w:rsidRDefault="009916C7" w:rsidP="009916C7">
      <w:pPr>
        <w:pStyle w:val="AERbodytext"/>
        <w:numPr>
          <w:ilvl w:val="0"/>
          <w:numId w:val="6"/>
        </w:numPr>
      </w:pPr>
      <w:r w:rsidRPr="00940382">
        <w:t xml:space="preserve">The rules intend for the transitional </w:t>
      </w:r>
      <w:r w:rsidR="00E95E09">
        <w:t>regulatory control period</w:t>
      </w:r>
      <w:r w:rsidR="00E95E09" w:rsidRPr="00940382">
        <w:t xml:space="preserve"> </w:t>
      </w:r>
      <w:r w:rsidRPr="00940382">
        <w:t>to be subject to a fast-tracked 'placeholder' determination. There is no formal process for us to outline our proposed application of the STPIS prior to the NSW</w:t>
      </w:r>
      <w:r w:rsidR="00B460EF">
        <w:t>/ACT</w:t>
      </w:r>
      <w:r w:rsidRPr="00940382">
        <w:t xml:space="preserve"> </w:t>
      </w:r>
      <w:r w:rsidR="00237716">
        <w:t>DNSPs</w:t>
      </w:r>
      <w:r w:rsidRPr="00940382">
        <w:t xml:space="preserve"> submitting their </w:t>
      </w:r>
      <w:r w:rsidR="00237716">
        <w:t>TRPs</w:t>
      </w:r>
      <w:r w:rsidRPr="00940382">
        <w:t xml:space="preserve">. </w:t>
      </w:r>
    </w:p>
    <w:p w:rsidR="009916C7" w:rsidRPr="00131096" w:rsidRDefault="00E95E09" w:rsidP="00B876E6">
      <w:pPr>
        <w:pStyle w:val="AERbodytext"/>
      </w:pPr>
      <w:r>
        <w:t xml:space="preserve">In accordance with the </w:t>
      </w:r>
      <w:r w:rsidR="00B876E6">
        <w:t>S</w:t>
      </w:r>
      <w:r>
        <w:t xml:space="preserve">tage 2 </w:t>
      </w:r>
      <w:r w:rsidR="00B876E6" w:rsidRPr="00B876E6">
        <w:t>framework and approach paper</w:t>
      </w:r>
      <w:r>
        <w:t>, we determine</w:t>
      </w:r>
      <w:r w:rsidR="009916C7" w:rsidRPr="002327AA">
        <w:t xml:space="preserve"> that no </w:t>
      </w:r>
      <w:r w:rsidR="009916C7">
        <w:t>STPIS</w:t>
      </w:r>
      <w:r w:rsidR="009916C7" w:rsidRPr="002327AA">
        <w:t xml:space="preserve"> appl</w:t>
      </w:r>
      <w:r>
        <w:t>ies</w:t>
      </w:r>
      <w:r w:rsidR="009916C7" w:rsidRPr="002327AA">
        <w:t xml:space="preserve"> in the transitional regulatory control period to NSW/ACT </w:t>
      </w:r>
      <w:r w:rsidR="00237716">
        <w:t>DNSPs</w:t>
      </w:r>
      <w:r w:rsidR="009916C7" w:rsidRPr="002327AA">
        <w:t>.</w:t>
      </w:r>
      <w:r w:rsidR="009916C7">
        <w:t xml:space="preserve"> </w:t>
      </w:r>
      <w:r w:rsidR="009916C7" w:rsidRPr="002327AA">
        <w:t>The current performance reporting obligations will continue to apply with no revenue at risk.</w:t>
      </w:r>
    </w:p>
    <w:p w:rsidR="009916C7" w:rsidRDefault="00ED38D3" w:rsidP="003F0974">
      <w:pPr>
        <w:pStyle w:val="Heading2"/>
      </w:pPr>
      <w:bookmarkStart w:id="156" w:name="_Toc384716232"/>
      <w:bookmarkStart w:id="157" w:name="_Toc385326319"/>
      <w:r>
        <w:t>Capital expenditure sharing scheme</w:t>
      </w:r>
      <w:bookmarkEnd w:id="156"/>
      <w:bookmarkEnd w:id="157"/>
    </w:p>
    <w:p w:rsidR="009916C7" w:rsidRDefault="009916C7" w:rsidP="009916C7">
      <w:pPr>
        <w:pStyle w:val="AERbodytext"/>
        <w:numPr>
          <w:ilvl w:val="0"/>
          <w:numId w:val="6"/>
        </w:numPr>
      </w:pPr>
      <w:r w:rsidRPr="00D241E5">
        <w:t xml:space="preserve">The capital expenditure sharing scheme (CESS) provides financial rewards for </w:t>
      </w:r>
      <w:r w:rsidR="000565BE">
        <w:t>DNSPs</w:t>
      </w:r>
      <w:r w:rsidRPr="00D241E5">
        <w:t xml:space="preserve"> whose capex becomes more efficient and financial penalties for those that become less efficient.</w:t>
      </w:r>
      <w:r>
        <w:t xml:space="preserve"> </w:t>
      </w:r>
      <w:r w:rsidRPr="00D241E5">
        <w:t>The CESS approximates efficiency gains and efficiency losses by calculating the difference between forecast and actual capex. It shares these gains or losses between distributors and network users.</w:t>
      </w:r>
      <w:r>
        <w:t xml:space="preserve"> </w:t>
      </w:r>
      <w:r w:rsidRPr="00D241E5">
        <w:t>Consumers benefit from improved efficiency through lower regulated prices.</w:t>
      </w:r>
    </w:p>
    <w:p w:rsidR="009916C7" w:rsidRPr="00D241E5" w:rsidRDefault="009916C7" w:rsidP="009916C7">
      <w:pPr>
        <w:pStyle w:val="AERbodytext"/>
        <w:numPr>
          <w:ilvl w:val="0"/>
          <w:numId w:val="6"/>
        </w:numPr>
      </w:pPr>
      <w:r w:rsidRPr="00D241E5">
        <w:t xml:space="preserve">The transitional rules specify </w:t>
      </w:r>
      <w:r>
        <w:t xml:space="preserve">that no CESS applies to the NSW/ACT </w:t>
      </w:r>
      <w:r w:rsidR="000565BE">
        <w:t>DNSPs</w:t>
      </w:r>
      <w:r>
        <w:t xml:space="preserve"> </w:t>
      </w:r>
      <w:r w:rsidRPr="00D241E5">
        <w:t>for the transiti</w:t>
      </w:r>
      <w:r>
        <w:t>onal regulatory control period.</w:t>
      </w:r>
      <w:r>
        <w:rPr>
          <w:rStyle w:val="FootnoteReference"/>
        </w:rPr>
        <w:footnoteReference w:id="90"/>
      </w:r>
    </w:p>
    <w:p w:rsidR="009916C7" w:rsidRPr="00D241E5" w:rsidRDefault="009916C7" w:rsidP="009916C7">
      <w:pPr>
        <w:pStyle w:val="AERbodytext"/>
        <w:numPr>
          <w:ilvl w:val="0"/>
          <w:numId w:val="6"/>
        </w:numPr>
      </w:pPr>
      <w:r>
        <w:t>Our transitional decision therefore is that no</w:t>
      </w:r>
      <w:r w:rsidRPr="00D241E5">
        <w:t xml:space="preserve"> CESS</w:t>
      </w:r>
      <w:r>
        <w:t xml:space="preserve"> will apply</w:t>
      </w:r>
      <w:r w:rsidRPr="00D241E5">
        <w:t xml:space="preserve"> in the transitional regulatory control period </w:t>
      </w:r>
      <w:r>
        <w:t xml:space="preserve">to NSW/ACT </w:t>
      </w:r>
      <w:r w:rsidR="000565BE">
        <w:t>DNSPs</w:t>
      </w:r>
      <w:r>
        <w:t>.</w:t>
      </w:r>
    </w:p>
    <w:p w:rsidR="009916C7" w:rsidRDefault="00ED38D3" w:rsidP="003F0974">
      <w:pPr>
        <w:pStyle w:val="Heading2"/>
      </w:pPr>
      <w:bookmarkStart w:id="158" w:name="_Toc383436075"/>
      <w:bookmarkStart w:id="159" w:name="_Toc384716233"/>
      <w:bookmarkStart w:id="160" w:name="_Toc385326320"/>
      <w:r>
        <w:t>S</w:t>
      </w:r>
      <w:r w:rsidR="009916C7">
        <w:t>mall-scale incentive scheme</w:t>
      </w:r>
      <w:bookmarkEnd w:id="158"/>
      <w:bookmarkEnd w:id="159"/>
      <w:bookmarkEnd w:id="160"/>
    </w:p>
    <w:p w:rsidR="009916C7" w:rsidRDefault="009916C7" w:rsidP="009916C7">
      <w:pPr>
        <w:pStyle w:val="AERbodytext"/>
        <w:numPr>
          <w:ilvl w:val="0"/>
          <w:numId w:val="6"/>
        </w:numPr>
      </w:pPr>
      <w:r w:rsidRPr="0080239C">
        <w:t xml:space="preserve">The rules state that we may develop </w:t>
      </w:r>
      <w:r>
        <w:t>a small-scale incentive scheme.</w:t>
      </w:r>
      <w:r>
        <w:rPr>
          <w:rStyle w:val="FootnoteReference"/>
        </w:rPr>
        <w:footnoteReference w:id="91"/>
      </w:r>
      <w:r w:rsidRPr="0080239C">
        <w:t xml:space="preserve"> We have not developed this scheme. </w:t>
      </w:r>
      <w:r>
        <w:t>In addition, t</w:t>
      </w:r>
      <w:r w:rsidRPr="00D241E5">
        <w:t xml:space="preserve">he transitional rules specify </w:t>
      </w:r>
      <w:r>
        <w:t xml:space="preserve">that no small-scale incentive scheme applies to the NSW/ACT </w:t>
      </w:r>
      <w:r w:rsidR="000565BE">
        <w:t>DNSPs</w:t>
      </w:r>
      <w:r w:rsidR="000565BE" w:rsidRPr="00D241E5">
        <w:t xml:space="preserve"> </w:t>
      </w:r>
      <w:r w:rsidRPr="00D241E5">
        <w:t>for the transiti</w:t>
      </w:r>
      <w:r>
        <w:t>onal regulatory control period.</w:t>
      </w:r>
      <w:r>
        <w:rPr>
          <w:rStyle w:val="FootnoteReference"/>
        </w:rPr>
        <w:footnoteReference w:id="92"/>
      </w:r>
    </w:p>
    <w:p w:rsidR="009916C7" w:rsidRPr="0080239C" w:rsidRDefault="009916C7" w:rsidP="009916C7">
      <w:pPr>
        <w:pStyle w:val="AERbodytext"/>
        <w:numPr>
          <w:ilvl w:val="0"/>
          <w:numId w:val="6"/>
        </w:numPr>
      </w:pPr>
      <w:r w:rsidRPr="0080239C">
        <w:t>Our transitional</w:t>
      </w:r>
      <w:r>
        <w:t xml:space="preserve"> decision therefore is that no small-scale incentive scheme</w:t>
      </w:r>
      <w:r w:rsidRPr="0080239C">
        <w:t xml:space="preserve"> will apply in the transitional regulatory control period to NSW</w:t>
      </w:r>
      <w:r>
        <w:t xml:space="preserve">/ACT </w:t>
      </w:r>
      <w:r w:rsidR="000565BE">
        <w:t>DNSPs</w:t>
      </w:r>
      <w:r w:rsidRPr="0080239C">
        <w:t>.</w:t>
      </w:r>
    </w:p>
    <w:p w:rsidR="009916C7" w:rsidRDefault="00B15993" w:rsidP="003F0974">
      <w:pPr>
        <w:pStyle w:val="Heading2"/>
      </w:pPr>
      <w:bookmarkStart w:id="161" w:name="_Toc381368891"/>
      <w:bookmarkStart w:id="162" w:name="_Toc384716234"/>
      <w:bookmarkStart w:id="163" w:name="_Toc385326321"/>
      <w:bookmarkStart w:id="164" w:name="_Toc383436076"/>
      <w:bookmarkStart w:id="165" w:name="_Toc365283360"/>
      <w:bookmarkStart w:id="166" w:name="_Ref371935605"/>
      <w:bookmarkStart w:id="167" w:name="_Ref371937717"/>
      <w:bookmarkStart w:id="168" w:name="_Toc374450427"/>
      <w:bookmarkStart w:id="169" w:name="_Toc374450548"/>
      <w:bookmarkStart w:id="170" w:name="_Toc374451190"/>
      <w:r>
        <w:lastRenderedPageBreak/>
        <w:t>Dual function assets</w:t>
      </w:r>
      <w:bookmarkEnd w:id="161"/>
      <w:bookmarkEnd w:id="162"/>
      <w:bookmarkEnd w:id="163"/>
      <w:r w:rsidR="009916C7">
        <w:t xml:space="preserve"> </w:t>
      </w:r>
      <w:bookmarkEnd w:id="164"/>
    </w:p>
    <w:p w:rsidR="00B15993" w:rsidRPr="00B15993" w:rsidRDefault="00B15993" w:rsidP="00B15993">
      <w:pPr>
        <w:pStyle w:val="AERbodytext"/>
        <w:numPr>
          <w:ilvl w:val="0"/>
          <w:numId w:val="6"/>
        </w:numPr>
      </w:pPr>
      <w:bookmarkStart w:id="171" w:name="_Toc381368892"/>
      <w:r w:rsidRPr="00B15993">
        <w:t xml:space="preserve">Our determination for the transitional regulatory period must set out whether we approve or refuse to approve a pricing methodology for transmission standard control services provided by the distributors with their dual function assets. </w:t>
      </w:r>
    </w:p>
    <w:p w:rsidR="00B15993" w:rsidRPr="00B15993" w:rsidRDefault="00B15993" w:rsidP="00B15993">
      <w:pPr>
        <w:pStyle w:val="AERbodytext"/>
        <w:numPr>
          <w:ilvl w:val="0"/>
          <w:numId w:val="6"/>
        </w:numPr>
      </w:pPr>
      <w:r w:rsidRPr="00B15993">
        <w:t>Dual function assets are high voltage transmission assets forming part of a distribution network. TNSPs usually operate such assets. We must set prices for use of dual function assets under either transmission (chapter 6A</w:t>
      </w:r>
      <w:r w:rsidR="00096D68">
        <w:t xml:space="preserve"> of the </w:t>
      </w:r>
      <w:r w:rsidR="008C5F10">
        <w:t>NER</w:t>
      </w:r>
      <w:r w:rsidRPr="00B15993">
        <w:t>) or distribution (chapter 6</w:t>
      </w:r>
      <w:r w:rsidR="00096D68">
        <w:t xml:space="preserve"> of the </w:t>
      </w:r>
      <w:r w:rsidR="008C5F10">
        <w:t>NER</w:t>
      </w:r>
      <w:r w:rsidRPr="00B15993">
        <w:t xml:space="preserve">) pricing rules. In the transitional regulatory period, transmission pricing rules apply to dual function assets operated by Ausgrid and ActewAGL. </w:t>
      </w:r>
    </w:p>
    <w:p w:rsidR="00B15993" w:rsidRPr="00B15993" w:rsidRDefault="00B15993" w:rsidP="00B15993">
      <w:pPr>
        <w:pStyle w:val="AERbodytext"/>
        <w:numPr>
          <w:ilvl w:val="0"/>
          <w:numId w:val="6"/>
        </w:numPr>
      </w:pPr>
      <w:r w:rsidRPr="00B15993">
        <w:t>For Ausgrid, the transitional rules state that the current application of transmission pricing to its dual function assets will continue for the transitional regulatory period.</w:t>
      </w:r>
      <w:r w:rsidR="006D3EB6">
        <w:t xml:space="preserve"> </w:t>
      </w:r>
      <w:r w:rsidRPr="00B15993">
        <w:t xml:space="preserve">For ActewAGL, whose dual function assets are new, we set out our decision to apply transmission pricing rules in the transitional regulatory period in our Stage 2 Framework and </w:t>
      </w:r>
      <w:r w:rsidR="008C5F10">
        <w:t>A</w:t>
      </w:r>
      <w:r w:rsidRPr="00B15993">
        <w:t>pproach.</w:t>
      </w:r>
      <w:r w:rsidR="006D3EB6">
        <w:rPr>
          <w:rStyle w:val="FootnoteReference"/>
        </w:rPr>
        <w:footnoteReference w:id="93"/>
      </w:r>
      <w:r w:rsidRPr="00B15993">
        <w:t xml:space="preserve"> Endeavour Energy operates dual function assets but transmission pricing does not apply.</w:t>
      </w:r>
      <w:r>
        <w:rPr>
          <w:rStyle w:val="FootnoteReference"/>
        </w:rPr>
        <w:footnoteReference w:id="94"/>
      </w:r>
      <w:r w:rsidRPr="00B15993">
        <w:t xml:space="preserve"> Essential Energy does not operate dual function assets.</w:t>
      </w:r>
      <w:r w:rsidR="006D3EB6">
        <w:rPr>
          <w:rStyle w:val="FootnoteReference"/>
        </w:rPr>
        <w:footnoteReference w:id="95"/>
      </w:r>
      <w:r w:rsidRPr="00B15993">
        <w:t xml:space="preserve"> </w:t>
      </w:r>
    </w:p>
    <w:p w:rsidR="006F5E62" w:rsidRDefault="00B15993" w:rsidP="00B15993">
      <w:pPr>
        <w:pStyle w:val="AERbodytext"/>
        <w:numPr>
          <w:ilvl w:val="0"/>
          <w:numId w:val="6"/>
        </w:numPr>
      </w:pPr>
      <w:r w:rsidRPr="00B15993">
        <w:t xml:space="preserve">The </w:t>
      </w:r>
      <w:r w:rsidR="006F5E62">
        <w:t>rules</w:t>
      </w:r>
      <w:r w:rsidRPr="00B15993">
        <w:t xml:space="preserve"> state that services </w:t>
      </w:r>
      <w:r w:rsidR="00B64E9D">
        <w:t>provided with</w:t>
      </w:r>
      <w:r w:rsidRPr="00B15993">
        <w:t xml:space="preserve"> dual function assets, that if provided by a TNSP would be prescribed transmission services, are deemed to be standard control services</w:t>
      </w:r>
      <w:r w:rsidR="00B64E9D">
        <w:t>. These services are</w:t>
      </w:r>
      <w:r w:rsidRPr="00B15993">
        <w:t xml:space="preserve"> referred to as ‘transmission standard control services’. For Ausgrid, the transitional rules state that we must approve for the transitional regulatory period the same pricing methodology we have previously approved for the current regulatory period.</w:t>
      </w:r>
      <w:r w:rsidR="00B64E9D">
        <w:rPr>
          <w:rStyle w:val="FootnoteReference"/>
        </w:rPr>
        <w:footnoteReference w:id="96"/>
      </w:r>
      <w:r w:rsidRPr="00B15993">
        <w:t xml:space="preserve"> </w:t>
      </w:r>
    </w:p>
    <w:p w:rsidR="00B15993" w:rsidRPr="00B15993" w:rsidRDefault="00B15993" w:rsidP="00B15993">
      <w:pPr>
        <w:pStyle w:val="AERbodytext"/>
        <w:numPr>
          <w:ilvl w:val="0"/>
          <w:numId w:val="6"/>
        </w:numPr>
      </w:pPr>
      <w:r w:rsidRPr="00B15993">
        <w:t>Because ActewAGL does not have a current pricing methodology, it was required to submit one to us with its transitional regulatory proposal.</w:t>
      </w:r>
      <w:r w:rsidR="00BE637B">
        <w:rPr>
          <w:rStyle w:val="FootnoteReference"/>
        </w:rPr>
        <w:footnoteReference w:id="97"/>
      </w:r>
      <w:r w:rsidRPr="00B15993">
        <w:t xml:space="preserve"> We must set out in our determination whether we approve or refuse to approve ActewAGL’s pricing methodology and reasons for our decision.</w:t>
      </w:r>
      <w:r w:rsidR="0044442E">
        <w:rPr>
          <w:rStyle w:val="FootnoteReference"/>
        </w:rPr>
        <w:footnoteReference w:id="98"/>
      </w:r>
      <w:r w:rsidR="0044442E">
        <w:t xml:space="preserve"> </w:t>
      </w:r>
      <w:r w:rsidRPr="00B15993">
        <w:t xml:space="preserve">If we refuse to approve ActewAGL’s proposed pricing methodology, we must include in our determination the proposed pricing methodology with </w:t>
      </w:r>
      <w:r w:rsidR="006F5E62">
        <w:t>any</w:t>
      </w:r>
      <w:r w:rsidR="00F20601">
        <w:t xml:space="preserve"> </w:t>
      </w:r>
      <w:r w:rsidRPr="00B15993">
        <w:t>amendments necessary for us to approve it.</w:t>
      </w:r>
      <w:r w:rsidR="005261F5">
        <w:rPr>
          <w:rStyle w:val="FootnoteReference"/>
        </w:rPr>
        <w:footnoteReference w:id="99"/>
      </w:r>
      <w:r w:rsidRPr="00B15993">
        <w:t> </w:t>
      </w:r>
    </w:p>
    <w:p w:rsidR="00B15993" w:rsidRPr="00B15993" w:rsidRDefault="00B15993" w:rsidP="00B15993">
      <w:pPr>
        <w:pStyle w:val="AERbodytext"/>
        <w:numPr>
          <w:ilvl w:val="0"/>
          <w:numId w:val="6"/>
        </w:numPr>
      </w:pPr>
      <w:r w:rsidRPr="00B15993">
        <w:t xml:space="preserve">For Ausgrid, consistent with section 11.56.3(12) of the </w:t>
      </w:r>
      <w:r w:rsidR="001F645F">
        <w:t>rules</w:t>
      </w:r>
      <w:r w:rsidRPr="00B15993">
        <w:t>, we approve for the transitional regulatory period the same pricing methodology we approved for the current period.</w:t>
      </w:r>
      <w:r w:rsidR="00F20601">
        <w:rPr>
          <w:rStyle w:val="FootnoteReference"/>
        </w:rPr>
        <w:footnoteReference w:id="100"/>
      </w:r>
    </w:p>
    <w:p w:rsidR="0089350E" w:rsidRPr="0089350E" w:rsidRDefault="00B15993" w:rsidP="0089350E">
      <w:r w:rsidRPr="00B15993">
        <w:t>For ActewAGL,</w:t>
      </w:r>
      <w:r w:rsidR="0089350E">
        <w:t xml:space="preserve"> we approve </w:t>
      </w:r>
      <w:r w:rsidRPr="00B15993">
        <w:t>the pricing methodology submitted by ActewAGL with its transitional regulatory proposal.</w:t>
      </w:r>
      <w:r w:rsidR="0089350E">
        <w:rPr>
          <w:rStyle w:val="FootnoteReference"/>
        </w:rPr>
        <w:footnoteReference w:id="101"/>
      </w:r>
      <w:r w:rsidRPr="00B15993">
        <w:t xml:space="preserve"> </w:t>
      </w:r>
      <w:r w:rsidR="0089350E">
        <w:t xml:space="preserve">ActewAGL's pricing methodology is </w:t>
      </w:r>
      <w:r w:rsidR="0089350E" w:rsidRPr="0089350E">
        <w:t>consistent with</w:t>
      </w:r>
      <w:r w:rsidR="0089350E">
        <w:t xml:space="preserve"> </w:t>
      </w:r>
      <w:r w:rsidR="0089350E" w:rsidRPr="0089350E">
        <w:t xml:space="preserve">the </w:t>
      </w:r>
      <w:r w:rsidR="0089350E">
        <w:t>p</w:t>
      </w:r>
      <w:r w:rsidR="0089350E" w:rsidRPr="0089350E">
        <w:t>ricing principles for prescribed transmission services</w:t>
      </w:r>
      <w:r w:rsidR="0089350E">
        <w:t xml:space="preserve"> and </w:t>
      </w:r>
      <w:r w:rsidR="0089350E" w:rsidRPr="0089350E">
        <w:t>the pricing methodology guidelines</w:t>
      </w:r>
      <w:r w:rsidR="0089350E">
        <w:t xml:space="preserve">, as required </w:t>
      </w:r>
      <w:r w:rsidR="001F645F">
        <w:t>by</w:t>
      </w:r>
      <w:r w:rsidR="0089350E">
        <w:t xml:space="preserve"> </w:t>
      </w:r>
      <w:r w:rsidR="001F645F">
        <w:t>c</w:t>
      </w:r>
      <w:r w:rsidR="0089350E">
        <w:t>lause</w:t>
      </w:r>
      <w:r w:rsidR="0089350E" w:rsidRPr="0089350E">
        <w:t xml:space="preserve"> 6A12.3(e)</w:t>
      </w:r>
      <w:r w:rsidR="0089350E">
        <w:t xml:space="preserve"> of the </w:t>
      </w:r>
      <w:r w:rsidR="001F645F">
        <w:t>r</w:t>
      </w:r>
      <w:r w:rsidR="0089350E">
        <w:t>ules</w:t>
      </w:r>
      <w:r w:rsidR="0089350E" w:rsidRPr="0089350E">
        <w:t>.</w:t>
      </w:r>
    </w:p>
    <w:p w:rsidR="00E136DF" w:rsidRDefault="00E136DF" w:rsidP="003F0974">
      <w:pPr>
        <w:pStyle w:val="Heading2"/>
      </w:pPr>
      <w:bookmarkStart w:id="172" w:name="_Toc384716235"/>
      <w:bookmarkStart w:id="173" w:name="_Toc385326322"/>
      <w:r>
        <w:t>Classification of services</w:t>
      </w:r>
      <w:bookmarkEnd w:id="172"/>
      <w:bookmarkEnd w:id="173"/>
    </w:p>
    <w:p w:rsidR="009B5569" w:rsidRDefault="00B063C7" w:rsidP="00B15993">
      <w:r>
        <w:t>The NER requires us to</w:t>
      </w:r>
      <w:r w:rsidR="00E136DF">
        <w:t xml:space="preserve"> specify the same classification of distribution services as that which was decided for the current regulatory control period of the affected DNSP</w:t>
      </w:r>
      <w:r w:rsidR="00664681">
        <w:t xml:space="preserve">, except to the extent that the </w:t>
      </w:r>
      <w:r w:rsidR="000E4155">
        <w:t>S</w:t>
      </w:r>
      <w:r w:rsidR="00664681">
        <w:t xml:space="preserve">tage 1 </w:t>
      </w:r>
      <w:r w:rsidR="000E4155">
        <w:t>framework and approach</w:t>
      </w:r>
      <w:r w:rsidR="007331B6">
        <w:t xml:space="preserve"> </w:t>
      </w:r>
      <w:r w:rsidR="00664681">
        <w:t xml:space="preserve">paper </w:t>
      </w:r>
      <w:r w:rsidR="000273BF">
        <w:t xml:space="preserve">has </w:t>
      </w:r>
      <w:r w:rsidR="00664681">
        <w:t>provided otherwise.</w:t>
      </w:r>
      <w:r w:rsidR="000273BF">
        <w:t xml:space="preserve">  Where a classification of a </w:t>
      </w:r>
      <w:r w:rsidR="000273BF">
        <w:lastRenderedPageBreak/>
        <w:t>distribution service has been s</w:t>
      </w:r>
      <w:r w:rsidR="00B876E6">
        <w:t>upplemented or modified in the S</w:t>
      </w:r>
      <w:r w:rsidR="000273BF">
        <w:t xml:space="preserve">tage 1 </w:t>
      </w:r>
      <w:r w:rsidR="00B876E6">
        <w:t xml:space="preserve">framework and approach </w:t>
      </w:r>
      <w:r w:rsidR="00032BEE">
        <w:t>paper, which</w:t>
      </w:r>
      <w:r>
        <w:t xml:space="preserve"> supplemented or modified</w:t>
      </w:r>
      <w:r w:rsidR="000273BF">
        <w:t xml:space="preserve"> classification applies in the transitional regulatory control period. </w:t>
      </w:r>
    </w:p>
    <w:p w:rsidR="009916C7" w:rsidRDefault="005F23EF" w:rsidP="00B15993">
      <w:r>
        <w:t>T</w:t>
      </w:r>
      <w:r w:rsidR="009B5569">
        <w:t xml:space="preserve">he </w:t>
      </w:r>
      <w:r w:rsidR="00E05D13">
        <w:t xml:space="preserve">placeholder </w:t>
      </w:r>
      <w:r w:rsidR="00032BEE">
        <w:t>d</w:t>
      </w:r>
      <w:r w:rsidR="009B5569">
        <w:t>eterminations for Ausgrid, Essential Energy, Endeav</w:t>
      </w:r>
      <w:r w:rsidR="00032BEE">
        <w:t>our Energy and ActewAGL provide</w:t>
      </w:r>
      <w:r w:rsidR="009B5569">
        <w:t xml:space="preserve"> a list of the classific</w:t>
      </w:r>
      <w:r>
        <w:t xml:space="preserve">ation of distribution services for the </w:t>
      </w:r>
      <w:r w:rsidR="00A00775">
        <w:t>transitional</w:t>
      </w:r>
      <w:r>
        <w:t xml:space="preserve"> </w:t>
      </w:r>
      <w:r w:rsidR="009B5569">
        <w:t xml:space="preserve">regulatory control period. </w:t>
      </w:r>
    </w:p>
    <w:p w:rsidR="00F87556" w:rsidRDefault="00F87556" w:rsidP="003F0974">
      <w:pPr>
        <w:pStyle w:val="Heading3"/>
      </w:pPr>
      <w:bookmarkStart w:id="174" w:name="_Toc384716236"/>
      <w:bookmarkStart w:id="175" w:name="_Toc383436078"/>
      <w:r>
        <w:t>Standard control services</w:t>
      </w:r>
      <w:bookmarkEnd w:id="174"/>
    </w:p>
    <w:p w:rsidR="00F87556" w:rsidRDefault="00F87556" w:rsidP="00B876E6">
      <w:pPr>
        <w:pStyle w:val="AERbodytext"/>
      </w:pPr>
      <w:r>
        <w:t>Under the NER, we are required to specify the same control mechanisms for standard control services as those which were decided for the determination for the current regulatory control pe</w:t>
      </w:r>
      <w:r w:rsidR="00B876E6">
        <w:t>riod, except to the extent the S</w:t>
      </w:r>
      <w:r>
        <w:t xml:space="preserve">tage 1 </w:t>
      </w:r>
      <w:r w:rsidR="00B876E6" w:rsidRPr="00B876E6">
        <w:t>framework and approach paper</w:t>
      </w:r>
      <w:r>
        <w:t xml:space="preserve"> provides otherwise.</w:t>
      </w:r>
    </w:p>
    <w:p w:rsidR="00F87556" w:rsidRDefault="00F87556" w:rsidP="00B15993">
      <w:pPr>
        <w:pStyle w:val="AERbodytext"/>
      </w:pPr>
      <w:r>
        <w:t>For ActewAGL, the same control mechanisms for standard control services as those which were decided for the determination for the current regulatory control period, continue to apply.</w:t>
      </w:r>
    </w:p>
    <w:p w:rsidR="00F15383" w:rsidRDefault="00F87556" w:rsidP="00B876E6">
      <w:pPr>
        <w:pStyle w:val="AERbodytext"/>
      </w:pPr>
      <w:r>
        <w:t xml:space="preserve">For NSW DNSPs, the </w:t>
      </w:r>
      <w:r w:rsidR="00B876E6">
        <w:t>S</w:t>
      </w:r>
      <w:r>
        <w:t xml:space="preserve">tage 1 </w:t>
      </w:r>
      <w:r w:rsidR="00B876E6" w:rsidRPr="00B876E6">
        <w:t>framework and approach paper</w:t>
      </w:r>
      <w:r w:rsidR="00032BEE">
        <w:t xml:space="preserve"> </w:t>
      </w:r>
      <w:r>
        <w:t xml:space="preserve">provided that different control mechanisms for standard control services would apply in the transitional regulatory control period.  </w:t>
      </w:r>
      <w:r w:rsidR="009378D5">
        <w:t>T</w:t>
      </w:r>
      <w:r>
        <w:t xml:space="preserve">he control mechanisms to apply to NSW DNSPs for standard control services are therefore the control mechanisms set out in the </w:t>
      </w:r>
      <w:r w:rsidR="00B876E6">
        <w:t>S</w:t>
      </w:r>
      <w:r>
        <w:t>tage 1</w:t>
      </w:r>
      <w:r w:rsidR="007331B6">
        <w:t xml:space="preserve"> </w:t>
      </w:r>
      <w:r w:rsidR="00B876E6" w:rsidRPr="00B876E6">
        <w:t>framework and approach paper</w:t>
      </w:r>
      <w:r>
        <w:t>.</w:t>
      </w:r>
    </w:p>
    <w:p w:rsidR="00F12C6B" w:rsidRDefault="00830076" w:rsidP="00B876E6">
      <w:pPr>
        <w:pStyle w:val="AERbodytext"/>
      </w:pPr>
      <w:r w:rsidRPr="00830076">
        <w:t>The formulae that gives effect to this control me</w:t>
      </w:r>
      <w:r w:rsidR="00B876E6">
        <w:t>chanism is also set out in the S</w:t>
      </w:r>
      <w:r w:rsidRPr="00830076">
        <w:t xml:space="preserve">tage 1 </w:t>
      </w:r>
      <w:r w:rsidR="00B876E6" w:rsidRPr="00B876E6">
        <w:t>framework and approach paper</w:t>
      </w:r>
      <w:r w:rsidRPr="00830076">
        <w:t>. In accordance with clause 11.56.3(5) and (7) the control mechanism has been specified in each of the NSW DNSPs</w:t>
      </w:r>
      <w:r>
        <w:t>’</w:t>
      </w:r>
      <w:r w:rsidRPr="00830076">
        <w:t xml:space="preserve"> </w:t>
      </w:r>
      <w:r w:rsidR="00E434B5">
        <w:t xml:space="preserve">placeholder </w:t>
      </w:r>
      <w:r w:rsidRPr="00830076">
        <w:t>determinations. The control mechanism formulae will apply throughout both the transitional regulatory control peri</w:t>
      </w:r>
      <w:r>
        <w:t xml:space="preserve">od </w:t>
      </w:r>
      <w:r w:rsidRPr="00830076">
        <w:t>and the subsequent regulatory control period. This ensures that the new revenue cap control mechanism can be implemented consistently across the five years of the combined regulatory control periods. The revenue cap formulae allows for adjustments to be made in future years to take account of specific matters that have arisen in previous years.</w:t>
      </w:r>
      <w:r w:rsidR="00E434B5" w:rsidRPr="00E434B5">
        <w:t xml:space="preserve"> In the transitional year, the revenue</w:t>
      </w:r>
      <w:r w:rsidR="00E434B5">
        <w:t>s</w:t>
      </w:r>
      <w:r w:rsidR="00E434B5" w:rsidRPr="00E434B5">
        <w:t xml:space="preserve"> that DNSPs are entitled to recover from providing standard control services to users is limited to the annual revenue requirement we have approved in </w:t>
      </w:r>
      <w:r w:rsidR="00E434B5">
        <w:t>the placeholder</w:t>
      </w:r>
      <w:r w:rsidR="00E434B5" w:rsidRPr="00E434B5">
        <w:t xml:space="preserve"> determination</w:t>
      </w:r>
      <w:r w:rsidR="00E434B5">
        <w:t>s</w:t>
      </w:r>
      <w:r w:rsidR="00E434B5" w:rsidRPr="00E434B5">
        <w:t>.</w:t>
      </w:r>
      <w:r w:rsidR="00754DF5">
        <w:t xml:space="preserve"> </w:t>
      </w:r>
    </w:p>
    <w:p w:rsidR="009916C7" w:rsidRDefault="009916C7" w:rsidP="003F0974">
      <w:pPr>
        <w:pStyle w:val="Heading3"/>
      </w:pPr>
      <w:bookmarkStart w:id="176" w:name="_Ref384118047"/>
      <w:bookmarkStart w:id="177" w:name="_Ref384119247"/>
      <w:bookmarkStart w:id="178" w:name="_Toc384716237"/>
      <w:r>
        <w:t>Alternative control services</w:t>
      </w:r>
      <w:bookmarkEnd w:id="175"/>
      <w:bookmarkEnd w:id="176"/>
      <w:bookmarkEnd w:id="177"/>
      <w:bookmarkEnd w:id="178"/>
    </w:p>
    <w:p w:rsidR="009916C7" w:rsidRPr="00726802" w:rsidRDefault="009916C7" w:rsidP="009916C7">
      <w:r w:rsidRPr="00726802">
        <w:t xml:space="preserve">Alternative control services are regulated </w:t>
      </w:r>
      <w:r w:rsidR="000273BF">
        <w:t xml:space="preserve">distribution </w:t>
      </w:r>
      <w:r w:rsidRPr="00726802">
        <w:t xml:space="preserve">services other than standard control services. They are </w:t>
      </w:r>
      <w:r w:rsidR="00E136DF">
        <w:t xml:space="preserve">usually </w:t>
      </w:r>
      <w:r w:rsidRPr="00726802">
        <w:t xml:space="preserve">customer specific or customer requested services charged on a ‘user pays’ principle. </w:t>
      </w:r>
      <w:r w:rsidR="00754DF5">
        <w:t>Alternative control services include, but</w:t>
      </w:r>
      <w:r w:rsidR="002C7E6A">
        <w:t xml:space="preserve"> are </w:t>
      </w:r>
      <w:r w:rsidR="00754DF5">
        <w:t>is not limited to, public lighting and ancillary network services.</w:t>
      </w:r>
    </w:p>
    <w:p w:rsidR="0056277C" w:rsidRDefault="0056277C" w:rsidP="009916C7">
      <w:r>
        <w:t xml:space="preserve">Under the NER, we are required to specify the same control mechanisms for alternative control services as those which were decided for the determination for the current regulatory control period, except to the extent the </w:t>
      </w:r>
      <w:r w:rsidR="00B876E6">
        <w:t>S</w:t>
      </w:r>
      <w:r>
        <w:t xml:space="preserve">tage 1 </w:t>
      </w:r>
      <w:r w:rsidR="00B876E6" w:rsidRPr="00B876E6">
        <w:t>framework and approach paper</w:t>
      </w:r>
      <w:r w:rsidR="00B876E6">
        <w:t xml:space="preserve"> </w:t>
      </w:r>
      <w:r>
        <w:t>provides otherwise.</w:t>
      </w:r>
    </w:p>
    <w:p w:rsidR="009916C7" w:rsidRPr="00726802" w:rsidRDefault="009916C7" w:rsidP="009916C7">
      <w:r w:rsidRPr="00726802">
        <w:t xml:space="preserve">As set out in the </w:t>
      </w:r>
      <w:r w:rsidR="00B876E6">
        <w:t>S</w:t>
      </w:r>
      <w:r w:rsidRPr="00726802">
        <w:t xml:space="preserve">tage 1 </w:t>
      </w:r>
      <w:r w:rsidR="00B876E6" w:rsidRPr="00B876E6">
        <w:t>framework and approach paper</w:t>
      </w:r>
      <w:r w:rsidRPr="00726802">
        <w:t xml:space="preserve">, the form of control mechanism for alternative control services </w:t>
      </w:r>
      <w:r>
        <w:t>are</w:t>
      </w:r>
      <w:r w:rsidRPr="00726802">
        <w:t xml:space="preserve"> price caps for individual services. This is the same control mechanism </w:t>
      </w:r>
      <w:r>
        <w:t xml:space="preserve">as </w:t>
      </w:r>
      <w:r w:rsidR="00032BEE">
        <w:t>used in the 2009–</w:t>
      </w:r>
      <w:r w:rsidRPr="00726802">
        <w:t xml:space="preserve">14 regulatory control period. </w:t>
      </w:r>
    </w:p>
    <w:p w:rsidR="009916C7" w:rsidRPr="00726802" w:rsidRDefault="00A90D3E" w:rsidP="009916C7">
      <w:r>
        <w:lastRenderedPageBreak/>
        <w:t xml:space="preserve">Where </w:t>
      </w:r>
      <w:r w:rsidR="009916C7" w:rsidRPr="00726802">
        <w:t>service</w:t>
      </w:r>
      <w:r>
        <w:t>s</w:t>
      </w:r>
      <w:r w:rsidR="009916C7" w:rsidRPr="00726802">
        <w:t xml:space="preserve"> </w:t>
      </w:r>
      <w:r w:rsidR="000273BF">
        <w:t xml:space="preserve">(however classified) </w:t>
      </w:r>
      <w:r>
        <w:t xml:space="preserve">had </w:t>
      </w:r>
      <w:r w:rsidR="009916C7" w:rsidRPr="00726802">
        <w:t xml:space="preserve">prices in the </w:t>
      </w:r>
      <w:r>
        <w:t>current regulatory control period</w:t>
      </w:r>
      <w:r w:rsidR="000273BF">
        <w:t>,</w:t>
      </w:r>
      <w:r>
        <w:t xml:space="preserve"> and </w:t>
      </w:r>
      <w:r w:rsidR="000273BF">
        <w:t xml:space="preserve">they </w:t>
      </w:r>
      <w:r>
        <w:t xml:space="preserve">are classified as alternative control services </w:t>
      </w:r>
      <w:r w:rsidR="000273BF">
        <w:t>for</w:t>
      </w:r>
      <w:r>
        <w:t xml:space="preserve"> the transitional regulatory control period, the </w:t>
      </w:r>
      <w:r w:rsidR="009916C7" w:rsidRPr="00726802">
        <w:t xml:space="preserve">prices </w:t>
      </w:r>
      <w:r>
        <w:t xml:space="preserve">must be </w:t>
      </w:r>
      <w:r w:rsidR="009916C7" w:rsidRPr="00726802">
        <w:t>escalated by CPI</w:t>
      </w:r>
      <w:r>
        <w:t xml:space="preserve"> in the transitional regulatory control period</w:t>
      </w:r>
      <w:r w:rsidR="009916C7" w:rsidRPr="00726802">
        <w:t>.</w:t>
      </w:r>
      <w:r w:rsidR="009916C7" w:rsidRPr="00726802">
        <w:rPr>
          <w:rStyle w:val="FootnoteReference"/>
        </w:rPr>
        <w:footnoteReference w:id="102"/>
      </w:r>
      <w:r w:rsidR="009916C7" w:rsidRPr="00726802">
        <w:t xml:space="preserve"> </w:t>
      </w:r>
    </w:p>
    <w:p w:rsidR="00A90D3E" w:rsidRPr="00726802" w:rsidRDefault="00237716" w:rsidP="00A90D3E">
      <w:r>
        <w:t>The DNSPs</w:t>
      </w:r>
      <w:r w:rsidR="00A90D3E" w:rsidRPr="00726802">
        <w:t xml:space="preserve"> have proposed to escalate 2013</w:t>
      </w:r>
      <w:r w:rsidR="00032BEE">
        <w:t>–</w:t>
      </w:r>
      <w:r w:rsidR="00A90D3E" w:rsidRPr="00726802">
        <w:t>14 service prices by an expected inflation rate of 2.5</w:t>
      </w:r>
      <w:r>
        <w:t> </w:t>
      </w:r>
      <w:r w:rsidR="00A90D3E">
        <w:t>per</w:t>
      </w:r>
      <w:r>
        <w:t> </w:t>
      </w:r>
      <w:r w:rsidR="00A90D3E">
        <w:t>cent</w:t>
      </w:r>
      <w:r w:rsidR="00A90D3E" w:rsidRPr="00726802">
        <w:t xml:space="preserve">. </w:t>
      </w:r>
      <w:r w:rsidR="00A90D3E">
        <w:t>This is compliant with the rules.</w:t>
      </w:r>
      <w:r w:rsidR="000273BF" w:rsidRPr="000273BF">
        <w:t xml:space="preserve"> </w:t>
      </w:r>
      <w:r w:rsidR="000273BF" w:rsidRPr="00726802">
        <w:t xml:space="preserve">We approve alternative control service prices provided in the transitional regulatory proposals by the </w:t>
      </w:r>
      <w:r w:rsidR="000565BE">
        <w:t>NSW/ACT DNSPs</w:t>
      </w:r>
      <w:r w:rsidR="000273BF">
        <w:t xml:space="preserve"> where these prices have been escalated by CPI</w:t>
      </w:r>
      <w:r w:rsidR="000273BF" w:rsidRPr="00726802">
        <w:t>.</w:t>
      </w:r>
    </w:p>
    <w:p w:rsidR="009916C7" w:rsidRPr="00726802" w:rsidRDefault="009916C7" w:rsidP="009916C7">
      <w:r w:rsidRPr="00726802">
        <w:t xml:space="preserve">Some alternative control services do not have individual prices. This is the case if it is a new service </w:t>
      </w:r>
      <w:r w:rsidR="000273BF">
        <w:t xml:space="preserve">or a service that was previously part of a bundled service </w:t>
      </w:r>
      <w:r w:rsidR="00A90D3E">
        <w:t>for which no separate price is currently charged</w:t>
      </w:r>
      <w:r w:rsidR="00032BEE">
        <w:t xml:space="preserve"> (such is the case with types 5–</w:t>
      </w:r>
      <w:r w:rsidRPr="00726802">
        <w:t xml:space="preserve">6 metering). </w:t>
      </w:r>
    </w:p>
    <w:p w:rsidR="00DE5727" w:rsidRDefault="00652BCE" w:rsidP="00DE5727">
      <w:pPr>
        <w:pStyle w:val="AERbodytext"/>
      </w:pPr>
      <w:r>
        <w:t xml:space="preserve">For alternative control services that currently do not have an individual price, we accept the approaches to pricing proposed by each of the </w:t>
      </w:r>
      <w:r w:rsidR="000565BE">
        <w:t>NSW/ACT DNSPs</w:t>
      </w:r>
      <w:r w:rsidR="00DE5727">
        <w:t>.</w:t>
      </w:r>
    </w:p>
    <w:p w:rsidR="00754DF5" w:rsidRPr="00754DF5" w:rsidRDefault="00754DF5" w:rsidP="00754DF5">
      <w:pPr>
        <w:pStyle w:val="AERbodytext"/>
        <w:numPr>
          <w:ilvl w:val="0"/>
          <w:numId w:val="6"/>
        </w:numPr>
      </w:pPr>
      <w:r w:rsidRPr="00754DF5">
        <w:t xml:space="preserve">Compliance with the control mechanisms for </w:t>
      </w:r>
      <w:r>
        <w:t xml:space="preserve">alternative </w:t>
      </w:r>
      <w:r w:rsidR="00032BEE">
        <w:t xml:space="preserve">control services for the </w:t>
      </w:r>
      <w:r w:rsidR="00A00775">
        <w:t>transitional</w:t>
      </w:r>
      <w:r w:rsidRPr="00754DF5">
        <w:t xml:space="preserve"> regulatory control period will be the same as for the 2009</w:t>
      </w:r>
      <w:r w:rsidR="00032BEE">
        <w:t>–</w:t>
      </w:r>
      <w:r w:rsidRPr="00754DF5">
        <w:t xml:space="preserve">14 regulatory control period for all DNSPs. </w:t>
      </w:r>
    </w:p>
    <w:p w:rsidR="009916C7" w:rsidRDefault="009916C7" w:rsidP="003F0974">
      <w:pPr>
        <w:pStyle w:val="Heading2"/>
      </w:pPr>
      <w:bookmarkStart w:id="179" w:name="_Toc381368894"/>
      <w:bookmarkStart w:id="180" w:name="_Toc383436080"/>
      <w:bookmarkStart w:id="181" w:name="_Toc384716238"/>
      <w:bookmarkStart w:id="182" w:name="_Toc385326323"/>
      <w:bookmarkEnd w:id="165"/>
      <w:bookmarkEnd w:id="166"/>
      <w:bookmarkEnd w:id="167"/>
      <w:bookmarkEnd w:id="168"/>
      <w:bookmarkEnd w:id="169"/>
      <w:bookmarkEnd w:id="170"/>
      <w:bookmarkEnd w:id="171"/>
      <w:r>
        <w:t>Cost pass throughs</w:t>
      </w:r>
      <w:bookmarkEnd w:id="179"/>
      <w:bookmarkEnd w:id="180"/>
      <w:bookmarkEnd w:id="181"/>
      <w:bookmarkEnd w:id="182"/>
    </w:p>
    <w:p w:rsidR="009916C7" w:rsidRDefault="009916C7" w:rsidP="009916C7">
      <w:pPr>
        <w:pStyle w:val="AERbodytext"/>
        <w:numPr>
          <w:ilvl w:val="0"/>
          <w:numId w:val="6"/>
        </w:numPr>
      </w:pPr>
      <w:r w:rsidRPr="006A4C2B">
        <w:t xml:space="preserve">The pass through mechanism of the NER recognises </w:t>
      </w:r>
      <w:r>
        <w:t xml:space="preserve">that </w:t>
      </w:r>
      <w:r w:rsidRPr="006A4C2B">
        <w:t xml:space="preserve">a </w:t>
      </w:r>
      <w:r w:rsidR="000565BE">
        <w:t>DNSP</w:t>
      </w:r>
      <w:r w:rsidRPr="006A4C2B">
        <w:t xml:space="preserve"> can be exposed to risks beyond its control, which may have a material impact on its costs. A cost pass through enables a business to recover (or pass through) the costs of defined unpredictable, high cost events that are not built into the </w:t>
      </w:r>
      <w:r>
        <w:t>placeholder</w:t>
      </w:r>
      <w:r w:rsidRPr="006A4C2B">
        <w:t xml:space="preserve"> determination. </w:t>
      </w:r>
      <w:r w:rsidR="00D937F1">
        <w:t>A number of pass through events are set out expressly in the NER.</w:t>
      </w:r>
    </w:p>
    <w:p w:rsidR="000B1270" w:rsidRDefault="000B1270" w:rsidP="00B15993">
      <w:pPr>
        <w:pStyle w:val="AERbodytext"/>
        <w:numPr>
          <w:ilvl w:val="0"/>
          <w:numId w:val="0"/>
        </w:numPr>
      </w:pPr>
      <w:r>
        <w:t>The additional pass through events that are to apply for the transitional regulatory control period are</w:t>
      </w:r>
      <w:r w:rsidR="00897BBB">
        <w:t xml:space="preserve"> set out in transitional rules.</w:t>
      </w:r>
      <w:r w:rsidR="00897BBB">
        <w:rPr>
          <w:rStyle w:val="FootnoteReference"/>
        </w:rPr>
        <w:footnoteReference w:id="103"/>
      </w:r>
      <w:r w:rsidR="00897BBB">
        <w:t xml:space="preserve"> They are</w:t>
      </w:r>
      <w:r w:rsidR="003F21CB">
        <w:t xml:space="preserve"> </w:t>
      </w:r>
      <w:r w:rsidR="003F21CB" w:rsidRPr="003F21CB">
        <w:t>the same additional pass through events that were decided in the distribution determination for the current regulatory control period</w:t>
      </w:r>
      <w:r w:rsidR="003F21CB">
        <w:t>, specifically</w:t>
      </w:r>
      <w:r>
        <w:t>:</w:t>
      </w:r>
    </w:p>
    <w:p w:rsidR="006D263D" w:rsidRDefault="006D263D" w:rsidP="00C23850">
      <w:pPr>
        <w:pStyle w:val="AERbulletlistfirststyle"/>
      </w:pPr>
      <w:r>
        <w:t>For Ausgrid</w:t>
      </w:r>
      <w:r w:rsidR="003F21CB">
        <w:t>:</w:t>
      </w:r>
    </w:p>
    <w:p w:rsidR="006D263D" w:rsidRPr="006D263D" w:rsidRDefault="006D263D" w:rsidP="006D263D">
      <w:pPr>
        <w:pStyle w:val="AERbulletlistsecondstyle"/>
      </w:pPr>
      <w:r w:rsidRPr="006D263D">
        <w:t>retail project event</w:t>
      </w:r>
    </w:p>
    <w:p w:rsidR="006D263D" w:rsidRPr="006D263D" w:rsidRDefault="006D263D" w:rsidP="006D263D">
      <w:pPr>
        <w:pStyle w:val="AERbulletlistsecondstyle"/>
      </w:pPr>
      <w:r w:rsidRPr="006D263D">
        <w:t>smart meter event</w:t>
      </w:r>
    </w:p>
    <w:p w:rsidR="006D263D" w:rsidRPr="006D263D" w:rsidRDefault="006D263D" w:rsidP="006D263D">
      <w:pPr>
        <w:pStyle w:val="AERbulletlistsecondstyle"/>
      </w:pPr>
      <w:r w:rsidRPr="006D263D">
        <w:t>emissions trading scheme event</w:t>
      </w:r>
    </w:p>
    <w:p w:rsidR="006D263D" w:rsidRPr="006D263D" w:rsidRDefault="006D263D" w:rsidP="006D263D">
      <w:pPr>
        <w:pStyle w:val="AERbulletlistsecondstyle"/>
      </w:pPr>
      <w:r w:rsidRPr="006D263D">
        <w:t>general nominated pass through event</w:t>
      </w:r>
    </w:p>
    <w:p w:rsidR="006D263D" w:rsidRDefault="006D263D" w:rsidP="00C23850">
      <w:pPr>
        <w:pStyle w:val="AERbulletlistfirststyle"/>
      </w:pPr>
      <w:r>
        <w:t>For Endeavour Energy</w:t>
      </w:r>
      <w:r w:rsidR="003F21CB">
        <w:t>:</w:t>
      </w:r>
    </w:p>
    <w:p w:rsidR="006D263D" w:rsidRPr="006D263D" w:rsidRDefault="006D263D" w:rsidP="006D263D">
      <w:pPr>
        <w:pStyle w:val="AERbulletlistsecondstyle"/>
      </w:pPr>
      <w:r w:rsidRPr="006D263D">
        <w:t>retail project event</w:t>
      </w:r>
    </w:p>
    <w:p w:rsidR="006D263D" w:rsidRPr="006D263D" w:rsidRDefault="006D263D" w:rsidP="006D263D">
      <w:pPr>
        <w:pStyle w:val="AERbulletlistsecondstyle"/>
      </w:pPr>
      <w:r w:rsidRPr="006D263D">
        <w:t>smart meter event</w:t>
      </w:r>
    </w:p>
    <w:p w:rsidR="006D263D" w:rsidRPr="006D263D" w:rsidRDefault="006D263D" w:rsidP="006D263D">
      <w:pPr>
        <w:pStyle w:val="AERbulletlistsecondstyle"/>
      </w:pPr>
      <w:r w:rsidRPr="006D263D">
        <w:t>emissions trading scheme event</w:t>
      </w:r>
    </w:p>
    <w:p w:rsidR="006D263D" w:rsidRPr="006D263D" w:rsidRDefault="006D263D" w:rsidP="006D263D">
      <w:pPr>
        <w:pStyle w:val="AERbulletlistsecondstyle"/>
      </w:pPr>
      <w:r w:rsidRPr="006D263D">
        <w:t>general nominated pass through event</w:t>
      </w:r>
    </w:p>
    <w:p w:rsidR="006D263D" w:rsidRDefault="006D263D" w:rsidP="00C23850">
      <w:pPr>
        <w:pStyle w:val="AERbulletlistfirststyle"/>
      </w:pPr>
      <w:r>
        <w:t>For Essential Energy</w:t>
      </w:r>
      <w:r w:rsidR="003F21CB">
        <w:t>:</w:t>
      </w:r>
    </w:p>
    <w:p w:rsidR="006D263D" w:rsidRPr="006D263D" w:rsidRDefault="006D263D" w:rsidP="00451B70">
      <w:pPr>
        <w:pStyle w:val="AERbulletlistsecondstyle"/>
      </w:pPr>
      <w:r w:rsidRPr="006D263D">
        <w:lastRenderedPageBreak/>
        <w:t>retail project event</w:t>
      </w:r>
    </w:p>
    <w:p w:rsidR="006D263D" w:rsidRPr="006D263D" w:rsidRDefault="006D263D" w:rsidP="00451B70">
      <w:pPr>
        <w:pStyle w:val="AERbulletlistsecondstyle"/>
      </w:pPr>
      <w:r w:rsidRPr="006D263D">
        <w:t>smart meter event</w:t>
      </w:r>
    </w:p>
    <w:p w:rsidR="006D263D" w:rsidRPr="006D263D" w:rsidRDefault="006D263D" w:rsidP="00451B70">
      <w:pPr>
        <w:pStyle w:val="AERbulletlistsecondstyle"/>
      </w:pPr>
      <w:r w:rsidRPr="006D263D">
        <w:t>emissions trading scheme event</w:t>
      </w:r>
    </w:p>
    <w:p w:rsidR="006D263D" w:rsidRPr="006D263D" w:rsidRDefault="006D263D" w:rsidP="00451B70">
      <w:pPr>
        <w:pStyle w:val="AERbulletlistsecondstyle"/>
      </w:pPr>
      <w:r w:rsidRPr="006D263D">
        <w:t>aviation hazards event</w:t>
      </w:r>
    </w:p>
    <w:p w:rsidR="006D263D" w:rsidRDefault="006D263D" w:rsidP="00451B70">
      <w:pPr>
        <w:pStyle w:val="AERbulletlistsecondstyle"/>
      </w:pPr>
      <w:r w:rsidRPr="006D263D">
        <w:t>general nominated pass through event</w:t>
      </w:r>
    </w:p>
    <w:p w:rsidR="003F21CB" w:rsidRPr="006D263D" w:rsidRDefault="003F21CB">
      <w:pPr>
        <w:pStyle w:val="AERbodytext"/>
      </w:pPr>
      <w:r w:rsidRPr="006D263D">
        <w:t xml:space="preserve">as defined in </w:t>
      </w:r>
      <w:r>
        <w:t>the AER’s 2009–14 NSW distribution determination</w:t>
      </w:r>
      <w:r w:rsidRPr="006D263D">
        <w:t>.</w:t>
      </w:r>
    </w:p>
    <w:p w:rsidR="006D263D" w:rsidRDefault="006D263D" w:rsidP="00C23850">
      <w:pPr>
        <w:pStyle w:val="AERbulletlistfirststyle"/>
      </w:pPr>
      <w:r>
        <w:t>For ActewAGL</w:t>
      </w:r>
    </w:p>
    <w:p w:rsidR="003F21CB" w:rsidRDefault="003F21CB" w:rsidP="00451B70">
      <w:pPr>
        <w:pStyle w:val="AERbulletlistsecondstyle"/>
      </w:pPr>
      <w:r>
        <w:t>feed–in tariff direct payment event</w:t>
      </w:r>
    </w:p>
    <w:p w:rsidR="003F21CB" w:rsidRDefault="003F21CB" w:rsidP="00451B70">
      <w:pPr>
        <w:pStyle w:val="AERbulletlistsecondstyle"/>
      </w:pPr>
      <w:r>
        <w:tab/>
        <w:t>smart meter event</w:t>
      </w:r>
    </w:p>
    <w:p w:rsidR="003F21CB" w:rsidRDefault="003F21CB" w:rsidP="00451B70">
      <w:pPr>
        <w:pStyle w:val="AERbulletlistsecondstyle"/>
      </w:pPr>
      <w:r>
        <w:tab/>
        <w:t>emissions trading scheme event</w:t>
      </w:r>
    </w:p>
    <w:p w:rsidR="003F21CB" w:rsidRDefault="003F21CB" w:rsidP="00451B70">
      <w:pPr>
        <w:pStyle w:val="AERbulletlistsecondstyle"/>
      </w:pPr>
      <w:r w:rsidRPr="006D263D">
        <w:t>gener</w:t>
      </w:r>
      <w:r>
        <w:t>al nominated pass through event</w:t>
      </w:r>
    </w:p>
    <w:p w:rsidR="003F21CB" w:rsidRDefault="003F21CB" w:rsidP="00B15993">
      <w:pPr>
        <w:pStyle w:val="AERbodytext"/>
        <w:numPr>
          <w:ilvl w:val="0"/>
          <w:numId w:val="0"/>
        </w:numPr>
      </w:pPr>
      <w:r w:rsidRPr="003F21CB">
        <w:t xml:space="preserve">as defined in the AER’s 2009–14 </w:t>
      </w:r>
      <w:r w:rsidR="009E0C43">
        <w:t>ACT</w:t>
      </w:r>
      <w:r w:rsidRPr="003F21CB">
        <w:t xml:space="preserve"> distribution determination.</w:t>
      </w:r>
    </w:p>
    <w:p w:rsidR="0057335D" w:rsidRDefault="003F21CB" w:rsidP="00451B70">
      <w:pPr>
        <w:pStyle w:val="AERbodytext"/>
        <w:numPr>
          <w:ilvl w:val="0"/>
          <w:numId w:val="0"/>
        </w:numPr>
      </w:pPr>
      <w:r>
        <w:t xml:space="preserve">The transitional rules also state that </w:t>
      </w:r>
      <w:r w:rsidRPr="003F21CB">
        <w:t>the</w:t>
      </w:r>
      <w:r>
        <w:t xml:space="preserve"> AER is to include</w:t>
      </w:r>
      <w:r w:rsidRPr="003F21CB">
        <w:t xml:space="preserve"> </w:t>
      </w:r>
      <w:r>
        <w:t xml:space="preserve">the </w:t>
      </w:r>
      <w:r w:rsidRPr="003F21CB">
        <w:t xml:space="preserve">"terrorism event" </w:t>
      </w:r>
      <w:r>
        <w:t xml:space="preserve">as an additional pass through event. </w:t>
      </w:r>
      <w:r w:rsidR="0057335D">
        <w:t xml:space="preserve">For the current regulatory control period, there was a pass through event for all </w:t>
      </w:r>
      <w:r w:rsidR="00237716">
        <w:t>NSW/ACT DNSPs</w:t>
      </w:r>
      <w:r w:rsidR="0057335D">
        <w:t xml:space="preserve"> known as the terrorism event.  </w:t>
      </w:r>
    </w:p>
    <w:p w:rsidR="00590C79" w:rsidRDefault="0057335D" w:rsidP="00451B70">
      <w:pPr>
        <w:pStyle w:val="AERbodytext"/>
        <w:numPr>
          <w:ilvl w:val="0"/>
          <w:numId w:val="0"/>
        </w:numPr>
      </w:pPr>
      <w:r>
        <w:t xml:space="preserve">The terrorism event was removed from the list of events that constitute pass through events by </w:t>
      </w:r>
      <w:r w:rsidR="003F21CB" w:rsidRPr="003F21CB">
        <w:t xml:space="preserve">the </w:t>
      </w:r>
      <w:r w:rsidR="003F21CB" w:rsidRPr="00451B70">
        <w:rPr>
          <w:rStyle w:val="AERtextitalic"/>
        </w:rPr>
        <w:t>National Electricity Amendment (Cost pass through arrangements for Network Service Providers) Rule 2012</w:t>
      </w:r>
      <w:r w:rsidR="003F21CB" w:rsidRPr="003F21CB">
        <w:t>.</w:t>
      </w:r>
      <w:r w:rsidR="003F21CB">
        <w:t xml:space="preserve"> </w:t>
      </w:r>
      <w:r w:rsidR="00590C79">
        <w:t xml:space="preserve">Prior to </w:t>
      </w:r>
      <w:r>
        <w:t>its removal</w:t>
      </w:r>
      <w:r w:rsidR="00590C79">
        <w:t xml:space="preserve">, </w:t>
      </w:r>
      <w:r>
        <w:t>the</w:t>
      </w:r>
      <w:r w:rsidR="00590C79">
        <w:t xml:space="preserve"> </w:t>
      </w:r>
      <w:r>
        <w:t>'</w:t>
      </w:r>
      <w:r w:rsidR="00590C79">
        <w:t>terrorism event</w:t>
      </w:r>
      <w:r>
        <w:t>'</w:t>
      </w:r>
      <w:r w:rsidR="00590C79">
        <w:t xml:space="preserve"> </w:t>
      </w:r>
      <w:r>
        <w:t>was</w:t>
      </w:r>
      <w:r w:rsidR="00590C79">
        <w:t xml:space="preserve"> defined as:</w:t>
      </w:r>
    </w:p>
    <w:p w:rsidR="00590C79" w:rsidRDefault="00590C79" w:rsidP="00451B70">
      <w:pPr>
        <w:pStyle w:val="AERbodytextindent1"/>
      </w:pPr>
      <w:r>
        <w:t xml:space="preserve">an </w:t>
      </w:r>
      <w:r w:rsidRPr="00590C79">
        <w:t>act (including, but not limited to, the use of force or violence or the threat of force or violence) of any person or group of persons (whether acting alone or on behalf of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a Transmission Network Service Provider of providing prescribed transmission services or the costs to a Distribution Network Service Provider of providing direct control services.</w:t>
      </w:r>
    </w:p>
    <w:p w:rsidR="0063720C" w:rsidRDefault="0057335D" w:rsidP="0063720C">
      <w:pPr>
        <w:pStyle w:val="AERbodytext"/>
      </w:pPr>
      <w:r>
        <w:t>As a transitional measure, the NER provides for the terrorism event to continue to constitute a pass through event during the transitional regulatory control period.  In the subsequent regulatory control period, it will no longer automatically constitute a pass through event.</w:t>
      </w:r>
      <w:bookmarkStart w:id="183" w:name="_Toc383436081"/>
    </w:p>
    <w:p w:rsidR="009916C7" w:rsidRDefault="009916C7" w:rsidP="003F0974">
      <w:pPr>
        <w:pStyle w:val="Heading2"/>
      </w:pPr>
      <w:bookmarkStart w:id="184" w:name="_Toc384716239"/>
      <w:bookmarkStart w:id="185" w:name="_Toc385326324"/>
      <w:r>
        <w:t>Connection policies</w:t>
      </w:r>
      <w:bookmarkEnd w:id="183"/>
      <w:bookmarkEnd w:id="184"/>
      <w:bookmarkEnd w:id="185"/>
    </w:p>
    <w:p w:rsidR="009916C7" w:rsidRDefault="009916C7" w:rsidP="00E05D13">
      <w:pPr>
        <w:pStyle w:val="AERbodytext"/>
        <w:rPr>
          <w:rStyle w:val="AERbody"/>
        </w:rPr>
      </w:pPr>
      <w:r w:rsidRPr="00A868C4">
        <w:rPr>
          <w:rStyle w:val="AERbody"/>
        </w:rPr>
        <w:t>The connection policy sets out</w:t>
      </w:r>
      <w:r>
        <w:rPr>
          <w:rStyle w:val="AERbody"/>
        </w:rPr>
        <w:t xml:space="preserve"> the circumstances in which the </w:t>
      </w:r>
      <w:r w:rsidR="000565BE">
        <w:rPr>
          <w:rStyle w:val="AERbody"/>
        </w:rPr>
        <w:t>DNSP</w:t>
      </w:r>
      <w:r w:rsidRPr="00A868C4">
        <w:rPr>
          <w:rStyle w:val="AERbody"/>
        </w:rPr>
        <w:t xml:space="preserve"> may require a connection applicant to pay a connection charge</w:t>
      </w:r>
      <w:r>
        <w:rPr>
          <w:rStyle w:val="AERbody"/>
        </w:rPr>
        <w:t xml:space="preserve"> and explains how such </w:t>
      </w:r>
      <w:r w:rsidR="001D0C7F">
        <w:rPr>
          <w:rStyle w:val="AERbody"/>
        </w:rPr>
        <w:t xml:space="preserve">a </w:t>
      </w:r>
      <w:r>
        <w:rPr>
          <w:rStyle w:val="AERbody"/>
        </w:rPr>
        <w:t>charge is determined.</w:t>
      </w:r>
      <w:r w:rsidR="00E05D13">
        <w:rPr>
          <w:rStyle w:val="AERbody"/>
        </w:rPr>
        <w:t xml:space="preserve"> We</w:t>
      </w:r>
      <w:r w:rsidR="00E05D13" w:rsidRPr="00E05D13">
        <w:rPr>
          <w:rStyle w:val="AERbody"/>
        </w:rPr>
        <w:t xml:space="preserve"> may approve the </w:t>
      </w:r>
      <w:r w:rsidR="00E05D13">
        <w:rPr>
          <w:rStyle w:val="AERbody"/>
        </w:rPr>
        <w:t xml:space="preserve">proposed connection policy if </w:t>
      </w:r>
      <w:r w:rsidR="00E05D13" w:rsidRPr="00E05D13">
        <w:rPr>
          <w:rStyle w:val="AERbody"/>
        </w:rPr>
        <w:t>satisfied that the proposed policy adequately complies with the</w:t>
      </w:r>
      <w:r w:rsidR="00E05D13">
        <w:rPr>
          <w:rStyle w:val="AERbody"/>
        </w:rPr>
        <w:t xml:space="preserve"> </w:t>
      </w:r>
      <w:r w:rsidR="00E05D13" w:rsidRPr="00E05D13">
        <w:rPr>
          <w:rStyle w:val="AERbody"/>
        </w:rPr>
        <w:t>requirements of Part DA of chapter 6 of the NER.</w:t>
      </w:r>
    </w:p>
    <w:p w:rsidR="00E30446" w:rsidRPr="00E30446" w:rsidRDefault="00E30446" w:rsidP="00E30446">
      <w:pPr>
        <w:pStyle w:val="AERbodytext"/>
        <w:keepNext/>
        <w:rPr>
          <w:rStyle w:val="AERbody"/>
        </w:rPr>
      </w:pPr>
      <w:r w:rsidRPr="00E30446">
        <w:rPr>
          <w:rStyle w:val="AERbody"/>
        </w:rPr>
        <w:lastRenderedPageBreak/>
        <w:t>The purpose of our connection charge guidelines for electricity retail customers is to ensure that connection charges:</w:t>
      </w:r>
    </w:p>
    <w:p w:rsidR="00E30446" w:rsidRPr="00E30446" w:rsidRDefault="00E30446" w:rsidP="00E30446">
      <w:pPr>
        <w:pStyle w:val="AERbulletlistfirststyle"/>
        <w:keepNext/>
        <w:rPr>
          <w:rStyle w:val="AERbody"/>
        </w:rPr>
      </w:pPr>
      <w:r w:rsidRPr="00E30446">
        <w:rPr>
          <w:rStyle w:val="AERbody"/>
        </w:rPr>
        <w:t xml:space="preserve">are reasonable, taking into account the efficient costs of providing the connection services arising from the new connection or connection alteration </w:t>
      </w:r>
    </w:p>
    <w:p w:rsidR="00E30446" w:rsidRPr="00E30446" w:rsidRDefault="00E30446" w:rsidP="00E30446">
      <w:pPr>
        <w:pStyle w:val="AERbulletlistfirststyle"/>
        <w:keepNext/>
        <w:rPr>
          <w:rStyle w:val="AERbody"/>
        </w:rPr>
      </w:pPr>
      <w:r w:rsidRPr="00E30446">
        <w:rPr>
          <w:rStyle w:val="AERbody"/>
        </w:rPr>
        <w:t>provide, without undue administrative cost, a user-pays signal to reflect the efficient cost of providing the connection services</w:t>
      </w:r>
    </w:p>
    <w:p w:rsidR="00E30446" w:rsidRPr="00E30446" w:rsidRDefault="00E30446" w:rsidP="00E30446">
      <w:pPr>
        <w:pStyle w:val="AERbulletlistfirststyle"/>
        <w:keepNext/>
        <w:rPr>
          <w:rStyle w:val="AERbody"/>
        </w:rPr>
      </w:pPr>
      <w:r w:rsidRPr="00E30446">
        <w:rPr>
          <w:rStyle w:val="AERbody"/>
        </w:rPr>
        <w:t>limit cross-subsidisation of connection costs between different classes (or subclasses) of retail customer</w:t>
      </w:r>
    </w:p>
    <w:p w:rsidR="00E30446" w:rsidRDefault="00E30446" w:rsidP="00E30446">
      <w:pPr>
        <w:pStyle w:val="AERbulletlistfirststyle"/>
        <w:rPr>
          <w:rStyle w:val="AERbody"/>
        </w:rPr>
      </w:pPr>
      <w:r w:rsidRPr="00E30446">
        <w:rPr>
          <w:rStyle w:val="AERbody"/>
        </w:rPr>
        <w:t>are competitively neutral, if the connection services are contestable.</w:t>
      </w:r>
    </w:p>
    <w:p w:rsidR="009916C7" w:rsidRDefault="009916C7" w:rsidP="001D0C7F">
      <w:pPr>
        <w:pStyle w:val="AERbodytext"/>
        <w:keepNext/>
        <w:numPr>
          <w:ilvl w:val="0"/>
          <w:numId w:val="6"/>
        </w:numPr>
      </w:pPr>
      <w:r>
        <w:t xml:space="preserve">Part DA of Chapter 6 of the NER requires a </w:t>
      </w:r>
      <w:r w:rsidR="000565BE">
        <w:t>DNSP</w:t>
      </w:r>
      <w:r>
        <w:t xml:space="preserve"> to prepare a connection policy for approval by the AER. The proposed connection policy:</w:t>
      </w:r>
      <w:r w:rsidRPr="00EA0A07">
        <w:rPr>
          <w:rStyle w:val="AERsuperscript"/>
        </w:rPr>
        <w:footnoteReference w:id="104"/>
      </w:r>
      <w:r w:rsidRPr="00EA0A07">
        <w:rPr>
          <w:rStyle w:val="AERsuperscript"/>
        </w:rPr>
        <w:t xml:space="preserve"> </w:t>
      </w:r>
    </w:p>
    <w:p w:rsidR="009916C7" w:rsidRDefault="009916C7" w:rsidP="001D0C7F">
      <w:pPr>
        <w:pStyle w:val="AERbulletlistfirststyle"/>
        <w:keepNext/>
      </w:pPr>
      <w:r>
        <w:t>must be consistent with:</w:t>
      </w:r>
    </w:p>
    <w:p w:rsidR="009916C7" w:rsidRDefault="009916C7" w:rsidP="001D0C7F">
      <w:pPr>
        <w:pStyle w:val="AERbulletlistthirdstyle"/>
        <w:keepNext/>
      </w:pPr>
      <w:r>
        <w:t>the connection charge principles set out in chapter 5A of the NER; and</w:t>
      </w:r>
    </w:p>
    <w:p w:rsidR="009916C7" w:rsidRDefault="009916C7" w:rsidP="009916C7">
      <w:pPr>
        <w:pStyle w:val="AERbulletlistthirdstyle"/>
      </w:pPr>
      <w:r>
        <w:t>the connection charge guidelines published by us under chapter 5A.</w:t>
      </w:r>
      <w:r w:rsidR="001D0C7F">
        <w:rPr>
          <w:rStyle w:val="FootnoteReference"/>
        </w:rPr>
        <w:footnoteReference w:id="105"/>
      </w:r>
    </w:p>
    <w:p w:rsidR="009916C7" w:rsidRDefault="009916C7" w:rsidP="00C23850">
      <w:pPr>
        <w:pStyle w:val="AERbulletlistfirststyle"/>
      </w:pPr>
      <w:r>
        <w:t>must specify:</w:t>
      </w:r>
    </w:p>
    <w:p w:rsidR="009916C7" w:rsidRPr="00EA0A07" w:rsidRDefault="009916C7" w:rsidP="009916C7">
      <w:pPr>
        <w:pStyle w:val="AERbulletlistthirdstyle"/>
      </w:pPr>
      <w:r w:rsidRPr="00EA0A07">
        <w:t>the categories of persons that may be required to pay a connection charge and the circumstances in which such a requirement may be imposed; and</w:t>
      </w:r>
    </w:p>
    <w:p w:rsidR="009916C7" w:rsidRPr="00EA0A07" w:rsidRDefault="009916C7" w:rsidP="009916C7">
      <w:pPr>
        <w:pStyle w:val="AERbulletlistthirdstyle"/>
      </w:pPr>
      <w:r w:rsidRPr="00EA0A07">
        <w:t>the aspects of a connection service for which a connection charge may be made; and</w:t>
      </w:r>
    </w:p>
    <w:p w:rsidR="009916C7" w:rsidRPr="00EA0A07" w:rsidRDefault="009916C7" w:rsidP="009916C7">
      <w:pPr>
        <w:pStyle w:val="AERbulletlistthirdstyle"/>
      </w:pPr>
      <w:r w:rsidRPr="00EA0A07">
        <w:t>the basis on which connection charges are determined; and</w:t>
      </w:r>
    </w:p>
    <w:p w:rsidR="009916C7" w:rsidRPr="00EA0A07" w:rsidRDefault="009916C7" w:rsidP="009916C7">
      <w:pPr>
        <w:pStyle w:val="AERbulletlistthirdstyle"/>
      </w:pPr>
      <w:r w:rsidRPr="00EA0A07">
        <w:t>the manner in which connection charges are to be paid (or equivalent consideration is to be given); and</w:t>
      </w:r>
    </w:p>
    <w:p w:rsidR="009916C7" w:rsidRDefault="009916C7" w:rsidP="009916C7">
      <w:pPr>
        <w:pStyle w:val="AERbulletlistthirdstyle"/>
      </w:pPr>
      <w:r w:rsidRPr="00EA0A07">
        <w:t>a threshold (based on capacity or any other measure identified in the connection charge guidelines) below which a retail customer (not being  non-registered embedded generator or a real estate developer) will not be liable for a connection charge for an augmentation other than an extension.</w:t>
      </w:r>
    </w:p>
    <w:p w:rsidR="009916C7" w:rsidRDefault="009916C7" w:rsidP="003F0974">
      <w:pPr>
        <w:pStyle w:val="Heading3"/>
      </w:pPr>
      <w:bookmarkStart w:id="186" w:name="_Toc383436082"/>
      <w:bookmarkStart w:id="187" w:name="_Toc384716240"/>
      <w:r w:rsidRPr="001363C8">
        <w:t xml:space="preserve">Method for </w:t>
      </w:r>
      <w:r>
        <w:t>assessing connection policy</w:t>
      </w:r>
      <w:bookmarkEnd w:id="186"/>
      <w:bookmarkEnd w:id="187"/>
    </w:p>
    <w:p w:rsidR="009916C7" w:rsidRPr="00A33E9D" w:rsidRDefault="009916C7" w:rsidP="009916C7">
      <w:pPr>
        <w:pStyle w:val="AERbodytext"/>
        <w:numPr>
          <w:ilvl w:val="0"/>
          <w:numId w:val="6"/>
        </w:numPr>
      </w:pPr>
      <w:r>
        <w:t>We examined the</w:t>
      </w:r>
      <w:r w:rsidRPr="00374916">
        <w:t xml:space="preserve"> connection policies </w:t>
      </w:r>
      <w:r>
        <w:t xml:space="preserve">provided in the TRPs </w:t>
      </w:r>
      <w:r w:rsidRPr="00374916">
        <w:t xml:space="preserve">and assessed them against the requirements of the NER and our connection charge guideline for electricity retail customers.  </w:t>
      </w:r>
      <w:r w:rsidRPr="00A33E9D">
        <w:t xml:space="preserve">We identified a number of inconsistencies between the proposed connection policies, and our connection charge guideline and the connection charge principle. </w:t>
      </w:r>
      <w:r w:rsidRPr="00374916">
        <w:t xml:space="preserve">We provided comments to the </w:t>
      </w:r>
      <w:r w:rsidR="000565BE">
        <w:t>NSW/ACT DNSPs</w:t>
      </w:r>
      <w:r w:rsidRPr="00374916">
        <w:t xml:space="preserve">, and sought them to clarify and </w:t>
      </w:r>
      <w:r>
        <w:t xml:space="preserve">resolve </w:t>
      </w:r>
      <w:r w:rsidRPr="00374916">
        <w:t>the</w:t>
      </w:r>
      <w:r w:rsidRPr="00A33E9D">
        <w:t>se</w:t>
      </w:r>
      <w:r w:rsidRPr="00374916">
        <w:t xml:space="preserve"> </w:t>
      </w:r>
      <w:r>
        <w:t>inconsistencies.</w:t>
      </w:r>
      <w:r w:rsidR="00F87556">
        <w:t xml:space="preserve">  Each of the </w:t>
      </w:r>
      <w:r w:rsidR="000565BE">
        <w:t>NSW/ACT DNSPs</w:t>
      </w:r>
      <w:r w:rsidR="00F87556">
        <w:t xml:space="preserve"> provided us with revised transitional distribution connection policies in response to our requests.</w:t>
      </w:r>
    </w:p>
    <w:p w:rsidR="009916C7" w:rsidRPr="00ED38D3" w:rsidRDefault="009916C7" w:rsidP="002401A5">
      <w:pPr>
        <w:pStyle w:val="HeadingBoldBlue"/>
        <w:rPr>
          <w:rStyle w:val="AERtextbold"/>
          <w:b/>
        </w:rPr>
      </w:pPr>
      <w:r w:rsidRPr="00ED38D3">
        <w:rPr>
          <w:rStyle w:val="AERtextbold"/>
          <w:b/>
        </w:rPr>
        <w:lastRenderedPageBreak/>
        <w:t>Ausgrid</w:t>
      </w:r>
    </w:p>
    <w:p w:rsidR="009916C7" w:rsidRDefault="009916C7" w:rsidP="009916C7">
      <w:pPr>
        <w:pStyle w:val="AERbodytext"/>
        <w:numPr>
          <w:ilvl w:val="0"/>
          <w:numId w:val="6"/>
        </w:numPr>
      </w:pPr>
      <w:r>
        <w:t xml:space="preserve">We approve Ausgrid’s revised transitional distribution connection policy for connection charges as it meets </w:t>
      </w:r>
      <w:r w:rsidRPr="0015441B">
        <w:rPr>
          <w:rStyle w:val="AERbody"/>
        </w:rPr>
        <w:t xml:space="preserve">the requirements under Part DA of Chapter 6 of the NER. It is also consistent with the connection charge principles and the AER's </w:t>
      </w:r>
      <w:r w:rsidRPr="0035701D">
        <w:rPr>
          <w:rStyle w:val="AERbody"/>
        </w:rPr>
        <w:t xml:space="preserve">connection charge guidelines for electricity </w:t>
      </w:r>
      <w:r>
        <w:rPr>
          <w:rStyle w:val="AERbody"/>
        </w:rPr>
        <w:t xml:space="preserve">retail </w:t>
      </w:r>
      <w:r w:rsidRPr="0035701D">
        <w:rPr>
          <w:rStyle w:val="AERbody"/>
        </w:rPr>
        <w:t>customers</w:t>
      </w:r>
      <w:r>
        <w:rPr>
          <w:rStyle w:val="AERbody"/>
        </w:rPr>
        <w:t>.</w:t>
      </w:r>
      <w:r w:rsidRPr="00806909">
        <w:rPr>
          <w:rStyle w:val="AERbody"/>
        </w:rPr>
        <w:t xml:space="preserve"> </w:t>
      </w:r>
      <w:r>
        <w:rPr>
          <w:rStyle w:val="AERbody"/>
        </w:rPr>
        <w:t xml:space="preserve">Appendix </w:t>
      </w:r>
      <w:r w:rsidR="00255CCD">
        <w:rPr>
          <w:rStyle w:val="AERbody"/>
        </w:rPr>
        <w:t>B</w:t>
      </w:r>
      <w:r>
        <w:rPr>
          <w:rStyle w:val="AERbody"/>
        </w:rPr>
        <w:t xml:space="preserve"> </w:t>
      </w:r>
      <w:r w:rsidR="00540B22">
        <w:rPr>
          <w:rStyle w:val="AERbody"/>
        </w:rPr>
        <w:t>in Ausgrid's 2014–</w:t>
      </w:r>
      <w:r w:rsidR="00255CCD">
        <w:rPr>
          <w:rStyle w:val="AERbody"/>
        </w:rPr>
        <w:t xml:space="preserve">15 Determination </w:t>
      </w:r>
      <w:r>
        <w:rPr>
          <w:rStyle w:val="AERbody"/>
        </w:rPr>
        <w:t xml:space="preserve">contains the revised connection policy to apply to Ausgrid for the </w:t>
      </w:r>
      <w:r w:rsidR="00F87556">
        <w:rPr>
          <w:rStyle w:val="AERbody"/>
        </w:rPr>
        <w:t>transitional</w:t>
      </w:r>
      <w:r>
        <w:rPr>
          <w:rStyle w:val="AERbody"/>
        </w:rPr>
        <w:t xml:space="preserve"> regulatory control period.</w:t>
      </w:r>
    </w:p>
    <w:p w:rsidR="009916C7" w:rsidRDefault="009916C7" w:rsidP="009916C7">
      <w:pPr>
        <w:pStyle w:val="AERbodytext"/>
        <w:numPr>
          <w:ilvl w:val="0"/>
          <w:numId w:val="6"/>
        </w:numPr>
      </w:pPr>
      <w:r>
        <w:t xml:space="preserve">Our initial review of Ausgrid’s transitional distribution connection policy identified several minor issues. These issues were consequently clarified and </w:t>
      </w:r>
      <w:r>
        <w:rPr>
          <w:rStyle w:val="AERbody"/>
        </w:rPr>
        <w:t xml:space="preserve">resolved </w:t>
      </w:r>
      <w:r>
        <w:t>by Ausgrid. Broadly these minor issues included:</w:t>
      </w:r>
      <w:r w:rsidRPr="00104E94">
        <w:rPr>
          <w:rStyle w:val="AERsuperscript"/>
        </w:rPr>
        <w:footnoteReference w:id="106"/>
      </w:r>
    </w:p>
    <w:p w:rsidR="009916C7" w:rsidRDefault="009916C7" w:rsidP="00C23850">
      <w:pPr>
        <w:pStyle w:val="AERbulletlistfirststyle"/>
      </w:pPr>
      <w:r>
        <w:t>The proposed minimum refund threshold in appendix D2.6 of the proposed connection policy requires clarification to be consistent with clause 6.1.3 of the connection charge guidelines.</w:t>
      </w:r>
    </w:p>
    <w:p w:rsidR="009916C7" w:rsidRDefault="009916C7" w:rsidP="00C23850">
      <w:pPr>
        <w:pStyle w:val="AERbulletlistfirststyle"/>
      </w:pPr>
      <w:r>
        <w:t xml:space="preserve">Its proposed calculation method for refunds to pioneer customers does not take into account asset depreciation, which is required under clause 6.1.2 of the connection charge guidelines. </w:t>
      </w:r>
    </w:p>
    <w:p w:rsidR="009916C7" w:rsidRDefault="009916C7" w:rsidP="009916C7">
      <w:pPr>
        <w:pStyle w:val="AERbodytext"/>
        <w:numPr>
          <w:ilvl w:val="0"/>
          <w:numId w:val="6"/>
        </w:numPr>
      </w:pPr>
      <w:r>
        <w:t>Ausgrid submitted its revised connection policy on 15 March 2014, which addressed our previous concerns.</w:t>
      </w:r>
      <w:r w:rsidRPr="00104E94">
        <w:rPr>
          <w:rStyle w:val="AERsuperscript"/>
        </w:rPr>
        <w:footnoteReference w:id="107"/>
      </w:r>
      <w:r>
        <w:t xml:space="preserve"> </w:t>
      </w:r>
      <w:r w:rsidRPr="00C62758">
        <w:rPr>
          <w:rStyle w:val="AERbody"/>
        </w:rPr>
        <w:t xml:space="preserve">We have reassessed its revised </w:t>
      </w:r>
      <w:r>
        <w:rPr>
          <w:rStyle w:val="AERbody"/>
        </w:rPr>
        <w:t xml:space="preserve">transitional connection policy </w:t>
      </w:r>
      <w:r w:rsidRPr="00C62758">
        <w:rPr>
          <w:rStyle w:val="AERbody"/>
        </w:rPr>
        <w:t xml:space="preserve">and consider that it meets the requirements under Part DA of Chapter 6 of the NER. It is also consistent with the connection charge principles and the AER's </w:t>
      </w:r>
      <w:r w:rsidRPr="0035701D">
        <w:rPr>
          <w:rStyle w:val="AERbody"/>
        </w:rPr>
        <w:t>connection charge guidelines for electricity</w:t>
      </w:r>
      <w:r>
        <w:rPr>
          <w:rStyle w:val="AERbody"/>
        </w:rPr>
        <w:t xml:space="preserve"> retail</w:t>
      </w:r>
      <w:r w:rsidRPr="0035701D">
        <w:rPr>
          <w:rStyle w:val="AERbody"/>
        </w:rPr>
        <w:t xml:space="preserve"> customers</w:t>
      </w:r>
      <w:r w:rsidRPr="00C62758">
        <w:rPr>
          <w:rStyle w:val="AERbody"/>
        </w:rPr>
        <w:t>.</w:t>
      </w:r>
    </w:p>
    <w:p w:rsidR="009916C7" w:rsidRPr="002401A5" w:rsidRDefault="009916C7" w:rsidP="002401A5">
      <w:pPr>
        <w:pStyle w:val="HeadingBoldBlue"/>
        <w:rPr>
          <w:rStyle w:val="AERtextbold"/>
          <w:b/>
        </w:rPr>
      </w:pPr>
      <w:r w:rsidRPr="002401A5">
        <w:rPr>
          <w:rStyle w:val="AERtextbold"/>
          <w:b/>
        </w:rPr>
        <w:t>Essential Energy</w:t>
      </w:r>
    </w:p>
    <w:p w:rsidR="009916C7" w:rsidRDefault="009916C7" w:rsidP="009916C7">
      <w:pPr>
        <w:pStyle w:val="AERbodytext"/>
        <w:numPr>
          <w:ilvl w:val="0"/>
          <w:numId w:val="6"/>
        </w:numPr>
      </w:pPr>
      <w:r>
        <w:t xml:space="preserve">We approve Essential Energy’s revised transitional distribution connection policy for connection charges as it meets </w:t>
      </w:r>
      <w:r w:rsidRPr="0015441B">
        <w:rPr>
          <w:rStyle w:val="AERbody"/>
        </w:rPr>
        <w:t xml:space="preserve">the requirements under Part DA of Chapter 6 of the NER. It is also consistent with the connection charge principles and the AER's </w:t>
      </w:r>
      <w:r w:rsidRPr="0035701D">
        <w:rPr>
          <w:rStyle w:val="AERbody"/>
        </w:rPr>
        <w:t xml:space="preserve">connection charge guidelines for electricity </w:t>
      </w:r>
      <w:r>
        <w:rPr>
          <w:rStyle w:val="AERbody"/>
        </w:rPr>
        <w:t xml:space="preserve">retail </w:t>
      </w:r>
      <w:r w:rsidRPr="0035701D">
        <w:rPr>
          <w:rStyle w:val="AERbody"/>
        </w:rPr>
        <w:t>customers</w:t>
      </w:r>
      <w:r>
        <w:rPr>
          <w:rStyle w:val="AERbody"/>
        </w:rPr>
        <w:t xml:space="preserve">. Appendix </w:t>
      </w:r>
      <w:r w:rsidR="00255CCD">
        <w:rPr>
          <w:rStyle w:val="AERbody"/>
        </w:rPr>
        <w:t>B</w:t>
      </w:r>
      <w:r>
        <w:rPr>
          <w:rStyle w:val="AERbody"/>
        </w:rPr>
        <w:t xml:space="preserve"> </w:t>
      </w:r>
      <w:r w:rsidR="00255CCD" w:rsidRPr="00255CCD">
        <w:rPr>
          <w:rStyle w:val="AERbody"/>
        </w:rPr>
        <w:t xml:space="preserve">in </w:t>
      </w:r>
      <w:r w:rsidR="00255CCD">
        <w:rPr>
          <w:rStyle w:val="AERbody"/>
        </w:rPr>
        <w:t>Essential Energy</w:t>
      </w:r>
      <w:r w:rsidR="00255CCD" w:rsidRPr="00255CCD">
        <w:rPr>
          <w:rStyle w:val="AERbody"/>
        </w:rPr>
        <w:t xml:space="preserve">'s </w:t>
      </w:r>
      <w:r w:rsidR="00255CCD">
        <w:rPr>
          <w:rStyle w:val="AERbody"/>
        </w:rPr>
        <w:t xml:space="preserve">2014-15 </w:t>
      </w:r>
      <w:r w:rsidR="00B75E0D">
        <w:rPr>
          <w:rStyle w:val="AERbody"/>
        </w:rPr>
        <w:t xml:space="preserve">Placeholder </w:t>
      </w:r>
      <w:r w:rsidR="00255CCD" w:rsidRPr="00255CCD">
        <w:rPr>
          <w:rStyle w:val="AERbody"/>
        </w:rPr>
        <w:t xml:space="preserve">Determination </w:t>
      </w:r>
      <w:r>
        <w:rPr>
          <w:rStyle w:val="AERbody"/>
        </w:rPr>
        <w:t xml:space="preserve">contains the revised connection policy to apply to Essential Energy for the </w:t>
      </w:r>
      <w:r w:rsidR="00F87556">
        <w:rPr>
          <w:rStyle w:val="AERbody"/>
        </w:rPr>
        <w:t>transitional</w:t>
      </w:r>
      <w:r>
        <w:rPr>
          <w:rStyle w:val="AERbody"/>
        </w:rPr>
        <w:t xml:space="preserve"> regulatory control period.</w:t>
      </w:r>
    </w:p>
    <w:p w:rsidR="009916C7" w:rsidRDefault="009916C7" w:rsidP="009916C7">
      <w:pPr>
        <w:pStyle w:val="AERbodytext"/>
        <w:numPr>
          <w:ilvl w:val="0"/>
          <w:numId w:val="6"/>
        </w:numPr>
      </w:pPr>
      <w:r>
        <w:t xml:space="preserve">Our initial review of Essential Energy’s transitional distribution connection policy identified several minor issues. These issues were consequently clarified and </w:t>
      </w:r>
      <w:r>
        <w:rPr>
          <w:rStyle w:val="AERbody"/>
        </w:rPr>
        <w:t xml:space="preserve">resolved </w:t>
      </w:r>
      <w:r>
        <w:t>by Essential Energy. Broadly these minor issues included:</w:t>
      </w:r>
      <w:r w:rsidRPr="00104E94">
        <w:rPr>
          <w:rStyle w:val="AERsuperscript"/>
        </w:rPr>
        <w:footnoteReference w:id="108"/>
      </w:r>
    </w:p>
    <w:p w:rsidR="009916C7" w:rsidRDefault="009916C7" w:rsidP="00C23850">
      <w:pPr>
        <w:pStyle w:val="AERbulletlistfirststyle"/>
      </w:pPr>
      <w:r>
        <w:t xml:space="preserve">Essential Energy proposed an upfront payment when the total ancillary services fees is greater than $5000. This is contrary to clause 9.1.1 of the connection charge guidelines, which only allows the DNSP to charge a prepayment for the amount less than $5000.  </w:t>
      </w:r>
    </w:p>
    <w:p w:rsidR="009916C7" w:rsidRDefault="009916C7" w:rsidP="00C23850">
      <w:pPr>
        <w:pStyle w:val="AERbulletlistfirststyle"/>
      </w:pPr>
      <w:r>
        <w:t xml:space="preserve">The proposed minimum refund threshold in section 6.4 requires clarification to be consistent with clause 6.1.3 of the connection charge guidelines. </w:t>
      </w:r>
    </w:p>
    <w:p w:rsidR="009916C7" w:rsidRDefault="009916C7" w:rsidP="00C23850">
      <w:pPr>
        <w:pStyle w:val="AERbulletlistfirststyle"/>
      </w:pPr>
      <w:r>
        <w:t xml:space="preserve">The depreciation calculation formula in relation to the proposed pioneer scheme contains </w:t>
      </w:r>
      <w:r w:rsidRPr="00221757">
        <w:t>a</w:t>
      </w:r>
      <w:r>
        <w:t xml:space="preserve"> small </w:t>
      </w:r>
      <w:r w:rsidRPr="00221757">
        <w:t>error</w:t>
      </w:r>
      <w:r>
        <w:t xml:space="preserve"> and does not reflect Essential Energy’s policy statement in this regard. </w:t>
      </w:r>
    </w:p>
    <w:p w:rsidR="009916C7" w:rsidRDefault="009916C7" w:rsidP="009916C7">
      <w:pPr>
        <w:pStyle w:val="AERbodytext"/>
        <w:numPr>
          <w:ilvl w:val="0"/>
          <w:numId w:val="6"/>
        </w:numPr>
      </w:pPr>
      <w:r>
        <w:t>Essential Energy submitted its revised connection policy on 18 March 2014, which addressed our previous concerns.</w:t>
      </w:r>
      <w:r w:rsidRPr="00104E94">
        <w:rPr>
          <w:rStyle w:val="AERsuperscript"/>
        </w:rPr>
        <w:footnoteReference w:id="109"/>
      </w:r>
      <w:r>
        <w:t xml:space="preserve"> </w:t>
      </w:r>
      <w:r w:rsidRPr="00C62758">
        <w:rPr>
          <w:rStyle w:val="AERbody"/>
        </w:rPr>
        <w:t xml:space="preserve">We have reassessed its revised </w:t>
      </w:r>
      <w:r>
        <w:rPr>
          <w:rStyle w:val="AERbody"/>
        </w:rPr>
        <w:t xml:space="preserve">transitional connection policy </w:t>
      </w:r>
      <w:r w:rsidRPr="00C62758">
        <w:rPr>
          <w:rStyle w:val="AERbody"/>
        </w:rPr>
        <w:t xml:space="preserve">and consider that it meets the requirements under Part DA of Chapter 6 of the NER. It is also consistent with the </w:t>
      </w:r>
      <w:r w:rsidRPr="00C62758">
        <w:rPr>
          <w:rStyle w:val="AERbody"/>
        </w:rPr>
        <w:lastRenderedPageBreak/>
        <w:t xml:space="preserve">connection charge principles and the AER's </w:t>
      </w:r>
      <w:r w:rsidRPr="0035701D">
        <w:rPr>
          <w:rStyle w:val="AERbody"/>
        </w:rPr>
        <w:t xml:space="preserve">connection charge guidelines for electricity </w:t>
      </w:r>
      <w:r>
        <w:rPr>
          <w:rStyle w:val="AERbody"/>
        </w:rPr>
        <w:t xml:space="preserve">retail </w:t>
      </w:r>
      <w:r w:rsidRPr="0035701D">
        <w:rPr>
          <w:rStyle w:val="AERbody"/>
        </w:rPr>
        <w:t>customers</w:t>
      </w:r>
      <w:r>
        <w:rPr>
          <w:rStyle w:val="AERbody"/>
        </w:rPr>
        <w:t>.</w:t>
      </w:r>
    </w:p>
    <w:p w:rsidR="009916C7" w:rsidRPr="00ED38D3" w:rsidRDefault="009916C7" w:rsidP="002401A5">
      <w:pPr>
        <w:pStyle w:val="HeadingBoldBlue"/>
        <w:rPr>
          <w:rStyle w:val="AERtextbold"/>
          <w:b/>
        </w:rPr>
      </w:pPr>
      <w:r w:rsidRPr="00ED38D3">
        <w:rPr>
          <w:rStyle w:val="AERtextbold"/>
          <w:b/>
        </w:rPr>
        <w:t>Endeavour Energy</w:t>
      </w:r>
    </w:p>
    <w:p w:rsidR="009916C7" w:rsidRDefault="009916C7" w:rsidP="009916C7">
      <w:pPr>
        <w:pStyle w:val="AERbodytext"/>
        <w:numPr>
          <w:ilvl w:val="0"/>
          <w:numId w:val="6"/>
        </w:numPr>
      </w:pPr>
      <w:r>
        <w:t xml:space="preserve">We approve Endeavour Energy’s revised transitional distribution connection policy for connection charges as it meets </w:t>
      </w:r>
      <w:r w:rsidRPr="0015441B">
        <w:rPr>
          <w:rStyle w:val="AERbody"/>
        </w:rPr>
        <w:t xml:space="preserve">the requirements under Part DA of Chapter 6 of the NER. It is also consistent with the connection charge principles and the AER's </w:t>
      </w:r>
      <w:r w:rsidRPr="0035701D">
        <w:rPr>
          <w:rStyle w:val="AERbody"/>
        </w:rPr>
        <w:t>connection charge guidelines for electricity</w:t>
      </w:r>
      <w:r>
        <w:rPr>
          <w:rStyle w:val="AERbody"/>
        </w:rPr>
        <w:t xml:space="preserve"> retail</w:t>
      </w:r>
      <w:r w:rsidRPr="0035701D">
        <w:rPr>
          <w:rStyle w:val="AERbody"/>
        </w:rPr>
        <w:t xml:space="preserve"> customers</w:t>
      </w:r>
      <w:r>
        <w:rPr>
          <w:rStyle w:val="AERbody"/>
        </w:rPr>
        <w:t>. A</w:t>
      </w:r>
      <w:r w:rsidR="00255CCD">
        <w:rPr>
          <w:rStyle w:val="AERbody"/>
        </w:rPr>
        <w:t>ppendix B</w:t>
      </w:r>
      <w:r>
        <w:rPr>
          <w:rStyle w:val="AERbody"/>
        </w:rPr>
        <w:t xml:space="preserve"> </w:t>
      </w:r>
      <w:r w:rsidR="00255CCD">
        <w:rPr>
          <w:rStyle w:val="AERbody"/>
        </w:rPr>
        <w:t xml:space="preserve">in Endeavour </w:t>
      </w:r>
      <w:r w:rsidR="00255CCD" w:rsidRPr="00255CCD">
        <w:rPr>
          <w:rStyle w:val="AERbody"/>
        </w:rPr>
        <w:t>Energy</w:t>
      </w:r>
      <w:r w:rsidR="00255CCD">
        <w:rPr>
          <w:rStyle w:val="AERbody"/>
        </w:rPr>
        <w:t>'s 2014-15 Determination</w:t>
      </w:r>
      <w:r w:rsidR="00255CCD" w:rsidRPr="00255CCD">
        <w:rPr>
          <w:rStyle w:val="AERbody"/>
        </w:rPr>
        <w:t xml:space="preserve"> </w:t>
      </w:r>
      <w:r>
        <w:rPr>
          <w:rStyle w:val="AERbody"/>
        </w:rPr>
        <w:t xml:space="preserve">contains the revised connection policy to apply to Endeavour Energy for the </w:t>
      </w:r>
      <w:r w:rsidR="00F87556">
        <w:rPr>
          <w:rStyle w:val="AERbody"/>
        </w:rPr>
        <w:t>transitional</w:t>
      </w:r>
      <w:r>
        <w:rPr>
          <w:rStyle w:val="AERbody"/>
        </w:rPr>
        <w:t xml:space="preserve"> regulatory control period.</w:t>
      </w:r>
    </w:p>
    <w:p w:rsidR="009916C7" w:rsidRDefault="009916C7" w:rsidP="009916C7">
      <w:pPr>
        <w:pStyle w:val="AERbodytext"/>
        <w:numPr>
          <w:ilvl w:val="0"/>
          <w:numId w:val="6"/>
        </w:numPr>
      </w:pPr>
      <w:r>
        <w:t xml:space="preserve">Our initial review of Endeavour Energy’s transitional distribution connection policy identified several </w:t>
      </w:r>
      <w:r w:rsidR="00CE3397">
        <w:t>issues</w:t>
      </w:r>
      <w:r>
        <w:t xml:space="preserve">. These issues were consequently </w:t>
      </w:r>
      <w:r>
        <w:rPr>
          <w:rStyle w:val="AERbody"/>
        </w:rPr>
        <w:t xml:space="preserve">resolved </w:t>
      </w:r>
      <w:r>
        <w:t>by Endeavour Energy. Broadly these issues included:</w:t>
      </w:r>
      <w:r>
        <w:rPr>
          <w:rStyle w:val="FootnoteReference"/>
        </w:rPr>
        <w:footnoteReference w:id="110"/>
      </w:r>
      <w:r>
        <w:t xml:space="preserve"> </w:t>
      </w:r>
    </w:p>
    <w:p w:rsidR="009916C7" w:rsidRDefault="00111EB1" w:rsidP="00C23850">
      <w:pPr>
        <w:pStyle w:val="AERbulletlistfirststyle"/>
      </w:pPr>
      <w:r>
        <w:t>The proposed connection policy d</w:t>
      </w:r>
      <w:r w:rsidR="009916C7">
        <w:t xml:space="preserve">id not reflect the full context of the guideline requirements in relation to the Pioneer Scheme of the AER's connection charge guidelines. </w:t>
      </w:r>
    </w:p>
    <w:p w:rsidR="009916C7" w:rsidRDefault="009916C7" w:rsidP="00C23850">
      <w:pPr>
        <w:pStyle w:val="AERbulletlistfirststyle"/>
      </w:pPr>
      <w:r>
        <w:t>Endeavour did not adequately specify a threshold below which a retail customer will not be liable for a connection charge in accordance with clause 6.7A.1(b)(2)(v) of the NER.  In particular, it did not distinguish the differences between extension and shared network augmentation.</w:t>
      </w:r>
    </w:p>
    <w:p w:rsidR="009916C7" w:rsidRDefault="009916C7" w:rsidP="00C23850">
      <w:pPr>
        <w:pStyle w:val="AERbulletlistfirststyle"/>
      </w:pPr>
      <w:r>
        <w:t xml:space="preserve">The proposed connection policy did not clarify whether there are separate connection charges for extension and augmentation and under what circumstances these charges apply. This is required under clause 6.7A.1(b)(2)(ii) of the NER.  </w:t>
      </w:r>
    </w:p>
    <w:p w:rsidR="009916C7" w:rsidRDefault="009916C7" w:rsidP="00C23850">
      <w:pPr>
        <w:pStyle w:val="AERbulletlistfirststyle"/>
      </w:pPr>
      <w:r>
        <w:t>Endeavour included sections on security fees which are different to the security fees contemplated under chapter 5A and the AER’s connection charge guideline. According to clause 10.1.2 of the AER’s connection charge guidelines, a security fee refers to a fee that is payable by the applicant if a DNSP fairly and reasonable assesses that there is a high risk that the DNSP may not earn the estimated incremental revenue. However, Endeavour’s policy referred to guarantees of Accredited Service Provider’s (ASP’s) work.</w:t>
      </w:r>
    </w:p>
    <w:p w:rsidR="009916C7" w:rsidRDefault="009916C7" w:rsidP="00C23850">
      <w:pPr>
        <w:pStyle w:val="AERbulletlistfirststyle"/>
      </w:pPr>
      <w:r>
        <w:t>The proposed reimbursement to Endeavour’s pioneer scheme does not reflect the full context of the guideline’s requirements. For example:</w:t>
      </w:r>
    </w:p>
    <w:p w:rsidR="009916C7" w:rsidRDefault="009916C7" w:rsidP="009916C7">
      <w:pPr>
        <w:pStyle w:val="AERbulletlistthirdstyle"/>
      </w:pPr>
      <w:r>
        <w:t xml:space="preserve">Endeavour noted the reimbursement scheme only applies to rural and large load customers. This is inconsistent with clause 6.1.1 of the guideline. </w:t>
      </w:r>
    </w:p>
    <w:p w:rsidR="009916C7" w:rsidRDefault="009916C7" w:rsidP="009916C7">
      <w:pPr>
        <w:pStyle w:val="AERbulletlistthirdstyle"/>
      </w:pPr>
      <w:r>
        <w:t xml:space="preserve">The section that required customers to indicate their involvement with the reimbursement scheme appears unreasonable.  </w:t>
      </w:r>
    </w:p>
    <w:p w:rsidR="009916C7" w:rsidRPr="004F062C" w:rsidRDefault="009916C7" w:rsidP="009916C7">
      <w:pPr>
        <w:pStyle w:val="AERbulletlistthirdstyle"/>
      </w:pPr>
      <w:r w:rsidRPr="004F062C">
        <w:t xml:space="preserve">Its proposed calculation of the refund for </w:t>
      </w:r>
      <w:r>
        <w:t>the reimbursement</w:t>
      </w:r>
      <w:r w:rsidRPr="004F062C">
        <w:t xml:space="preserve"> </w:t>
      </w:r>
      <w:r>
        <w:t xml:space="preserve">of Endeavour’s pioneer </w:t>
      </w:r>
      <w:r w:rsidRPr="004F062C">
        <w:t>scheme does not take into account asset depreciation, which is required under clause 6.1.2 of the con</w:t>
      </w:r>
      <w:r>
        <w:t>nection charge guidelines</w:t>
      </w:r>
      <w:r w:rsidRPr="004F062C">
        <w:t xml:space="preserve">. </w:t>
      </w:r>
    </w:p>
    <w:p w:rsidR="009916C7" w:rsidRDefault="009916C7" w:rsidP="00C23850">
      <w:pPr>
        <w:pStyle w:val="AERbulletlistfirststyle"/>
      </w:pPr>
      <w:r>
        <w:t>The proposed connection policy did not adequately define the relevant criteria of the connection services on offer and how they will apply, which is required under clause 6.7A.1(b)(2)(i) of the NER.</w:t>
      </w:r>
    </w:p>
    <w:p w:rsidR="009916C7" w:rsidRDefault="009916C7" w:rsidP="00C23850">
      <w:pPr>
        <w:pStyle w:val="AERbulletlistfirststyle"/>
      </w:pPr>
      <w:r>
        <w:lastRenderedPageBreak/>
        <w:t>We consider those sections that set out Endeavour’s contractual processes are not relevant for including into the connection policy.</w:t>
      </w:r>
    </w:p>
    <w:p w:rsidR="009916C7" w:rsidRPr="0028154C" w:rsidRDefault="009916C7" w:rsidP="009916C7">
      <w:pPr>
        <w:pStyle w:val="AERbodytext"/>
        <w:numPr>
          <w:ilvl w:val="0"/>
          <w:numId w:val="6"/>
        </w:numPr>
      </w:pPr>
      <w:r>
        <w:t xml:space="preserve">Endeavour Energy submitted its revised connection policy on 21 March 2014, which </w:t>
      </w:r>
      <w:r w:rsidRPr="0028154C">
        <w:t>addressed our previous concerns.</w:t>
      </w:r>
      <w:r>
        <w:rPr>
          <w:rStyle w:val="FootnoteReference"/>
        </w:rPr>
        <w:footnoteReference w:id="111"/>
      </w:r>
      <w:r w:rsidRPr="0028154C">
        <w:t xml:space="preserve"> </w:t>
      </w:r>
      <w:r w:rsidRPr="00C62758">
        <w:rPr>
          <w:rStyle w:val="AERbody"/>
        </w:rPr>
        <w:t xml:space="preserve">We have reassessed its revised </w:t>
      </w:r>
      <w:r>
        <w:rPr>
          <w:rStyle w:val="AERbody"/>
        </w:rPr>
        <w:t xml:space="preserve">transitional connection policy </w:t>
      </w:r>
      <w:r w:rsidRPr="00C62758">
        <w:rPr>
          <w:rStyle w:val="AERbody"/>
        </w:rPr>
        <w:t xml:space="preserve">and consider that it meets the requirements under Part DA of Chapter 6 of the NER. It is also consistent with the connection charge principles and the AER's </w:t>
      </w:r>
      <w:r w:rsidRPr="0035701D">
        <w:rPr>
          <w:rStyle w:val="AERbody"/>
        </w:rPr>
        <w:t xml:space="preserve">connection charge guidelines for electricity </w:t>
      </w:r>
      <w:r>
        <w:rPr>
          <w:rStyle w:val="AERbody"/>
        </w:rPr>
        <w:t xml:space="preserve">retail </w:t>
      </w:r>
      <w:r w:rsidRPr="0035701D">
        <w:rPr>
          <w:rStyle w:val="AERbody"/>
        </w:rPr>
        <w:t>customers</w:t>
      </w:r>
      <w:r w:rsidRPr="00C62758">
        <w:rPr>
          <w:rStyle w:val="AERbody"/>
        </w:rPr>
        <w:t xml:space="preserve">. </w:t>
      </w:r>
    </w:p>
    <w:p w:rsidR="009916C7" w:rsidRPr="00ED38D3" w:rsidRDefault="009916C7" w:rsidP="002401A5">
      <w:pPr>
        <w:pStyle w:val="HeadingBoldBlue"/>
        <w:rPr>
          <w:rStyle w:val="AERtextbold"/>
          <w:b/>
        </w:rPr>
      </w:pPr>
      <w:r w:rsidRPr="00ED38D3">
        <w:rPr>
          <w:rStyle w:val="AERtextbold"/>
          <w:b/>
        </w:rPr>
        <w:t>ActewAGL</w:t>
      </w:r>
    </w:p>
    <w:p w:rsidR="009916C7" w:rsidRPr="00301ABD" w:rsidRDefault="009916C7" w:rsidP="009916C7">
      <w:pPr>
        <w:pStyle w:val="AERbodytext"/>
        <w:numPr>
          <w:ilvl w:val="0"/>
          <w:numId w:val="6"/>
        </w:numPr>
        <w:rPr>
          <w:rStyle w:val="AERbody"/>
        </w:rPr>
      </w:pPr>
      <w:r w:rsidRPr="00001117">
        <w:rPr>
          <w:rStyle w:val="AERbody"/>
        </w:rPr>
        <w:t xml:space="preserve">We approve </w:t>
      </w:r>
      <w:r w:rsidRPr="00301ABD">
        <w:rPr>
          <w:rStyle w:val="AERbody"/>
        </w:rPr>
        <w:t>ActewAGL’s revised transitional distribution connection policy for connection charges as it meets the requirements under Part DA of Chapter 6 of the NER. It is also consistent with the connection charge principles and the AER's connection charge guidelines for electricity retail customers.</w:t>
      </w:r>
      <w:r>
        <w:rPr>
          <w:rStyle w:val="AERbody"/>
        </w:rPr>
        <w:t xml:space="preserve"> Appendix </w:t>
      </w:r>
      <w:r w:rsidR="00255CCD">
        <w:rPr>
          <w:rStyle w:val="AERbody"/>
        </w:rPr>
        <w:t>B</w:t>
      </w:r>
      <w:r>
        <w:rPr>
          <w:rStyle w:val="AERbody"/>
        </w:rPr>
        <w:t xml:space="preserve"> </w:t>
      </w:r>
      <w:r w:rsidR="00255CCD" w:rsidRPr="00255CCD">
        <w:rPr>
          <w:rStyle w:val="AERbody"/>
        </w:rPr>
        <w:t xml:space="preserve">in </w:t>
      </w:r>
      <w:r w:rsidR="00255CCD">
        <w:rPr>
          <w:rStyle w:val="AERbody"/>
        </w:rPr>
        <w:t>ActewAGL</w:t>
      </w:r>
      <w:r w:rsidR="00255CCD" w:rsidRPr="00255CCD">
        <w:rPr>
          <w:rStyle w:val="AERbody"/>
        </w:rPr>
        <w:t xml:space="preserve">'s 2014-15 Determination </w:t>
      </w:r>
      <w:r>
        <w:rPr>
          <w:rStyle w:val="AERbody"/>
        </w:rPr>
        <w:t xml:space="preserve">contains the revised connection policy to apply to ActewAGL for the </w:t>
      </w:r>
      <w:r w:rsidR="00F87556">
        <w:rPr>
          <w:rStyle w:val="AERbody"/>
        </w:rPr>
        <w:t>transitional</w:t>
      </w:r>
      <w:r>
        <w:rPr>
          <w:rStyle w:val="AERbody"/>
        </w:rPr>
        <w:t xml:space="preserve"> regulatory control period.</w:t>
      </w:r>
    </w:p>
    <w:p w:rsidR="009916C7" w:rsidRPr="00301ABD" w:rsidRDefault="009916C7" w:rsidP="009916C7">
      <w:pPr>
        <w:pStyle w:val="AERbodytext"/>
        <w:numPr>
          <w:ilvl w:val="0"/>
          <w:numId w:val="6"/>
        </w:numPr>
        <w:rPr>
          <w:rStyle w:val="AERbody"/>
        </w:rPr>
      </w:pPr>
      <w:r>
        <w:rPr>
          <w:rStyle w:val="AERbody"/>
        </w:rPr>
        <w:t xml:space="preserve">Our initial review of ActewAGL’s transitional distribution connection policy identified several </w:t>
      </w:r>
      <w:r w:rsidRPr="00301ABD">
        <w:rPr>
          <w:rStyle w:val="AERbody"/>
        </w:rPr>
        <w:t xml:space="preserve">minor issues. These issues were consequently clarified and resolved by ActewAGL. Broadly these minor issues included: </w:t>
      </w:r>
    </w:p>
    <w:p w:rsidR="009916C7" w:rsidRDefault="009916C7" w:rsidP="00C23850">
      <w:pPr>
        <w:pStyle w:val="AERbulletlistfirststyle"/>
        <w:rPr>
          <w:rStyle w:val="AERbody"/>
        </w:rPr>
      </w:pPr>
      <w:r w:rsidRPr="00001117">
        <w:rPr>
          <w:rStyle w:val="AERbody"/>
        </w:rPr>
        <w:t>We consider</w:t>
      </w:r>
      <w:r>
        <w:rPr>
          <w:rStyle w:val="AERbody"/>
        </w:rPr>
        <w:t>ed</w:t>
      </w:r>
      <w:r w:rsidRPr="00001117">
        <w:rPr>
          <w:rStyle w:val="AERbody"/>
        </w:rPr>
        <w:t xml:space="preserve"> that ActewAGL’s transitional distribution connection policy should clarify how “major connections” and “minor or routine connection” services relate to basic, standard and negotiated connection offers under </w:t>
      </w:r>
      <w:r>
        <w:rPr>
          <w:rStyle w:val="AERbody"/>
        </w:rPr>
        <w:t xml:space="preserve">chapter 5A </w:t>
      </w:r>
      <w:r w:rsidRPr="00001117">
        <w:rPr>
          <w:rStyle w:val="AERbody"/>
        </w:rPr>
        <w:t>of the NER.</w:t>
      </w:r>
    </w:p>
    <w:p w:rsidR="009916C7" w:rsidRDefault="009916C7" w:rsidP="00C23850">
      <w:pPr>
        <w:pStyle w:val="AERbulletlistfirststyle"/>
        <w:rPr>
          <w:rStyle w:val="AERbody"/>
        </w:rPr>
      </w:pPr>
      <w:r>
        <w:rPr>
          <w:rStyle w:val="AERbody"/>
        </w:rPr>
        <w:t>Although not mandatory, we believe that w</w:t>
      </w:r>
      <w:r w:rsidRPr="00001117">
        <w:rPr>
          <w:rStyle w:val="AERbody"/>
        </w:rPr>
        <w:t>hen calculating the refund amount for the pioneer scheme, ActewAGL should take into account the time and value of money that the customers who funded the connection asset paid.</w:t>
      </w:r>
      <w:r>
        <w:rPr>
          <w:rStyle w:val="FootnoteReference"/>
        </w:rPr>
        <w:footnoteReference w:id="112"/>
      </w:r>
    </w:p>
    <w:p w:rsidR="009916C7" w:rsidRDefault="009916C7" w:rsidP="00C23850">
      <w:pPr>
        <w:pStyle w:val="AERbulletlistfirststyle"/>
        <w:rPr>
          <w:rStyle w:val="AERbody"/>
        </w:rPr>
      </w:pPr>
      <w:r>
        <w:rPr>
          <w:rStyle w:val="AERbody"/>
        </w:rPr>
        <w:t xml:space="preserve">We noted that ActewAGL did not include a rate ($/kVA) for its </w:t>
      </w:r>
      <w:r w:rsidRPr="00C62758">
        <w:rPr>
          <w:rStyle w:val="AERbody"/>
        </w:rPr>
        <w:t xml:space="preserve">shared network asset augmentation charge or the method that </w:t>
      </w:r>
      <w:r>
        <w:rPr>
          <w:rStyle w:val="AERbody"/>
        </w:rPr>
        <w:t xml:space="preserve">it </w:t>
      </w:r>
      <w:r w:rsidRPr="00C62758">
        <w:rPr>
          <w:rStyle w:val="AERbody"/>
        </w:rPr>
        <w:t xml:space="preserve">would </w:t>
      </w:r>
      <w:r>
        <w:rPr>
          <w:rStyle w:val="AERbody"/>
        </w:rPr>
        <w:t xml:space="preserve">apply to </w:t>
      </w:r>
      <w:r w:rsidRPr="00C62758">
        <w:rPr>
          <w:rStyle w:val="AERbody"/>
        </w:rPr>
        <w:t>calculate this charge</w:t>
      </w:r>
      <w:r>
        <w:rPr>
          <w:rStyle w:val="AERbody"/>
        </w:rPr>
        <w:t xml:space="preserve"> in its proposed transitional connection policy.</w:t>
      </w:r>
      <w:r>
        <w:rPr>
          <w:rStyle w:val="FootnoteReference"/>
        </w:rPr>
        <w:footnoteReference w:id="113"/>
      </w:r>
    </w:p>
    <w:p w:rsidR="000422DF" w:rsidRDefault="009916C7" w:rsidP="003F0974">
      <w:pPr>
        <w:pStyle w:val="AERbodytext"/>
        <w:rPr>
          <w:rStyle w:val="AERbody"/>
        </w:rPr>
      </w:pPr>
      <w:r w:rsidRPr="00C62758">
        <w:rPr>
          <w:rStyle w:val="AERbody"/>
        </w:rPr>
        <w:t xml:space="preserve">ActewAGL submitted its revised connection policy on </w:t>
      </w:r>
      <w:r w:rsidR="00E338A7">
        <w:rPr>
          <w:rStyle w:val="AERbody"/>
        </w:rPr>
        <w:t>28</w:t>
      </w:r>
      <w:r w:rsidRPr="00C62758">
        <w:rPr>
          <w:rStyle w:val="AERbody"/>
        </w:rPr>
        <w:t xml:space="preserve"> March 2014, which addressed our previous concerns. We have reassessed</w:t>
      </w:r>
      <w:r w:rsidRPr="00301ABD">
        <w:rPr>
          <w:rStyle w:val="AERbody"/>
        </w:rPr>
        <w:t xml:space="preserve"> ActewAGL’s revised transitional connection policy and consider that it meets the requirements under Part DA of Chapter 6 of the NER. It is also consistent with the connection charge principles and the AER's connection charge guidelines for electricity retail customers. </w:t>
      </w:r>
      <w:bookmarkStart w:id="188" w:name="_Toc378163532"/>
      <w:bookmarkStart w:id="189" w:name="_Toc378163654"/>
      <w:bookmarkStart w:id="190" w:name="_Toc378169423"/>
      <w:bookmarkStart w:id="191" w:name="_Toc384716241"/>
    </w:p>
    <w:p w:rsidR="00FC3F0C" w:rsidRDefault="00FC3F0C" w:rsidP="003F0974">
      <w:pPr>
        <w:pStyle w:val="UnnumberedHeading"/>
        <w:sectPr w:rsidR="00FC3F0C" w:rsidSect="002401A5">
          <w:footerReference w:type="default" r:id="rId37"/>
          <w:pgSz w:w="11906" w:h="16838" w:code="9"/>
          <w:pgMar w:top="1440" w:right="1440" w:bottom="1440" w:left="1440" w:header="709" w:footer="709" w:gutter="0"/>
          <w:cols w:space="708"/>
          <w:docGrid w:linePitch="360"/>
        </w:sectPr>
      </w:pPr>
    </w:p>
    <w:p w:rsidR="00B7680B" w:rsidRPr="00B7680B" w:rsidRDefault="00B7680B" w:rsidP="003F0974">
      <w:pPr>
        <w:pStyle w:val="UnnumberedHeading"/>
      </w:pPr>
      <w:bookmarkStart w:id="192" w:name="_Toc385326325"/>
      <w:r w:rsidRPr="00B7680B">
        <w:lastRenderedPageBreak/>
        <w:t xml:space="preserve">Part </w:t>
      </w:r>
      <w:r>
        <w:t>2</w:t>
      </w:r>
      <w:r w:rsidRPr="00B7680B">
        <w:t xml:space="preserve"> – Appendices</w:t>
      </w:r>
      <w:bookmarkEnd w:id="188"/>
      <w:bookmarkEnd w:id="189"/>
      <w:bookmarkEnd w:id="190"/>
      <w:bookmarkEnd w:id="191"/>
      <w:bookmarkEnd w:id="192"/>
    </w:p>
    <w:p w:rsidR="00E75F8E" w:rsidRDefault="00E75F8E" w:rsidP="003F0974">
      <w:pPr>
        <w:pStyle w:val="Heading7"/>
        <w:sectPr w:rsidR="00E75F8E" w:rsidSect="00FC3F0C">
          <w:headerReference w:type="default" r:id="rId38"/>
          <w:footerReference w:type="default" r:id="rId39"/>
          <w:pgSz w:w="11906" w:h="16838" w:code="9"/>
          <w:pgMar w:top="1440" w:right="1440" w:bottom="1440" w:left="1440" w:header="709" w:footer="709" w:gutter="0"/>
          <w:cols w:space="708"/>
          <w:docGrid w:linePitch="360"/>
        </w:sectPr>
      </w:pPr>
    </w:p>
    <w:p w:rsidR="00724615" w:rsidRPr="00B7680B" w:rsidRDefault="00724615" w:rsidP="00985999">
      <w:pPr>
        <w:pStyle w:val="Heading7"/>
      </w:pPr>
      <w:bookmarkStart w:id="193" w:name="_Ref384818470"/>
      <w:bookmarkStart w:id="194" w:name="_Toc385326326"/>
      <w:r w:rsidRPr="00B7680B">
        <w:lastRenderedPageBreak/>
        <w:t>Submissions</w:t>
      </w:r>
      <w:bookmarkEnd w:id="193"/>
      <w:bookmarkEnd w:id="194"/>
    </w:p>
    <w:p w:rsidR="006A1E04" w:rsidRDefault="006A1E04" w:rsidP="00724615">
      <w:pPr>
        <w:pStyle w:val="Caption"/>
      </w:pPr>
    </w:p>
    <w:p w:rsidR="0052391C" w:rsidRPr="0052391C" w:rsidRDefault="002401A5" w:rsidP="002401A5">
      <w:pPr>
        <w:pStyle w:val="Caption"/>
        <w:jc w:val="left"/>
      </w:pPr>
      <w:r>
        <w:t xml:space="preserve">Table </w:t>
      </w:r>
      <w:r w:rsidR="00DD155E">
        <w:fldChar w:fldCharType="begin"/>
      </w:r>
      <w:r w:rsidR="00DD155E">
        <w:instrText xml:space="preserve"> STYLEREF 7 \s </w:instrText>
      </w:r>
      <w:r w:rsidR="00DD155E">
        <w:fldChar w:fldCharType="separate"/>
      </w:r>
      <w:r w:rsidR="00E313D7">
        <w:rPr>
          <w:noProof/>
        </w:rPr>
        <w:t>A</w:t>
      </w:r>
      <w:r w:rsidR="00DD155E">
        <w:rPr>
          <w:noProof/>
        </w:rPr>
        <w:fldChar w:fldCharType="end"/>
      </w:r>
      <w:r>
        <w:t>.</w:t>
      </w:r>
      <w:r w:rsidR="00DD155E">
        <w:fldChar w:fldCharType="begin"/>
      </w:r>
      <w:r w:rsidR="00DD155E">
        <w:instrText xml:space="preserve"> SEQ Table_Apx \* ARABIC \s 7 </w:instrText>
      </w:r>
      <w:r w:rsidR="00DD155E">
        <w:fldChar w:fldCharType="separate"/>
      </w:r>
      <w:r w:rsidR="00E313D7">
        <w:rPr>
          <w:noProof/>
        </w:rPr>
        <w:t>1</w:t>
      </w:r>
      <w:r w:rsidR="00DD155E">
        <w:rPr>
          <w:noProof/>
        </w:rPr>
        <w:fldChar w:fldCharType="end"/>
      </w:r>
      <w:r w:rsidR="0052391C">
        <w:tab/>
        <w:t>Submissions on Ausgrid</w:t>
      </w:r>
      <w:r w:rsidR="00237716">
        <w:t>’s TRP</w:t>
      </w:r>
    </w:p>
    <w:tbl>
      <w:tblPr>
        <w:tblStyle w:val="AERtable-text"/>
        <w:tblW w:w="5000" w:type="pct"/>
        <w:tblLook w:val="04A0" w:firstRow="1" w:lastRow="0" w:firstColumn="1" w:lastColumn="0" w:noHBand="0" w:noVBand="1"/>
      </w:tblPr>
      <w:tblGrid>
        <w:gridCol w:w="4621"/>
        <w:gridCol w:w="4621"/>
      </w:tblGrid>
      <w:tr w:rsidR="00724615" w:rsidRPr="00830F04" w:rsidTr="00111EB1">
        <w:trPr>
          <w:cnfStyle w:val="100000000000" w:firstRow="1" w:lastRow="0" w:firstColumn="0" w:lastColumn="0" w:oddVBand="0" w:evenVBand="0" w:oddHBand="0" w:evenHBand="0" w:firstRowFirstColumn="0" w:firstRowLastColumn="0" w:lastRowFirstColumn="0" w:lastRowLastColumn="0"/>
        </w:trPr>
        <w:tc>
          <w:tcPr>
            <w:tcW w:w="2500" w:type="pct"/>
            <w:vAlign w:val="top"/>
          </w:tcPr>
          <w:p w:rsidR="00724615" w:rsidRPr="00724615" w:rsidRDefault="00724615" w:rsidP="00724615">
            <w:r>
              <w:t xml:space="preserve">Date </w:t>
            </w:r>
          </w:p>
        </w:tc>
        <w:tc>
          <w:tcPr>
            <w:tcW w:w="2500" w:type="pct"/>
            <w:vAlign w:val="top"/>
          </w:tcPr>
          <w:p w:rsidR="00724615" w:rsidRPr="00724615" w:rsidRDefault="00724615" w:rsidP="00724615">
            <w:r w:rsidRPr="007545EC">
              <w:t>Respondent</w:t>
            </w:r>
          </w:p>
        </w:tc>
      </w:tr>
      <w:tr w:rsidR="00724615" w:rsidRPr="00830F04" w:rsidTr="00111EB1">
        <w:tc>
          <w:tcPr>
            <w:tcW w:w="2500" w:type="pct"/>
          </w:tcPr>
          <w:p w:rsidR="00724615" w:rsidRPr="00724615" w:rsidRDefault="00724615" w:rsidP="00724615">
            <w:r>
              <w:t>3 March 2014</w:t>
            </w:r>
          </w:p>
        </w:tc>
        <w:tc>
          <w:tcPr>
            <w:tcW w:w="2500" w:type="pct"/>
          </w:tcPr>
          <w:p w:rsidR="00724615" w:rsidRPr="00724615" w:rsidRDefault="00724615" w:rsidP="00724615">
            <w:r w:rsidRPr="009A2774">
              <w:t>The National Generators Forum (NGF)</w:t>
            </w:r>
          </w:p>
        </w:tc>
      </w:tr>
      <w:tr w:rsidR="00724615" w:rsidRPr="00830F04" w:rsidTr="00111EB1">
        <w:trPr>
          <w:cnfStyle w:val="000000010000" w:firstRow="0" w:lastRow="0" w:firstColumn="0" w:lastColumn="0" w:oddVBand="0" w:evenVBand="0" w:oddHBand="0" w:evenHBand="1" w:firstRowFirstColumn="0" w:firstRowLastColumn="0" w:lastRowFirstColumn="0" w:lastRowLastColumn="0"/>
        </w:trPr>
        <w:tc>
          <w:tcPr>
            <w:tcW w:w="2500" w:type="pct"/>
          </w:tcPr>
          <w:p w:rsidR="00724615" w:rsidRPr="00724615" w:rsidRDefault="00724615" w:rsidP="00724615">
            <w:r>
              <w:t>4 March 2014</w:t>
            </w:r>
          </w:p>
        </w:tc>
        <w:tc>
          <w:tcPr>
            <w:tcW w:w="2500" w:type="pct"/>
          </w:tcPr>
          <w:p w:rsidR="00724615" w:rsidRPr="00724615" w:rsidRDefault="00724615" w:rsidP="00724615">
            <w:r w:rsidRPr="00027B92">
              <w:t>Major Energy Users Inc</w:t>
            </w:r>
            <w:r w:rsidRPr="00724615">
              <w:t xml:space="preserve"> (MEU)</w:t>
            </w:r>
          </w:p>
        </w:tc>
      </w:tr>
      <w:tr w:rsidR="00724615" w:rsidRPr="00830F04" w:rsidTr="00111EB1">
        <w:tc>
          <w:tcPr>
            <w:tcW w:w="2500" w:type="pct"/>
          </w:tcPr>
          <w:p w:rsidR="00724615" w:rsidRPr="00724615" w:rsidRDefault="00724615" w:rsidP="00724615">
            <w:r>
              <w:t>4 March 2014</w:t>
            </w:r>
          </w:p>
        </w:tc>
        <w:tc>
          <w:tcPr>
            <w:tcW w:w="2500" w:type="pct"/>
          </w:tcPr>
          <w:p w:rsidR="00724615" w:rsidRPr="00724615" w:rsidRDefault="00724615" w:rsidP="00724615">
            <w:r w:rsidRPr="00027B92">
              <w:t>The Public Interest Advocacy Centre (PIAC)</w:t>
            </w:r>
          </w:p>
        </w:tc>
      </w:tr>
      <w:tr w:rsidR="00724615" w:rsidRPr="00830F04" w:rsidTr="00111EB1">
        <w:trPr>
          <w:cnfStyle w:val="000000010000" w:firstRow="0" w:lastRow="0" w:firstColumn="0" w:lastColumn="0" w:oddVBand="0" w:evenVBand="0" w:oddHBand="0" w:evenHBand="1" w:firstRowFirstColumn="0" w:firstRowLastColumn="0" w:lastRowFirstColumn="0" w:lastRowLastColumn="0"/>
        </w:trPr>
        <w:tc>
          <w:tcPr>
            <w:tcW w:w="2500" w:type="pct"/>
          </w:tcPr>
          <w:p w:rsidR="00724615" w:rsidRPr="00724615" w:rsidRDefault="00724615" w:rsidP="00724615">
            <w:r>
              <w:t>5 March 2014</w:t>
            </w:r>
          </w:p>
        </w:tc>
        <w:tc>
          <w:tcPr>
            <w:tcW w:w="2500" w:type="pct"/>
          </w:tcPr>
          <w:p w:rsidR="00724615" w:rsidRPr="00724615" w:rsidRDefault="00724615" w:rsidP="00724615">
            <w:r>
              <w:t>Vector Limited</w:t>
            </w:r>
          </w:p>
        </w:tc>
      </w:tr>
    </w:tbl>
    <w:p w:rsidR="00724615" w:rsidRDefault="00724615" w:rsidP="00724615">
      <w:pPr>
        <w:pStyle w:val="AERbodytext"/>
      </w:pPr>
    </w:p>
    <w:p w:rsidR="00724615" w:rsidRPr="00672E3A" w:rsidRDefault="002401A5" w:rsidP="002401A5">
      <w:pPr>
        <w:pStyle w:val="Caption"/>
        <w:jc w:val="left"/>
      </w:pPr>
      <w:r>
        <w:t>Table</w:t>
      </w:r>
      <w:r w:rsidR="00724615">
        <w:t xml:space="preserve"> </w:t>
      </w:r>
      <w:r w:rsidR="00DD155E">
        <w:fldChar w:fldCharType="begin"/>
      </w:r>
      <w:r w:rsidR="00DD155E">
        <w:instrText xml:space="preserve"> STYLEREF 7 \s </w:instrText>
      </w:r>
      <w:r w:rsidR="00DD155E">
        <w:fldChar w:fldCharType="separate"/>
      </w:r>
      <w:r w:rsidR="00E313D7">
        <w:rPr>
          <w:noProof/>
        </w:rPr>
        <w:t>A</w:t>
      </w:r>
      <w:r w:rsidR="00DD155E">
        <w:rPr>
          <w:noProof/>
        </w:rPr>
        <w:fldChar w:fldCharType="end"/>
      </w:r>
      <w:r>
        <w:t>.</w:t>
      </w:r>
      <w:r w:rsidR="00DD155E">
        <w:fldChar w:fldCharType="begin"/>
      </w:r>
      <w:r w:rsidR="00DD155E">
        <w:instrText xml:space="preserve"> SEQ Table_Apx \* ARABIC \s 7 </w:instrText>
      </w:r>
      <w:r w:rsidR="00DD155E">
        <w:fldChar w:fldCharType="separate"/>
      </w:r>
      <w:r w:rsidR="00E313D7">
        <w:rPr>
          <w:noProof/>
        </w:rPr>
        <w:t>2</w:t>
      </w:r>
      <w:r w:rsidR="00DD155E">
        <w:rPr>
          <w:noProof/>
        </w:rPr>
        <w:fldChar w:fldCharType="end"/>
      </w:r>
      <w:r w:rsidR="00724615">
        <w:tab/>
        <w:t>Submissions on Endeavour Energy</w:t>
      </w:r>
      <w:r w:rsidR="00237716">
        <w:t>’s TRP</w:t>
      </w:r>
    </w:p>
    <w:tbl>
      <w:tblPr>
        <w:tblStyle w:val="AERtable-text"/>
        <w:tblW w:w="5001" w:type="pct"/>
        <w:tblLook w:val="04A0" w:firstRow="1" w:lastRow="0" w:firstColumn="1" w:lastColumn="0" w:noHBand="0" w:noVBand="1"/>
      </w:tblPr>
      <w:tblGrid>
        <w:gridCol w:w="4622"/>
        <w:gridCol w:w="4622"/>
      </w:tblGrid>
      <w:tr w:rsidR="00724615" w:rsidRPr="00830F04" w:rsidTr="00111EB1">
        <w:trPr>
          <w:cnfStyle w:val="100000000000" w:firstRow="1" w:lastRow="0" w:firstColumn="0" w:lastColumn="0" w:oddVBand="0" w:evenVBand="0" w:oddHBand="0" w:evenHBand="0" w:firstRowFirstColumn="0" w:firstRowLastColumn="0" w:lastRowFirstColumn="0" w:lastRowLastColumn="0"/>
        </w:trPr>
        <w:tc>
          <w:tcPr>
            <w:tcW w:w="2500" w:type="pct"/>
            <w:vAlign w:val="top"/>
          </w:tcPr>
          <w:p w:rsidR="00724615" w:rsidRPr="00724615" w:rsidRDefault="00724615" w:rsidP="00724615">
            <w:r>
              <w:t xml:space="preserve">Date </w:t>
            </w:r>
          </w:p>
        </w:tc>
        <w:tc>
          <w:tcPr>
            <w:tcW w:w="2500" w:type="pct"/>
            <w:vAlign w:val="top"/>
          </w:tcPr>
          <w:p w:rsidR="00724615" w:rsidRPr="00724615" w:rsidRDefault="00724615" w:rsidP="00724615">
            <w:r w:rsidRPr="007545EC">
              <w:t>Respondent</w:t>
            </w:r>
          </w:p>
        </w:tc>
      </w:tr>
      <w:tr w:rsidR="00724615" w:rsidRPr="00830F04" w:rsidTr="00111EB1">
        <w:tc>
          <w:tcPr>
            <w:tcW w:w="2500" w:type="pct"/>
          </w:tcPr>
          <w:p w:rsidR="00724615" w:rsidRPr="00724615" w:rsidRDefault="00724615" w:rsidP="00724615">
            <w:r>
              <w:t>3 March 2014</w:t>
            </w:r>
          </w:p>
        </w:tc>
        <w:tc>
          <w:tcPr>
            <w:tcW w:w="2500" w:type="pct"/>
          </w:tcPr>
          <w:p w:rsidR="00724615" w:rsidRPr="00724615" w:rsidRDefault="00724615" w:rsidP="00724615">
            <w:r w:rsidRPr="009A2774">
              <w:t>The National Generators Forum (NGF)</w:t>
            </w:r>
          </w:p>
        </w:tc>
      </w:tr>
      <w:tr w:rsidR="00724615" w:rsidRPr="00830F04" w:rsidTr="00111EB1">
        <w:trPr>
          <w:cnfStyle w:val="000000010000" w:firstRow="0" w:lastRow="0" w:firstColumn="0" w:lastColumn="0" w:oddVBand="0" w:evenVBand="0" w:oddHBand="0" w:evenHBand="1" w:firstRowFirstColumn="0" w:firstRowLastColumn="0" w:lastRowFirstColumn="0" w:lastRowLastColumn="0"/>
        </w:trPr>
        <w:tc>
          <w:tcPr>
            <w:tcW w:w="2500" w:type="pct"/>
          </w:tcPr>
          <w:p w:rsidR="00724615" w:rsidRPr="00724615" w:rsidRDefault="00724615" w:rsidP="00724615">
            <w:r>
              <w:t>4 March 2014</w:t>
            </w:r>
          </w:p>
        </w:tc>
        <w:tc>
          <w:tcPr>
            <w:tcW w:w="2500" w:type="pct"/>
          </w:tcPr>
          <w:p w:rsidR="00724615" w:rsidRPr="00724615" w:rsidRDefault="00724615" w:rsidP="00724615">
            <w:r w:rsidRPr="00027B92">
              <w:t>Major Energy Users Inc</w:t>
            </w:r>
            <w:r w:rsidRPr="00724615">
              <w:t xml:space="preserve"> (MEU)</w:t>
            </w:r>
          </w:p>
        </w:tc>
      </w:tr>
      <w:tr w:rsidR="00724615" w:rsidRPr="00830F04" w:rsidTr="00111EB1">
        <w:tc>
          <w:tcPr>
            <w:tcW w:w="2500" w:type="pct"/>
          </w:tcPr>
          <w:p w:rsidR="00724615" w:rsidRPr="00724615" w:rsidRDefault="00724615" w:rsidP="00724615">
            <w:r>
              <w:t>4 March 2014</w:t>
            </w:r>
          </w:p>
        </w:tc>
        <w:tc>
          <w:tcPr>
            <w:tcW w:w="2500" w:type="pct"/>
          </w:tcPr>
          <w:p w:rsidR="00724615" w:rsidRPr="00724615" w:rsidRDefault="00724615" w:rsidP="00724615">
            <w:r w:rsidRPr="00027B92">
              <w:t>The Public Interest Advocacy Centre (PIAC)</w:t>
            </w:r>
          </w:p>
        </w:tc>
      </w:tr>
      <w:tr w:rsidR="00724615" w:rsidRPr="00830F04" w:rsidTr="00111EB1">
        <w:trPr>
          <w:cnfStyle w:val="000000010000" w:firstRow="0" w:lastRow="0" w:firstColumn="0" w:lastColumn="0" w:oddVBand="0" w:evenVBand="0" w:oddHBand="0" w:evenHBand="1" w:firstRowFirstColumn="0" w:firstRowLastColumn="0" w:lastRowFirstColumn="0" w:lastRowLastColumn="0"/>
        </w:trPr>
        <w:tc>
          <w:tcPr>
            <w:tcW w:w="2500" w:type="pct"/>
          </w:tcPr>
          <w:p w:rsidR="00724615" w:rsidRPr="00724615" w:rsidRDefault="00724615" w:rsidP="00724615">
            <w:r>
              <w:t>5 March 2014</w:t>
            </w:r>
          </w:p>
        </w:tc>
        <w:tc>
          <w:tcPr>
            <w:tcW w:w="2500" w:type="pct"/>
          </w:tcPr>
          <w:p w:rsidR="00724615" w:rsidRPr="00724615" w:rsidRDefault="00724615" w:rsidP="00724615">
            <w:r>
              <w:t xml:space="preserve">Vector </w:t>
            </w:r>
            <w:r w:rsidRPr="00724615">
              <w:t>Limited</w:t>
            </w:r>
          </w:p>
        </w:tc>
      </w:tr>
    </w:tbl>
    <w:p w:rsidR="00724615" w:rsidRDefault="00724615" w:rsidP="00724615">
      <w:pPr>
        <w:pStyle w:val="AERbodytext"/>
      </w:pPr>
    </w:p>
    <w:p w:rsidR="00724615" w:rsidRDefault="002401A5" w:rsidP="002401A5">
      <w:pPr>
        <w:pStyle w:val="Caption"/>
        <w:jc w:val="left"/>
      </w:pPr>
      <w:r>
        <w:t>Table</w:t>
      </w:r>
      <w:r w:rsidR="00724615">
        <w:t xml:space="preserve"> </w:t>
      </w:r>
      <w:r w:rsidR="00DD155E">
        <w:fldChar w:fldCharType="begin"/>
      </w:r>
      <w:r w:rsidR="00DD155E">
        <w:instrText xml:space="preserve"> STYLEREF 7 \s </w:instrText>
      </w:r>
      <w:r w:rsidR="00DD155E">
        <w:fldChar w:fldCharType="separate"/>
      </w:r>
      <w:r w:rsidR="00E313D7">
        <w:rPr>
          <w:noProof/>
        </w:rPr>
        <w:t>A</w:t>
      </w:r>
      <w:r w:rsidR="00DD155E">
        <w:rPr>
          <w:noProof/>
        </w:rPr>
        <w:fldChar w:fldCharType="end"/>
      </w:r>
      <w:r>
        <w:t>.</w:t>
      </w:r>
      <w:r w:rsidR="00DD155E">
        <w:fldChar w:fldCharType="begin"/>
      </w:r>
      <w:r w:rsidR="00DD155E">
        <w:instrText xml:space="preserve"> SEQ Table_Apx \* ARABIC \s 7 </w:instrText>
      </w:r>
      <w:r w:rsidR="00DD155E">
        <w:fldChar w:fldCharType="separate"/>
      </w:r>
      <w:r w:rsidR="00E313D7">
        <w:rPr>
          <w:noProof/>
        </w:rPr>
        <w:t>3</w:t>
      </w:r>
      <w:r w:rsidR="00DD155E">
        <w:rPr>
          <w:noProof/>
        </w:rPr>
        <w:fldChar w:fldCharType="end"/>
      </w:r>
      <w:r w:rsidR="00724615">
        <w:tab/>
        <w:t>Submissions on Essential Energy</w:t>
      </w:r>
      <w:r w:rsidR="00237716">
        <w:t>’s TRP</w:t>
      </w:r>
    </w:p>
    <w:tbl>
      <w:tblPr>
        <w:tblStyle w:val="AERtable-text"/>
        <w:tblW w:w="5001" w:type="pct"/>
        <w:tblLook w:val="04A0" w:firstRow="1" w:lastRow="0" w:firstColumn="1" w:lastColumn="0" w:noHBand="0" w:noVBand="1"/>
      </w:tblPr>
      <w:tblGrid>
        <w:gridCol w:w="4622"/>
        <w:gridCol w:w="4622"/>
      </w:tblGrid>
      <w:tr w:rsidR="00724615" w:rsidRPr="00830F04" w:rsidTr="00111EB1">
        <w:trPr>
          <w:cnfStyle w:val="100000000000" w:firstRow="1" w:lastRow="0" w:firstColumn="0" w:lastColumn="0" w:oddVBand="0" w:evenVBand="0" w:oddHBand="0" w:evenHBand="0" w:firstRowFirstColumn="0" w:firstRowLastColumn="0" w:lastRowFirstColumn="0" w:lastRowLastColumn="0"/>
        </w:trPr>
        <w:tc>
          <w:tcPr>
            <w:tcW w:w="2500" w:type="pct"/>
            <w:vAlign w:val="top"/>
          </w:tcPr>
          <w:p w:rsidR="00724615" w:rsidRPr="00724615" w:rsidRDefault="00724615" w:rsidP="00724615">
            <w:r>
              <w:t xml:space="preserve">Date </w:t>
            </w:r>
          </w:p>
        </w:tc>
        <w:tc>
          <w:tcPr>
            <w:tcW w:w="2500" w:type="pct"/>
            <w:vAlign w:val="top"/>
          </w:tcPr>
          <w:p w:rsidR="00724615" w:rsidRPr="00724615" w:rsidRDefault="00724615" w:rsidP="00724615">
            <w:r w:rsidRPr="007545EC">
              <w:t>Respondent</w:t>
            </w:r>
          </w:p>
        </w:tc>
      </w:tr>
      <w:tr w:rsidR="00724615" w:rsidRPr="00830F04" w:rsidTr="00111EB1">
        <w:tc>
          <w:tcPr>
            <w:tcW w:w="2500" w:type="pct"/>
          </w:tcPr>
          <w:p w:rsidR="00724615" w:rsidRPr="00724615" w:rsidRDefault="00724615" w:rsidP="00724615">
            <w:r>
              <w:t>3 March 2014</w:t>
            </w:r>
          </w:p>
        </w:tc>
        <w:tc>
          <w:tcPr>
            <w:tcW w:w="2500" w:type="pct"/>
          </w:tcPr>
          <w:p w:rsidR="00724615" w:rsidRPr="00724615" w:rsidRDefault="00724615" w:rsidP="00724615">
            <w:r>
              <w:t>Cotton Austr</w:t>
            </w:r>
            <w:r w:rsidRPr="00724615">
              <w:t>alia</w:t>
            </w:r>
          </w:p>
        </w:tc>
      </w:tr>
      <w:tr w:rsidR="00724615" w:rsidRPr="00830F04" w:rsidTr="00111EB1">
        <w:trPr>
          <w:cnfStyle w:val="000000010000" w:firstRow="0" w:lastRow="0" w:firstColumn="0" w:lastColumn="0" w:oddVBand="0" w:evenVBand="0" w:oddHBand="0" w:evenHBand="1" w:firstRowFirstColumn="0" w:firstRowLastColumn="0" w:lastRowFirstColumn="0" w:lastRowLastColumn="0"/>
        </w:trPr>
        <w:tc>
          <w:tcPr>
            <w:tcW w:w="2500" w:type="pct"/>
          </w:tcPr>
          <w:p w:rsidR="00724615" w:rsidRPr="00724615" w:rsidRDefault="00724615" w:rsidP="00724615">
            <w:r>
              <w:t>3 March 2014</w:t>
            </w:r>
          </w:p>
        </w:tc>
        <w:tc>
          <w:tcPr>
            <w:tcW w:w="2500" w:type="pct"/>
          </w:tcPr>
          <w:p w:rsidR="00724615" w:rsidRPr="00724615" w:rsidRDefault="00724615" w:rsidP="00724615">
            <w:r>
              <w:t>NSW Irrigators' Council (NSWIC)</w:t>
            </w:r>
          </w:p>
        </w:tc>
      </w:tr>
      <w:tr w:rsidR="00724615" w:rsidRPr="00830F04" w:rsidTr="00111EB1">
        <w:tc>
          <w:tcPr>
            <w:tcW w:w="2500" w:type="pct"/>
          </w:tcPr>
          <w:p w:rsidR="00724615" w:rsidRPr="00724615" w:rsidRDefault="00724615" w:rsidP="00724615">
            <w:r>
              <w:t>3 March 2014</w:t>
            </w:r>
          </w:p>
        </w:tc>
        <w:tc>
          <w:tcPr>
            <w:tcW w:w="2500" w:type="pct"/>
          </w:tcPr>
          <w:p w:rsidR="00724615" w:rsidRPr="00724615" w:rsidRDefault="00724615" w:rsidP="00724615">
            <w:r w:rsidRPr="009A2774">
              <w:t xml:space="preserve">The National </w:t>
            </w:r>
            <w:r w:rsidRPr="00724615">
              <w:t>Generators Forum (NGF)</w:t>
            </w:r>
          </w:p>
        </w:tc>
      </w:tr>
      <w:tr w:rsidR="00724615" w:rsidRPr="00830F04" w:rsidTr="00111EB1">
        <w:trPr>
          <w:cnfStyle w:val="000000010000" w:firstRow="0" w:lastRow="0" w:firstColumn="0" w:lastColumn="0" w:oddVBand="0" w:evenVBand="0" w:oddHBand="0" w:evenHBand="1" w:firstRowFirstColumn="0" w:firstRowLastColumn="0" w:lastRowFirstColumn="0" w:lastRowLastColumn="0"/>
        </w:trPr>
        <w:tc>
          <w:tcPr>
            <w:tcW w:w="2500" w:type="pct"/>
          </w:tcPr>
          <w:p w:rsidR="00724615" w:rsidRPr="00724615" w:rsidRDefault="00724615" w:rsidP="00724615">
            <w:r>
              <w:t>4 March 2014</w:t>
            </w:r>
          </w:p>
        </w:tc>
        <w:tc>
          <w:tcPr>
            <w:tcW w:w="2500" w:type="pct"/>
          </w:tcPr>
          <w:p w:rsidR="00724615" w:rsidRPr="00724615" w:rsidRDefault="00724615" w:rsidP="00724615">
            <w:r w:rsidRPr="00027B92">
              <w:t>Major Energy Users Inc</w:t>
            </w:r>
            <w:r w:rsidRPr="00724615">
              <w:t xml:space="preserve"> (MEU)</w:t>
            </w:r>
          </w:p>
        </w:tc>
      </w:tr>
      <w:tr w:rsidR="00724615" w:rsidRPr="00830F04" w:rsidTr="00111EB1">
        <w:tc>
          <w:tcPr>
            <w:tcW w:w="2500" w:type="pct"/>
          </w:tcPr>
          <w:p w:rsidR="00724615" w:rsidRPr="00724615" w:rsidRDefault="00724615" w:rsidP="00724615">
            <w:r>
              <w:t>4 March 2014</w:t>
            </w:r>
          </w:p>
        </w:tc>
        <w:tc>
          <w:tcPr>
            <w:tcW w:w="2500" w:type="pct"/>
          </w:tcPr>
          <w:p w:rsidR="00724615" w:rsidRPr="00724615" w:rsidRDefault="00724615" w:rsidP="00724615">
            <w:r w:rsidRPr="00027B92">
              <w:t>The Public Interest Advocacy Centre (PIAC)</w:t>
            </w:r>
          </w:p>
        </w:tc>
      </w:tr>
      <w:tr w:rsidR="00724615" w:rsidRPr="00830F04" w:rsidTr="00111EB1">
        <w:trPr>
          <w:cnfStyle w:val="000000010000" w:firstRow="0" w:lastRow="0" w:firstColumn="0" w:lastColumn="0" w:oddVBand="0" w:evenVBand="0" w:oddHBand="0" w:evenHBand="1" w:firstRowFirstColumn="0" w:firstRowLastColumn="0" w:lastRowFirstColumn="0" w:lastRowLastColumn="0"/>
        </w:trPr>
        <w:tc>
          <w:tcPr>
            <w:tcW w:w="2500" w:type="pct"/>
          </w:tcPr>
          <w:p w:rsidR="00724615" w:rsidRPr="00724615" w:rsidRDefault="00724615" w:rsidP="00724615">
            <w:r>
              <w:t>5 March 2014</w:t>
            </w:r>
          </w:p>
        </w:tc>
        <w:tc>
          <w:tcPr>
            <w:tcW w:w="2500" w:type="pct"/>
          </w:tcPr>
          <w:p w:rsidR="00724615" w:rsidRPr="00724615" w:rsidRDefault="00724615" w:rsidP="00724615">
            <w:r>
              <w:t>Vector Limited</w:t>
            </w:r>
          </w:p>
        </w:tc>
      </w:tr>
    </w:tbl>
    <w:p w:rsidR="00724615" w:rsidRDefault="00724615" w:rsidP="00724615">
      <w:pPr>
        <w:pStyle w:val="AERbodytext"/>
      </w:pPr>
    </w:p>
    <w:p w:rsidR="00724615" w:rsidRDefault="002401A5" w:rsidP="002401A5">
      <w:pPr>
        <w:pStyle w:val="Caption"/>
        <w:jc w:val="left"/>
      </w:pPr>
      <w:r>
        <w:lastRenderedPageBreak/>
        <w:t>Table</w:t>
      </w:r>
      <w:r w:rsidR="00724615">
        <w:t xml:space="preserve"> </w:t>
      </w:r>
      <w:r w:rsidR="00DD155E">
        <w:fldChar w:fldCharType="begin"/>
      </w:r>
      <w:r w:rsidR="00DD155E">
        <w:instrText xml:space="preserve"> STYLEREF 7 \s </w:instrText>
      </w:r>
      <w:r w:rsidR="00DD155E">
        <w:fldChar w:fldCharType="separate"/>
      </w:r>
      <w:r w:rsidR="00E313D7">
        <w:rPr>
          <w:noProof/>
        </w:rPr>
        <w:t>A</w:t>
      </w:r>
      <w:r w:rsidR="00DD155E">
        <w:rPr>
          <w:noProof/>
        </w:rPr>
        <w:fldChar w:fldCharType="end"/>
      </w:r>
      <w:r>
        <w:t>.</w:t>
      </w:r>
      <w:r w:rsidR="00DD155E">
        <w:fldChar w:fldCharType="begin"/>
      </w:r>
      <w:r w:rsidR="00DD155E">
        <w:instrText xml:space="preserve"> SEQ Table_Apx \* ARABIC \s 7 </w:instrText>
      </w:r>
      <w:r w:rsidR="00DD155E">
        <w:fldChar w:fldCharType="separate"/>
      </w:r>
      <w:r w:rsidR="00E313D7">
        <w:rPr>
          <w:noProof/>
        </w:rPr>
        <w:t>4</w:t>
      </w:r>
      <w:r w:rsidR="00DD155E">
        <w:rPr>
          <w:noProof/>
        </w:rPr>
        <w:fldChar w:fldCharType="end"/>
      </w:r>
      <w:r w:rsidR="00724615">
        <w:tab/>
        <w:t>Submissions on ActewAGL</w:t>
      </w:r>
      <w:r w:rsidR="00237716">
        <w:t>’s TRP</w:t>
      </w:r>
    </w:p>
    <w:tbl>
      <w:tblPr>
        <w:tblStyle w:val="AERtable-text"/>
        <w:tblW w:w="5001" w:type="pct"/>
        <w:tblLook w:val="04A0" w:firstRow="1" w:lastRow="0" w:firstColumn="1" w:lastColumn="0" w:noHBand="0" w:noVBand="1"/>
      </w:tblPr>
      <w:tblGrid>
        <w:gridCol w:w="4622"/>
        <w:gridCol w:w="4622"/>
      </w:tblGrid>
      <w:tr w:rsidR="00724615" w:rsidRPr="00830F04" w:rsidTr="00111EB1">
        <w:trPr>
          <w:cnfStyle w:val="100000000000" w:firstRow="1" w:lastRow="0" w:firstColumn="0" w:lastColumn="0" w:oddVBand="0" w:evenVBand="0" w:oddHBand="0" w:evenHBand="0" w:firstRowFirstColumn="0" w:firstRowLastColumn="0" w:lastRowFirstColumn="0" w:lastRowLastColumn="0"/>
        </w:trPr>
        <w:tc>
          <w:tcPr>
            <w:tcW w:w="2500" w:type="pct"/>
            <w:vAlign w:val="top"/>
          </w:tcPr>
          <w:p w:rsidR="00724615" w:rsidRPr="00724615" w:rsidRDefault="00724615" w:rsidP="00724615">
            <w:r>
              <w:t xml:space="preserve">Date </w:t>
            </w:r>
          </w:p>
        </w:tc>
        <w:tc>
          <w:tcPr>
            <w:tcW w:w="2500" w:type="pct"/>
            <w:vAlign w:val="top"/>
          </w:tcPr>
          <w:p w:rsidR="00724615" w:rsidRPr="00724615" w:rsidRDefault="00724615" w:rsidP="00724615">
            <w:r w:rsidRPr="007545EC">
              <w:t>Respondent</w:t>
            </w:r>
          </w:p>
        </w:tc>
      </w:tr>
      <w:tr w:rsidR="00724615" w:rsidRPr="00830F04" w:rsidTr="00111EB1">
        <w:tc>
          <w:tcPr>
            <w:tcW w:w="2500" w:type="pct"/>
          </w:tcPr>
          <w:p w:rsidR="00724615" w:rsidRPr="00724615" w:rsidRDefault="00724615" w:rsidP="00724615">
            <w:r>
              <w:t xml:space="preserve">3 </w:t>
            </w:r>
            <w:r w:rsidRPr="00724615">
              <w:t>March 2014</w:t>
            </w:r>
          </w:p>
        </w:tc>
        <w:tc>
          <w:tcPr>
            <w:tcW w:w="2500" w:type="pct"/>
          </w:tcPr>
          <w:p w:rsidR="00724615" w:rsidRPr="00724615" w:rsidRDefault="00724615" w:rsidP="00724615">
            <w:r w:rsidRPr="00027B92">
              <w:t>The Australian National University</w:t>
            </w:r>
          </w:p>
        </w:tc>
      </w:tr>
      <w:tr w:rsidR="00724615" w:rsidRPr="00830F04" w:rsidTr="00111EB1">
        <w:trPr>
          <w:cnfStyle w:val="000000010000" w:firstRow="0" w:lastRow="0" w:firstColumn="0" w:lastColumn="0" w:oddVBand="0" w:evenVBand="0" w:oddHBand="0" w:evenHBand="1" w:firstRowFirstColumn="0" w:firstRowLastColumn="0" w:lastRowFirstColumn="0" w:lastRowLastColumn="0"/>
        </w:trPr>
        <w:tc>
          <w:tcPr>
            <w:tcW w:w="2500" w:type="pct"/>
          </w:tcPr>
          <w:p w:rsidR="00724615" w:rsidRPr="00724615" w:rsidRDefault="00724615" w:rsidP="00724615">
            <w:r>
              <w:t>5 March 2014</w:t>
            </w:r>
          </w:p>
        </w:tc>
        <w:tc>
          <w:tcPr>
            <w:tcW w:w="2500" w:type="pct"/>
          </w:tcPr>
          <w:p w:rsidR="00724615" w:rsidRPr="00724615" w:rsidRDefault="00724615" w:rsidP="00724615">
            <w:r>
              <w:t>Vector Limited</w:t>
            </w:r>
          </w:p>
        </w:tc>
      </w:tr>
    </w:tbl>
    <w:p w:rsidR="00724615" w:rsidRDefault="00724615" w:rsidP="00724615"/>
    <w:p w:rsidR="00724615" w:rsidRPr="00230079" w:rsidRDefault="00724615" w:rsidP="00724615">
      <w:r>
        <w:br w:type="page"/>
      </w:r>
    </w:p>
    <w:p w:rsidR="00985999" w:rsidRDefault="00985999" w:rsidP="003F0974">
      <w:pPr>
        <w:pStyle w:val="Heading7"/>
        <w:sectPr w:rsidR="00985999" w:rsidSect="00E75F8E">
          <w:headerReference w:type="even" r:id="rId40"/>
          <w:headerReference w:type="default" r:id="rId41"/>
          <w:footerReference w:type="even" r:id="rId42"/>
          <w:footerReference w:type="default" r:id="rId43"/>
          <w:pgSz w:w="11906" w:h="16838" w:code="9"/>
          <w:pgMar w:top="1440" w:right="1440" w:bottom="1440" w:left="1440" w:header="709" w:footer="709" w:gutter="0"/>
          <w:cols w:space="708"/>
          <w:docGrid w:linePitch="360"/>
        </w:sectPr>
      </w:pPr>
      <w:bookmarkStart w:id="195" w:name="_Toc383436085"/>
    </w:p>
    <w:p w:rsidR="00AE52E4" w:rsidRPr="00B7680B" w:rsidRDefault="00724615" w:rsidP="003F0974">
      <w:pPr>
        <w:pStyle w:val="Heading7"/>
      </w:pPr>
      <w:bookmarkStart w:id="196" w:name="_Ref384818511"/>
      <w:bookmarkStart w:id="197" w:name="_Toc385326327"/>
      <w:r w:rsidRPr="00B7680B">
        <w:lastRenderedPageBreak/>
        <w:t xml:space="preserve">Summary of </w:t>
      </w:r>
      <w:r w:rsidR="00237716">
        <w:t xml:space="preserve">the </w:t>
      </w:r>
      <w:r w:rsidR="0063720C" w:rsidRPr="00B7680B">
        <w:t>NSW/ACT DNSPs</w:t>
      </w:r>
      <w:r w:rsidRPr="00B7680B">
        <w:t>’ transitional regulatory proposals</w:t>
      </w:r>
      <w:bookmarkStart w:id="198" w:name="_Ref384118734"/>
      <w:bookmarkEnd w:id="195"/>
      <w:bookmarkEnd w:id="196"/>
      <w:bookmarkEnd w:id="197"/>
    </w:p>
    <w:p w:rsidR="00985999" w:rsidRDefault="00985999" w:rsidP="003F0974">
      <w:pPr>
        <w:pStyle w:val="Heading8"/>
        <w:sectPr w:rsidR="00985999" w:rsidSect="00E75F8E">
          <w:headerReference w:type="even" r:id="rId44"/>
          <w:footerReference w:type="even" r:id="rId45"/>
          <w:footerReference w:type="default" r:id="rId46"/>
          <w:pgSz w:w="11906" w:h="16838" w:code="9"/>
          <w:pgMar w:top="1440" w:right="1440" w:bottom="1440" w:left="1440" w:header="709" w:footer="709" w:gutter="0"/>
          <w:cols w:space="708"/>
          <w:docGrid w:linePitch="360"/>
        </w:sectPr>
      </w:pPr>
    </w:p>
    <w:p w:rsidR="00724615" w:rsidRPr="00B7680B" w:rsidRDefault="00724615" w:rsidP="003F0974">
      <w:pPr>
        <w:pStyle w:val="Heading8"/>
      </w:pPr>
      <w:bookmarkStart w:id="199" w:name="_Toc385326328"/>
      <w:r w:rsidRPr="00B7680B">
        <w:lastRenderedPageBreak/>
        <w:t>Ausgrid</w:t>
      </w:r>
      <w:bookmarkEnd w:id="198"/>
      <w:bookmarkEnd w:id="199"/>
    </w:p>
    <w:p w:rsidR="00724615" w:rsidRPr="0001467A" w:rsidRDefault="00724615" w:rsidP="003F0974">
      <w:pPr>
        <w:pStyle w:val="Heading9"/>
      </w:pPr>
      <w:r w:rsidRPr="0001467A">
        <w:t xml:space="preserve">Total revenue </w:t>
      </w:r>
    </w:p>
    <w:p w:rsidR="00724615" w:rsidRDefault="00846C67" w:rsidP="00724615">
      <w:pPr>
        <w:pStyle w:val="AERbodytext"/>
        <w:numPr>
          <w:ilvl w:val="0"/>
          <w:numId w:val="6"/>
        </w:numPr>
      </w:pPr>
      <w:r>
        <w:fldChar w:fldCharType="begin"/>
      </w:r>
      <w:r>
        <w:instrText xml:space="preserve"> REF _Ref384806772 \h </w:instrText>
      </w:r>
      <w:r>
        <w:fldChar w:fldCharType="separate"/>
      </w:r>
      <w:r w:rsidR="00E313D7">
        <w:t xml:space="preserve">Table </w:t>
      </w:r>
      <w:r w:rsidR="00E313D7">
        <w:rPr>
          <w:noProof/>
        </w:rPr>
        <w:t>B</w:t>
      </w:r>
      <w:r w:rsidR="00E313D7">
        <w:t>.</w:t>
      </w:r>
      <w:r w:rsidR="00E313D7">
        <w:rPr>
          <w:noProof/>
        </w:rPr>
        <w:t>1</w:t>
      </w:r>
      <w:r>
        <w:fldChar w:fldCharType="end"/>
      </w:r>
      <w:r w:rsidR="006967DB">
        <w:t xml:space="preserve"> </w:t>
      </w:r>
      <w:r>
        <w:t xml:space="preserve">and </w:t>
      </w:r>
      <w:r w:rsidR="00A8654A">
        <w:fldChar w:fldCharType="begin"/>
      </w:r>
      <w:r w:rsidR="00A8654A">
        <w:instrText xml:space="preserve"> REF  _Ref382555866 \* Caps \h </w:instrText>
      </w:r>
      <w:r w:rsidR="00A8654A">
        <w:fldChar w:fldCharType="separate"/>
      </w:r>
      <w:r w:rsidR="00E313D7">
        <w:t>Table</w:t>
      </w:r>
      <w:r w:rsidR="00E313D7" w:rsidRPr="003D4734">
        <w:t xml:space="preserve"> </w:t>
      </w:r>
      <w:r w:rsidR="00E313D7">
        <w:rPr>
          <w:noProof/>
        </w:rPr>
        <w:t>B</w:t>
      </w:r>
      <w:r w:rsidR="00E313D7">
        <w:t>.</w:t>
      </w:r>
      <w:r w:rsidR="00E313D7">
        <w:rPr>
          <w:noProof/>
        </w:rPr>
        <w:t>2</w:t>
      </w:r>
      <w:r w:rsidR="00A8654A">
        <w:fldChar w:fldCharType="end"/>
      </w:r>
      <w:r>
        <w:t xml:space="preserve"> s</w:t>
      </w:r>
      <w:r w:rsidR="00724615" w:rsidRPr="007076B6">
        <w:t xml:space="preserve">how </w:t>
      </w:r>
      <w:r w:rsidR="00724615">
        <w:t>Ausgrid</w:t>
      </w:r>
      <w:r w:rsidR="00724615" w:rsidRPr="007076B6">
        <w:t>’s proposed total revenue for each year of the 2014–19 period</w:t>
      </w:r>
      <w:r w:rsidR="00724615">
        <w:t xml:space="preserve"> for its distribution and transmission networks respectively. The total revenue is broken up by its</w:t>
      </w:r>
      <w:r w:rsidR="00724615" w:rsidRPr="007076B6">
        <w:t xml:space="preserve"> constituent building blocks and </w:t>
      </w:r>
      <w:r w:rsidR="00724615">
        <w:t>shows Ausgrid</w:t>
      </w:r>
      <w:r w:rsidR="00724615" w:rsidRPr="007076B6">
        <w:t xml:space="preserve">’s proposed </w:t>
      </w:r>
      <w:r w:rsidR="00724615">
        <w:t xml:space="preserve">revenue </w:t>
      </w:r>
      <w:r w:rsidR="00724615" w:rsidRPr="007076B6">
        <w:t>smoothing.</w:t>
      </w:r>
    </w:p>
    <w:p w:rsidR="00724615" w:rsidRPr="003D4734" w:rsidRDefault="002401A5" w:rsidP="009500BC">
      <w:pPr>
        <w:pStyle w:val="Caption"/>
        <w:jc w:val="left"/>
      </w:pPr>
      <w:bookmarkStart w:id="200" w:name="_Ref384806772"/>
      <w:r>
        <w:t>Table</w:t>
      </w:r>
      <w:r w:rsidR="00CB749C">
        <w:t xml:space="preserve"> </w:t>
      </w:r>
      <w:r w:rsidR="00DD155E">
        <w:fldChar w:fldCharType="begin"/>
      </w:r>
      <w:r w:rsidR="00DD155E">
        <w:instrText xml:space="preserve"> STYLEREF 7 \s </w:instrText>
      </w:r>
      <w:r w:rsidR="00DD155E">
        <w:fldChar w:fldCharType="separate"/>
      </w:r>
      <w:r w:rsidR="00E313D7">
        <w:rPr>
          <w:noProof/>
        </w:rPr>
        <w:t>B</w:t>
      </w:r>
      <w:r w:rsidR="00DD155E">
        <w:rPr>
          <w:noProof/>
        </w:rPr>
        <w:fldChar w:fldCharType="end"/>
      </w:r>
      <w:r>
        <w:t>.</w:t>
      </w:r>
      <w:r w:rsidR="00DD155E">
        <w:fldChar w:fldCharType="begin"/>
      </w:r>
      <w:r w:rsidR="00DD155E">
        <w:instrText xml:space="preserve"> SEQ Table_Apx \* ARABIC \s 7 </w:instrText>
      </w:r>
      <w:r w:rsidR="00DD155E">
        <w:fldChar w:fldCharType="separate"/>
      </w:r>
      <w:r w:rsidR="00E313D7">
        <w:rPr>
          <w:noProof/>
        </w:rPr>
        <w:t>1</w:t>
      </w:r>
      <w:r w:rsidR="00DD155E">
        <w:rPr>
          <w:noProof/>
        </w:rPr>
        <w:fldChar w:fldCharType="end"/>
      </w:r>
      <w:bookmarkEnd w:id="200"/>
      <w:r w:rsidR="00724615">
        <w:tab/>
      </w:r>
      <w:r w:rsidR="00724615" w:rsidRPr="00C02073">
        <w:t xml:space="preserve">Ausgrid's proposed building blocks and total revenue </w:t>
      </w:r>
      <w:r w:rsidR="00724615">
        <w:t>–</w:t>
      </w:r>
      <w:r w:rsidR="00724615" w:rsidRPr="00C02073">
        <w:t xml:space="preserve"> </w:t>
      </w:r>
      <w:r w:rsidR="00724615">
        <w:t>distribution</w:t>
      </w:r>
      <w:r w:rsidR="00724615" w:rsidRPr="00C02073">
        <w:t xml:space="preserve"> ($m, nominal)</w:t>
      </w:r>
    </w:p>
    <w:tbl>
      <w:tblPr>
        <w:tblStyle w:val="AERtable-numbers"/>
        <w:tblW w:w="9026" w:type="dxa"/>
        <w:tblLook w:val="04A0" w:firstRow="1" w:lastRow="0" w:firstColumn="1" w:lastColumn="0" w:noHBand="0" w:noVBand="1"/>
      </w:tblPr>
      <w:tblGrid>
        <w:gridCol w:w="3240"/>
        <w:gridCol w:w="965"/>
        <w:gridCol w:w="965"/>
        <w:gridCol w:w="964"/>
        <w:gridCol w:w="964"/>
        <w:gridCol w:w="964"/>
        <w:gridCol w:w="964"/>
      </w:tblGrid>
      <w:tr w:rsidR="00724615" w:rsidRPr="00F85305" w:rsidTr="00111EB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40" w:type="dxa"/>
            <w:noWrap/>
            <w:hideMark/>
          </w:tcPr>
          <w:p w:rsidR="00724615" w:rsidRPr="00724615" w:rsidRDefault="00724615" w:rsidP="006D2665">
            <w:pPr>
              <w:pStyle w:val="AERtabletextleft"/>
              <w:spacing w:before="120"/>
            </w:pPr>
            <w:r w:rsidRPr="00DD1199">
              <w:t>Building blocks</w:t>
            </w:r>
          </w:p>
        </w:tc>
        <w:tc>
          <w:tcPr>
            <w:tcW w:w="965" w:type="dxa"/>
            <w:noWrap/>
            <w:hideMark/>
          </w:tcPr>
          <w:p w:rsidR="00724615" w:rsidRPr="00724615" w:rsidRDefault="00724615" w:rsidP="006D2665">
            <w:pPr>
              <w:pStyle w:val="AERtabletextright"/>
              <w:spacing w:after="120"/>
              <w:cnfStyle w:val="100000000000" w:firstRow="1" w:lastRow="0" w:firstColumn="0" w:lastColumn="0" w:oddVBand="0" w:evenVBand="0" w:oddHBand="0" w:evenHBand="0" w:firstRowFirstColumn="0" w:firstRowLastColumn="0" w:lastRowFirstColumn="0" w:lastRowLastColumn="0"/>
            </w:pPr>
            <w:r w:rsidRPr="00DD1199">
              <w:t>2013–14</w:t>
            </w:r>
          </w:p>
        </w:tc>
        <w:tc>
          <w:tcPr>
            <w:tcW w:w="965" w:type="dxa"/>
            <w:noWrap/>
            <w:hideMark/>
          </w:tcPr>
          <w:p w:rsidR="00724615" w:rsidRPr="00724615" w:rsidRDefault="00724615" w:rsidP="006D2665">
            <w:pPr>
              <w:pStyle w:val="AERtabletextright"/>
              <w:spacing w:after="120"/>
              <w:cnfStyle w:val="100000000000" w:firstRow="1" w:lastRow="0" w:firstColumn="0" w:lastColumn="0" w:oddVBand="0" w:evenVBand="0" w:oddHBand="0" w:evenHBand="0" w:firstRowFirstColumn="0" w:firstRowLastColumn="0" w:lastRowFirstColumn="0" w:lastRowLastColumn="0"/>
            </w:pPr>
            <w:r w:rsidRPr="00DD1199">
              <w:t>2014–15</w:t>
            </w:r>
          </w:p>
        </w:tc>
        <w:tc>
          <w:tcPr>
            <w:tcW w:w="964" w:type="dxa"/>
            <w:noWrap/>
            <w:hideMark/>
          </w:tcPr>
          <w:p w:rsidR="00724615" w:rsidRPr="00724615" w:rsidRDefault="00724615" w:rsidP="006D2665">
            <w:pPr>
              <w:pStyle w:val="AERtabletextright"/>
              <w:spacing w:after="120"/>
              <w:cnfStyle w:val="100000000000" w:firstRow="1" w:lastRow="0" w:firstColumn="0" w:lastColumn="0" w:oddVBand="0" w:evenVBand="0" w:oddHBand="0" w:evenHBand="0" w:firstRowFirstColumn="0" w:firstRowLastColumn="0" w:lastRowFirstColumn="0" w:lastRowLastColumn="0"/>
            </w:pPr>
            <w:r w:rsidRPr="00DD1199">
              <w:t>2015–16</w:t>
            </w:r>
          </w:p>
        </w:tc>
        <w:tc>
          <w:tcPr>
            <w:tcW w:w="964" w:type="dxa"/>
            <w:noWrap/>
            <w:hideMark/>
          </w:tcPr>
          <w:p w:rsidR="00724615" w:rsidRPr="00724615" w:rsidRDefault="00724615" w:rsidP="006D2665">
            <w:pPr>
              <w:pStyle w:val="AERtabletextright"/>
              <w:spacing w:after="120"/>
              <w:cnfStyle w:val="100000000000" w:firstRow="1" w:lastRow="0" w:firstColumn="0" w:lastColumn="0" w:oddVBand="0" w:evenVBand="0" w:oddHBand="0" w:evenHBand="0" w:firstRowFirstColumn="0" w:firstRowLastColumn="0" w:lastRowFirstColumn="0" w:lastRowLastColumn="0"/>
            </w:pPr>
            <w:r w:rsidRPr="00DD1199">
              <w:t>2016–17</w:t>
            </w:r>
          </w:p>
        </w:tc>
        <w:tc>
          <w:tcPr>
            <w:tcW w:w="964" w:type="dxa"/>
            <w:noWrap/>
            <w:hideMark/>
          </w:tcPr>
          <w:p w:rsidR="00724615" w:rsidRPr="00724615" w:rsidRDefault="00724615" w:rsidP="006D2665">
            <w:pPr>
              <w:pStyle w:val="AERtabletextright"/>
              <w:spacing w:after="120"/>
              <w:cnfStyle w:val="100000000000" w:firstRow="1" w:lastRow="0" w:firstColumn="0" w:lastColumn="0" w:oddVBand="0" w:evenVBand="0" w:oddHBand="0" w:evenHBand="0" w:firstRowFirstColumn="0" w:firstRowLastColumn="0" w:lastRowFirstColumn="0" w:lastRowLastColumn="0"/>
            </w:pPr>
            <w:r w:rsidRPr="00DD1199">
              <w:t>2017–18</w:t>
            </w:r>
          </w:p>
        </w:tc>
        <w:tc>
          <w:tcPr>
            <w:tcW w:w="964" w:type="dxa"/>
            <w:noWrap/>
            <w:hideMark/>
          </w:tcPr>
          <w:p w:rsidR="00724615" w:rsidRPr="00724615" w:rsidRDefault="00724615" w:rsidP="006D2665">
            <w:pPr>
              <w:pStyle w:val="AERtabletextright"/>
              <w:spacing w:after="120"/>
              <w:cnfStyle w:val="100000000000" w:firstRow="1" w:lastRow="0" w:firstColumn="0" w:lastColumn="0" w:oddVBand="0" w:evenVBand="0" w:oddHBand="0" w:evenHBand="0" w:firstRowFirstColumn="0" w:firstRowLastColumn="0" w:lastRowFirstColumn="0" w:lastRowLastColumn="0"/>
            </w:pPr>
            <w:r w:rsidRPr="00DD1199">
              <w:t>2018–19</w:t>
            </w:r>
          </w:p>
        </w:tc>
      </w:tr>
      <w:tr w:rsidR="00724615" w:rsidRPr="00F85305" w:rsidTr="00111EB1">
        <w:trPr>
          <w:trHeight w:val="255"/>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hideMark/>
          </w:tcPr>
          <w:p w:rsidR="00724615" w:rsidRPr="00724615" w:rsidRDefault="00724615" w:rsidP="006D2665">
            <w:pPr>
              <w:pStyle w:val="AERtabletextleft"/>
              <w:spacing w:before="120"/>
            </w:pPr>
            <w:r w:rsidRPr="00DD1199">
              <w:t>Return on capital</w:t>
            </w:r>
          </w:p>
        </w:tc>
        <w:tc>
          <w:tcPr>
            <w:tcW w:w="965" w:type="dxa"/>
            <w:shd w:val="clear" w:color="auto" w:fill="auto"/>
            <w:noWrap/>
            <w:hideMark/>
          </w:tcPr>
          <w:p w:rsidR="00724615" w:rsidRPr="00DD1199" w:rsidRDefault="00724615" w:rsidP="006D2665">
            <w:pPr>
              <w:pStyle w:val="AERtabletextright"/>
              <w:spacing w:after="120"/>
              <w:cnfStyle w:val="000000000000" w:firstRow="0" w:lastRow="0" w:firstColumn="0" w:lastColumn="0" w:oddVBand="0" w:evenVBand="0" w:oddHBand="0" w:evenHBand="0" w:firstRowFirstColumn="0" w:firstRowLastColumn="0" w:lastRowFirstColumn="0" w:lastRowLastColumn="0"/>
            </w:pPr>
          </w:p>
        </w:tc>
        <w:tc>
          <w:tcPr>
            <w:tcW w:w="965" w:type="dxa"/>
            <w:shd w:val="clear" w:color="auto" w:fill="auto"/>
            <w:noWrap/>
            <w:hideMark/>
          </w:tcPr>
          <w:p w:rsidR="00724615" w:rsidRPr="00724615" w:rsidRDefault="00724615" w:rsidP="006D2665">
            <w:pPr>
              <w:pStyle w:val="AERtabletextright"/>
              <w:spacing w:after="120"/>
              <w:cnfStyle w:val="000000000000" w:firstRow="0" w:lastRow="0" w:firstColumn="0" w:lastColumn="0" w:oddVBand="0" w:evenVBand="0" w:oddHBand="0" w:evenHBand="0" w:firstRowFirstColumn="0" w:firstRowLastColumn="0" w:lastRowFirstColumn="0" w:lastRowLastColumn="0"/>
            </w:pPr>
            <w:r w:rsidRPr="00DD1199">
              <w:t xml:space="preserve">     1047 </w:t>
            </w:r>
          </w:p>
        </w:tc>
        <w:tc>
          <w:tcPr>
            <w:tcW w:w="964" w:type="dxa"/>
            <w:shd w:val="clear" w:color="auto" w:fill="auto"/>
            <w:noWrap/>
            <w:hideMark/>
          </w:tcPr>
          <w:p w:rsidR="00724615" w:rsidRPr="00724615" w:rsidRDefault="00724615" w:rsidP="006D2665">
            <w:pPr>
              <w:pStyle w:val="AERtabletextright"/>
              <w:spacing w:after="120"/>
              <w:cnfStyle w:val="000000000000" w:firstRow="0" w:lastRow="0" w:firstColumn="0" w:lastColumn="0" w:oddVBand="0" w:evenVBand="0" w:oddHBand="0" w:evenHBand="0" w:firstRowFirstColumn="0" w:firstRowLastColumn="0" w:lastRowFirstColumn="0" w:lastRowLastColumn="0"/>
            </w:pPr>
            <w:r w:rsidRPr="00DD1199">
              <w:t xml:space="preserve">     1107 </w:t>
            </w:r>
          </w:p>
        </w:tc>
        <w:tc>
          <w:tcPr>
            <w:tcW w:w="964" w:type="dxa"/>
            <w:shd w:val="clear" w:color="auto" w:fill="auto"/>
            <w:noWrap/>
            <w:hideMark/>
          </w:tcPr>
          <w:p w:rsidR="00724615" w:rsidRPr="00724615" w:rsidRDefault="00724615" w:rsidP="006D2665">
            <w:pPr>
              <w:pStyle w:val="AERtabletextright"/>
              <w:spacing w:after="120"/>
              <w:cnfStyle w:val="000000000000" w:firstRow="0" w:lastRow="0" w:firstColumn="0" w:lastColumn="0" w:oddVBand="0" w:evenVBand="0" w:oddHBand="0" w:evenHBand="0" w:firstRowFirstColumn="0" w:firstRowLastColumn="0" w:lastRowFirstColumn="0" w:lastRowLastColumn="0"/>
            </w:pPr>
            <w:r w:rsidRPr="00DD1199">
              <w:t xml:space="preserve">     1172 </w:t>
            </w:r>
          </w:p>
        </w:tc>
        <w:tc>
          <w:tcPr>
            <w:tcW w:w="964" w:type="dxa"/>
            <w:shd w:val="clear" w:color="auto" w:fill="auto"/>
            <w:noWrap/>
            <w:hideMark/>
          </w:tcPr>
          <w:p w:rsidR="00724615" w:rsidRPr="00724615" w:rsidRDefault="00724615" w:rsidP="006D2665">
            <w:pPr>
              <w:pStyle w:val="AERtabletextright"/>
              <w:spacing w:after="120"/>
              <w:cnfStyle w:val="000000000000" w:firstRow="0" w:lastRow="0" w:firstColumn="0" w:lastColumn="0" w:oddVBand="0" w:evenVBand="0" w:oddHBand="0" w:evenHBand="0" w:firstRowFirstColumn="0" w:firstRowLastColumn="0" w:lastRowFirstColumn="0" w:lastRowLastColumn="0"/>
            </w:pPr>
            <w:r w:rsidRPr="00DD1199">
              <w:t xml:space="preserve">     1229 </w:t>
            </w:r>
          </w:p>
        </w:tc>
        <w:tc>
          <w:tcPr>
            <w:tcW w:w="964" w:type="dxa"/>
            <w:shd w:val="clear" w:color="auto" w:fill="auto"/>
            <w:noWrap/>
            <w:hideMark/>
          </w:tcPr>
          <w:p w:rsidR="00724615" w:rsidRPr="00724615" w:rsidRDefault="00724615" w:rsidP="006D2665">
            <w:pPr>
              <w:pStyle w:val="AERtabletextright"/>
              <w:spacing w:after="120"/>
              <w:cnfStyle w:val="000000000000" w:firstRow="0" w:lastRow="0" w:firstColumn="0" w:lastColumn="0" w:oddVBand="0" w:evenVBand="0" w:oddHBand="0" w:evenHBand="0" w:firstRowFirstColumn="0" w:firstRowLastColumn="0" w:lastRowFirstColumn="0" w:lastRowLastColumn="0"/>
            </w:pPr>
            <w:r w:rsidRPr="00DD1199">
              <w:t xml:space="preserve">     1285 </w:t>
            </w:r>
          </w:p>
        </w:tc>
      </w:tr>
      <w:tr w:rsidR="00724615" w:rsidRPr="00F85305" w:rsidTr="00111EB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40" w:type="dxa"/>
            <w:noWrap/>
            <w:hideMark/>
          </w:tcPr>
          <w:p w:rsidR="00724615" w:rsidRPr="00724615" w:rsidRDefault="00724615" w:rsidP="006D2665">
            <w:pPr>
              <w:pStyle w:val="AERtabletextleft"/>
              <w:spacing w:before="120"/>
            </w:pPr>
            <w:r w:rsidRPr="00DD1199">
              <w:t>Return of capital</w:t>
            </w:r>
          </w:p>
        </w:tc>
        <w:tc>
          <w:tcPr>
            <w:tcW w:w="965" w:type="dxa"/>
            <w:noWrap/>
            <w:hideMark/>
          </w:tcPr>
          <w:p w:rsidR="00724615" w:rsidRPr="00724615" w:rsidRDefault="00724615" w:rsidP="006D2665">
            <w:pPr>
              <w:pStyle w:val="AERtabletextright"/>
              <w:spacing w:after="120"/>
              <w:cnfStyle w:val="000000010000" w:firstRow="0" w:lastRow="0" w:firstColumn="0" w:lastColumn="0" w:oddVBand="0" w:evenVBand="0" w:oddHBand="0" w:evenHBand="1" w:firstRowFirstColumn="0" w:firstRowLastColumn="0" w:lastRowFirstColumn="0" w:lastRowLastColumn="0"/>
            </w:pPr>
            <w:r w:rsidRPr="00DD1199">
              <w:t> </w:t>
            </w:r>
          </w:p>
        </w:tc>
        <w:tc>
          <w:tcPr>
            <w:tcW w:w="965" w:type="dxa"/>
            <w:noWrap/>
            <w:hideMark/>
          </w:tcPr>
          <w:p w:rsidR="00724615" w:rsidRPr="00724615" w:rsidRDefault="00724615" w:rsidP="006D2665">
            <w:pPr>
              <w:pStyle w:val="AERtabletextright"/>
              <w:spacing w:after="120"/>
              <w:cnfStyle w:val="000000010000" w:firstRow="0" w:lastRow="0" w:firstColumn="0" w:lastColumn="0" w:oddVBand="0" w:evenVBand="0" w:oddHBand="0" w:evenHBand="1" w:firstRowFirstColumn="0" w:firstRowLastColumn="0" w:lastRowFirstColumn="0" w:lastRowLastColumn="0"/>
            </w:pPr>
            <w:r w:rsidRPr="00DD1199">
              <w:t xml:space="preserve">        118 </w:t>
            </w:r>
          </w:p>
        </w:tc>
        <w:tc>
          <w:tcPr>
            <w:tcW w:w="964" w:type="dxa"/>
            <w:noWrap/>
            <w:hideMark/>
          </w:tcPr>
          <w:p w:rsidR="00724615" w:rsidRPr="00724615" w:rsidRDefault="00724615" w:rsidP="006D2665">
            <w:pPr>
              <w:pStyle w:val="AERtabletextright"/>
              <w:spacing w:after="120"/>
              <w:cnfStyle w:val="000000010000" w:firstRow="0" w:lastRow="0" w:firstColumn="0" w:lastColumn="0" w:oddVBand="0" w:evenVBand="0" w:oddHBand="0" w:evenHBand="1" w:firstRowFirstColumn="0" w:firstRowLastColumn="0" w:lastRowFirstColumn="0" w:lastRowLastColumn="0"/>
            </w:pPr>
            <w:r w:rsidRPr="00DD1199">
              <w:t xml:space="preserve">        141 </w:t>
            </w:r>
          </w:p>
        </w:tc>
        <w:tc>
          <w:tcPr>
            <w:tcW w:w="964" w:type="dxa"/>
            <w:noWrap/>
            <w:hideMark/>
          </w:tcPr>
          <w:p w:rsidR="00724615" w:rsidRPr="00724615" w:rsidRDefault="00724615" w:rsidP="006D2665">
            <w:pPr>
              <w:pStyle w:val="AERtabletextright"/>
              <w:spacing w:after="120"/>
              <w:cnfStyle w:val="000000010000" w:firstRow="0" w:lastRow="0" w:firstColumn="0" w:lastColumn="0" w:oddVBand="0" w:evenVBand="0" w:oddHBand="0" w:evenHBand="1" w:firstRowFirstColumn="0" w:firstRowLastColumn="0" w:lastRowFirstColumn="0" w:lastRowLastColumn="0"/>
            </w:pPr>
            <w:r w:rsidRPr="00DD1199">
              <w:t xml:space="preserve">        163 </w:t>
            </w:r>
          </w:p>
        </w:tc>
        <w:tc>
          <w:tcPr>
            <w:tcW w:w="964" w:type="dxa"/>
            <w:noWrap/>
            <w:hideMark/>
          </w:tcPr>
          <w:p w:rsidR="00724615" w:rsidRPr="00724615" w:rsidRDefault="00724615" w:rsidP="006D2665">
            <w:pPr>
              <w:pStyle w:val="AERtabletextright"/>
              <w:spacing w:after="120"/>
              <w:cnfStyle w:val="000000010000" w:firstRow="0" w:lastRow="0" w:firstColumn="0" w:lastColumn="0" w:oddVBand="0" w:evenVBand="0" w:oddHBand="0" w:evenHBand="1" w:firstRowFirstColumn="0" w:firstRowLastColumn="0" w:lastRowFirstColumn="0" w:lastRowLastColumn="0"/>
            </w:pPr>
            <w:r w:rsidRPr="00DD1199">
              <w:t xml:space="preserve">        149 </w:t>
            </w:r>
          </w:p>
        </w:tc>
        <w:tc>
          <w:tcPr>
            <w:tcW w:w="964" w:type="dxa"/>
            <w:noWrap/>
            <w:hideMark/>
          </w:tcPr>
          <w:p w:rsidR="00724615" w:rsidRPr="00724615" w:rsidRDefault="00724615" w:rsidP="006D2665">
            <w:pPr>
              <w:pStyle w:val="AERtabletextright"/>
              <w:spacing w:after="120"/>
              <w:cnfStyle w:val="000000010000" w:firstRow="0" w:lastRow="0" w:firstColumn="0" w:lastColumn="0" w:oddVBand="0" w:evenVBand="0" w:oddHBand="0" w:evenHBand="1" w:firstRowFirstColumn="0" w:firstRowLastColumn="0" w:lastRowFirstColumn="0" w:lastRowLastColumn="0"/>
            </w:pPr>
            <w:r w:rsidRPr="00DD1199">
              <w:t xml:space="preserve">        162 </w:t>
            </w:r>
          </w:p>
        </w:tc>
      </w:tr>
      <w:tr w:rsidR="00724615" w:rsidRPr="00F85305" w:rsidTr="00111EB1">
        <w:trPr>
          <w:trHeight w:val="255"/>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hideMark/>
          </w:tcPr>
          <w:p w:rsidR="00724615" w:rsidRPr="00724615" w:rsidRDefault="00724615" w:rsidP="006D2665">
            <w:pPr>
              <w:pStyle w:val="AERtabletextleft"/>
              <w:spacing w:before="120"/>
            </w:pPr>
            <w:r w:rsidRPr="00DD1199">
              <w:t>Operating expenditure</w:t>
            </w:r>
          </w:p>
        </w:tc>
        <w:tc>
          <w:tcPr>
            <w:tcW w:w="965" w:type="dxa"/>
            <w:shd w:val="clear" w:color="auto" w:fill="auto"/>
            <w:noWrap/>
            <w:hideMark/>
          </w:tcPr>
          <w:p w:rsidR="00724615" w:rsidRPr="00DD1199" w:rsidRDefault="00724615" w:rsidP="006D2665">
            <w:pPr>
              <w:pStyle w:val="AERtabletextright"/>
              <w:spacing w:after="120"/>
              <w:cnfStyle w:val="000000000000" w:firstRow="0" w:lastRow="0" w:firstColumn="0" w:lastColumn="0" w:oddVBand="0" w:evenVBand="0" w:oddHBand="0" w:evenHBand="0" w:firstRowFirstColumn="0" w:firstRowLastColumn="0" w:lastRowFirstColumn="0" w:lastRowLastColumn="0"/>
            </w:pPr>
          </w:p>
        </w:tc>
        <w:tc>
          <w:tcPr>
            <w:tcW w:w="965" w:type="dxa"/>
            <w:shd w:val="clear" w:color="auto" w:fill="auto"/>
            <w:noWrap/>
            <w:hideMark/>
          </w:tcPr>
          <w:p w:rsidR="00724615" w:rsidRPr="00724615" w:rsidRDefault="00724615" w:rsidP="006D2665">
            <w:pPr>
              <w:pStyle w:val="AERtabletextright"/>
              <w:spacing w:after="120"/>
              <w:cnfStyle w:val="000000000000" w:firstRow="0" w:lastRow="0" w:firstColumn="0" w:lastColumn="0" w:oddVBand="0" w:evenVBand="0" w:oddHBand="0" w:evenHBand="0" w:firstRowFirstColumn="0" w:firstRowLastColumn="0" w:lastRowFirstColumn="0" w:lastRowLastColumn="0"/>
            </w:pPr>
            <w:r w:rsidRPr="00DD1199">
              <w:t xml:space="preserve">        551 </w:t>
            </w:r>
          </w:p>
        </w:tc>
        <w:tc>
          <w:tcPr>
            <w:tcW w:w="964" w:type="dxa"/>
            <w:shd w:val="clear" w:color="auto" w:fill="auto"/>
            <w:noWrap/>
            <w:hideMark/>
          </w:tcPr>
          <w:p w:rsidR="00724615" w:rsidRPr="00724615" w:rsidRDefault="00724615" w:rsidP="006D2665">
            <w:pPr>
              <w:pStyle w:val="AERtabletextright"/>
              <w:spacing w:after="120"/>
              <w:cnfStyle w:val="000000000000" w:firstRow="0" w:lastRow="0" w:firstColumn="0" w:lastColumn="0" w:oddVBand="0" w:evenVBand="0" w:oddHBand="0" w:evenHBand="0" w:firstRowFirstColumn="0" w:firstRowLastColumn="0" w:lastRowFirstColumn="0" w:lastRowLastColumn="0"/>
            </w:pPr>
            <w:r w:rsidRPr="00DD1199">
              <w:t xml:space="preserve">        551 </w:t>
            </w:r>
          </w:p>
        </w:tc>
        <w:tc>
          <w:tcPr>
            <w:tcW w:w="964" w:type="dxa"/>
            <w:shd w:val="clear" w:color="auto" w:fill="auto"/>
            <w:noWrap/>
            <w:hideMark/>
          </w:tcPr>
          <w:p w:rsidR="00724615" w:rsidRPr="00724615" w:rsidRDefault="00724615" w:rsidP="006D2665">
            <w:pPr>
              <w:pStyle w:val="AERtabletextright"/>
              <w:spacing w:after="120"/>
              <w:cnfStyle w:val="000000000000" w:firstRow="0" w:lastRow="0" w:firstColumn="0" w:lastColumn="0" w:oddVBand="0" w:evenVBand="0" w:oddHBand="0" w:evenHBand="0" w:firstRowFirstColumn="0" w:firstRowLastColumn="0" w:lastRowFirstColumn="0" w:lastRowLastColumn="0"/>
            </w:pPr>
            <w:r w:rsidRPr="00DD1199">
              <w:t xml:space="preserve">        591 </w:t>
            </w:r>
          </w:p>
        </w:tc>
        <w:tc>
          <w:tcPr>
            <w:tcW w:w="964" w:type="dxa"/>
            <w:shd w:val="clear" w:color="auto" w:fill="auto"/>
            <w:noWrap/>
            <w:hideMark/>
          </w:tcPr>
          <w:p w:rsidR="00724615" w:rsidRPr="00724615" w:rsidRDefault="00724615" w:rsidP="006D2665">
            <w:pPr>
              <w:pStyle w:val="AERtabletextright"/>
              <w:spacing w:after="120"/>
              <w:cnfStyle w:val="000000000000" w:firstRow="0" w:lastRow="0" w:firstColumn="0" w:lastColumn="0" w:oddVBand="0" w:evenVBand="0" w:oddHBand="0" w:evenHBand="0" w:firstRowFirstColumn="0" w:firstRowLastColumn="0" w:lastRowFirstColumn="0" w:lastRowLastColumn="0"/>
            </w:pPr>
            <w:r w:rsidRPr="00DD1199">
              <w:t xml:space="preserve">        570 </w:t>
            </w:r>
          </w:p>
        </w:tc>
        <w:tc>
          <w:tcPr>
            <w:tcW w:w="964" w:type="dxa"/>
            <w:shd w:val="clear" w:color="auto" w:fill="auto"/>
            <w:noWrap/>
            <w:hideMark/>
          </w:tcPr>
          <w:p w:rsidR="00724615" w:rsidRPr="00724615" w:rsidRDefault="00724615" w:rsidP="006D2665">
            <w:pPr>
              <w:pStyle w:val="AERtabletextright"/>
              <w:spacing w:after="120"/>
              <w:cnfStyle w:val="000000000000" w:firstRow="0" w:lastRow="0" w:firstColumn="0" w:lastColumn="0" w:oddVBand="0" w:evenVBand="0" w:oddHBand="0" w:evenHBand="0" w:firstRowFirstColumn="0" w:firstRowLastColumn="0" w:lastRowFirstColumn="0" w:lastRowLastColumn="0"/>
            </w:pPr>
            <w:r w:rsidRPr="00DD1199">
              <w:t xml:space="preserve">        577 </w:t>
            </w:r>
          </w:p>
        </w:tc>
      </w:tr>
      <w:tr w:rsidR="00724615" w:rsidRPr="00F85305" w:rsidTr="00111EB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40" w:type="dxa"/>
            <w:noWrap/>
            <w:hideMark/>
          </w:tcPr>
          <w:p w:rsidR="00724615" w:rsidRPr="00724615" w:rsidRDefault="00724615" w:rsidP="006D2665">
            <w:pPr>
              <w:pStyle w:val="AERtabletextleft"/>
              <w:spacing w:before="120"/>
            </w:pPr>
            <w:r w:rsidRPr="00DD1199">
              <w:t>Efficiency carryover</w:t>
            </w:r>
          </w:p>
        </w:tc>
        <w:tc>
          <w:tcPr>
            <w:tcW w:w="965" w:type="dxa"/>
            <w:noWrap/>
            <w:hideMark/>
          </w:tcPr>
          <w:p w:rsidR="00724615" w:rsidRPr="00724615" w:rsidRDefault="00724615" w:rsidP="006D2665">
            <w:pPr>
              <w:pStyle w:val="AERtabletextright"/>
              <w:spacing w:after="120"/>
              <w:cnfStyle w:val="000000010000" w:firstRow="0" w:lastRow="0" w:firstColumn="0" w:lastColumn="0" w:oddVBand="0" w:evenVBand="0" w:oddHBand="0" w:evenHBand="1" w:firstRowFirstColumn="0" w:firstRowLastColumn="0" w:lastRowFirstColumn="0" w:lastRowLastColumn="0"/>
            </w:pPr>
            <w:r w:rsidRPr="00DD1199">
              <w:t> </w:t>
            </w:r>
          </w:p>
        </w:tc>
        <w:tc>
          <w:tcPr>
            <w:tcW w:w="965" w:type="dxa"/>
            <w:noWrap/>
            <w:hideMark/>
          </w:tcPr>
          <w:p w:rsidR="00724615" w:rsidRPr="00724615" w:rsidRDefault="00724615" w:rsidP="006D2665">
            <w:pPr>
              <w:pStyle w:val="AERtabletextright"/>
              <w:spacing w:after="120"/>
              <w:cnfStyle w:val="000000010000" w:firstRow="0" w:lastRow="0" w:firstColumn="0" w:lastColumn="0" w:oddVBand="0" w:evenVBand="0" w:oddHBand="0" w:evenHBand="1" w:firstRowFirstColumn="0" w:firstRowLastColumn="0" w:lastRowFirstColumn="0" w:lastRowLastColumn="0"/>
            </w:pPr>
            <w:r w:rsidRPr="00DD1199">
              <w:t xml:space="preserve">          95 </w:t>
            </w:r>
          </w:p>
        </w:tc>
        <w:tc>
          <w:tcPr>
            <w:tcW w:w="964" w:type="dxa"/>
            <w:noWrap/>
            <w:hideMark/>
          </w:tcPr>
          <w:p w:rsidR="00724615" w:rsidRPr="00724615" w:rsidRDefault="00724615" w:rsidP="006D2665">
            <w:pPr>
              <w:pStyle w:val="AERtabletextright"/>
              <w:spacing w:after="120"/>
              <w:cnfStyle w:val="000000010000" w:firstRow="0" w:lastRow="0" w:firstColumn="0" w:lastColumn="0" w:oddVBand="0" w:evenVBand="0" w:oddHBand="0" w:evenHBand="1" w:firstRowFirstColumn="0" w:firstRowLastColumn="0" w:lastRowFirstColumn="0" w:lastRowLastColumn="0"/>
            </w:pPr>
            <w:r w:rsidRPr="00DD1199">
              <w:t xml:space="preserve">        116 </w:t>
            </w:r>
          </w:p>
        </w:tc>
        <w:tc>
          <w:tcPr>
            <w:tcW w:w="964" w:type="dxa"/>
            <w:noWrap/>
            <w:hideMark/>
          </w:tcPr>
          <w:p w:rsidR="00724615" w:rsidRPr="00724615" w:rsidRDefault="00724615" w:rsidP="006D2665">
            <w:pPr>
              <w:pStyle w:val="AERtabletextright"/>
              <w:spacing w:after="120"/>
              <w:cnfStyle w:val="000000010000" w:firstRow="0" w:lastRow="0" w:firstColumn="0" w:lastColumn="0" w:oddVBand="0" w:evenVBand="0" w:oddHBand="0" w:evenHBand="1" w:firstRowFirstColumn="0" w:firstRowLastColumn="0" w:lastRowFirstColumn="0" w:lastRowLastColumn="0"/>
            </w:pPr>
            <w:r w:rsidRPr="00DD1199">
              <w:t xml:space="preserve">          83 </w:t>
            </w:r>
          </w:p>
        </w:tc>
        <w:tc>
          <w:tcPr>
            <w:tcW w:w="964" w:type="dxa"/>
            <w:noWrap/>
            <w:hideMark/>
          </w:tcPr>
          <w:p w:rsidR="00724615" w:rsidRPr="00724615" w:rsidRDefault="00724615" w:rsidP="006D2665">
            <w:pPr>
              <w:pStyle w:val="AERtabletextright"/>
              <w:spacing w:after="120"/>
              <w:cnfStyle w:val="000000010000" w:firstRow="0" w:lastRow="0" w:firstColumn="0" w:lastColumn="0" w:oddVBand="0" w:evenVBand="0" w:oddHBand="0" w:evenHBand="1" w:firstRowFirstColumn="0" w:firstRowLastColumn="0" w:lastRowFirstColumn="0" w:lastRowLastColumn="0"/>
            </w:pPr>
            <w:r w:rsidRPr="00DD1199">
              <w:t xml:space="preserve">        138 </w:t>
            </w:r>
          </w:p>
        </w:tc>
        <w:tc>
          <w:tcPr>
            <w:tcW w:w="964" w:type="dxa"/>
            <w:noWrap/>
            <w:hideMark/>
          </w:tcPr>
          <w:p w:rsidR="00724615" w:rsidRPr="00724615" w:rsidRDefault="00724615" w:rsidP="006D2665">
            <w:pPr>
              <w:pStyle w:val="AERtabletextright"/>
              <w:spacing w:after="120"/>
              <w:cnfStyle w:val="000000010000" w:firstRow="0" w:lastRow="0" w:firstColumn="0" w:lastColumn="0" w:oddVBand="0" w:evenVBand="0" w:oddHBand="0" w:evenHBand="1" w:firstRowFirstColumn="0" w:firstRowLastColumn="0" w:lastRowFirstColumn="0" w:lastRowLastColumn="0"/>
            </w:pPr>
            <w:r w:rsidRPr="00DD1199">
              <w:t xml:space="preserve">          -   </w:t>
            </w:r>
          </w:p>
        </w:tc>
      </w:tr>
      <w:tr w:rsidR="00724615" w:rsidRPr="00F85305" w:rsidTr="00111EB1">
        <w:trPr>
          <w:trHeight w:val="270"/>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hideMark/>
          </w:tcPr>
          <w:p w:rsidR="00724615" w:rsidRPr="00724615" w:rsidRDefault="00724615" w:rsidP="006D2665">
            <w:pPr>
              <w:pStyle w:val="AERtabletextleft"/>
              <w:spacing w:before="120"/>
            </w:pPr>
            <w:r w:rsidRPr="00DD1199">
              <w:t>Net tax allowance</w:t>
            </w:r>
          </w:p>
        </w:tc>
        <w:tc>
          <w:tcPr>
            <w:tcW w:w="965" w:type="dxa"/>
            <w:shd w:val="clear" w:color="auto" w:fill="auto"/>
            <w:noWrap/>
            <w:hideMark/>
          </w:tcPr>
          <w:p w:rsidR="00724615" w:rsidRPr="00DD1199" w:rsidRDefault="00724615" w:rsidP="006D2665">
            <w:pPr>
              <w:pStyle w:val="AERtabletextright"/>
              <w:spacing w:after="120"/>
              <w:cnfStyle w:val="000000000000" w:firstRow="0" w:lastRow="0" w:firstColumn="0" w:lastColumn="0" w:oddVBand="0" w:evenVBand="0" w:oddHBand="0" w:evenHBand="0" w:firstRowFirstColumn="0" w:firstRowLastColumn="0" w:lastRowFirstColumn="0" w:lastRowLastColumn="0"/>
            </w:pPr>
          </w:p>
        </w:tc>
        <w:tc>
          <w:tcPr>
            <w:tcW w:w="965" w:type="dxa"/>
            <w:shd w:val="clear" w:color="auto" w:fill="auto"/>
            <w:noWrap/>
            <w:hideMark/>
          </w:tcPr>
          <w:p w:rsidR="00724615" w:rsidRPr="00724615" w:rsidRDefault="00724615" w:rsidP="006D2665">
            <w:pPr>
              <w:pStyle w:val="AERtabletextright"/>
              <w:spacing w:after="120"/>
              <w:cnfStyle w:val="000000000000" w:firstRow="0" w:lastRow="0" w:firstColumn="0" w:lastColumn="0" w:oddVBand="0" w:evenVBand="0" w:oddHBand="0" w:evenHBand="0" w:firstRowFirstColumn="0" w:firstRowLastColumn="0" w:lastRowFirstColumn="0" w:lastRowLastColumn="0"/>
            </w:pPr>
            <w:r w:rsidRPr="00DD1199">
              <w:t xml:space="preserve">        105 </w:t>
            </w:r>
          </w:p>
        </w:tc>
        <w:tc>
          <w:tcPr>
            <w:tcW w:w="964" w:type="dxa"/>
            <w:shd w:val="clear" w:color="auto" w:fill="auto"/>
            <w:noWrap/>
            <w:hideMark/>
          </w:tcPr>
          <w:p w:rsidR="00724615" w:rsidRPr="00724615" w:rsidRDefault="00724615" w:rsidP="006D2665">
            <w:pPr>
              <w:pStyle w:val="AERtabletextright"/>
              <w:spacing w:after="120"/>
              <w:cnfStyle w:val="000000000000" w:firstRow="0" w:lastRow="0" w:firstColumn="0" w:lastColumn="0" w:oddVBand="0" w:evenVBand="0" w:oddHBand="0" w:evenHBand="0" w:firstRowFirstColumn="0" w:firstRowLastColumn="0" w:lastRowFirstColumn="0" w:lastRowLastColumn="0"/>
            </w:pPr>
            <w:r w:rsidRPr="00DD1199">
              <w:t xml:space="preserve">        113 </w:t>
            </w:r>
          </w:p>
        </w:tc>
        <w:tc>
          <w:tcPr>
            <w:tcW w:w="964" w:type="dxa"/>
            <w:shd w:val="clear" w:color="auto" w:fill="auto"/>
            <w:noWrap/>
            <w:hideMark/>
          </w:tcPr>
          <w:p w:rsidR="00724615" w:rsidRPr="00724615" w:rsidRDefault="00724615" w:rsidP="006D2665">
            <w:pPr>
              <w:pStyle w:val="AERtabletextright"/>
              <w:spacing w:after="120"/>
              <w:cnfStyle w:val="000000000000" w:firstRow="0" w:lastRow="0" w:firstColumn="0" w:lastColumn="0" w:oddVBand="0" w:evenVBand="0" w:oddHBand="0" w:evenHBand="0" w:firstRowFirstColumn="0" w:firstRowLastColumn="0" w:lastRowFirstColumn="0" w:lastRowLastColumn="0"/>
            </w:pPr>
            <w:r w:rsidRPr="00DD1199">
              <w:t xml:space="preserve">        129 </w:t>
            </w:r>
          </w:p>
        </w:tc>
        <w:tc>
          <w:tcPr>
            <w:tcW w:w="964" w:type="dxa"/>
            <w:shd w:val="clear" w:color="auto" w:fill="auto"/>
            <w:noWrap/>
            <w:hideMark/>
          </w:tcPr>
          <w:p w:rsidR="00724615" w:rsidRPr="00724615" w:rsidRDefault="00724615" w:rsidP="006D2665">
            <w:pPr>
              <w:pStyle w:val="AERtabletextright"/>
              <w:spacing w:after="120"/>
              <w:cnfStyle w:val="000000000000" w:firstRow="0" w:lastRow="0" w:firstColumn="0" w:lastColumn="0" w:oddVBand="0" w:evenVBand="0" w:oddHBand="0" w:evenHBand="0" w:firstRowFirstColumn="0" w:firstRowLastColumn="0" w:lastRowFirstColumn="0" w:lastRowLastColumn="0"/>
            </w:pPr>
            <w:r w:rsidRPr="00DD1199">
              <w:t xml:space="preserve">        128 </w:t>
            </w:r>
          </w:p>
        </w:tc>
        <w:tc>
          <w:tcPr>
            <w:tcW w:w="964" w:type="dxa"/>
            <w:shd w:val="clear" w:color="auto" w:fill="auto"/>
            <w:noWrap/>
            <w:hideMark/>
          </w:tcPr>
          <w:p w:rsidR="00724615" w:rsidRPr="00724615" w:rsidRDefault="00724615" w:rsidP="006D2665">
            <w:pPr>
              <w:pStyle w:val="AERtabletextright"/>
              <w:spacing w:after="120"/>
              <w:cnfStyle w:val="000000000000" w:firstRow="0" w:lastRow="0" w:firstColumn="0" w:lastColumn="0" w:oddVBand="0" w:evenVBand="0" w:oddHBand="0" w:evenHBand="0" w:firstRowFirstColumn="0" w:firstRowLastColumn="0" w:lastRowFirstColumn="0" w:lastRowLastColumn="0"/>
            </w:pPr>
            <w:r w:rsidRPr="00DD1199">
              <w:t xml:space="preserve">        133 </w:t>
            </w:r>
          </w:p>
        </w:tc>
      </w:tr>
      <w:tr w:rsidR="00724615" w:rsidRPr="00F85305" w:rsidTr="00111EB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40" w:type="dxa"/>
            <w:noWrap/>
            <w:hideMark/>
          </w:tcPr>
          <w:p w:rsidR="00724615" w:rsidRPr="00724615" w:rsidRDefault="00724615" w:rsidP="006D2665">
            <w:pPr>
              <w:pStyle w:val="AERtabletextleft"/>
              <w:spacing w:before="120"/>
            </w:pPr>
            <w:r w:rsidRPr="00DD1199">
              <w:t xml:space="preserve">Total </w:t>
            </w:r>
            <w:r w:rsidRPr="00724615">
              <w:t>revenue (unsmoothed)</w:t>
            </w:r>
          </w:p>
        </w:tc>
        <w:tc>
          <w:tcPr>
            <w:tcW w:w="965" w:type="dxa"/>
            <w:noWrap/>
            <w:hideMark/>
          </w:tcPr>
          <w:p w:rsidR="00724615" w:rsidRPr="00724615" w:rsidRDefault="00724615" w:rsidP="006D2665">
            <w:pPr>
              <w:pStyle w:val="AERtabletextright"/>
              <w:spacing w:after="120"/>
              <w:cnfStyle w:val="000000010000" w:firstRow="0" w:lastRow="0" w:firstColumn="0" w:lastColumn="0" w:oddVBand="0" w:evenVBand="0" w:oddHBand="0" w:evenHBand="1" w:firstRowFirstColumn="0" w:firstRowLastColumn="0" w:lastRowFirstColumn="0" w:lastRowLastColumn="0"/>
            </w:pPr>
            <w:r w:rsidRPr="00DD1199">
              <w:t> </w:t>
            </w:r>
          </w:p>
        </w:tc>
        <w:tc>
          <w:tcPr>
            <w:tcW w:w="965" w:type="dxa"/>
            <w:noWrap/>
            <w:hideMark/>
          </w:tcPr>
          <w:p w:rsidR="00724615" w:rsidRPr="00724615" w:rsidRDefault="00724615" w:rsidP="006D2665">
            <w:pPr>
              <w:pStyle w:val="AERtabletextright"/>
              <w:spacing w:after="120"/>
              <w:cnfStyle w:val="000000010000" w:firstRow="0" w:lastRow="0" w:firstColumn="0" w:lastColumn="0" w:oddVBand="0" w:evenVBand="0" w:oddHBand="0" w:evenHBand="1" w:firstRowFirstColumn="0" w:firstRowLastColumn="0" w:lastRowFirstColumn="0" w:lastRowLastColumn="0"/>
            </w:pPr>
            <w:r w:rsidRPr="00DD1199">
              <w:t xml:space="preserve">     1916 </w:t>
            </w:r>
          </w:p>
        </w:tc>
        <w:tc>
          <w:tcPr>
            <w:tcW w:w="964" w:type="dxa"/>
            <w:noWrap/>
            <w:hideMark/>
          </w:tcPr>
          <w:p w:rsidR="00724615" w:rsidRPr="00724615" w:rsidRDefault="00724615" w:rsidP="006D2665">
            <w:pPr>
              <w:pStyle w:val="AERtabletextright"/>
              <w:spacing w:after="120"/>
              <w:cnfStyle w:val="000000010000" w:firstRow="0" w:lastRow="0" w:firstColumn="0" w:lastColumn="0" w:oddVBand="0" w:evenVBand="0" w:oddHBand="0" w:evenHBand="1" w:firstRowFirstColumn="0" w:firstRowLastColumn="0" w:lastRowFirstColumn="0" w:lastRowLastColumn="0"/>
            </w:pPr>
            <w:r w:rsidRPr="00DD1199">
              <w:t xml:space="preserve">     2028 </w:t>
            </w:r>
          </w:p>
        </w:tc>
        <w:tc>
          <w:tcPr>
            <w:tcW w:w="964" w:type="dxa"/>
            <w:noWrap/>
            <w:hideMark/>
          </w:tcPr>
          <w:p w:rsidR="00724615" w:rsidRPr="00724615" w:rsidRDefault="00724615" w:rsidP="006D2665">
            <w:pPr>
              <w:pStyle w:val="AERtabletextright"/>
              <w:spacing w:after="120"/>
              <w:cnfStyle w:val="000000010000" w:firstRow="0" w:lastRow="0" w:firstColumn="0" w:lastColumn="0" w:oddVBand="0" w:evenVBand="0" w:oddHBand="0" w:evenHBand="1" w:firstRowFirstColumn="0" w:firstRowLastColumn="0" w:lastRowFirstColumn="0" w:lastRowLastColumn="0"/>
            </w:pPr>
            <w:r w:rsidRPr="00DD1199">
              <w:t xml:space="preserve">     2138 </w:t>
            </w:r>
          </w:p>
        </w:tc>
        <w:tc>
          <w:tcPr>
            <w:tcW w:w="964" w:type="dxa"/>
            <w:noWrap/>
            <w:hideMark/>
          </w:tcPr>
          <w:p w:rsidR="00724615" w:rsidRPr="00724615" w:rsidRDefault="00724615" w:rsidP="006D2665">
            <w:pPr>
              <w:pStyle w:val="AERtabletextright"/>
              <w:spacing w:after="120"/>
              <w:cnfStyle w:val="000000010000" w:firstRow="0" w:lastRow="0" w:firstColumn="0" w:lastColumn="0" w:oddVBand="0" w:evenVBand="0" w:oddHBand="0" w:evenHBand="1" w:firstRowFirstColumn="0" w:firstRowLastColumn="0" w:lastRowFirstColumn="0" w:lastRowLastColumn="0"/>
            </w:pPr>
            <w:r w:rsidRPr="00DD1199">
              <w:t xml:space="preserve">     2213 </w:t>
            </w:r>
          </w:p>
        </w:tc>
        <w:tc>
          <w:tcPr>
            <w:tcW w:w="964" w:type="dxa"/>
            <w:noWrap/>
            <w:hideMark/>
          </w:tcPr>
          <w:p w:rsidR="00724615" w:rsidRPr="00724615" w:rsidRDefault="00724615" w:rsidP="006D2665">
            <w:pPr>
              <w:pStyle w:val="AERtabletextright"/>
              <w:spacing w:after="120"/>
              <w:cnfStyle w:val="000000010000" w:firstRow="0" w:lastRow="0" w:firstColumn="0" w:lastColumn="0" w:oddVBand="0" w:evenVBand="0" w:oddHBand="0" w:evenHBand="1" w:firstRowFirstColumn="0" w:firstRowLastColumn="0" w:lastRowFirstColumn="0" w:lastRowLastColumn="0"/>
            </w:pPr>
            <w:r w:rsidRPr="00DD1199">
              <w:t xml:space="preserve">     2157 </w:t>
            </w:r>
          </w:p>
        </w:tc>
      </w:tr>
      <w:tr w:rsidR="00724615" w:rsidRPr="00F85305" w:rsidTr="00111EB1">
        <w:trPr>
          <w:trHeight w:val="270"/>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hideMark/>
          </w:tcPr>
          <w:p w:rsidR="00724615" w:rsidRPr="00724615" w:rsidRDefault="00724615" w:rsidP="006D2665">
            <w:pPr>
              <w:pStyle w:val="AERtabletextleft"/>
              <w:spacing w:before="120"/>
              <w:rPr>
                <w:rStyle w:val="AERtextbold"/>
              </w:rPr>
            </w:pPr>
            <w:r w:rsidRPr="00A33E9D">
              <w:rPr>
                <w:rStyle w:val="AERtextbold"/>
              </w:rPr>
              <w:t>Total revenue (smoothed)</w:t>
            </w:r>
          </w:p>
        </w:tc>
        <w:tc>
          <w:tcPr>
            <w:tcW w:w="965" w:type="dxa"/>
            <w:shd w:val="clear" w:color="auto" w:fill="auto"/>
            <w:noWrap/>
            <w:hideMark/>
          </w:tcPr>
          <w:p w:rsidR="00724615" w:rsidRPr="00724615" w:rsidRDefault="00724615" w:rsidP="006D2665">
            <w:pPr>
              <w:pStyle w:val="AERtabletextright"/>
              <w:spacing w:after="120"/>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 xml:space="preserve">     2</w:t>
            </w:r>
            <w:r w:rsidRPr="00724615">
              <w:rPr>
                <w:rStyle w:val="AERtextbold"/>
              </w:rPr>
              <w:t xml:space="preserve">109 </w:t>
            </w:r>
          </w:p>
        </w:tc>
        <w:tc>
          <w:tcPr>
            <w:tcW w:w="965" w:type="dxa"/>
            <w:shd w:val="clear" w:color="auto" w:fill="auto"/>
            <w:noWrap/>
            <w:hideMark/>
          </w:tcPr>
          <w:p w:rsidR="00724615" w:rsidRPr="00724615" w:rsidRDefault="00724615" w:rsidP="006D2665">
            <w:pPr>
              <w:pStyle w:val="AERtabletextright"/>
              <w:spacing w:after="120"/>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 xml:space="preserve">     2</w:t>
            </w:r>
            <w:r w:rsidRPr="00724615">
              <w:rPr>
                <w:rStyle w:val="AERtextbold"/>
              </w:rPr>
              <w:t xml:space="preserve">004 </w:t>
            </w:r>
          </w:p>
        </w:tc>
        <w:tc>
          <w:tcPr>
            <w:tcW w:w="964" w:type="dxa"/>
            <w:shd w:val="clear" w:color="auto" w:fill="auto"/>
            <w:noWrap/>
            <w:hideMark/>
          </w:tcPr>
          <w:p w:rsidR="00724615" w:rsidRPr="00724615" w:rsidRDefault="00724615" w:rsidP="006D2665">
            <w:pPr>
              <w:pStyle w:val="AERtabletextright"/>
              <w:spacing w:after="120"/>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 xml:space="preserve">     2</w:t>
            </w:r>
            <w:r w:rsidRPr="00724615">
              <w:rPr>
                <w:rStyle w:val="AERtextbold"/>
              </w:rPr>
              <w:t xml:space="preserve">044 </w:t>
            </w:r>
          </w:p>
        </w:tc>
        <w:tc>
          <w:tcPr>
            <w:tcW w:w="964" w:type="dxa"/>
            <w:shd w:val="clear" w:color="auto" w:fill="auto"/>
            <w:noWrap/>
            <w:hideMark/>
          </w:tcPr>
          <w:p w:rsidR="00724615" w:rsidRPr="00724615" w:rsidRDefault="00724615" w:rsidP="006D2665">
            <w:pPr>
              <w:pStyle w:val="AERtabletextright"/>
              <w:spacing w:after="120"/>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 xml:space="preserve">     2</w:t>
            </w:r>
            <w:r w:rsidRPr="00724615">
              <w:rPr>
                <w:rStyle w:val="AERtextbold"/>
              </w:rPr>
              <w:t xml:space="preserve">085 </w:t>
            </w:r>
          </w:p>
        </w:tc>
        <w:tc>
          <w:tcPr>
            <w:tcW w:w="964" w:type="dxa"/>
            <w:shd w:val="clear" w:color="auto" w:fill="auto"/>
            <w:noWrap/>
            <w:hideMark/>
          </w:tcPr>
          <w:p w:rsidR="00724615" w:rsidRPr="00724615" w:rsidRDefault="00724615" w:rsidP="006D2665">
            <w:pPr>
              <w:pStyle w:val="AERtabletextright"/>
              <w:spacing w:after="120"/>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 xml:space="preserve">     2</w:t>
            </w:r>
            <w:r w:rsidRPr="00724615">
              <w:rPr>
                <w:rStyle w:val="AERtextbold"/>
              </w:rPr>
              <w:t xml:space="preserve">126 </w:t>
            </w:r>
          </w:p>
        </w:tc>
        <w:tc>
          <w:tcPr>
            <w:tcW w:w="964" w:type="dxa"/>
            <w:shd w:val="clear" w:color="auto" w:fill="auto"/>
            <w:noWrap/>
            <w:hideMark/>
          </w:tcPr>
          <w:p w:rsidR="00724615" w:rsidRPr="00724615" w:rsidRDefault="00724615" w:rsidP="006D2665">
            <w:pPr>
              <w:pStyle w:val="AERtabletextright"/>
              <w:spacing w:after="120"/>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 xml:space="preserve">     2</w:t>
            </w:r>
            <w:r w:rsidRPr="00724615">
              <w:rPr>
                <w:rStyle w:val="AERtextbold"/>
              </w:rPr>
              <w:t xml:space="preserve">171 </w:t>
            </w:r>
          </w:p>
        </w:tc>
      </w:tr>
      <w:tr w:rsidR="00724615" w:rsidRPr="00F85305" w:rsidTr="00111EB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40" w:type="dxa"/>
            <w:noWrap/>
            <w:hideMark/>
          </w:tcPr>
          <w:p w:rsidR="00724615" w:rsidRPr="00724615" w:rsidRDefault="00EA1B9C" w:rsidP="006D2665">
            <w:pPr>
              <w:pStyle w:val="AERtabletextleft"/>
              <w:spacing w:before="120"/>
            </w:pPr>
            <w:r>
              <w:t xml:space="preserve">Metering </w:t>
            </w:r>
            <w:r w:rsidR="00881EB3" w:rsidRPr="00881EB3">
              <w:t>revenue</w:t>
            </w:r>
          </w:p>
        </w:tc>
        <w:tc>
          <w:tcPr>
            <w:tcW w:w="965" w:type="dxa"/>
          </w:tcPr>
          <w:p w:rsidR="00724615" w:rsidRPr="00DD1199" w:rsidRDefault="00724615" w:rsidP="006D2665">
            <w:pPr>
              <w:pStyle w:val="AERtabletextright"/>
              <w:spacing w:after="120"/>
              <w:cnfStyle w:val="000000010000" w:firstRow="0" w:lastRow="0" w:firstColumn="0" w:lastColumn="0" w:oddVBand="0" w:evenVBand="0" w:oddHBand="0" w:evenHBand="1" w:firstRowFirstColumn="0" w:firstRowLastColumn="0" w:lastRowFirstColumn="0" w:lastRowLastColumn="0"/>
            </w:pPr>
          </w:p>
        </w:tc>
        <w:tc>
          <w:tcPr>
            <w:tcW w:w="965" w:type="dxa"/>
            <w:noWrap/>
            <w:hideMark/>
          </w:tcPr>
          <w:p w:rsidR="00724615" w:rsidRPr="00724615" w:rsidRDefault="00724615" w:rsidP="006D2665">
            <w:pPr>
              <w:pStyle w:val="AERtabletextright"/>
              <w:spacing w:after="120"/>
              <w:cnfStyle w:val="000000010000" w:firstRow="0" w:lastRow="0" w:firstColumn="0" w:lastColumn="0" w:oddVBand="0" w:evenVBand="0" w:oddHBand="0" w:evenHBand="1" w:firstRowFirstColumn="0" w:firstRowLastColumn="0" w:lastRowFirstColumn="0" w:lastRowLastColumn="0"/>
            </w:pPr>
            <w:r w:rsidRPr="00DD1199">
              <w:t xml:space="preserve">          </w:t>
            </w:r>
            <w:r w:rsidR="00881EB3" w:rsidRPr="00DD1199">
              <w:t>7</w:t>
            </w:r>
            <w:r w:rsidR="00EA1B9C">
              <w:t>2</w:t>
            </w:r>
            <w:r w:rsidR="00881EB3" w:rsidRPr="00DD1199">
              <w:t xml:space="preserve"> </w:t>
            </w:r>
          </w:p>
        </w:tc>
        <w:tc>
          <w:tcPr>
            <w:tcW w:w="964" w:type="dxa"/>
            <w:noWrap/>
            <w:hideMark/>
          </w:tcPr>
          <w:p w:rsidR="00724615" w:rsidRPr="00724615" w:rsidRDefault="00724615" w:rsidP="006D2665">
            <w:pPr>
              <w:pStyle w:val="AERtabletextright"/>
              <w:spacing w:after="120"/>
              <w:cnfStyle w:val="000000010000" w:firstRow="0" w:lastRow="0" w:firstColumn="0" w:lastColumn="0" w:oddVBand="0" w:evenVBand="0" w:oddHBand="0" w:evenHBand="1" w:firstRowFirstColumn="0" w:firstRowLastColumn="0" w:lastRowFirstColumn="0" w:lastRowLastColumn="0"/>
            </w:pPr>
            <w:r w:rsidRPr="00DD1199">
              <w:t xml:space="preserve">          78 </w:t>
            </w:r>
          </w:p>
        </w:tc>
        <w:tc>
          <w:tcPr>
            <w:tcW w:w="964" w:type="dxa"/>
            <w:noWrap/>
            <w:hideMark/>
          </w:tcPr>
          <w:p w:rsidR="00724615" w:rsidRPr="00724615" w:rsidRDefault="00724615" w:rsidP="006D2665">
            <w:pPr>
              <w:pStyle w:val="AERtabletextright"/>
              <w:spacing w:after="120"/>
              <w:cnfStyle w:val="000000010000" w:firstRow="0" w:lastRow="0" w:firstColumn="0" w:lastColumn="0" w:oddVBand="0" w:evenVBand="0" w:oddHBand="0" w:evenHBand="1" w:firstRowFirstColumn="0" w:firstRowLastColumn="0" w:lastRowFirstColumn="0" w:lastRowLastColumn="0"/>
            </w:pPr>
            <w:r w:rsidRPr="00DD1199">
              <w:t xml:space="preserve">          84 </w:t>
            </w:r>
          </w:p>
        </w:tc>
        <w:tc>
          <w:tcPr>
            <w:tcW w:w="964" w:type="dxa"/>
            <w:noWrap/>
            <w:hideMark/>
          </w:tcPr>
          <w:p w:rsidR="00724615" w:rsidRPr="00724615" w:rsidRDefault="00724615" w:rsidP="006D2665">
            <w:pPr>
              <w:pStyle w:val="AERtabletextright"/>
              <w:spacing w:after="120"/>
              <w:cnfStyle w:val="000000010000" w:firstRow="0" w:lastRow="0" w:firstColumn="0" w:lastColumn="0" w:oddVBand="0" w:evenVBand="0" w:oddHBand="0" w:evenHBand="1" w:firstRowFirstColumn="0" w:firstRowLastColumn="0" w:lastRowFirstColumn="0" w:lastRowLastColumn="0"/>
            </w:pPr>
            <w:r w:rsidRPr="00DD1199">
              <w:t xml:space="preserve">          80 </w:t>
            </w:r>
          </w:p>
        </w:tc>
        <w:tc>
          <w:tcPr>
            <w:tcW w:w="964" w:type="dxa"/>
            <w:noWrap/>
            <w:hideMark/>
          </w:tcPr>
          <w:p w:rsidR="00724615" w:rsidRPr="00724615" w:rsidRDefault="00724615" w:rsidP="006D2665">
            <w:pPr>
              <w:pStyle w:val="AERtabletextright"/>
              <w:spacing w:after="120"/>
              <w:cnfStyle w:val="000000010000" w:firstRow="0" w:lastRow="0" w:firstColumn="0" w:lastColumn="0" w:oddVBand="0" w:evenVBand="0" w:oddHBand="0" w:evenHBand="1" w:firstRowFirstColumn="0" w:firstRowLastColumn="0" w:lastRowFirstColumn="0" w:lastRowLastColumn="0"/>
            </w:pPr>
            <w:r w:rsidRPr="00DD1199">
              <w:t xml:space="preserve">          82 </w:t>
            </w:r>
          </w:p>
        </w:tc>
      </w:tr>
      <w:tr w:rsidR="004F59FB" w:rsidRPr="004F59FB" w:rsidTr="00111EB1">
        <w:trPr>
          <w:trHeight w:val="255"/>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hideMark/>
          </w:tcPr>
          <w:p w:rsidR="004F59FB" w:rsidRPr="004F59FB" w:rsidRDefault="004F59FB" w:rsidP="006D2665">
            <w:pPr>
              <w:pStyle w:val="AERtabletextleft"/>
              <w:spacing w:before="120"/>
              <w:rPr>
                <w:rStyle w:val="AERtextbold"/>
              </w:rPr>
            </w:pPr>
            <w:r w:rsidRPr="004F59FB">
              <w:rPr>
                <w:rStyle w:val="AERtextbold"/>
              </w:rPr>
              <w:t>Total bundled revenue (smoothed)</w:t>
            </w:r>
          </w:p>
        </w:tc>
        <w:tc>
          <w:tcPr>
            <w:tcW w:w="965" w:type="dxa"/>
            <w:shd w:val="clear" w:color="auto" w:fill="auto"/>
            <w:noWrap/>
            <w:hideMark/>
          </w:tcPr>
          <w:p w:rsidR="004F59FB" w:rsidRPr="004F59FB" w:rsidRDefault="004F59FB" w:rsidP="006D2665">
            <w:pPr>
              <w:pStyle w:val="AERtabletextright"/>
              <w:spacing w:after="120"/>
              <w:cnfStyle w:val="000000000000" w:firstRow="0" w:lastRow="0" w:firstColumn="0" w:lastColumn="0" w:oddVBand="0" w:evenVBand="0" w:oddHBand="0" w:evenHBand="0" w:firstRowFirstColumn="0" w:firstRowLastColumn="0" w:lastRowFirstColumn="0" w:lastRowLastColumn="0"/>
              <w:rPr>
                <w:rStyle w:val="AERtextbold"/>
              </w:rPr>
            </w:pPr>
            <w:r w:rsidRPr="004F59FB">
              <w:rPr>
                <w:rStyle w:val="AERtextbold"/>
              </w:rPr>
              <w:t xml:space="preserve">     2109 </w:t>
            </w:r>
          </w:p>
        </w:tc>
        <w:tc>
          <w:tcPr>
            <w:tcW w:w="965" w:type="dxa"/>
            <w:shd w:val="clear" w:color="auto" w:fill="auto"/>
            <w:noWrap/>
            <w:hideMark/>
          </w:tcPr>
          <w:p w:rsidR="004F59FB" w:rsidRPr="004F59FB" w:rsidRDefault="004F59FB" w:rsidP="006D2665">
            <w:pPr>
              <w:pStyle w:val="AERtabletextright"/>
              <w:spacing w:after="120"/>
              <w:cnfStyle w:val="000000000000" w:firstRow="0" w:lastRow="0" w:firstColumn="0" w:lastColumn="0" w:oddVBand="0" w:evenVBand="0" w:oddHBand="0" w:evenHBand="0" w:firstRowFirstColumn="0" w:firstRowLastColumn="0" w:lastRowFirstColumn="0" w:lastRowLastColumn="0"/>
              <w:rPr>
                <w:rStyle w:val="AERtextbold"/>
              </w:rPr>
            </w:pPr>
            <w:r w:rsidRPr="004F59FB">
              <w:rPr>
                <w:rStyle w:val="AERtextbold"/>
              </w:rPr>
              <w:t xml:space="preserve">     2076 </w:t>
            </w:r>
          </w:p>
        </w:tc>
        <w:tc>
          <w:tcPr>
            <w:tcW w:w="964" w:type="dxa"/>
            <w:shd w:val="clear" w:color="auto" w:fill="auto"/>
            <w:noWrap/>
            <w:hideMark/>
          </w:tcPr>
          <w:p w:rsidR="004F59FB" w:rsidRPr="004F59FB" w:rsidRDefault="004F59FB" w:rsidP="006D2665">
            <w:pPr>
              <w:pStyle w:val="AERtabletextright"/>
              <w:spacing w:after="120"/>
              <w:cnfStyle w:val="000000000000" w:firstRow="0" w:lastRow="0" w:firstColumn="0" w:lastColumn="0" w:oddVBand="0" w:evenVBand="0" w:oddHBand="0" w:evenHBand="0" w:firstRowFirstColumn="0" w:firstRowLastColumn="0" w:lastRowFirstColumn="0" w:lastRowLastColumn="0"/>
              <w:rPr>
                <w:rStyle w:val="AERtextbold"/>
              </w:rPr>
            </w:pPr>
            <w:r w:rsidRPr="004F59FB">
              <w:rPr>
                <w:rStyle w:val="AERtextbold"/>
              </w:rPr>
              <w:t xml:space="preserve">     2122 </w:t>
            </w:r>
          </w:p>
        </w:tc>
        <w:tc>
          <w:tcPr>
            <w:tcW w:w="964" w:type="dxa"/>
            <w:shd w:val="clear" w:color="auto" w:fill="auto"/>
            <w:noWrap/>
            <w:hideMark/>
          </w:tcPr>
          <w:p w:rsidR="004F59FB" w:rsidRPr="004F59FB" w:rsidRDefault="004F59FB" w:rsidP="006D2665">
            <w:pPr>
              <w:pStyle w:val="AERtabletextright"/>
              <w:spacing w:after="120"/>
              <w:cnfStyle w:val="000000000000" w:firstRow="0" w:lastRow="0" w:firstColumn="0" w:lastColumn="0" w:oddVBand="0" w:evenVBand="0" w:oddHBand="0" w:evenHBand="0" w:firstRowFirstColumn="0" w:firstRowLastColumn="0" w:lastRowFirstColumn="0" w:lastRowLastColumn="0"/>
              <w:rPr>
                <w:rStyle w:val="AERtextbold"/>
              </w:rPr>
            </w:pPr>
            <w:r w:rsidRPr="004F59FB">
              <w:rPr>
                <w:rStyle w:val="AERtextbold"/>
              </w:rPr>
              <w:t xml:space="preserve">     2168 </w:t>
            </w:r>
          </w:p>
        </w:tc>
        <w:tc>
          <w:tcPr>
            <w:tcW w:w="964" w:type="dxa"/>
            <w:shd w:val="clear" w:color="auto" w:fill="auto"/>
            <w:noWrap/>
            <w:hideMark/>
          </w:tcPr>
          <w:p w:rsidR="004F59FB" w:rsidRPr="004F59FB" w:rsidRDefault="004F59FB" w:rsidP="006D2665">
            <w:pPr>
              <w:pStyle w:val="AERtabletextright"/>
              <w:spacing w:after="120"/>
              <w:cnfStyle w:val="000000000000" w:firstRow="0" w:lastRow="0" w:firstColumn="0" w:lastColumn="0" w:oddVBand="0" w:evenVBand="0" w:oddHBand="0" w:evenHBand="0" w:firstRowFirstColumn="0" w:firstRowLastColumn="0" w:lastRowFirstColumn="0" w:lastRowLastColumn="0"/>
              <w:rPr>
                <w:rStyle w:val="AERtextbold"/>
              </w:rPr>
            </w:pPr>
            <w:r w:rsidRPr="004F59FB">
              <w:rPr>
                <w:rStyle w:val="AERtextbold"/>
              </w:rPr>
              <w:t xml:space="preserve">     2206 </w:t>
            </w:r>
          </w:p>
        </w:tc>
        <w:tc>
          <w:tcPr>
            <w:tcW w:w="964" w:type="dxa"/>
            <w:shd w:val="clear" w:color="auto" w:fill="auto"/>
            <w:noWrap/>
            <w:hideMark/>
          </w:tcPr>
          <w:p w:rsidR="004F59FB" w:rsidRPr="004F59FB" w:rsidRDefault="004F59FB" w:rsidP="006D2665">
            <w:pPr>
              <w:pStyle w:val="AERtabletextright"/>
              <w:spacing w:after="120"/>
              <w:cnfStyle w:val="000000000000" w:firstRow="0" w:lastRow="0" w:firstColumn="0" w:lastColumn="0" w:oddVBand="0" w:evenVBand="0" w:oddHBand="0" w:evenHBand="0" w:firstRowFirstColumn="0" w:firstRowLastColumn="0" w:lastRowFirstColumn="0" w:lastRowLastColumn="0"/>
              <w:rPr>
                <w:rStyle w:val="AERtextbold"/>
              </w:rPr>
            </w:pPr>
            <w:r w:rsidRPr="004F59FB">
              <w:rPr>
                <w:rStyle w:val="AERtextbold"/>
              </w:rPr>
              <w:t xml:space="preserve">     2253 </w:t>
            </w:r>
          </w:p>
        </w:tc>
      </w:tr>
      <w:tr w:rsidR="004F59FB" w:rsidRPr="00F85305" w:rsidTr="00111EB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noWrap/>
            <w:hideMark/>
          </w:tcPr>
          <w:p w:rsidR="004F59FB" w:rsidRPr="004F59FB" w:rsidRDefault="004F59FB" w:rsidP="006D2665">
            <w:pPr>
              <w:pStyle w:val="AERtabletextleft"/>
              <w:spacing w:before="120"/>
            </w:pPr>
            <w:r w:rsidRPr="004F59FB">
              <w:t>Change</w:t>
            </w:r>
            <w:r w:rsidRPr="004F59FB">
              <w:rPr>
                <w:rStyle w:val="AERsuperscript"/>
              </w:rPr>
              <w:t>a</w:t>
            </w:r>
            <w:r w:rsidRPr="004F59FB">
              <w:t xml:space="preserve"> (%)</w:t>
            </w:r>
          </w:p>
        </w:tc>
        <w:tc>
          <w:tcPr>
            <w:tcW w:w="965" w:type="dxa"/>
            <w:noWrap/>
            <w:hideMark/>
          </w:tcPr>
          <w:p w:rsidR="004F59FB" w:rsidRPr="004F59FB" w:rsidRDefault="004F59FB" w:rsidP="006D2665">
            <w:pPr>
              <w:pStyle w:val="AERtabletextright"/>
              <w:spacing w:after="120"/>
              <w:cnfStyle w:val="000000010000" w:firstRow="0" w:lastRow="0" w:firstColumn="0" w:lastColumn="0" w:oddVBand="0" w:evenVBand="0" w:oddHBand="0" w:evenHBand="1" w:firstRowFirstColumn="0" w:firstRowLastColumn="0" w:lastRowFirstColumn="0" w:lastRowLastColumn="0"/>
            </w:pPr>
            <w:r w:rsidRPr="004F59FB">
              <w:t> </w:t>
            </w:r>
          </w:p>
        </w:tc>
        <w:tc>
          <w:tcPr>
            <w:tcW w:w="965" w:type="dxa"/>
            <w:noWrap/>
            <w:hideMark/>
          </w:tcPr>
          <w:p w:rsidR="004F59FB" w:rsidRPr="004F59FB" w:rsidRDefault="004F59FB" w:rsidP="006D2665">
            <w:pPr>
              <w:pStyle w:val="AERtabletextright"/>
              <w:spacing w:after="120"/>
              <w:cnfStyle w:val="000000010000" w:firstRow="0" w:lastRow="0" w:firstColumn="0" w:lastColumn="0" w:oddVBand="0" w:evenVBand="0" w:oddHBand="0" w:evenHBand="1" w:firstRowFirstColumn="0" w:firstRowLastColumn="0" w:lastRowFirstColumn="0" w:lastRowLastColumn="0"/>
            </w:pPr>
            <w:r w:rsidRPr="004F59FB">
              <w:t>-1.5%</w:t>
            </w:r>
          </w:p>
        </w:tc>
        <w:tc>
          <w:tcPr>
            <w:tcW w:w="964" w:type="dxa"/>
            <w:noWrap/>
            <w:hideMark/>
          </w:tcPr>
          <w:p w:rsidR="004F59FB" w:rsidRPr="004F59FB" w:rsidRDefault="004F59FB" w:rsidP="006D2665">
            <w:pPr>
              <w:pStyle w:val="AERtabletextright"/>
              <w:spacing w:after="120"/>
              <w:cnfStyle w:val="000000010000" w:firstRow="0" w:lastRow="0" w:firstColumn="0" w:lastColumn="0" w:oddVBand="0" w:evenVBand="0" w:oddHBand="0" w:evenHBand="1" w:firstRowFirstColumn="0" w:firstRowLastColumn="0" w:lastRowFirstColumn="0" w:lastRowLastColumn="0"/>
            </w:pPr>
            <w:r w:rsidRPr="004F59FB">
              <w:t>2.2%</w:t>
            </w:r>
          </w:p>
        </w:tc>
        <w:tc>
          <w:tcPr>
            <w:tcW w:w="964" w:type="dxa"/>
            <w:noWrap/>
            <w:hideMark/>
          </w:tcPr>
          <w:p w:rsidR="004F59FB" w:rsidRPr="004F59FB" w:rsidRDefault="004F59FB" w:rsidP="006D2665">
            <w:pPr>
              <w:pStyle w:val="AERtabletextright"/>
              <w:spacing w:after="120"/>
              <w:cnfStyle w:val="000000010000" w:firstRow="0" w:lastRow="0" w:firstColumn="0" w:lastColumn="0" w:oddVBand="0" w:evenVBand="0" w:oddHBand="0" w:evenHBand="1" w:firstRowFirstColumn="0" w:firstRowLastColumn="0" w:lastRowFirstColumn="0" w:lastRowLastColumn="0"/>
            </w:pPr>
            <w:r w:rsidRPr="004F59FB">
              <w:t>2.2%</w:t>
            </w:r>
          </w:p>
        </w:tc>
        <w:tc>
          <w:tcPr>
            <w:tcW w:w="964" w:type="dxa"/>
            <w:noWrap/>
            <w:hideMark/>
          </w:tcPr>
          <w:p w:rsidR="004F59FB" w:rsidRPr="004F59FB" w:rsidRDefault="004F59FB" w:rsidP="006D2665">
            <w:pPr>
              <w:pStyle w:val="AERtabletextright"/>
              <w:spacing w:after="120"/>
              <w:cnfStyle w:val="000000010000" w:firstRow="0" w:lastRow="0" w:firstColumn="0" w:lastColumn="0" w:oddVBand="0" w:evenVBand="0" w:oddHBand="0" w:evenHBand="1" w:firstRowFirstColumn="0" w:firstRowLastColumn="0" w:lastRowFirstColumn="0" w:lastRowLastColumn="0"/>
            </w:pPr>
            <w:r w:rsidRPr="004F59FB">
              <w:t>1.7%</w:t>
            </w:r>
          </w:p>
        </w:tc>
        <w:tc>
          <w:tcPr>
            <w:tcW w:w="964" w:type="dxa"/>
            <w:noWrap/>
            <w:hideMark/>
          </w:tcPr>
          <w:p w:rsidR="004F59FB" w:rsidRPr="004F59FB" w:rsidRDefault="004F59FB" w:rsidP="006D2665">
            <w:pPr>
              <w:pStyle w:val="AERtabletextright"/>
              <w:spacing w:after="120"/>
              <w:cnfStyle w:val="000000010000" w:firstRow="0" w:lastRow="0" w:firstColumn="0" w:lastColumn="0" w:oddVBand="0" w:evenVBand="0" w:oddHBand="0" w:evenHBand="1" w:firstRowFirstColumn="0" w:firstRowLastColumn="0" w:lastRowFirstColumn="0" w:lastRowLastColumn="0"/>
            </w:pPr>
            <w:r w:rsidRPr="004F59FB">
              <w:t>2.1%</w:t>
            </w:r>
          </w:p>
        </w:tc>
      </w:tr>
    </w:tbl>
    <w:p w:rsidR="00724615" w:rsidRDefault="00724615" w:rsidP="005B1BD2">
      <w:pPr>
        <w:pStyle w:val="AERtablesource"/>
        <w:jc w:val="left"/>
      </w:pPr>
      <w:r>
        <w:t>Source:</w:t>
      </w:r>
      <w:r>
        <w:tab/>
        <w:t>Aus</w:t>
      </w:r>
      <w:r w:rsidR="00A00775">
        <w:t>g</w:t>
      </w:r>
      <w:r>
        <w:t xml:space="preserve">rid, </w:t>
      </w:r>
      <w:r w:rsidRPr="00DD1199">
        <w:rPr>
          <w:rStyle w:val="AERtextitalic"/>
        </w:rPr>
        <w:t>Transitional regulatory proposal</w:t>
      </w:r>
      <w:r>
        <w:t xml:space="preserve">, </w:t>
      </w:r>
      <w:r w:rsidRPr="00A2480F">
        <w:t xml:space="preserve">January 2014. </w:t>
      </w:r>
      <w:r>
        <w:t>Ausgrid</w:t>
      </w:r>
      <w:r w:rsidRPr="00A2480F">
        <w:t xml:space="preserve">, </w:t>
      </w:r>
      <w:r>
        <w:rPr>
          <w:rStyle w:val="AERtextitalic"/>
        </w:rPr>
        <w:t>Post-</w:t>
      </w:r>
      <w:r w:rsidRPr="00447042">
        <w:rPr>
          <w:rStyle w:val="AERtextitalic"/>
        </w:rPr>
        <w:t>Tax Revenue Model</w:t>
      </w:r>
      <w:r>
        <w:t>,</w:t>
      </w:r>
      <w:r w:rsidRPr="00A2480F">
        <w:t xml:space="preserve"> January 2014</w:t>
      </w:r>
      <w:r>
        <w:t>.</w:t>
      </w:r>
    </w:p>
    <w:p w:rsidR="00724615" w:rsidRDefault="00724615" w:rsidP="00724615">
      <w:pPr>
        <w:pStyle w:val="AERtablesource"/>
      </w:pPr>
      <w:r>
        <w:t>Notes:</w:t>
      </w:r>
      <w:r>
        <w:tab/>
      </w:r>
      <w:r w:rsidRPr="00693A45">
        <w:t>Numbers may not sum due to rounding.</w:t>
      </w:r>
    </w:p>
    <w:p w:rsidR="00724615" w:rsidRPr="00C722D9" w:rsidRDefault="005B1BD2" w:rsidP="005B1BD2">
      <w:pPr>
        <w:pStyle w:val="AERtablesource"/>
        <w:tabs>
          <w:tab w:val="left" w:pos="1276"/>
        </w:tabs>
        <w:ind w:left="1276" w:hanging="1276"/>
        <w:jc w:val="left"/>
      </w:pPr>
      <w:r>
        <w:tab/>
      </w:r>
      <w:r w:rsidR="00E15CA3" w:rsidRPr="005B1BD2">
        <w:t>a.</w:t>
      </w:r>
      <w:r w:rsidR="00E15CA3">
        <w:tab/>
      </w:r>
      <w:r w:rsidR="00724615" w:rsidRPr="003D4734">
        <w:t>This row shows the year-on-year change in total nominal revenues. It should not be interpreted as the X-factor change from year to year.</w:t>
      </w:r>
    </w:p>
    <w:p w:rsidR="00724615" w:rsidRPr="003D4734" w:rsidRDefault="002401A5" w:rsidP="002401A5">
      <w:pPr>
        <w:pStyle w:val="Caption"/>
        <w:keepLines/>
        <w:jc w:val="left"/>
        <w:rPr>
          <w:rStyle w:val="AERbody"/>
        </w:rPr>
      </w:pPr>
      <w:bookmarkStart w:id="201" w:name="_Ref382555866"/>
      <w:r>
        <w:lastRenderedPageBreak/>
        <w:t>Table</w:t>
      </w:r>
      <w:r w:rsidR="00724615" w:rsidRPr="003D4734">
        <w:t xml:space="preserve"> </w:t>
      </w:r>
      <w:r w:rsidR="00DD155E">
        <w:fldChar w:fldCharType="begin"/>
      </w:r>
      <w:r w:rsidR="00DD155E">
        <w:instrText xml:space="preserve"> STYLEREF 7 \s </w:instrText>
      </w:r>
      <w:r w:rsidR="00DD155E">
        <w:fldChar w:fldCharType="separate"/>
      </w:r>
      <w:r w:rsidR="00E313D7">
        <w:rPr>
          <w:noProof/>
        </w:rPr>
        <w:t>B</w:t>
      </w:r>
      <w:r w:rsidR="00DD155E">
        <w:rPr>
          <w:noProof/>
        </w:rPr>
        <w:fldChar w:fldCharType="end"/>
      </w:r>
      <w:r>
        <w:t>.</w:t>
      </w:r>
      <w:r w:rsidR="00DD155E">
        <w:fldChar w:fldCharType="begin"/>
      </w:r>
      <w:r w:rsidR="00DD155E">
        <w:instrText xml:space="preserve"> SEQ Table_Apx \* ARABIC \s 7 </w:instrText>
      </w:r>
      <w:r w:rsidR="00DD155E">
        <w:fldChar w:fldCharType="separate"/>
      </w:r>
      <w:r w:rsidR="00E313D7">
        <w:rPr>
          <w:noProof/>
        </w:rPr>
        <w:t>2</w:t>
      </w:r>
      <w:r w:rsidR="00DD155E">
        <w:rPr>
          <w:noProof/>
        </w:rPr>
        <w:fldChar w:fldCharType="end"/>
      </w:r>
      <w:bookmarkEnd w:id="201"/>
      <w:r w:rsidR="00724615" w:rsidRPr="003D4734">
        <w:tab/>
        <w:t xml:space="preserve">Ausgrid's proposed building blocks and total revenue </w:t>
      </w:r>
      <w:r w:rsidR="00724615">
        <w:t>–</w:t>
      </w:r>
      <w:r w:rsidR="00724615" w:rsidRPr="003D4734">
        <w:t xml:space="preserve"> </w:t>
      </w:r>
      <w:r w:rsidR="00724615">
        <w:t>t</w:t>
      </w:r>
      <w:r w:rsidR="00724615" w:rsidRPr="003D4734">
        <w:t>ransmission ($m, nominal)</w:t>
      </w:r>
    </w:p>
    <w:tbl>
      <w:tblPr>
        <w:tblStyle w:val="AERtable-numbers"/>
        <w:tblW w:w="9035" w:type="dxa"/>
        <w:tblLook w:val="04A0" w:firstRow="1" w:lastRow="0" w:firstColumn="1" w:lastColumn="0" w:noHBand="0" w:noVBand="1"/>
      </w:tblPr>
      <w:tblGrid>
        <w:gridCol w:w="3227"/>
        <w:gridCol w:w="928"/>
        <w:gridCol w:w="976"/>
        <w:gridCol w:w="976"/>
        <w:gridCol w:w="976"/>
        <w:gridCol w:w="976"/>
        <w:gridCol w:w="976"/>
      </w:tblGrid>
      <w:tr w:rsidR="00724615" w:rsidRPr="00F85305" w:rsidTr="00111EB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27" w:type="dxa"/>
            <w:noWrap/>
            <w:hideMark/>
          </w:tcPr>
          <w:p w:rsidR="00724615" w:rsidRPr="00724615" w:rsidRDefault="00724615" w:rsidP="006D2665">
            <w:pPr>
              <w:pStyle w:val="AERtabletextleft"/>
              <w:keepNext/>
              <w:keepLines/>
              <w:spacing w:before="120"/>
            </w:pPr>
            <w:r w:rsidRPr="003D4734">
              <w:t>Building blocks</w:t>
            </w:r>
          </w:p>
        </w:tc>
        <w:tc>
          <w:tcPr>
            <w:tcW w:w="928" w:type="dxa"/>
            <w:noWrap/>
            <w:hideMark/>
          </w:tcPr>
          <w:p w:rsidR="00724615" w:rsidRPr="00724615" w:rsidRDefault="00724615" w:rsidP="006D2665">
            <w:pPr>
              <w:pStyle w:val="AERtabletextright"/>
              <w:keepNext/>
              <w:keepLines/>
              <w:spacing w:after="120"/>
              <w:cnfStyle w:val="100000000000" w:firstRow="1" w:lastRow="0" w:firstColumn="0" w:lastColumn="0" w:oddVBand="0" w:evenVBand="0" w:oddHBand="0" w:evenHBand="0" w:firstRowFirstColumn="0" w:firstRowLastColumn="0" w:lastRowFirstColumn="0" w:lastRowLastColumn="0"/>
            </w:pPr>
            <w:r w:rsidRPr="003D4734">
              <w:t>2013–14</w:t>
            </w:r>
          </w:p>
        </w:tc>
        <w:tc>
          <w:tcPr>
            <w:tcW w:w="976" w:type="dxa"/>
            <w:noWrap/>
            <w:hideMark/>
          </w:tcPr>
          <w:p w:rsidR="00724615" w:rsidRPr="00724615" w:rsidRDefault="00724615" w:rsidP="006D2665">
            <w:pPr>
              <w:pStyle w:val="AERtabletextright"/>
              <w:keepNext/>
              <w:keepLines/>
              <w:spacing w:after="120"/>
              <w:cnfStyle w:val="100000000000" w:firstRow="1" w:lastRow="0" w:firstColumn="0" w:lastColumn="0" w:oddVBand="0" w:evenVBand="0" w:oddHBand="0" w:evenHBand="0" w:firstRowFirstColumn="0" w:firstRowLastColumn="0" w:lastRowFirstColumn="0" w:lastRowLastColumn="0"/>
            </w:pPr>
            <w:r w:rsidRPr="003D4734">
              <w:t>2014–15</w:t>
            </w:r>
          </w:p>
        </w:tc>
        <w:tc>
          <w:tcPr>
            <w:tcW w:w="976" w:type="dxa"/>
            <w:noWrap/>
            <w:hideMark/>
          </w:tcPr>
          <w:p w:rsidR="00724615" w:rsidRPr="00724615" w:rsidRDefault="00724615" w:rsidP="006D2665">
            <w:pPr>
              <w:pStyle w:val="AERtabletextright"/>
              <w:keepNext/>
              <w:keepLines/>
              <w:spacing w:after="120"/>
              <w:cnfStyle w:val="100000000000" w:firstRow="1" w:lastRow="0" w:firstColumn="0" w:lastColumn="0" w:oddVBand="0" w:evenVBand="0" w:oddHBand="0" w:evenHBand="0" w:firstRowFirstColumn="0" w:firstRowLastColumn="0" w:lastRowFirstColumn="0" w:lastRowLastColumn="0"/>
            </w:pPr>
            <w:r w:rsidRPr="003D4734">
              <w:t>2015–16</w:t>
            </w:r>
          </w:p>
        </w:tc>
        <w:tc>
          <w:tcPr>
            <w:tcW w:w="976" w:type="dxa"/>
            <w:noWrap/>
            <w:hideMark/>
          </w:tcPr>
          <w:p w:rsidR="00724615" w:rsidRPr="00724615" w:rsidRDefault="00724615" w:rsidP="006D2665">
            <w:pPr>
              <w:pStyle w:val="AERtabletextright"/>
              <w:keepNext/>
              <w:keepLines/>
              <w:spacing w:after="120"/>
              <w:cnfStyle w:val="100000000000" w:firstRow="1" w:lastRow="0" w:firstColumn="0" w:lastColumn="0" w:oddVBand="0" w:evenVBand="0" w:oddHBand="0" w:evenHBand="0" w:firstRowFirstColumn="0" w:firstRowLastColumn="0" w:lastRowFirstColumn="0" w:lastRowLastColumn="0"/>
            </w:pPr>
            <w:r w:rsidRPr="003D4734">
              <w:t>2016–17</w:t>
            </w:r>
          </w:p>
        </w:tc>
        <w:tc>
          <w:tcPr>
            <w:tcW w:w="976" w:type="dxa"/>
            <w:noWrap/>
            <w:hideMark/>
          </w:tcPr>
          <w:p w:rsidR="00724615" w:rsidRPr="00724615" w:rsidRDefault="00724615" w:rsidP="006D2665">
            <w:pPr>
              <w:pStyle w:val="AERtabletextright"/>
              <w:keepNext/>
              <w:keepLines/>
              <w:spacing w:after="120"/>
              <w:cnfStyle w:val="100000000000" w:firstRow="1" w:lastRow="0" w:firstColumn="0" w:lastColumn="0" w:oddVBand="0" w:evenVBand="0" w:oddHBand="0" w:evenHBand="0" w:firstRowFirstColumn="0" w:firstRowLastColumn="0" w:lastRowFirstColumn="0" w:lastRowLastColumn="0"/>
            </w:pPr>
            <w:r w:rsidRPr="003D4734">
              <w:t>2017–18</w:t>
            </w:r>
          </w:p>
        </w:tc>
        <w:tc>
          <w:tcPr>
            <w:tcW w:w="976" w:type="dxa"/>
            <w:noWrap/>
            <w:hideMark/>
          </w:tcPr>
          <w:p w:rsidR="00724615" w:rsidRPr="00724615" w:rsidRDefault="00724615" w:rsidP="006D2665">
            <w:pPr>
              <w:pStyle w:val="AERtabletextright"/>
              <w:keepNext/>
              <w:keepLines/>
              <w:spacing w:after="120"/>
              <w:cnfStyle w:val="100000000000" w:firstRow="1" w:lastRow="0" w:firstColumn="0" w:lastColumn="0" w:oddVBand="0" w:evenVBand="0" w:oddHBand="0" w:evenHBand="0" w:firstRowFirstColumn="0" w:firstRowLastColumn="0" w:lastRowFirstColumn="0" w:lastRowLastColumn="0"/>
            </w:pPr>
            <w:r w:rsidRPr="003D4734">
              <w:t>2018–19</w:t>
            </w:r>
          </w:p>
        </w:tc>
      </w:tr>
      <w:tr w:rsidR="00724615" w:rsidRPr="00F85305" w:rsidTr="00111EB1">
        <w:trPr>
          <w:trHeight w:val="25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noWrap/>
            <w:hideMark/>
          </w:tcPr>
          <w:p w:rsidR="00724615" w:rsidRPr="00724615" w:rsidRDefault="00724615" w:rsidP="006D2665">
            <w:pPr>
              <w:pStyle w:val="AERtabletextleft"/>
              <w:keepNext/>
              <w:keepLines/>
              <w:spacing w:before="120"/>
            </w:pPr>
            <w:r w:rsidRPr="003D4734">
              <w:t>Return on capital</w:t>
            </w:r>
          </w:p>
        </w:tc>
        <w:tc>
          <w:tcPr>
            <w:tcW w:w="928" w:type="dxa"/>
            <w:shd w:val="clear" w:color="auto" w:fill="auto"/>
            <w:noWrap/>
            <w:hideMark/>
          </w:tcPr>
          <w:p w:rsidR="00724615" w:rsidRPr="003D4734" w:rsidRDefault="00724615" w:rsidP="006D2665">
            <w:pPr>
              <w:pStyle w:val="AERtabletextright"/>
              <w:keepNext/>
              <w:keepLines/>
              <w:spacing w:after="120"/>
              <w:cnfStyle w:val="000000000000" w:firstRow="0" w:lastRow="0" w:firstColumn="0" w:lastColumn="0" w:oddVBand="0" w:evenVBand="0" w:oddHBand="0" w:evenHBand="0" w:firstRowFirstColumn="0" w:firstRowLastColumn="0" w:lastRowFirstColumn="0" w:lastRowLastColumn="0"/>
            </w:pPr>
          </w:p>
        </w:tc>
        <w:tc>
          <w:tcPr>
            <w:tcW w:w="976" w:type="dxa"/>
            <w:shd w:val="clear" w:color="auto" w:fill="auto"/>
            <w:noWrap/>
            <w:hideMark/>
          </w:tcPr>
          <w:p w:rsidR="00724615" w:rsidRPr="00724615" w:rsidRDefault="00724615" w:rsidP="006D2665">
            <w:pPr>
              <w:pStyle w:val="AERtabletextright"/>
              <w:keepNext/>
              <w:keepLines/>
              <w:spacing w:after="120"/>
              <w:cnfStyle w:val="000000000000" w:firstRow="0" w:lastRow="0" w:firstColumn="0" w:lastColumn="0" w:oddVBand="0" w:evenVBand="0" w:oddHBand="0" w:evenHBand="0" w:firstRowFirstColumn="0" w:firstRowLastColumn="0" w:lastRowFirstColumn="0" w:lastRowLastColumn="0"/>
            </w:pPr>
            <w:r w:rsidRPr="003D4734">
              <w:t>180</w:t>
            </w:r>
          </w:p>
        </w:tc>
        <w:tc>
          <w:tcPr>
            <w:tcW w:w="976" w:type="dxa"/>
            <w:shd w:val="clear" w:color="auto" w:fill="auto"/>
            <w:noWrap/>
            <w:hideMark/>
          </w:tcPr>
          <w:p w:rsidR="00724615" w:rsidRPr="00724615" w:rsidRDefault="00724615" w:rsidP="006D2665">
            <w:pPr>
              <w:pStyle w:val="AERtabletextright"/>
              <w:keepNext/>
              <w:keepLines/>
              <w:spacing w:after="120"/>
              <w:cnfStyle w:val="000000000000" w:firstRow="0" w:lastRow="0" w:firstColumn="0" w:lastColumn="0" w:oddVBand="0" w:evenVBand="0" w:oddHBand="0" w:evenHBand="0" w:firstRowFirstColumn="0" w:firstRowLastColumn="0" w:lastRowFirstColumn="0" w:lastRowLastColumn="0"/>
            </w:pPr>
            <w:r w:rsidRPr="003D4734">
              <w:t>192</w:t>
            </w:r>
          </w:p>
        </w:tc>
        <w:tc>
          <w:tcPr>
            <w:tcW w:w="976" w:type="dxa"/>
            <w:shd w:val="clear" w:color="auto" w:fill="auto"/>
            <w:noWrap/>
            <w:hideMark/>
          </w:tcPr>
          <w:p w:rsidR="00724615" w:rsidRPr="00724615" w:rsidRDefault="00724615" w:rsidP="006D2665">
            <w:pPr>
              <w:pStyle w:val="AERtabletextright"/>
              <w:keepNext/>
              <w:keepLines/>
              <w:spacing w:after="120"/>
              <w:cnfStyle w:val="000000000000" w:firstRow="0" w:lastRow="0" w:firstColumn="0" w:lastColumn="0" w:oddVBand="0" w:evenVBand="0" w:oddHBand="0" w:evenHBand="0" w:firstRowFirstColumn="0" w:firstRowLastColumn="0" w:lastRowFirstColumn="0" w:lastRowLastColumn="0"/>
            </w:pPr>
            <w:r w:rsidRPr="003D4734">
              <w:t>204</w:t>
            </w:r>
          </w:p>
        </w:tc>
        <w:tc>
          <w:tcPr>
            <w:tcW w:w="976" w:type="dxa"/>
            <w:shd w:val="clear" w:color="auto" w:fill="auto"/>
            <w:noWrap/>
            <w:hideMark/>
          </w:tcPr>
          <w:p w:rsidR="00724615" w:rsidRPr="00724615" w:rsidRDefault="00724615" w:rsidP="006D2665">
            <w:pPr>
              <w:pStyle w:val="AERtabletextright"/>
              <w:keepNext/>
              <w:keepLines/>
              <w:spacing w:after="120"/>
              <w:cnfStyle w:val="000000000000" w:firstRow="0" w:lastRow="0" w:firstColumn="0" w:lastColumn="0" w:oddVBand="0" w:evenVBand="0" w:oddHBand="0" w:evenHBand="0" w:firstRowFirstColumn="0" w:firstRowLastColumn="0" w:lastRowFirstColumn="0" w:lastRowLastColumn="0"/>
            </w:pPr>
            <w:r w:rsidRPr="003D4734">
              <w:t>210</w:t>
            </w:r>
          </w:p>
        </w:tc>
        <w:tc>
          <w:tcPr>
            <w:tcW w:w="976" w:type="dxa"/>
            <w:shd w:val="clear" w:color="auto" w:fill="auto"/>
            <w:noWrap/>
            <w:hideMark/>
          </w:tcPr>
          <w:p w:rsidR="00724615" w:rsidRPr="00724615" w:rsidRDefault="00724615" w:rsidP="006D2665">
            <w:pPr>
              <w:pStyle w:val="AERtabletextright"/>
              <w:keepNext/>
              <w:keepLines/>
              <w:spacing w:after="120"/>
              <w:cnfStyle w:val="000000000000" w:firstRow="0" w:lastRow="0" w:firstColumn="0" w:lastColumn="0" w:oddVBand="0" w:evenVBand="0" w:oddHBand="0" w:evenHBand="0" w:firstRowFirstColumn="0" w:firstRowLastColumn="0" w:lastRowFirstColumn="0" w:lastRowLastColumn="0"/>
            </w:pPr>
            <w:r w:rsidRPr="003D4734">
              <w:t>218</w:t>
            </w:r>
          </w:p>
        </w:tc>
      </w:tr>
      <w:tr w:rsidR="00724615" w:rsidRPr="00F85305" w:rsidTr="00111EB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27" w:type="dxa"/>
            <w:noWrap/>
            <w:hideMark/>
          </w:tcPr>
          <w:p w:rsidR="00724615" w:rsidRPr="00724615" w:rsidRDefault="00724615" w:rsidP="006D2665">
            <w:pPr>
              <w:pStyle w:val="AERtabletextleft"/>
              <w:keepNext/>
              <w:keepLines/>
              <w:spacing w:before="120"/>
            </w:pPr>
            <w:r w:rsidRPr="003D4734">
              <w:t>Return of capital</w:t>
            </w:r>
          </w:p>
        </w:tc>
        <w:tc>
          <w:tcPr>
            <w:tcW w:w="928" w:type="dxa"/>
            <w:noWrap/>
            <w:hideMark/>
          </w:tcPr>
          <w:p w:rsidR="00724615" w:rsidRPr="00724615" w:rsidRDefault="00724615" w:rsidP="006D2665">
            <w:pPr>
              <w:pStyle w:val="AERtabletextright"/>
              <w:keepNext/>
              <w:keepLines/>
              <w:spacing w:after="120"/>
              <w:cnfStyle w:val="000000010000" w:firstRow="0" w:lastRow="0" w:firstColumn="0" w:lastColumn="0" w:oddVBand="0" w:evenVBand="0" w:oddHBand="0" w:evenHBand="1" w:firstRowFirstColumn="0" w:firstRowLastColumn="0" w:lastRowFirstColumn="0" w:lastRowLastColumn="0"/>
            </w:pPr>
            <w:r w:rsidRPr="003D4734">
              <w:t> </w:t>
            </w:r>
          </w:p>
        </w:tc>
        <w:tc>
          <w:tcPr>
            <w:tcW w:w="976" w:type="dxa"/>
            <w:noWrap/>
            <w:hideMark/>
          </w:tcPr>
          <w:p w:rsidR="00724615" w:rsidRPr="00724615" w:rsidRDefault="00724615" w:rsidP="006D2665">
            <w:pPr>
              <w:pStyle w:val="AERtabletextright"/>
              <w:keepNext/>
              <w:keepLines/>
              <w:spacing w:after="120"/>
              <w:cnfStyle w:val="000000010000" w:firstRow="0" w:lastRow="0" w:firstColumn="0" w:lastColumn="0" w:oddVBand="0" w:evenVBand="0" w:oddHBand="0" w:evenHBand="1" w:firstRowFirstColumn="0" w:firstRowLastColumn="0" w:lastRowFirstColumn="0" w:lastRowLastColumn="0"/>
            </w:pPr>
            <w:r w:rsidRPr="003D4734">
              <w:t>12</w:t>
            </w:r>
          </w:p>
        </w:tc>
        <w:tc>
          <w:tcPr>
            <w:tcW w:w="976" w:type="dxa"/>
            <w:noWrap/>
            <w:hideMark/>
          </w:tcPr>
          <w:p w:rsidR="00724615" w:rsidRPr="00724615" w:rsidRDefault="00724615" w:rsidP="006D2665">
            <w:pPr>
              <w:pStyle w:val="AERtabletextright"/>
              <w:keepNext/>
              <w:keepLines/>
              <w:spacing w:after="120"/>
              <w:cnfStyle w:val="000000010000" w:firstRow="0" w:lastRow="0" w:firstColumn="0" w:lastColumn="0" w:oddVBand="0" w:evenVBand="0" w:oddHBand="0" w:evenHBand="1" w:firstRowFirstColumn="0" w:firstRowLastColumn="0" w:lastRowFirstColumn="0" w:lastRowLastColumn="0"/>
            </w:pPr>
            <w:r w:rsidRPr="003D4734">
              <w:t>16</w:t>
            </w:r>
          </w:p>
        </w:tc>
        <w:tc>
          <w:tcPr>
            <w:tcW w:w="976" w:type="dxa"/>
            <w:noWrap/>
            <w:hideMark/>
          </w:tcPr>
          <w:p w:rsidR="00724615" w:rsidRPr="00724615" w:rsidRDefault="00724615" w:rsidP="006D2665">
            <w:pPr>
              <w:pStyle w:val="AERtabletextright"/>
              <w:keepNext/>
              <w:keepLines/>
              <w:spacing w:after="120"/>
              <w:cnfStyle w:val="000000010000" w:firstRow="0" w:lastRow="0" w:firstColumn="0" w:lastColumn="0" w:oddVBand="0" w:evenVBand="0" w:oddHBand="0" w:evenHBand="1" w:firstRowFirstColumn="0" w:firstRowLastColumn="0" w:lastRowFirstColumn="0" w:lastRowLastColumn="0"/>
            </w:pPr>
            <w:r w:rsidRPr="003D4734">
              <w:t>20</w:t>
            </w:r>
          </w:p>
        </w:tc>
        <w:tc>
          <w:tcPr>
            <w:tcW w:w="976" w:type="dxa"/>
            <w:noWrap/>
            <w:hideMark/>
          </w:tcPr>
          <w:p w:rsidR="00724615" w:rsidRPr="00724615" w:rsidRDefault="00724615" w:rsidP="006D2665">
            <w:pPr>
              <w:pStyle w:val="AERtabletextright"/>
              <w:keepNext/>
              <w:keepLines/>
              <w:spacing w:after="120"/>
              <w:cnfStyle w:val="000000010000" w:firstRow="0" w:lastRow="0" w:firstColumn="0" w:lastColumn="0" w:oddVBand="0" w:evenVBand="0" w:oddHBand="0" w:evenHBand="1" w:firstRowFirstColumn="0" w:firstRowLastColumn="0" w:lastRowFirstColumn="0" w:lastRowLastColumn="0"/>
            </w:pPr>
            <w:r w:rsidRPr="003D4734">
              <w:t>17</w:t>
            </w:r>
          </w:p>
        </w:tc>
        <w:tc>
          <w:tcPr>
            <w:tcW w:w="976" w:type="dxa"/>
            <w:noWrap/>
            <w:hideMark/>
          </w:tcPr>
          <w:p w:rsidR="00724615" w:rsidRPr="00724615" w:rsidRDefault="00724615" w:rsidP="006D2665">
            <w:pPr>
              <w:pStyle w:val="AERtabletextright"/>
              <w:keepNext/>
              <w:keepLines/>
              <w:spacing w:after="120"/>
              <w:cnfStyle w:val="000000010000" w:firstRow="0" w:lastRow="0" w:firstColumn="0" w:lastColumn="0" w:oddVBand="0" w:evenVBand="0" w:oddHBand="0" w:evenHBand="1" w:firstRowFirstColumn="0" w:firstRowLastColumn="0" w:lastRowFirstColumn="0" w:lastRowLastColumn="0"/>
            </w:pPr>
            <w:r w:rsidRPr="003D4734">
              <w:t>19</w:t>
            </w:r>
          </w:p>
        </w:tc>
      </w:tr>
      <w:tr w:rsidR="00724615" w:rsidRPr="00F85305" w:rsidTr="00111EB1">
        <w:trPr>
          <w:trHeight w:val="25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noWrap/>
            <w:hideMark/>
          </w:tcPr>
          <w:p w:rsidR="00724615" w:rsidRPr="00724615" w:rsidRDefault="00724615" w:rsidP="006D2665">
            <w:pPr>
              <w:pStyle w:val="AERtabletextleft"/>
              <w:keepNext/>
              <w:keepLines/>
              <w:spacing w:before="120"/>
            </w:pPr>
            <w:r w:rsidRPr="003D4734">
              <w:t>Operating expenditure</w:t>
            </w:r>
          </w:p>
        </w:tc>
        <w:tc>
          <w:tcPr>
            <w:tcW w:w="928" w:type="dxa"/>
            <w:shd w:val="clear" w:color="auto" w:fill="auto"/>
            <w:noWrap/>
            <w:hideMark/>
          </w:tcPr>
          <w:p w:rsidR="00724615" w:rsidRPr="003D4734" w:rsidRDefault="00724615" w:rsidP="006D2665">
            <w:pPr>
              <w:pStyle w:val="AERtabletextright"/>
              <w:keepNext/>
              <w:keepLines/>
              <w:spacing w:after="120"/>
              <w:cnfStyle w:val="000000000000" w:firstRow="0" w:lastRow="0" w:firstColumn="0" w:lastColumn="0" w:oddVBand="0" w:evenVBand="0" w:oddHBand="0" w:evenHBand="0" w:firstRowFirstColumn="0" w:firstRowLastColumn="0" w:lastRowFirstColumn="0" w:lastRowLastColumn="0"/>
            </w:pPr>
          </w:p>
        </w:tc>
        <w:tc>
          <w:tcPr>
            <w:tcW w:w="976" w:type="dxa"/>
            <w:shd w:val="clear" w:color="auto" w:fill="auto"/>
            <w:noWrap/>
            <w:hideMark/>
          </w:tcPr>
          <w:p w:rsidR="00724615" w:rsidRPr="00724615" w:rsidRDefault="00724615" w:rsidP="006D2665">
            <w:pPr>
              <w:pStyle w:val="AERtabletextright"/>
              <w:keepNext/>
              <w:keepLines/>
              <w:spacing w:after="120"/>
              <w:cnfStyle w:val="000000000000" w:firstRow="0" w:lastRow="0" w:firstColumn="0" w:lastColumn="0" w:oddVBand="0" w:evenVBand="0" w:oddHBand="0" w:evenHBand="0" w:firstRowFirstColumn="0" w:firstRowLastColumn="0" w:lastRowFirstColumn="0" w:lastRowLastColumn="0"/>
            </w:pPr>
            <w:r w:rsidRPr="003D4734">
              <w:t>42</w:t>
            </w:r>
          </w:p>
        </w:tc>
        <w:tc>
          <w:tcPr>
            <w:tcW w:w="976" w:type="dxa"/>
            <w:shd w:val="clear" w:color="auto" w:fill="auto"/>
            <w:noWrap/>
            <w:hideMark/>
          </w:tcPr>
          <w:p w:rsidR="00724615" w:rsidRPr="00724615" w:rsidRDefault="00724615" w:rsidP="006D2665">
            <w:pPr>
              <w:pStyle w:val="AERtabletextright"/>
              <w:keepNext/>
              <w:keepLines/>
              <w:spacing w:after="120"/>
              <w:cnfStyle w:val="000000000000" w:firstRow="0" w:lastRow="0" w:firstColumn="0" w:lastColumn="0" w:oddVBand="0" w:evenVBand="0" w:oddHBand="0" w:evenHBand="0" w:firstRowFirstColumn="0" w:firstRowLastColumn="0" w:lastRowFirstColumn="0" w:lastRowLastColumn="0"/>
            </w:pPr>
            <w:r w:rsidRPr="003D4734">
              <w:t>42</w:t>
            </w:r>
          </w:p>
        </w:tc>
        <w:tc>
          <w:tcPr>
            <w:tcW w:w="976" w:type="dxa"/>
            <w:shd w:val="clear" w:color="auto" w:fill="auto"/>
            <w:noWrap/>
            <w:hideMark/>
          </w:tcPr>
          <w:p w:rsidR="00724615" w:rsidRPr="00724615" w:rsidRDefault="00724615" w:rsidP="006D2665">
            <w:pPr>
              <w:pStyle w:val="AERtabletextright"/>
              <w:keepNext/>
              <w:keepLines/>
              <w:spacing w:after="120"/>
              <w:cnfStyle w:val="000000000000" w:firstRow="0" w:lastRow="0" w:firstColumn="0" w:lastColumn="0" w:oddVBand="0" w:evenVBand="0" w:oddHBand="0" w:evenHBand="0" w:firstRowFirstColumn="0" w:firstRowLastColumn="0" w:lastRowFirstColumn="0" w:lastRowLastColumn="0"/>
            </w:pPr>
            <w:r w:rsidRPr="003D4734">
              <w:t>45</w:t>
            </w:r>
          </w:p>
        </w:tc>
        <w:tc>
          <w:tcPr>
            <w:tcW w:w="976" w:type="dxa"/>
            <w:shd w:val="clear" w:color="auto" w:fill="auto"/>
            <w:noWrap/>
            <w:hideMark/>
          </w:tcPr>
          <w:p w:rsidR="00724615" w:rsidRPr="00724615" w:rsidRDefault="00724615" w:rsidP="006D2665">
            <w:pPr>
              <w:pStyle w:val="AERtabletextright"/>
              <w:keepNext/>
              <w:keepLines/>
              <w:spacing w:after="120"/>
              <w:cnfStyle w:val="000000000000" w:firstRow="0" w:lastRow="0" w:firstColumn="0" w:lastColumn="0" w:oddVBand="0" w:evenVBand="0" w:oddHBand="0" w:evenHBand="0" w:firstRowFirstColumn="0" w:firstRowLastColumn="0" w:lastRowFirstColumn="0" w:lastRowLastColumn="0"/>
            </w:pPr>
            <w:r w:rsidRPr="003D4734">
              <w:t>43</w:t>
            </w:r>
          </w:p>
        </w:tc>
        <w:tc>
          <w:tcPr>
            <w:tcW w:w="976" w:type="dxa"/>
            <w:shd w:val="clear" w:color="auto" w:fill="auto"/>
            <w:noWrap/>
            <w:hideMark/>
          </w:tcPr>
          <w:p w:rsidR="00724615" w:rsidRPr="00724615" w:rsidRDefault="00724615" w:rsidP="006D2665">
            <w:pPr>
              <w:pStyle w:val="AERtabletextright"/>
              <w:keepNext/>
              <w:keepLines/>
              <w:spacing w:after="120"/>
              <w:cnfStyle w:val="000000000000" w:firstRow="0" w:lastRow="0" w:firstColumn="0" w:lastColumn="0" w:oddVBand="0" w:evenVBand="0" w:oddHBand="0" w:evenHBand="0" w:firstRowFirstColumn="0" w:firstRowLastColumn="0" w:lastRowFirstColumn="0" w:lastRowLastColumn="0"/>
            </w:pPr>
            <w:r w:rsidRPr="003D4734">
              <w:t>44</w:t>
            </w:r>
          </w:p>
        </w:tc>
      </w:tr>
      <w:tr w:rsidR="00724615" w:rsidRPr="00F85305" w:rsidTr="00111EB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27" w:type="dxa"/>
            <w:noWrap/>
            <w:hideMark/>
          </w:tcPr>
          <w:p w:rsidR="00724615" w:rsidRPr="00724615" w:rsidRDefault="00724615" w:rsidP="006D2665">
            <w:pPr>
              <w:pStyle w:val="AERtabletextleft"/>
              <w:keepNext/>
              <w:keepLines/>
              <w:spacing w:before="120"/>
            </w:pPr>
            <w:r w:rsidRPr="003D4734">
              <w:t>Efficiency carryover</w:t>
            </w:r>
          </w:p>
        </w:tc>
        <w:tc>
          <w:tcPr>
            <w:tcW w:w="928" w:type="dxa"/>
            <w:noWrap/>
            <w:hideMark/>
          </w:tcPr>
          <w:p w:rsidR="00724615" w:rsidRPr="00724615" w:rsidRDefault="00724615" w:rsidP="006D2665">
            <w:pPr>
              <w:pStyle w:val="AERtabletextright"/>
              <w:keepNext/>
              <w:keepLines/>
              <w:spacing w:after="120"/>
              <w:cnfStyle w:val="000000010000" w:firstRow="0" w:lastRow="0" w:firstColumn="0" w:lastColumn="0" w:oddVBand="0" w:evenVBand="0" w:oddHBand="0" w:evenHBand="1" w:firstRowFirstColumn="0" w:firstRowLastColumn="0" w:lastRowFirstColumn="0" w:lastRowLastColumn="0"/>
            </w:pPr>
            <w:r w:rsidRPr="003D4734">
              <w:t> </w:t>
            </w:r>
          </w:p>
        </w:tc>
        <w:tc>
          <w:tcPr>
            <w:tcW w:w="976" w:type="dxa"/>
            <w:noWrap/>
            <w:hideMark/>
          </w:tcPr>
          <w:p w:rsidR="00724615" w:rsidRPr="00724615" w:rsidRDefault="00724615" w:rsidP="006D2665">
            <w:pPr>
              <w:pStyle w:val="AERtabletextright"/>
              <w:keepNext/>
              <w:keepLines/>
              <w:spacing w:after="120"/>
              <w:cnfStyle w:val="000000010000" w:firstRow="0" w:lastRow="0" w:firstColumn="0" w:lastColumn="0" w:oddVBand="0" w:evenVBand="0" w:oddHBand="0" w:evenHBand="1" w:firstRowFirstColumn="0" w:firstRowLastColumn="0" w:lastRowFirstColumn="0" w:lastRowLastColumn="0"/>
            </w:pPr>
            <w:r w:rsidRPr="003D4734">
              <w:t>7</w:t>
            </w:r>
          </w:p>
        </w:tc>
        <w:tc>
          <w:tcPr>
            <w:tcW w:w="976" w:type="dxa"/>
            <w:noWrap/>
            <w:hideMark/>
          </w:tcPr>
          <w:p w:rsidR="00724615" w:rsidRPr="00724615" w:rsidRDefault="00724615" w:rsidP="006D2665">
            <w:pPr>
              <w:pStyle w:val="AERtabletextright"/>
              <w:keepNext/>
              <w:keepLines/>
              <w:spacing w:after="120"/>
              <w:cnfStyle w:val="000000010000" w:firstRow="0" w:lastRow="0" w:firstColumn="0" w:lastColumn="0" w:oddVBand="0" w:evenVBand="0" w:oddHBand="0" w:evenHBand="1" w:firstRowFirstColumn="0" w:firstRowLastColumn="0" w:lastRowFirstColumn="0" w:lastRowLastColumn="0"/>
            </w:pPr>
            <w:r w:rsidRPr="003D4734">
              <w:t>9</w:t>
            </w:r>
          </w:p>
        </w:tc>
        <w:tc>
          <w:tcPr>
            <w:tcW w:w="976" w:type="dxa"/>
            <w:noWrap/>
            <w:hideMark/>
          </w:tcPr>
          <w:p w:rsidR="00724615" w:rsidRPr="00724615" w:rsidRDefault="00724615" w:rsidP="006D2665">
            <w:pPr>
              <w:pStyle w:val="AERtabletextright"/>
              <w:keepNext/>
              <w:keepLines/>
              <w:spacing w:after="120"/>
              <w:cnfStyle w:val="000000010000" w:firstRow="0" w:lastRow="0" w:firstColumn="0" w:lastColumn="0" w:oddVBand="0" w:evenVBand="0" w:oddHBand="0" w:evenHBand="1" w:firstRowFirstColumn="0" w:firstRowLastColumn="0" w:lastRowFirstColumn="0" w:lastRowLastColumn="0"/>
            </w:pPr>
            <w:r w:rsidRPr="003D4734">
              <w:t>6</w:t>
            </w:r>
          </w:p>
        </w:tc>
        <w:tc>
          <w:tcPr>
            <w:tcW w:w="976" w:type="dxa"/>
            <w:noWrap/>
            <w:hideMark/>
          </w:tcPr>
          <w:p w:rsidR="00724615" w:rsidRPr="00724615" w:rsidRDefault="00724615" w:rsidP="006D2665">
            <w:pPr>
              <w:pStyle w:val="AERtabletextright"/>
              <w:keepNext/>
              <w:keepLines/>
              <w:spacing w:after="120"/>
              <w:cnfStyle w:val="000000010000" w:firstRow="0" w:lastRow="0" w:firstColumn="0" w:lastColumn="0" w:oddVBand="0" w:evenVBand="0" w:oddHBand="0" w:evenHBand="1" w:firstRowFirstColumn="0" w:firstRowLastColumn="0" w:lastRowFirstColumn="0" w:lastRowLastColumn="0"/>
            </w:pPr>
            <w:r w:rsidRPr="003D4734">
              <w:t>10</w:t>
            </w:r>
          </w:p>
        </w:tc>
        <w:tc>
          <w:tcPr>
            <w:tcW w:w="976" w:type="dxa"/>
            <w:noWrap/>
            <w:hideMark/>
          </w:tcPr>
          <w:p w:rsidR="00724615" w:rsidRPr="00724615" w:rsidRDefault="00724615" w:rsidP="006D2665">
            <w:pPr>
              <w:pStyle w:val="AERtabletextright"/>
              <w:keepNext/>
              <w:keepLines/>
              <w:spacing w:after="120"/>
              <w:cnfStyle w:val="000000010000" w:firstRow="0" w:lastRow="0" w:firstColumn="0" w:lastColumn="0" w:oddVBand="0" w:evenVBand="0" w:oddHBand="0" w:evenHBand="1" w:firstRowFirstColumn="0" w:firstRowLastColumn="0" w:lastRowFirstColumn="0" w:lastRowLastColumn="0"/>
            </w:pPr>
            <w:r w:rsidRPr="003D4734">
              <w:t>0</w:t>
            </w:r>
          </w:p>
        </w:tc>
      </w:tr>
      <w:tr w:rsidR="00724615" w:rsidRPr="00F85305" w:rsidTr="00111EB1">
        <w:trPr>
          <w:trHeight w:val="27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noWrap/>
            <w:hideMark/>
          </w:tcPr>
          <w:p w:rsidR="00724615" w:rsidRPr="00724615" w:rsidRDefault="00724615" w:rsidP="006D2665">
            <w:pPr>
              <w:pStyle w:val="AERtabletextleft"/>
              <w:keepNext/>
              <w:keepLines/>
              <w:spacing w:before="120"/>
            </w:pPr>
            <w:r w:rsidRPr="003D4734">
              <w:t>Net tax allowance</w:t>
            </w:r>
          </w:p>
        </w:tc>
        <w:tc>
          <w:tcPr>
            <w:tcW w:w="928" w:type="dxa"/>
            <w:shd w:val="clear" w:color="auto" w:fill="auto"/>
            <w:noWrap/>
            <w:hideMark/>
          </w:tcPr>
          <w:p w:rsidR="00724615" w:rsidRPr="003D4734" w:rsidRDefault="00724615" w:rsidP="006D2665">
            <w:pPr>
              <w:pStyle w:val="AERtabletextright"/>
              <w:keepNext/>
              <w:keepLines/>
              <w:spacing w:after="120"/>
              <w:cnfStyle w:val="000000000000" w:firstRow="0" w:lastRow="0" w:firstColumn="0" w:lastColumn="0" w:oddVBand="0" w:evenVBand="0" w:oddHBand="0" w:evenHBand="0" w:firstRowFirstColumn="0" w:firstRowLastColumn="0" w:lastRowFirstColumn="0" w:lastRowLastColumn="0"/>
            </w:pPr>
          </w:p>
        </w:tc>
        <w:tc>
          <w:tcPr>
            <w:tcW w:w="976" w:type="dxa"/>
            <w:shd w:val="clear" w:color="auto" w:fill="auto"/>
            <w:noWrap/>
            <w:hideMark/>
          </w:tcPr>
          <w:p w:rsidR="00724615" w:rsidRPr="00724615" w:rsidRDefault="00724615" w:rsidP="006D2665">
            <w:pPr>
              <w:pStyle w:val="AERtabletextright"/>
              <w:keepNext/>
              <w:keepLines/>
              <w:spacing w:after="120"/>
              <w:cnfStyle w:val="000000000000" w:firstRow="0" w:lastRow="0" w:firstColumn="0" w:lastColumn="0" w:oddVBand="0" w:evenVBand="0" w:oddHBand="0" w:evenHBand="0" w:firstRowFirstColumn="0" w:firstRowLastColumn="0" w:lastRowFirstColumn="0" w:lastRowLastColumn="0"/>
            </w:pPr>
            <w:r w:rsidRPr="003D4734">
              <w:t>13</w:t>
            </w:r>
          </w:p>
        </w:tc>
        <w:tc>
          <w:tcPr>
            <w:tcW w:w="976" w:type="dxa"/>
            <w:shd w:val="clear" w:color="auto" w:fill="auto"/>
            <w:noWrap/>
            <w:hideMark/>
          </w:tcPr>
          <w:p w:rsidR="00724615" w:rsidRPr="00724615" w:rsidRDefault="00724615" w:rsidP="006D2665">
            <w:pPr>
              <w:pStyle w:val="AERtabletextright"/>
              <w:keepNext/>
              <w:keepLines/>
              <w:spacing w:after="120"/>
              <w:cnfStyle w:val="000000000000" w:firstRow="0" w:lastRow="0" w:firstColumn="0" w:lastColumn="0" w:oddVBand="0" w:evenVBand="0" w:oddHBand="0" w:evenHBand="0" w:firstRowFirstColumn="0" w:firstRowLastColumn="0" w:lastRowFirstColumn="0" w:lastRowLastColumn="0"/>
            </w:pPr>
            <w:r w:rsidRPr="003D4734">
              <w:t>14</w:t>
            </w:r>
          </w:p>
        </w:tc>
        <w:tc>
          <w:tcPr>
            <w:tcW w:w="976" w:type="dxa"/>
            <w:shd w:val="clear" w:color="auto" w:fill="auto"/>
            <w:noWrap/>
            <w:hideMark/>
          </w:tcPr>
          <w:p w:rsidR="00724615" w:rsidRPr="00724615" w:rsidRDefault="00724615" w:rsidP="006D2665">
            <w:pPr>
              <w:pStyle w:val="AERtabletextright"/>
              <w:keepNext/>
              <w:keepLines/>
              <w:spacing w:after="120"/>
              <w:cnfStyle w:val="000000000000" w:firstRow="0" w:lastRow="0" w:firstColumn="0" w:lastColumn="0" w:oddVBand="0" w:evenVBand="0" w:oddHBand="0" w:evenHBand="0" w:firstRowFirstColumn="0" w:firstRowLastColumn="0" w:lastRowFirstColumn="0" w:lastRowLastColumn="0"/>
            </w:pPr>
            <w:r w:rsidRPr="003D4734">
              <w:t>16</w:t>
            </w:r>
          </w:p>
        </w:tc>
        <w:tc>
          <w:tcPr>
            <w:tcW w:w="976" w:type="dxa"/>
            <w:shd w:val="clear" w:color="auto" w:fill="auto"/>
            <w:noWrap/>
            <w:hideMark/>
          </w:tcPr>
          <w:p w:rsidR="00724615" w:rsidRPr="00724615" w:rsidRDefault="00724615" w:rsidP="006D2665">
            <w:pPr>
              <w:pStyle w:val="AERtabletextright"/>
              <w:keepNext/>
              <w:keepLines/>
              <w:spacing w:after="120"/>
              <w:cnfStyle w:val="000000000000" w:firstRow="0" w:lastRow="0" w:firstColumn="0" w:lastColumn="0" w:oddVBand="0" w:evenVBand="0" w:oddHBand="0" w:evenHBand="0" w:firstRowFirstColumn="0" w:firstRowLastColumn="0" w:lastRowFirstColumn="0" w:lastRowLastColumn="0"/>
            </w:pPr>
            <w:r w:rsidRPr="003D4734">
              <w:t>15</w:t>
            </w:r>
          </w:p>
        </w:tc>
        <w:tc>
          <w:tcPr>
            <w:tcW w:w="976" w:type="dxa"/>
            <w:shd w:val="clear" w:color="auto" w:fill="auto"/>
            <w:noWrap/>
            <w:hideMark/>
          </w:tcPr>
          <w:p w:rsidR="00724615" w:rsidRPr="00724615" w:rsidRDefault="00724615" w:rsidP="006D2665">
            <w:pPr>
              <w:pStyle w:val="AERtabletextright"/>
              <w:keepNext/>
              <w:keepLines/>
              <w:spacing w:after="120"/>
              <w:cnfStyle w:val="000000000000" w:firstRow="0" w:lastRow="0" w:firstColumn="0" w:lastColumn="0" w:oddVBand="0" w:evenVBand="0" w:oddHBand="0" w:evenHBand="0" w:firstRowFirstColumn="0" w:firstRowLastColumn="0" w:lastRowFirstColumn="0" w:lastRowLastColumn="0"/>
            </w:pPr>
            <w:r w:rsidRPr="003D4734">
              <w:t>16</w:t>
            </w:r>
          </w:p>
        </w:tc>
      </w:tr>
      <w:tr w:rsidR="00724615" w:rsidRPr="00F85305" w:rsidTr="00111EB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27" w:type="dxa"/>
            <w:noWrap/>
            <w:hideMark/>
          </w:tcPr>
          <w:p w:rsidR="00724615" w:rsidRPr="00724615" w:rsidRDefault="00724615" w:rsidP="006D2665">
            <w:pPr>
              <w:pStyle w:val="AERtabletextleft"/>
              <w:keepNext/>
              <w:keepLines/>
              <w:spacing w:before="120"/>
            </w:pPr>
            <w:r w:rsidRPr="003D4734">
              <w:t>Total revenue (unsmoothed)</w:t>
            </w:r>
          </w:p>
        </w:tc>
        <w:tc>
          <w:tcPr>
            <w:tcW w:w="928" w:type="dxa"/>
            <w:noWrap/>
            <w:hideMark/>
          </w:tcPr>
          <w:p w:rsidR="00724615" w:rsidRPr="00724615" w:rsidRDefault="00724615" w:rsidP="006D2665">
            <w:pPr>
              <w:pStyle w:val="AERtabletextright"/>
              <w:keepNext/>
              <w:keepLines/>
              <w:spacing w:after="120"/>
              <w:cnfStyle w:val="000000010000" w:firstRow="0" w:lastRow="0" w:firstColumn="0" w:lastColumn="0" w:oddVBand="0" w:evenVBand="0" w:oddHBand="0" w:evenHBand="1" w:firstRowFirstColumn="0" w:firstRowLastColumn="0" w:lastRowFirstColumn="0" w:lastRowLastColumn="0"/>
            </w:pPr>
            <w:r w:rsidRPr="003D4734">
              <w:t> </w:t>
            </w:r>
          </w:p>
        </w:tc>
        <w:tc>
          <w:tcPr>
            <w:tcW w:w="976" w:type="dxa"/>
            <w:noWrap/>
            <w:hideMark/>
          </w:tcPr>
          <w:p w:rsidR="00724615" w:rsidRPr="00724615" w:rsidRDefault="00724615" w:rsidP="006D2665">
            <w:pPr>
              <w:pStyle w:val="AERtabletextright"/>
              <w:keepNext/>
              <w:keepLines/>
              <w:spacing w:after="120"/>
              <w:cnfStyle w:val="000000010000" w:firstRow="0" w:lastRow="0" w:firstColumn="0" w:lastColumn="0" w:oddVBand="0" w:evenVBand="0" w:oddHBand="0" w:evenHBand="1" w:firstRowFirstColumn="0" w:firstRowLastColumn="0" w:lastRowFirstColumn="0" w:lastRowLastColumn="0"/>
            </w:pPr>
            <w:r w:rsidRPr="003D4734">
              <w:t>254</w:t>
            </w:r>
          </w:p>
        </w:tc>
        <w:tc>
          <w:tcPr>
            <w:tcW w:w="976" w:type="dxa"/>
            <w:noWrap/>
            <w:hideMark/>
          </w:tcPr>
          <w:p w:rsidR="00724615" w:rsidRPr="00724615" w:rsidRDefault="00724615" w:rsidP="006D2665">
            <w:pPr>
              <w:pStyle w:val="AERtabletextright"/>
              <w:keepNext/>
              <w:keepLines/>
              <w:spacing w:after="120"/>
              <w:cnfStyle w:val="000000010000" w:firstRow="0" w:lastRow="0" w:firstColumn="0" w:lastColumn="0" w:oddVBand="0" w:evenVBand="0" w:oddHBand="0" w:evenHBand="1" w:firstRowFirstColumn="0" w:firstRowLastColumn="0" w:lastRowFirstColumn="0" w:lastRowLastColumn="0"/>
            </w:pPr>
            <w:r w:rsidRPr="003D4734">
              <w:t>272</w:t>
            </w:r>
          </w:p>
        </w:tc>
        <w:tc>
          <w:tcPr>
            <w:tcW w:w="976" w:type="dxa"/>
            <w:noWrap/>
            <w:hideMark/>
          </w:tcPr>
          <w:p w:rsidR="00724615" w:rsidRPr="00724615" w:rsidRDefault="00724615" w:rsidP="006D2665">
            <w:pPr>
              <w:pStyle w:val="AERtabletextright"/>
              <w:keepNext/>
              <w:keepLines/>
              <w:spacing w:after="120"/>
              <w:cnfStyle w:val="000000010000" w:firstRow="0" w:lastRow="0" w:firstColumn="0" w:lastColumn="0" w:oddVBand="0" w:evenVBand="0" w:oddHBand="0" w:evenHBand="1" w:firstRowFirstColumn="0" w:firstRowLastColumn="0" w:lastRowFirstColumn="0" w:lastRowLastColumn="0"/>
            </w:pPr>
            <w:r w:rsidRPr="003D4734">
              <w:t>290</w:t>
            </w:r>
          </w:p>
        </w:tc>
        <w:tc>
          <w:tcPr>
            <w:tcW w:w="976" w:type="dxa"/>
            <w:noWrap/>
            <w:hideMark/>
          </w:tcPr>
          <w:p w:rsidR="00724615" w:rsidRPr="00724615" w:rsidRDefault="00724615" w:rsidP="006D2665">
            <w:pPr>
              <w:pStyle w:val="AERtabletextright"/>
              <w:keepNext/>
              <w:keepLines/>
              <w:spacing w:after="120"/>
              <w:cnfStyle w:val="000000010000" w:firstRow="0" w:lastRow="0" w:firstColumn="0" w:lastColumn="0" w:oddVBand="0" w:evenVBand="0" w:oddHBand="0" w:evenHBand="1" w:firstRowFirstColumn="0" w:firstRowLastColumn="0" w:lastRowFirstColumn="0" w:lastRowLastColumn="0"/>
            </w:pPr>
            <w:r w:rsidRPr="003D4734">
              <w:t>296</w:t>
            </w:r>
          </w:p>
        </w:tc>
        <w:tc>
          <w:tcPr>
            <w:tcW w:w="976" w:type="dxa"/>
            <w:noWrap/>
            <w:hideMark/>
          </w:tcPr>
          <w:p w:rsidR="00724615" w:rsidRPr="00724615" w:rsidRDefault="00724615" w:rsidP="006D2665">
            <w:pPr>
              <w:pStyle w:val="AERtabletextright"/>
              <w:keepNext/>
              <w:keepLines/>
              <w:spacing w:after="120"/>
              <w:cnfStyle w:val="000000010000" w:firstRow="0" w:lastRow="0" w:firstColumn="0" w:lastColumn="0" w:oddVBand="0" w:evenVBand="0" w:oddHBand="0" w:evenHBand="1" w:firstRowFirstColumn="0" w:firstRowLastColumn="0" w:lastRowFirstColumn="0" w:lastRowLastColumn="0"/>
            </w:pPr>
            <w:r w:rsidRPr="003D4734">
              <w:t>296</w:t>
            </w:r>
          </w:p>
        </w:tc>
      </w:tr>
      <w:tr w:rsidR="00724615" w:rsidRPr="00F85305" w:rsidTr="00111EB1">
        <w:trPr>
          <w:trHeight w:val="27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noWrap/>
            <w:hideMark/>
          </w:tcPr>
          <w:p w:rsidR="00724615" w:rsidRPr="00724615" w:rsidRDefault="00724615" w:rsidP="006D2665">
            <w:pPr>
              <w:pStyle w:val="AERtabletextleft"/>
              <w:keepNext/>
              <w:keepLines/>
              <w:spacing w:before="120"/>
              <w:rPr>
                <w:rStyle w:val="AERtextbold"/>
              </w:rPr>
            </w:pPr>
            <w:r w:rsidRPr="002367B6">
              <w:rPr>
                <w:rStyle w:val="AERtextbold"/>
              </w:rPr>
              <w:t>Total revenue (smoothed)</w:t>
            </w:r>
          </w:p>
        </w:tc>
        <w:tc>
          <w:tcPr>
            <w:tcW w:w="928" w:type="dxa"/>
            <w:shd w:val="clear" w:color="auto" w:fill="auto"/>
            <w:noWrap/>
            <w:hideMark/>
          </w:tcPr>
          <w:p w:rsidR="00724615" w:rsidRPr="00724615" w:rsidRDefault="00724615" w:rsidP="006D2665">
            <w:pPr>
              <w:pStyle w:val="AERtabletextright"/>
              <w:keepNext/>
              <w:keepLines/>
              <w:spacing w:after="120"/>
              <w:cnfStyle w:val="000000000000" w:firstRow="0" w:lastRow="0" w:firstColumn="0" w:lastColumn="0" w:oddVBand="0" w:evenVBand="0" w:oddHBand="0" w:evenHBand="0" w:firstRowFirstColumn="0" w:firstRowLastColumn="0" w:lastRowFirstColumn="0" w:lastRowLastColumn="0"/>
              <w:rPr>
                <w:rStyle w:val="AERtextbold"/>
              </w:rPr>
            </w:pPr>
            <w:r w:rsidRPr="002367B6">
              <w:rPr>
                <w:rStyle w:val="AERtextbold"/>
              </w:rPr>
              <w:t>268</w:t>
            </w:r>
          </w:p>
        </w:tc>
        <w:tc>
          <w:tcPr>
            <w:tcW w:w="976" w:type="dxa"/>
            <w:shd w:val="clear" w:color="auto" w:fill="auto"/>
            <w:noWrap/>
            <w:hideMark/>
          </w:tcPr>
          <w:p w:rsidR="00724615" w:rsidRPr="00724615" w:rsidRDefault="00724615" w:rsidP="006D2665">
            <w:pPr>
              <w:pStyle w:val="AERtabletextright"/>
              <w:keepNext/>
              <w:keepLines/>
              <w:spacing w:after="120"/>
              <w:cnfStyle w:val="000000000000" w:firstRow="0" w:lastRow="0" w:firstColumn="0" w:lastColumn="0" w:oddVBand="0" w:evenVBand="0" w:oddHBand="0" w:evenHBand="0" w:firstRowFirstColumn="0" w:firstRowLastColumn="0" w:lastRowFirstColumn="0" w:lastRowLastColumn="0"/>
              <w:rPr>
                <w:rStyle w:val="AERtextbold"/>
              </w:rPr>
            </w:pPr>
            <w:r w:rsidRPr="002367B6">
              <w:rPr>
                <w:rStyle w:val="AERtextbold"/>
              </w:rPr>
              <w:t>270</w:t>
            </w:r>
          </w:p>
        </w:tc>
        <w:tc>
          <w:tcPr>
            <w:tcW w:w="976" w:type="dxa"/>
            <w:shd w:val="clear" w:color="auto" w:fill="auto"/>
            <w:noWrap/>
            <w:hideMark/>
          </w:tcPr>
          <w:p w:rsidR="00724615" w:rsidRPr="00724615" w:rsidRDefault="00724615" w:rsidP="006D2665">
            <w:pPr>
              <w:pStyle w:val="AERtabletextright"/>
              <w:keepNext/>
              <w:keepLines/>
              <w:spacing w:after="120"/>
              <w:cnfStyle w:val="000000000000" w:firstRow="0" w:lastRow="0" w:firstColumn="0" w:lastColumn="0" w:oddVBand="0" w:evenVBand="0" w:oddHBand="0" w:evenHBand="0" w:firstRowFirstColumn="0" w:firstRowLastColumn="0" w:lastRowFirstColumn="0" w:lastRowLastColumn="0"/>
              <w:rPr>
                <w:rStyle w:val="AERtextbold"/>
              </w:rPr>
            </w:pPr>
            <w:r w:rsidRPr="002367B6">
              <w:rPr>
                <w:rStyle w:val="AERtextbold"/>
              </w:rPr>
              <w:t>275</w:t>
            </w:r>
          </w:p>
        </w:tc>
        <w:tc>
          <w:tcPr>
            <w:tcW w:w="976" w:type="dxa"/>
            <w:shd w:val="clear" w:color="auto" w:fill="auto"/>
            <w:noWrap/>
            <w:hideMark/>
          </w:tcPr>
          <w:p w:rsidR="00724615" w:rsidRPr="00724615" w:rsidRDefault="00724615" w:rsidP="006D2665">
            <w:pPr>
              <w:pStyle w:val="AERtabletextright"/>
              <w:keepNext/>
              <w:keepLines/>
              <w:spacing w:after="120"/>
              <w:cnfStyle w:val="000000000000" w:firstRow="0" w:lastRow="0" w:firstColumn="0" w:lastColumn="0" w:oddVBand="0" w:evenVBand="0" w:oddHBand="0" w:evenHBand="0" w:firstRowFirstColumn="0" w:firstRowLastColumn="0" w:lastRowFirstColumn="0" w:lastRowLastColumn="0"/>
              <w:rPr>
                <w:rStyle w:val="AERtextbold"/>
              </w:rPr>
            </w:pPr>
            <w:r w:rsidRPr="002367B6">
              <w:rPr>
                <w:rStyle w:val="AERtextbold"/>
              </w:rPr>
              <w:t>281</w:t>
            </w:r>
          </w:p>
        </w:tc>
        <w:tc>
          <w:tcPr>
            <w:tcW w:w="976" w:type="dxa"/>
            <w:shd w:val="clear" w:color="auto" w:fill="auto"/>
            <w:noWrap/>
            <w:hideMark/>
          </w:tcPr>
          <w:p w:rsidR="00724615" w:rsidRPr="00724615" w:rsidRDefault="00724615" w:rsidP="006D2665">
            <w:pPr>
              <w:pStyle w:val="AERtabletextright"/>
              <w:keepNext/>
              <w:keepLines/>
              <w:spacing w:after="120"/>
              <w:cnfStyle w:val="000000000000" w:firstRow="0" w:lastRow="0" w:firstColumn="0" w:lastColumn="0" w:oddVBand="0" w:evenVBand="0" w:oddHBand="0" w:evenHBand="0" w:firstRowFirstColumn="0" w:firstRowLastColumn="0" w:lastRowFirstColumn="0" w:lastRowLastColumn="0"/>
              <w:rPr>
                <w:rStyle w:val="AERtextbold"/>
              </w:rPr>
            </w:pPr>
            <w:r w:rsidRPr="002367B6">
              <w:rPr>
                <w:rStyle w:val="AERtextbold"/>
              </w:rPr>
              <w:t>286</w:t>
            </w:r>
          </w:p>
        </w:tc>
        <w:tc>
          <w:tcPr>
            <w:tcW w:w="976" w:type="dxa"/>
            <w:shd w:val="clear" w:color="auto" w:fill="auto"/>
            <w:noWrap/>
            <w:hideMark/>
          </w:tcPr>
          <w:p w:rsidR="00724615" w:rsidRPr="00724615" w:rsidRDefault="00724615" w:rsidP="006D2665">
            <w:pPr>
              <w:pStyle w:val="AERtabletextright"/>
              <w:keepNext/>
              <w:keepLines/>
              <w:spacing w:after="120"/>
              <w:cnfStyle w:val="000000000000" w:firstRow="0" w:lastRow="0" w:firstColumn="0" w:lastColumn="0" w:oddVBand="0" w:evenVBand="0" w:oddHBand="0" w:evenHBand="0" w:firstRowFirstColumn="0" w:firstRowLastColumn="0" w:lastRowFirstColumn="0" w:lastRowLastColumn="0"/>
              <w:rPr>
                <w:rStyle w:val="AERtextbold"/>
              </w:rPr>
            </w:pPr>
            <w:r w:rsidRPr="002367B6">
              <w:rPr>
                <w:rStyle w:val="AERtextbold"/>
              </w:rPr>
              <w:t>292</w:t>
            </w:r>
          </w:p>
        </w:tc>
      </w:tr>
      <w:tr w:rsidR="00724615" w:rsidRPr="00F85305" w:rsidTr="00111EB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724615" w:rsidRPr="00724615" w:rsidRDefault="00724615" w:rsidP="006D2665">
            <w:pPr>
              <w:pStyle w:val="AERtabletextleft"/>
              <w:keepNext/>
              <w:keepLines/>
              <w:spacing w:before="120"/>
            </w:pPr>
            <w:r w:rsidRPr="003D4734">
              <w:t>Change</w:t>
            </w:r>
            <w:r w:rsidRPr="00724615">
              <w:rPr>
                <w:rStyle w:val="AERsuperscript"/>
              </w:rPr>
              <w:t xml:space="preserve">a </w:t>
            </w:r>
            <w:r w:rsidRPr="00724615">
              <w:t>(%)</w:t>
            </w:r>
          </w:p>
        </w:tc>
        <w:tc>
          <w:tcPr>
            <w:tcW w:w="928" w:type="dxa"/>
            <w:noWrap/>
            <w:hideMark/>
          </w:tcPr>
          <w:p w:rsidR="00724615" w:rsidRPr="00724615" w:rsidRDefault="00724615" w:rsidP="006D2665">
            <w:pPr>
              <w:pStyle w:val="AERtabletextright"/>
              <w:keepNext/>
              <w:keepLines/>
              <w:spacing w:after="120"/>
              <w:cnfStyle w:val="000000010000" w:firstRow="0" w:lastRow="0" w:firstColumn="0" w:lastColumn="0" w:oddVBand="0" w:evenVBand="0" w:oddHBand="0" w:evenHBand="1" w:firstRowFirstColumn="0" w:firstRowLastColumn="0" w:lastRowFirstColumn="0" w:lastRowLastColumn="0"/>
            </w:pPr>
            <w:r w:rsidRPr="003D4734">
              <w:t> </w:t>
            </w:r>
          </w:p>
        </w:tc>
        <w:tc>
          <w:tcPr>
            <w:tcW w:w="976" w:type="dxa"/>
            <w:noWrap/>
            <w:hideMark/>
          </w:tcPr>
          <w:p w:rsidR="00724615" w:rsidRPr="00724615" w:rsidRDefault="00724615" w:rsidP="006D2665">
            <w:pPr>
              <w:pStyle w:val="AERtabletextright"/>
              <w:keepNext/>
              <w:keepLines/>
              <w:spacing w:after="120"/>
              <w:cnfStyle w:val="000000010000" w:firstRow="0" w:lastRow="0" w:firstColumn="0" w:lastColumn="0" w:oddVBand="0" w:evenVBand="0" w:oddHBand="0" w:evenHBand="1" w:firstRowFirstColumn="0" w:firstRowLastColumn="0" w:lastRowFirstColumn="0" w:lastRowLastColumn="0"/>
            </w:pPr>
            <w:r w:rsidRPr="003D4734">
              <w:t>0.5%</w:t>
            </w:r>
          </w:p>
        </w:tc>
        <w:tc>
          <w:tcPr>
            <w:tcW w:w="976" w:type="dxa"/>
            <w:noWrap/>
            <w:hideMark/>
          </w:tcPr>
          <w:p w:rsidR="00724615" w:rsidRPr="00724615" w:rsidRDefault="00724615" w:rsidP="006D2665">
            <w:pPr>
              <w:pStyle w:val="AERtabletextright"/>
              <w:keepNext/>
              <w:keepLines/>
              <w:spacing w:after="120"/>
              <w:cnfStyle w:val="000000010000" w:firstRow="0" w:lastRow="0" w:firstColumn="0" w:lastColumn="0" w:oddVBand="0" w:evenVBand="0" w:oddHBand="0" w:evenHBand="1" w:firstRowFirstColumn="0" w:firstRowLastColumn="0" w:lastRowFirstColumn="0" w:lastRowLastColumn="0"/>
            </w:pPr>
            <w:r>
              <w:t>2.0</w:t>
            </w:r>
            <w:r w:rsidRPr="00724615">
              <w:t>%</w:t>
            </w:r>
          </w:p>
        </w:tc>
        <w:tc>
          <w:tcPr>
            <w:tcW w:w="976" w:type="dxa"/>
            <w:noWrap/>
            <w:hideMark/>
          </w:tcPr>
          <w:p w:rsidR="00724615" w:rsidRPr="00724615" w:rsidRDefault="00724615" w:rsidP="006D2665">
            <w:pPr>
              <w:pStyle w:val="AERtabletextright"/>
              <w:keepNext/>
              <w:keepLines/>
              <w:spacing w:after="120"/>
              <w:cnfStyle w:val="000000010000" w:firstRow="0" w:lastRow="0" w:firstColumn="0" w:lastColumn="0" w:oddVBand="0" w:evenVBand="0" w:oddHBand="0" w:evenHBand="1" w:firstRowFirstColumn="0" w:firstRowLastColumn="0" w:lastRowFirstColumn="0" w:lastRowLastColumn="0"/>
            </w:pPr>
            <w:r>
              <w:t>2.0</w:t>
            </w:r>
            <w:r w:rsidRPr="00724615">
              <w:t>%</w:t>
            </w:r>
          </w:p>
        </w:tc>
        <w:tc>
          <w:tcPr>
            <w:tcW w:w="976" w:type="dxa"/>
            <w:noWrap/>
            <w:hideMark/>
          </w:tcPr>
          <w:p w:rsidR="00724615" w:rsidRPr="00724615" w:rsidRDefault="00724615" w:rsidP="006D2665">
            <w:pPr>
              <w:pStyle w:val="AERtabletextright"/>
              <w:keepNext/>
              <w:keepLines/>
              <w:spacing w:after="120"/>
              <w:cnfStyle w:val="000000010000" w:firstRow="0" w:lastRow="0" w:firstColumn="0" w:lastColumn="0" w:oddVBand="0" w:evenVBand="0" w:oddHBand="0" w:evenHBand="1" w:firstRowFirstColumn="0" w:firstRowLastColumn="0" w:lastRowFirstColumn="0" w:lastRowLastColumn="0"/>
            </w:pPr>
            <w:r>
              <w:t>2.0</w:t>
            </w:r>
            <w:r w:rsidRPr="00724615">
              <w:t>%</w:t>
            </w:r>
          </w:p>
        </w:tc>
        <w:tc>
          <w:tcPr>
            <w:tcW w:w="976" w:type="dxa"/>
            <w:noWrap/>
            <w:hideMark/>
          </w:tcPr>
          <w:p w:rsidR="00724615" w:rsidRPr="00724615" w:rsidRDefault="00724615" w:rsidP="006D2665">
            <w:pPr>
              <w:pStyle w:val="AERtabletextright"/>
              <w:keepNext/>
              <w:keepLines/>
              <w:spacing w:after="120"/>
              <w:cnfStyle w:val="000000010000" w:firstRow="0" w:lastRow="0" w:firstColumn="0" w:lastColumn="0" w:oddVBand="0" w:evenVBand="0" w:oddHBand="0" w:evenHBand="1" w:firstRowFirstColumn="0" w:firstRowLastColumn="0" w:lastRowFirstColumn="0" w:lastRowLastColumn="0"/>
            </w:pPr>
            <w:r>
              <w:t>2.0</w:t>
            </w:r>
            <w:r w:rsidRPr="00724615">
              <w:t>%</w:t>
            </w:r>
          </w:p>
        </w:tc>
      </w:tr>
    </w:tbl>
    <w:p w:rsidR="005B1BD2" w:rsidRDefault="00724615" w:rsidP="005B1BD2">
      <w:pPr>
        <w:pStyle w:val="AERtablesource"/>
        <w:keepNext/>
        <w:keepLines/>
      </w:pPr>
      <w:r w:rsidRPr="005B1BD2">
        <w:t>Source</w:t>
      </w:r>
      <w:r w:rsidRPr="003D4734">
        <w:t>:</w:t>
      </w:r>
      <w:r w:rsidRPr="003D4734">
        <w:tab/>
      </w:r>
      <w:r w:rsidR="00A00775">
        <w:t>Ausg</w:t>
      </w:r>
      <w:r>
        <w:t xml:space="preserve">rid, </w:t>
      </w:r>
      <w:r w:rsidRPr="00DD1199">
        <w:rPr>
          <w:rStyle w:val="AERtextitalic"/>
        </w:rPr>
        <w:t>Transitional regulatory proposal</w:t>
      </w:r>
      <w:r>
        <w:t xml:space="preserve">, </w:t>
      </w:r>
      <w:r w:rsidRPr="00A2480F">
        <w:t xml:space="preserve">January 2014. Ausgrid, </w:t>
      </w:r>
      <w:r>
        <w:rPr>
          <w:rStyle w:val="AERtextitalic"/>
        </w:rPr>
        <w:t>Post-</w:t>
      </w:r>
      <w:r w:rsidRPr="00447042">
        <w:rPr>
          <w:rStyle w:val="AERtextitalic"/>
        </w:rPr>
        <w:t>Tax Revenue Model</w:t>
      </w:r>
      <w:r>
        <w:t>,</w:t>
      </w:r>
      <w:r w:rsidRPr="00A2480F">
        <w:t xml:space="preserve"> January 2014</w:t>
      </w:r>
      <w:r>
        <w:t>.</w:t>
      </w:r>
    </w:p>
    <w:p w:rsidR="00724615" w:rsidRPr="005B1BD2" w:rsidRDefault="00724615" w:rsidP="005B1BD2">
      <w:pPr>
        <w:pStyle w:val="AERtablesource"/>
      </w:pPr>
      <w:r w:rsidRPr="005B1BD2">
        <w:t>Notes:</w:t>
      </w:r>
      <w:r w:rsidRPr="005B1BD2">
        <w:tab/>
        <w:t>Numbers may not sum due to rounding.</w:t>
      </w:r>
    </w:p>
    <w:p w:rsidR="00724615" w:rsidRPr="003D4734" w:rsidRDefault="005B1BD2" w:rsidP="005B1BD2">
      <w:pPr>
        <w:pStyle w:val="AERtablesource"/>
        <w:tabs>
          <w:tab w:val="left" w:pos="1276"/>
        </w:tabs>
        <w:ind w:left="1276" w:hanging="1276"/>
        <w:jc w:val="left"/>
      </w:pPr>
      <w:r>
        <w:tab/>
      </w:r>
      <w:r w:rsidR="00724615" w:rsidRPr="003D4734">
        <w:t>a.</w:t>
      </w:r>
      <w:r w:rsidR="00724615" w:rsidRPr="003D4734">
        <w:tab/>
        <w:t>This row shows the year-on-year change in total nominal revenues. It should not be interpreted as the X-factor change from year to year.</w:t>
      </w:r>
    </w:p>
    <w:p w:rsidR="00724615" w:rsidRDefault="00724615" w:rsidP="00724615">
      <w:pPr>
        <w:pStyle w:val="AERbodytext"/>
        <w:numPr>
          <w:ilvl w:val="0"/>
          <w:numId w:val="6"/>
        </w:numPr>
      </w:pPr>
      <w:r>
        <w:t xml:space="preserve">In its </w:t>
      </w:r>
      <w:r w:rsidR="00964CE1">
        <w:t>TRP</w:t>
      </w:r>
      <w:r>
        <w:t>, Ausgrid stated that it has an expected under-recovery of</w:t>
      </w:r>
      <w:r w:rsidR="00E96950">
        <w:t xml:space="preserve"> revenues from 2013–14 of $19.8 </w:t>
      </w:r>
      <w:r>
        <w:t>million. This amount is to be recovered in the transitional regulatory control period.</w:t>
      </w:r>
      <w:r>
        <w:rPr>
          <w:rStyle w:val="FootnoteReference"/>
        </w:rPr>
        <w:footnoteReference w:id="114"/>
      </w:r>
    </w:p>
    <w:p w:rsidR="00724615" w:rsidRPr="00AB2ED3" w:rsidRDefault="00724615" w:rsidP="00724615">
      <w:pPr>
        <w:pStyle w:val="AERbodytext"/>
        <w:numPr>
          <w:ilvl w:val="0"/>
          <w:numId w:val="6"/>
        </w:numPr>
      </w:pPr>
      <w:r w:rsidRPr="00AB2ED3">
        <w:t xml:space="preserve">The key determinants of the building blocks from Ausgrid’s </w:t>
      </w:r>
      <w:r w:rsidR="00964CE1">
        <w:t>TRP</w:t>
      </w:r>
      <w:r w:rsidRPr="00AB2ED3">
        <w:t xml:space="preserve"> (opex, capex, rate of return and RAB) are separately presented below. Ausgrid’s </w:t>
      </w:r>
      <w:r w:rsidR="00964CE1">
        <w:t>TRP</w:t>
      </w:r>
      <w:r w:rsidRPr="00AB2ED3">
        <w:t xml:space="preserve"> also included details on:</w:t>
      </w:r>
    </w:p>
    <w:p w:rsidR="00724615" w:rsidRPr="00AB2ED3" w:rsidRDefault="00724615" w:rsidP="00C23850">
      <w:pPr>
        <w:pStyle w:val="AERbulletlistfirststyle"/>
      </w:pPr>
      <w:r w:rsidRPr="00AB2ED3">
        <w:t>Regulatory depreciation—Ausgrid proposed to use straight-line depreciation as calculated in the PTRM, and put forward a schedule of asset lives. Its depreciation forecasts (including the net effect of indexation) are included in the RAB roll forward tables presented below.</w:t>
      </w:r>
    </w:p>
    <w:p w:rsidR="00724615" w:rsidRPr="00AB2ED3" w:rsidRDefault="00724615" w:rsidP="00C23850">
      <w:pPr>
        <w:pStyle w:val="AERbulletlistfirststyle"/>
      </w:pPr>
      <w:r w:rsidRPr="00AB2ED3">
        <w:t>Cost of corporate income tax—Ausgrid submitted taxation calculations using the PTRM, which involves calculating the indicative tax payable and then reducing its tax allowance with respect to the value of imputation credits.  Ausgrid</w:t>
      </w:r>
      <w:r>
        <w:t>'s</w:t>
      </w:r>
      <w:r w:rsidRPr="00AB2ED3">
        <w:t xml:space="preserve"> proposed gamma figure (assumed value of imputation credits) is discussed below in the rate of return section.</w:t>
      </w:r>
    </w:p>
    <w:p w:rsidR="00724615" w:rsidRDefault="00724615" w:rsidP="00C23850">
      <w:pPr>
        <w:pStyle w:val="AERbulletlistfirststyle"/>
      </w:pPr>
      <w:r w:rsidRPr="00AB2ED3">
        <w:t xml:space="preserve">Efficiency carryovers—Ausgrid proposed a positive carryover allowance reflecting past efficiency gains associated with its opex (under the EBSS) over the </w:t>
      </w:r>
      <w:r>
        <w:t>current</w:t>
      </w:r>
      <w:r w:rsidRPr="00AB2ED3">
        <w:t xml:space="preserve"> regulatory control period.</w:t>
      </w:r>
    </w:p>
    <w:p w:rsidR="00724615" w:rsidRDefault="00724615" w:rsidP="00C23850">
      <w:pPr>
        <w:pStyle w:val="AERbulletlistfirststyle"/>
      </w:pPr>
      <w:r>
        <w:t>Metering revenue—Ausgrid has proposed a revenue allowance to recover the costs of providing distribution metering services in its TRP. Metering services will be unbundled from standard control services from 1 July 2014 to alternative control services. However, the transitional rules require Ausgrid to recover the costs of providing these services as part of standard control services for the transitional regulatory control period. For the subsequent regulatory control period metering costs will not be recovered via Ausgrid's standard control services revenue.</w:t>
      </w:r>
    </w:p>
    <w:p w:rsidR="00724615" w:rsidRPr="0001467A" w:rsidRDefault="00724615" w:rsidP="003F0974">
      <w:pPr>
        <w:pStyle w:val="Heading9"/>
      </w:pPr>
      <w:r w:rsidRPr="0001467A">
        <w:lastRenderedPageBreak/>
        <w:t>Rate of return</w:t>
      </w:r>
    </w:p>
    <w:p w:rsidR="00724615" w:rsidRDefault="00724615" w:rsidP="00724615">
      <w:pPr>
        <w:pStyle w:val="AERbodytext"/>
        <w:numPr>
          <w:ilvl w:val="0"/>
          <w:numId w:val="6"/>
        </w:numPr>
        <w:rPr>
          <w:rStyle w:val="AERbody"/>
        </w:rPr>
      </w:pPr>
      <w:r w:rsidRPr="0000172E">
        <w:rPr>
          <w:rStyle w:val="AERbody"/>
        </w:rPr>
        <w:t>Aus</w:t>
      </w:r>
      <w:r>
        <w:rPr>
          <w:rStyle w:val="AERbody"/>
        </w:rPr>
        <w:t xml:space="preserve">grid </w:t>
      </w:r>
      <w:r w:rsidRPr="0000172E">
        <w:rPr>
          <w:rStyle w:val="AERbody"/>
        </w:rPr>
        <w:t>proposed</w:t>
      </w:r>
      <w:r>
        <w:rPr>
          <w:rStyle w:val="AERbody"/>
        </w:rPr>
        <w:t xml:space="preserve"> an indicative WACC range </w:t>
      </w:r>
      <w:r w:rsidRPr="0000172E">
        <w:rPr>
          <w:rStyle w:val="AERbody"/>
        </w:rPr>
        <w:t>of 8.5–9.1 per cent</w:t>
      </w:r>
      <w:r>
        <w:rPr>
          <w:rStyle w:val="AERbody"/>
        </w:rPr>
        <w:t xml:space="preserve"> for the </w:t>
      </w:r>
      <w:r w:rsidR="00A00775">
        <w:rPr>
          <w:rStyle w:val="AERbody"/>
        </w:rPr>
        <w:t>transitional</w:t>
      </w:r>
      <w:r>
        <w:rPr>
          <w:rStyle w:val="AERbody"/>
        </w:rPr>
        <w:t xml:space="preserve"> regulatory control period.</w:t>
      </w:r>
      <w:r>
        <w:rPr>
          <w:rStyle w:val="FootnoteReference"/>
        </w:rPr>
        <w:footnoteReference w:id="115"/>
      </w:r>
      <w:r>
        <w:rPr>
          <w:rStyle w:val="AERbody"/>
        </w:rPr>
        <w:t xml:space="preserve"> This indicative WACC range</w:t>
      </w:r>
      <w:r w:rsidRPr="0000172E">
        <w:rPr>
          <w:rStyle w:val="AERbody"/>
        </w:rPr>
        <w:t xml:space="preserve"> reflect</w:t>
      </w:r>
      <w:r>
        <w:rPr>
          <w:rStyle w:val="AERbody"/>
        </w:rPr>
        <w:t>s</w:t>
      </w:r>
      <w:r w:rsidRPr="0000172E">
        <w:rPr>
          <w:rStyle w:val="AERbody"/>
        </w:rPr>
        <w:t xml:space="preserve"> the parameters shown in</w:t>
      </w:r>
      <w:r>
        <w:rPr>
          <w:rStyle w:val="AERbody"/>
        </w:rPr>
        <w:t xml:space="preserve"> </w:t>
      </w:r>
      <w:r w:rsidR="006967DB">
        <w:rPr>
          <w:rStyle w:val="AERbody"/>
        </w:rPr>
        <w:fldChar w:fldCharType="begin"/>
      </w:r>
      <w:r w:rsidR="006967DB">
        <w:rPr>
          <w:rStyle w:val="AERbody"/>
        </w:rPr>
        <w:instrText xml:space="preserve"> REF _Ref381717848 \h </w:instrText>
      </w:r>
      <w:r w:rsidR="006967DB">
        <w:rPr>
          <w:rStyle w:val="AERbody"/>
        </w:rPr>
      </w:r>
      <w:r w:rsidR="006967DB">
        <w:rPr>
          <w:rStyle w:val="AERbody"/>
        </w:rPr>
        <w:fldChar w:fldCharType="separate"/>
      </w:r>
      <w:r w:rsidR="00E313D7">
        <w:t xml:space="preserve">Table </w:t>
      </w:r>
      <w:r w:rsidR="00E313D7">
        <w:rPr>
          <w:noProof/>
        </w:rPr>
        <w:t>B</w:t>
      </w:r>
      <w:r w:rsidR="00E313D7">
        <w:t>.</w:t>
      </w:r>
      <w:r w:rsidR="00E313D7">
        <w:rPr>
          <w:noProof/>
        </w:rPr>
        <w:t>3</w:t>
      </w:r>
      <w:r w:rsidR="006967DB">
        <w:rPr>
          <w:rStyle w:val="AERbody"/>
        </w:rPr>
        <w:fldChar w:fldCharType="end"/>
      </w:r>
    </w:p>
    <w:p w:rsidR="00724615" w:rsidRDefault="00724615" w:rsidP="00724615">
      <w:pPr>
        <w:pStyle w:val="AERbodytext"/>
        <w:numPr>
          <w:ilvl w:val="0"/>
          <w:numId w:val="6"/>
        </w:numPr>
        <w:rPr>
          <w:rStyle w:val="AERbody"/>
        </w:rPr>
      </w:pPr>
      <w:r>
        <w:rPr>
          <w:rStyle w:val="AERbody"/>
        </w:rPr>
        <w:t xml:space="preserve">Ausgrid </w:t>
      </w:r>
      <w:r w:rsidRPr="00875721">
        <w:rPr>
          <w:rStyle w:val="AERbody"/>
        </w:rPr>
        <w:t>considered multiple models and estimation methods</w:t>
      </w:r>
      <w:r>
        <w:rPr>
          <w:rStyle w:val="AERbody"/>
        </w:rPr>
        <w:t xml:space="preserve"> in estimating the return on equity,</w:t>
      </w:r>
      <w:r w:rsidRPr="00875721">
        <w:rPr>
          <w:rStyle w:val="AERbody"/>
        </w:rPr>
        <w:t xml:space="preserve"> before adopting a long-term average approach to arrive at a point estimate</w:t>
      </w:r>
      <w:r>
        <w:rPr>
          <w:rStyle w:val="AERbody"/>
        </w:rPr>
        <w:t>.</w:t>
      </w:r>
      <w:r>
        <w:rPr>
          <w:rStyle w:val="FootnoteReference"/>
        </w:rPr>
        <w:footnoteReference w:id="116"/>
      </w:r>
      <w:r>
        <w:rPr>
          <w:rStyle w:val="AERbody"/>
        </w:rPr>
        <w:t xml:space="preserve"> Ausgrid submitted that their approach is</w:t>
      </w:r>
      <w:r w:rsidRPr="00782AF4">
        <w:rPr>
          <w:rStyle w:val="AERbody"/>
        </w:rPr>
        <w:t xml:space="preserve"> consistent with the requirement to have regard to relevant estimation methods, financial models, market data and other evidence when determining the allowed rate of return</w:t>
      </w:r>
      <w:r>
        <w:rPr>
          <w:rStyle w:val="AERbody"/>
        </w:rPr>
        <w:t>.</w:t>
      </w:r>
      <w:r>
        <w:rPr>
          <w:rStyle w:val="FootnoteReference"/>
        </w:rPr>
        <w:footnoteReference w:id="117"/>
      </w:r>
      <w:r>
        <w:rPr>
          <w:rStyle w:val="AERbody"/>
        </w:rPr>
        <w:t xml:space="preserve"> Ausgrid</w:t>
      </w:r>
      <w:r w:rsidRPr="00782AF4">
        <w:rPr>
          <w:rStyle w:val="AERbody"/>
        </w:rPr>
        <w:t>’s return on equity estimates are based on a report commissioned in January 2014 by the Competition Economists Group (CEG)</w:t>
      </w:r>
      <w:r>
        <w:rPr>
          <w:rStyle w:val="AERbody"/>
        </w:rPr>
        <w:t>.</w:t>
      </w:r>
      <w:r>
        <w:rPr>
          <w:rStyle w:val="FootnoteReference"/>
        </w:rPr>
        <w:footnoteReference w:id="118"/>
      </w:r>
    </w:p>
    <w:p w:rsidR="00724615" w:rsidRDefault="00724615" w:rsidP="00724615">
      <w:pPr>
        <w:pStyle w:val="AERbodytext"/>
        <w:numPr>
          <w:ilvl w:val="0"/>
          <w:numId w:val="6"/>
        </w:numPr>
        <w:rPr>
          <w:rStyle w:val="AERbody"/>
        </w:rPr>
      </w:pPr>
      <w:r>
        <w:rPr>
          <w:rStyle w:val="AERbody"/>
        </w:rPr>
        <w:t xml:space="preserve">Ausgrid proposed to adopt a trailing average portfolio approach (with a </w:t>
      </w:r>
      <w:r w:rsidRPr="00782AF4">
        <w:rPr>
          <w:rStyle w:val="AERbody"/>
        </w:rPr>
        <w:t>10-year debt term and BBB+ credit rating</w:t>
      </w:r>
      <w:r>
        <w:rPr>
          <w:rStyle w:val="AERbody"/>
        </w:rPr>
        <w:t>)</w:t>
      </w:r>
      <w:r w:rsidRPr="00782AF4">
        <w:rPr>
          <w:rStyle w:val="AERbody"/>
        </w:rPr>
        <w:t xml:space="preserve"> </w:t>
      </w:r>
      <w:r>
        <w:rPr>
          <w:rStyle w:val="AERbody"/>
        </w:rPr>
        <w:t>to estimate the return on debt as set out in our</w:t>
      </w:r>
      <w:r w:rsidRPr="00782AF4">
        <w:rPr>
          <w:rStyle w:val="AERbody"/>
        </w:rPr>
        <w:t xml:space="preserve"> </w:t>
      </w:r>
      <w:r>
        <w:rPr>
          <w:rStyle w:val="AERbody"/>
        </w:rPr>
        <w:t>rate of return guideline</w:t>
      </w:r>
      <w:r w:rsidRPr="00782AF4">
        <w:rPr>
          <w:rStyle w:val="AERbody"/>
        </w:rPr>
        <w:t>.</w:t>
      </w:r>
      <w:r>
        <w:rPr>
          <w:rStyle w:val="FootnoteReference"/>
        </w:rPr>
        <w:footnoteReference w:id="119"/>
      </w:r>
      <w:r>
        <w:rPr>
          <w:rStyle w:val="AERbody"/>
        </w:rPr>
        <w:t xml:space="preserve"> </w:t>
      </w:r>
      <w:r w:rsidRPr="00782AF4">
        <w:rPr>
          <w:rStyle w:val="AERbody"/>
        </w:rPr>
        <w:t xml:space="preserve">However, they </w:t>
      </w:r>
      <w:r>
        <w:rPr>
          <w:rStyle w:val="AERbody"/>
        </w:rPr>
        <w:t xml:space="preserve">submitted that historical rates would best match their actual debt financing practices </w:t>
      </w:r>
      <w:r w:rsidRPr="00D9659D">
        <w:rPr>
          <w:rStyle w:val="AERbody"/>
        </w:rPr>
        <w:t>(the immediate adoption of a trailing average debt portfolio)</w:t>
      </w:r>
      <w:r>
        <w:rPr>
          <w:rStyle w:val="AERbody"/>
        </w:rPr>
        <w:t>.</w:t>
      </w:r>
      <w:r>
        <w:rPr>
          <w:rStyle w:val="FootnoteReference"/>
        </w:rPr>
        <w:footnoteReference w:id="120"/>
      </w:r>
      <w:r>
        <w:rPr>
          <w:rStyle w:val="AERbody"/>
        </w:rPr>
        <w:t xml:space="preserve"> </w:t>
      </w:r>
    </w:p>
    <w:p w:rsidR="00724615" w:rsidRDefault="00724615" w:rsidP="00724615">
      <w:pPr>
        <w:pStyle w:val="AERbodytext"/>
        <w:numPr>
          <w:ilvl w:val="0"/>
          <w:numId w:val="6"/>
        </w:numPr>
        <w:rPr>
          <w:rStyle w:val="AERbody"/>
        </w:rPr>
      </w:pPr>
      <w:r>
        <w:rPr>
          <w:rStyle w:val="AERbody"/>
        </w:rPr>
        <w:t xml:space="preserve">Ausgrid </w:t>
      </w:r>
      <w:r w:rsidRPr="00782AF4">
        <w:rPr>
          <w:rStyle w:val="AERbody"/>
        </w:rPr>
        <w:t xml:space="preserve">adopted a value of 0.25 </w:t>
      </w:r>
      <w:r>
        <w:rPr>
          <w:rStyle w:val="AERbody"/>
        </w:rPr>
        <w:t>for imputation credits (gamma).</w:t>
      </w:r>
      <w:r>
        <w:rPr>
          <w:rStyle w:val="FootnoteReference"/>
        </w:rPr>
        <w:footnoteReference w:id="121"/>
      </w:r>
      <w:r>
        <w:rPr>
          <w:rStyle w:val="AERbody"/>
        </w:rPr>
        <w:t xml:space="preserve"> </w:t>
      </w:r>
    </w:p>
    <w:p w:rsidR="00724615" w:rsidRDefault="002401A5" w:rsidP="002401A5">
      <w:pPr>
        <w:pStyle w:val="Caption"/>
        <w:jc w:val="left"/>
      </w:pPr>
      <w:bookmarkStart w:id="202" w:name="_Ref381717848"/>
      <w:r>
        <w:t>Table</w:t>
      </w:r>
      <w:r w:rsidR="00724615">
        <w:t xml:space="preserve"> </w:t>
      </w:r>
      <w:r w:rsidR="00DD155E">
        <w:fldChar w:fldCharType="begin"/>
      </w:r>
      <w:r w:rsidR="00DD155E">
        <w:instrText xml:space="preserve"> STYLEREF 7</w:instrText>
      </w:r>
      <w:r w:rsidR="00DD155E">
        <w:instrText xml:space="preserve"> \s </w:instrText>
      </w:r>
      <w:r w:rsidR="00DD155E">
        <w:fldChar w:fldCharType="separate"/>
      </w:r>
      <w:r w:rsidR="00E313D7">
        <w:rPr>
          <w:noProof/>
        </w:rPr>
        <w:t>B</w:t>
      </w:r>
      <w:r w:rsidR="00DD155E">
        <w:rPr>
          <w:noProof/>
        </w:rPr>
        <w:fldChar w:fldCharType="end"/>
      </w:r>
      <w:r>
        <w:t>.</w:t>
      </w:r>
      <w:r w:rsidR="00DD155E">
        <w:fldChar w:fldCharType="begin"/>
      </w:r>
      <w:r w:rsidR="00DD155E">
        <w:instrText xml:space="preserve"> SEQ Table_Apx \* ARABIC \s 7 </w:instrText>
      </w:r>
      <w:r w:rsidR="00DD155E">
        <w:fldChar w:fldCharType="separate"/>
      </w:r>
      <w:r w:rsidR="00E313D7">
        <w:rPr>
          <w:noProof/>
        </w:rPr>
        <w:t>3</w:t>
      </w:r>
      <w:r w:rsidR="00DD155E">
        <w:rPr>
          <w:noProof/>
        </w:rPr>
        <w:fldChar w:fldCharType="end"/>
      </w:r>
      <w:bookmarkEnd w:id="202"/>
      <w:r w:rsidR="00724615">
        <w:tab/>
        <w:t>Aus</w:t>
      </w:r>
      <w:r w:rsidR="00D400D5">
        <w:t>g</w:t>
      </w:r>
      <w:r w:rsidR="00724615">
        <w:t>rid's proposed WACC parameters for the transitional regulatory control period</w:t>
      </w:r>
    </w:p>
    <w:tbl>
      <w:tblPr>
        <w:tblStyle w:val="AERtable-numbers"/>
        <w:tblW w:w="0" w:type="auto"/>
        <w:tblLook w:val="04A0" w:firstRow="1" w:lastRow="0" w:firstColumn="1" w:lastColumn="0" w:noHBand="0" w:noVBand="1"/>
      </w:tblPr>
      <w:tblGrid>
        <w:gridCol w:w="5211"/>
        <w:gridCol w:w="3969"/>
      </w:tblGrid>
      <w:tr w:rsidR="00724615" w:rsidRPr="006D2665" w:rsidTr="00846C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724615" w:rsidRPr="006D2665" w:rsidRDefault="00724615" w:rsidP="006D2665">
            <w:pPr>
              <w:spacing w:after="120"/>
            </w:pPr>
          </w:p>
        </w:tc>
        <w:tc>
          <w:tcPr>
            <w:tcW w:w="3969" w:type="dxa"/>
          </w:tcPr>
          <w:p w:rsidR="00724615" w:rsidRPr="006D2665" w:rsidRDefault="00724615" w:rsidP="006D2665">
            <w:pPr>
              <w:spacing w:after="120"/>
              <w:cnfStyle w:val="100000000000" w:firstRow="1" w:lastRow="0" w:firstColumn="0" w:lastColumn="0" w:oddVBand="0" w:evenVBand="0" w:oddHBand="0" w:evenHBand="0" w:firstRowFirstColumn="0" w:firstRowLastColumn="0" w:lastRowFirstColumn="0" w:lastRowLastColumn="0"/>
            </w:pPr>
            <w:r w:rsidRPr="006D2665">
              <w:t>NSW DNSPs</w:t>
            </w:r>
          </w:p>
        </w:tc>
      </w:tr>
      <w:tr w:rsidR="00724615" w:rsidRPr="006D2665" w:rsidTr="00846C67">
        <w:tc>
          <w:tcPr>
            <w:cnfStyle w:val="001000000000" w:firstRow="0" w:lastRow="0" w:firstColumn="1" w:lastColumn="0" w:oddVBand="0" w:evenVBand="0" w:oddHBand="0" w:evenHBand="0" w:firstRowFirstColumn="0" w:firstRowLastColumn="0" w:lastRowFirstColumn="0" w:lastRowLastColumn="0"/>
            <w:tcW w:w="5211" w:type="dxa"/>
          </w:tcPr>
          <w:p w:rsidR="00724615" w:rsidRPr="006D2665" w:rsidRDefault="00724615" w:rsidP="006D2665">
            <w:pPr>
              <w:spacing w:after="120"/>
            </w:pPr>
            <w:r w:rsidRPr="006D2665">
              <w:t>Risk free rate</w:t>
            </w:r>
          </w:p>
        </w:tc>
        <w:tc>
          <w:tcPr>
            <w:tcW w:w="3969" w:type="dxa"/>
          </w:tcPr>
          <w:p w:rsidR="00724615" w:rsidRPr="006D2665" w:rsidRDefault="00724615" w:rsidP="006D2665">
            <w:pPr>
              <w:spacing w:after="120"/>
              <w:cnfStyle w:val="000000000000" w:firstRow="0" w:lastRow="0" w:firstColumn="0" w:lastColumn="0" w:oddVBand="0" w:evenVBand="0" w:oddHBand="0" w:evenHBand="0" w:firstRowFirstColumn="0" w:firstRowLastColumn="0" w:lastRowFirstColumn="0" w:lastRowLastColumn="0"/>
            </w:pPr>
            <w:r w:rsidRPr="006D2665">
              <w:t>4.8–5.2 (4.8)</w:t>
            </w:r>
          </w:p>
        </w:tc>
      </w:tr>
      <w:tr w:rsidR="00724615" w:rsidRPr="006D2665" w:rsidTr="00846C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724615" w:rsidRPr="006D2665" w:rsidRDefault="00724615" w:rsidP="006D2665">
            <w:pPr>
              <w:spacing w:after="120"/>
            </w:pPr>
            <w:r w:rsidRPr="006D2665">
              <w:t>Market risk premium</w:t>
            </w:r>
          </w:p>
        </w:tc>
        <w:tc>
          <w:tcPr>
            <w:tcW w:w="3969" w:type="dxa"/>
          </w:tcPr>
          <w:p w:rsidR="00724615" w:rsidRPr="006D2665" w:rsidRDefault="00724615" w:rsidP="006D2665">
            <w:pPr>
              <w:spacing w:after="120"/>
              <w:cnfStyle w:val="000000010000" w:firstRow="0" w:lastRow="0" w:firstColumn="0" w:lastColumn="0" w:oddVBand="0" w:evenVBand="0" w:oddHBand="0" w:evenHBand="1" w:firstRowFirstColumn="0" w:firstRowLastColumn="0" w:lastRowFirstColumn="0" w:lastRowLastColumn="0"/>
            </w:pPr>
            <w:r w:rsidRPr="006D2665">
              <w:t>6.5</w:t>
            </w:r>
          </w:p>
        </w:tc>
      </w:tr>
      <w:tr w:rsidR="00724615" w:rsidRPr="006D2665" w:rsidTr="00846C67">
        <w:tc>
          <w:tcPr>
            <w:cnfStyle w:val="001000000000" w:firstRow="0" w:lastRow="0" w:firstColumn="1" w:lastColumn="0" w:oddVBand="0" w:evenVBand="0" w:oddHBand="0" w:evenHBand="0" w:firstRowFirstColumn="0" w:firstRowLastColumn="0" w:lastRowFirstColumn="0" w:lastRowLastColumn="0"/>
            <w:tcW w:w="5211" w:type="dxa"/>
          </w:tcPr>
          <w:p w:rsidR="00724615" w:rsidRPr="006D2665" w:rsidRDefault="00724615" w:rsidP="006D2665">
            <w:pPr>
              <w:spacing w:after="120"/>
            </w:pPr>
            <w:r w:rsidRPr="006D2665">
              <w:t>Equity beta</w:t>
            </w:r>
          </w:p>
        </w:tc>
        <w:tc>
          <w:tcPr>
            <w:tcW w:w="3969" w:type="dxa"/>
          </w:tcPr>
          <w:p w:rsidR="00724615" w:rsidRPr="006D2665" w:rsidRDefault="00724615" w:rsidP="006D2665">
            <w:pPr>
              <w:spacing w:after="120"/>
              <w:cnfStyle w:val="000000000000" w:firstRow="0" w:lastRow="0" w:firstColumn="0" w:lastColumn="0" w:oddVBand="0" w:evenVBand="0" w:oddHBand="0" w:evenHBand="0" w:firstRowFirstColumn="0" w:firstRowLastColumn="0" w:lastRowFirstColumn="0" w:lastRowLastColumn="0"/>
            </w:pPr>
            <w:r w:rsidRPr="006D2665">
              <w:t>0.8</w:t>
            </w:r>
          </w:p>
        </w:tc>
      </w:tr>
      <w:tr w:rsidR="00724615" w:rsidRPr="006D2665" w:rsidTr="00846C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724615" w:rsidRPr="006D2665" w:rsidRDefault="00724615" w:rsidP="006D2665">
            <w:pPr>
              <w:spacing w:after="120"/>
            </w:pPr>
            <w:r w:rsidRPr="006D2665">
              <w:t>Cost of equity</w:t>
            </w:r>
          </w:p>
        </w:tc>
        <w:tc>
          <w:tcPr>
            <w:tcW w:w="3969" w:type="dxa"/>
          </w:tcPr>
          <w:p w:rsidR="00724615" w:rsidRPr="006D2665" w:rsidRDefault="00724615" w:rsidP="006D2665">
            <w:pPr>
              <w:spacing w:after="120"/>
              <w:cnfStyle w:val="000000010000" w:firstRow="0" w:lastRow="0" w:firstColumn="0" w:lastColumn="0" w:oddVBand="0" w:evenVBand="0" w:oddHBand="0" w:evenHBand="1" w:firstRowFirstColumn="0" w:firstRowLastColumn="0" w:lastRowFirstColumn="0" w:lastRowLastColumn="0"/>
            </w:pPr>
            <w:r w:rsidRPr="006D2665">
              <w:t>10.0–11.0 (10.0)</w:t>
            </w:r>
          </w:p>
        </w:tc>
      </w:tr>
      <w:tr w:rsidR="00724615" w:rsidRPr="006D2665" w:rsidTr="00846C67">
        <w:tc>
          <w:tcPr>
            <w:cnfStyle w:val="001000000000" w:firstRow="0" w:lastRow="0" w:firstColumn="1" w:lastColumn="0" w:oddVBand="0" w:evenVBand="0" w:oddHBand="0" w:evenHBand="0" w:firstRowFirstColumn="0" w:firstRowLastColumn="0" w:lastRowFirstColumn="0" w:lastRowLastColumn="0"/>
            <w:tcW w:w="5211" w:type="dxa"/>
          </w:tcPr>
          <w:p w:rsidR="00724615" w:rsidRPr="006D2665" w:rsidRDefault="00724615" w:rsidP="006D2665">
            <w:pPr>
              <w:spacing w:after="120"/>
            </w:pPr>
            <w:r w:rsidRPr="006D2665">
              <w:t>Debt risk premium</w:t>
            </w:r>
          </w:p>
        </w:tc>
        <w:tc>
          <w:tcPr>
            <w:tcW w:w="3969" w:type="dxa"/>
          </w:tcPr>
          <w:p w:rsidR="00724615" w:rsidRPr="006D2665" w:rsidRDefault="00724615" w:rsidP="006D2665">
            <w:pPr>
              <w:spacing w:after="120"/>
              <w:cnfStyle w:val="000000000000" w:firstRow="0" w:lastRow="0" w:firstColumn="0" w:lastColumn="0" w:oddVBand="0" w:evenVBand="0" w:oddHBand="0" w:evenHBand="0" w:firstRowFirstColumn="0" w:firstRowLastColumn="0" w:lastRowFirstColumn="0" w:lastRowLastColumn="0"/>
            </w:pPr>
            <w:r w:rsidRPr="006D2665">
              <w:t>2.7–2.8 (2.8)</w:t>
            </w:r>
          </w:p>
        </w:tc>
      </w:tr>
      <w:tr w:rsidR="00724615" w:rsidRPr="006D2665" w:rsidTr="00846C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724615" w:rsidRPr="006D2665" w:rsidRDefault="00724615" w:rsidP="006D2665">
            <w:pPr>
              <w:spacing w:after="120"/>
            </w:pPr>
            <w:r w:rsidRPr="006D2665">
              <w:t>Cost of debt</w:t>
            </w:r>
          </w:p>
        </w:tc>
        <w:tc>
          <w:tcPr>
            <w:tcW w:w="3969" w:type="dxa"/>
          </w:tcPr>
          <w:p w:rsidR="00724615" w:rsidRPr="006D2665" w:rsidRDefault="00724615" w:rsidP="006D2665">
            <w:pPr>
              <w:spacing w:after="120"/>
              <w:cnfStyle w:val="000000010000" w:firstRow="0" w:lastRow="0" w:firstColumn="0" w:lastColumn="0" w:oddVBand="0" w:evenVBand="0" w:oddHBand="0" w:evenHBand="1" w:firstRowFirstColumn="0" w:firstRowLastColumn="0" w:lastRowFirstColumn="0" w:lastRowLastColumn="0"/>
            </w:pPr>
            <w:r w:rsidRPr="006D2665">
              <w:t>7.6–7.8 (7.6)</w:t>
            </w:r>
          </w:p>
        </w:tc>
      </w:tr>
      <w:tr w:rsidR="00724615" w:rsidRPr="006D2665" w:rsidTr="00846C67">
        <w:tc>
          <w:tcPr>
            <w:cnfStyle w:val="001000000000" w:firstRow="0" w:lastRow="0" w:firstColumn="1" w:lastColumn="0" w:oddVBand="0" w:evenVBand="0" w:oddHBand="0" w:evenHBand="0" w:firstRowFirstColumn="0" w:firstRowLastColumn="0" w:lastRowFirstColumn="0" w:lastRowLastColumn="0"/>
            <w:tcW w:w="5211" w:type="dxa"/>
          </w:tcPr>
          <w:p w:rsidR="00724615" w:rsidRPr="006D2665" w:rsidRDefault="00724615" w:rsidP="006D2665">
            <w:pPr>
              <w:spacing w:after="120"/>
            </w:pPr>
            <w:r w:rsidRPr="006D2665">
              <w:t>Gamma</w:t>
            </w:r>
          </w:p>
        </w:tc>
        <w:tc>
          <w:tcPr>
            <w:tcW w:w="3969" w:type="dxa"/>
          </w:tcPr>
          <w:p w:rsidR="00724615" w:rsidRPr="006D2665" w:rsidRDefault="00724615" w:rsidP="006D2665">
            <w:pPr>
              <w:spacing w:after="120"/>
              <w:cnfStyle w:val="000000000000" w:firstRow="0" w:lastRow="0" w:firstColumn="0" w:lastColumn="0" w:oddVBand="0" w:evenVBand="0" w:oddHBand="0" w:evenHBand="0" w:firstRowFirstColumn="0" w:firstRowLastColumn="0" w:lastRowFirstColumn="0" w:lastRowLastColumn="0"/>
            </w:pPr>
            <w:r w:rsidRPr="006D2665">
              <w:t>0.25</w:t>
            </w:r>
          </w:p>
        </w:tc>
      </w:tr>
      <w:tr w:rsidR="00724615" w:rsidRPr="006D2665" w:rsidTr="00846C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724615" w:rsidRPr="006D2665" w:rsidRDefault="00724615" w:rsidP="006D2665">
            <w:pPr>
              <w:spacing w:after="120"/>
            </w:pPr>
            <w:r w:rsidRPr="006D2665">
              <w:t>Nominal vanilla WACC</w:t>
            </w:r>
          </w:p>
        </w:tc>
        <w:tc>
          <w:tcPr>
            <w:tcW w:w="3969" w:type="dxa"/>
          </w:tcPr>
          <w:p w:rsidR="00724615" w:rsidRPr="006D2665" w:rsidRDefault="00724615" w:rsidP="006D2665">
            <w:pPr>
              <w:spacing w:after="120"/>
              <w:cnfStyle w:val="000000010000" w:firstRow="0" w:lastRow="0" w:firstColumn="0" w:lastColumn="0" w:oddVBand="0" w:evenVBand="0" w:oddHBand="0" w:evenHBand="1" w:firstRowFirstColumn="0" w:firstRowLastColumn="0" w:lastRowFirstColumn="0" w:lastRowLastColumn="0"/>
            </w:pPr>
            <w:r w:rsidRPr="006D2665">
              <w:t>8.5–9.1 (8.5)</w:t>
            </w:r>
          </w:p>
        </w:tc>
      </w:tr>
    </w:tbl>
    <w:p w:rsidR="00724615" w:rsidRPr="00D400D5" w:rsidRDefault="00A00775" w:rsidP="00846C67">
      <w:pPr>
        <w:pStyle w:val="AERtablesource"/>
        <w:jc w:val="left"/>
        <w:rPr>
          <w:rStyle w:val="AERbody"/>
          <w:sz w:val="16"/>
        </w:rPr>
      </w:pPr>
      <w:r w:rsidRPr="00D400D5">
        <w:rPr>
          <w:rStyle w:val="AERbody"/>
          <w:sz w:val="16"/>
        </w:rPr>
        <w:t>Source:</w:t>
      </w:r>
      <w:r w:rsidRPr="00D400D5">
        <w:rPr>
          <w:rStyle w:val="AERbody"/>
          <w:sz w:val="16"/>
        </w:rPr>
        <w:tab/>
        <w:t>Ausg</w:t>
      </w:r>
      <w:r w:rsidR="00724615" w:rsidRPr="00D400D5">
        <w:rPr>
          <w:rStyle w:val="AERbody"/>
          <w:sz w:val="16"/>
        </w:rPr>
        <w:t xml:space="preserve">rid, </w:t>
      </w:r>
      <w:r w:rsidR="00724615" w:rsidRPr="00D400D5">
        <w:rPr>
          <w:rStyle w:val="AERtextitalic"/>
        </w:rPr>
        <w:t>Transitional revenue proposal</w:t>
      </w:r>
      <w:r w:rsidR="00724615" w:rsidRPr="00D400D5">
        <w:rPr>
          <w:rStyle w:val="AERbody"/>
          <w:sz w:val="16"/>
        </w:rPr>
        <w:t xml:space="preserve">, January 2014. ActewAGL, </w:t>
      </w:r>
      <w:r w:rsidR="00724615" w:rsidRPr="00D400D5">
        <w:rPr>
          <w:rStyle w:val="AERtextitalic"/>
        </w:rPr>
        <w:t>Transitional revenue proposal</w:t>
      </w:r>
      <w:r w:rsidR="00D400D5" w:rsidRPr="00D400D5">
        <w:rPr>
          <w:rStyle w:val="AERbody"/>
          <w:sz w:val="16"/>
        </w:rPr>
        <w:t>, January 2014. Ausg</w:t>
      </w:r>
      <w:r w:rsidR="00724615" w:rsidRPr="00D400D5">
        <w:rPr>
          <w:rStyle w:val="AERbody"/>
          <w:sz w:val="16"/>
        </w:rPr>
        <w:t xml:space="preserve">rid, </w:t>
      </w:r>
      <w:r w:rsidR="00724615" w:rsidRPr="00D400D5">
        <w:rPr>
          <w:rStyle w:val="AERtextitalic"/>
        </w:rPr>
        <w:t>Post-tax revenue model</w:t>
      </w:r>
      <w:r w:rsidR="00724615" w:rsidRPr="00D400D5">
        <w:rPr>
          <w:rStyle w:val="AERbody"/>
          <w:sz w:val="16"/>
        </w:rPr>
        <w:t xml:space="preserve">, January 2014. ActewAGL, </w:t>
      </w:r>
      <w:r w:rsidR="00724615" w:rsidRPr="00D400D5">
        <w:rPr>
          <w:rStyle w:val="AERtextitalic"/>
        </w:rPr>
        <w:t>Post-tax revenue model</w:t>
      </w:r>
      <w:r w:rsidR="00724615" w:rsidRPr="00D400D5">
        <w:rPr>
          <w:rStyle w:val="AERbody"/>
          <w:sz w:val="16"/>
        </w:rPr>
        <w:t>, January 2014.</w:t>
      </w:r>
    </w:p>
    <w:p w:rsidR="00724615" w:rsidRPr="00D400D5" w:rsidRDefault="00724615" w:rsidP="00846C67">
      <w:pPr>
        <w:pStyle w:val="AERtablesource"/>
        <w:jc w:val="left"/>
        <w:rPr>
          <w:rStyle w:val="AERbody"/>
          <w:sz w:val="16"/>
        </w:rPr>
      </w:pPr>
      <w:r w:rsidRPr="00D400D5">
        <w:rPr>
          <w:rStyle w:val="AERbody"/>
          <w:sz w:val="16"/>
        </w:rPr>
        <w:t>Note:</w:t>
      </w:r>
      <w:r w:rsidRPr="00D400D5">
        <w:rPr>
          <w:rStyle w:val="AERbody"/>
          <w:sz w:val="16"/>
        </w:rPr>
        <w:tab/>
        <w:t>Where the service provider submitted a range for a parameter, the table includes the range and the final proposed value (in parentheses).</w:t>
      </w:r>
    </w:p>
    <w:p w:rsidR="00724615" w:rsidRPr="003F0974" w:rsidRDefault="00724615" w:rsidP="003F0974">
      <w:pPr>
        <w:pStyle w:val="Heading9"/>
        <w:rPr>
          <w:rFonts w:eastAsia="Calibri"/>
        </w:rPr>
      </w:pPr>
      <w:r w:rsidRPr="003F0974">
        <w:lastRenderedPageBreak/>
        <w:t>RAB</w:t>
      </w:r>
    </w:p>
    <w:p w:rsidR="00724615" w:rsidRPr="00A33E9D" w:rsidRDefault="00724615" w:rsidP="00724615">
      <w:pPr>
        <w:pStyle w:val="AERbodytext"/>
        <w:numPr>
          <w:ilvl w:val="0"/>
          <w:numId w:val="6"/>
        </w:numPr>
        <w:rPr>
          <w:rStyle w:val="AERbody"/>
        </w:rPr>
      </w:pPr>
      <w:r w:rsidRPr="00AB2ED3">
        <w:rPr>
          <w:rStyle w:val="AERbody"/>
        </w:rPr>
        <w:t xml:space="preserve">The opening RAB at 1 July 2014 is a key determinant of the allowed revenue for the </w:t>
      </w:r>
      <w:r>
        <w:rPr>
          <w:rStyle w:val="AERbody"/>
        </w:rPr>
        <w:t>transitional</w:t>
      </w:r>
      <w:r w:rsidRPr="00AB2ED3">
        <w:rPr>
          <w:rStyle w:val="AERbody"/>
        </w:rPr>
        <w:t xml:space="preserve"> regulatory control period. It directly influences the return on capital and return of capital building blocks. </w:t>
      </w:r>
      <w:r>
        <w:rPr>
          <w:rStyle w:val="AERbody"/>
        </w:rPr>
        <w:fldChar w:fldCharType="begin"/>
      </w:r>
      <w:r>
        <w:rPr>
          <w:rStyle w:val="AERbody"/>
        </w:rPr>
        <w:instrText xml:space="preserve"> REF _Ref382556562 \h </w:instrText>
      </w:r>
      <w:r>
        <w:rPr>
          <w:rStyle w:val="AERbody"/>
        </w:rPr>
      </w:r>
      <w:r>
        <w:rPr>
          <w:rStyle w:val="AERbody"/>
        </w:rPr>
        <w:fldChar w:fldCharType="separate"/>
      </w:r>
      <w:r w:rsidR="00E313D7">
        <w:t>Table</w:t>
      </w:r>
      <w:r w:rsidR="00E313D7" w:rsidRPr="00B414B3">
        <w:t xml:space="preserve"> </w:t>
      </w:r>
      <w:r w:rsidR="00E313D7">
        <w:rPr>
          <w:noProof/>
        </w:rPr>
        <w:t>B</w:t>
      </w:r>
      <w:r w:rsidR="00E313D7">
        <w:t>.</w:t>
      </w:r>
      <w:r w:rsidR="00E313D7">
        <w:rPr>
          <w:noProof/>
        </w:rPr>
        <w:t>4</w:t>
      </w:r>
      <w:r>
        <w:rPr>
          <w:rStyle w:val="AERbody"/>
        </w:rPr>
        <w:fldChar w:fldCharType="end"/>
      </w:r>
      <w:r>
        <w:rPr>
          <w:rStyle w:val="AERbody"/>
        </w:rPr>
        <w:t xml:space="preserve"> and </w:t>
      </w:r>
      <w:r w:rsidR="003F0974">
        <w:rPr>
          <w:rStyle w:val="AERbody"/>
        </w:rPr>
        <w:fldChar w:fldCharType="begin"/>
      </w:r>
      <w:r w:rsidR="003F0974">
        <w:rPr>
          <w:rStyle w:val="AERbody"/>
        </w:rPr>
        <w:instrText xml:space="preserve"> REF _Ref382556687 \h </w:instrText>
      </w:r>
      <w:r w:rsidR="003F0974">
        <w:rPr>
          <w:rStyle w:val="AERbody"/>
        </w:rPr>
      </w:r>
      <w:r w:rsidR="003F0974">
        <w:rPr>
          <w:rStyle w:val="AERbody"/>
        </w:rPr>
        <w:fldChar w:fldCharType="separate"/>
      </w:r>
      <w:r w:rsidR="00E313D7">
        <w:t xml:space="preserve">Table </w:t>
      </w:r>
      <w:r w:rsidR="00E313D7">
        <w:rPr>
          <w:noProof/>
        </w:rPr>
        <w:t>B</w:t>
      </w:r>
      <w:r w:rsidR="00E313D7">
        <w:t>.</w:t>
      </w:r>
      <w:r w:rsidR="00E313D7">
        <w:rPr>
          <w:noProof/>
        </w:rPr>
        <w:t>5</w:t>
      </w:r>
      <w:r w:rsidR="003F0974">
        <w:rPr>
          <w:rStyle w:val="AERbody"/>
        </w:rPr>
        <w:fldChar w:fldCharType="end"/>
      </w:r>
      <w:r w:rsidR="003F0974">
        <w:rPr>
          <w:rStyle w:val="AERbody"/>
        </w:rPr>
        <w:t xml:space="preserve"> </w:t>
      </w:r>
      <w:r>
        <w:rPr>
          <w:rStyle w:val="AERbody"/>
        </w:rPr>
        <w:t>show</w:t>
      </w:r>
      <w:r w:rsidRPr="00AB2ED3">
        <w:rPr>
          <w:rStyle w:val="AERbody"/>
        </w:rPr>
        <w:t xml:space="preserve"> </w:t>
      </w:r>
      <w:r>
        <w:rPr>
          <w:rStyle w:val="AERbody"/>
        </w:rPr>
        <w:t>Ausgrid</w:t>
      </w:r>
      <w:r w:rsidRPr="00AB2ED3">
        <w:rPr>
          <w:rStyle w:val="AERbody"/>
        </w:rPr>
        <w:t xml:space="preserve">’s proposed roll forward of </w:t>
      </w:r>
      <w:r>
        <w:rPr>
          <w:rStyle w:val="AERbody"/>
        </w:rPr>
        <w:t>its distribution and transmission</w:t>
      </w:r>
      <w:r w:rsidRPr="00AB2ED3">
        <w:rPr>
          <w:rStyle w:val="AERbody"/>
        </w:rPr>
        <w:t xml:space="preserve"> RAB</w:t>
      </w:r>
      <w:r>
        <w:rPr>
          <w:rStyle w:val="AERbody"/>
        </w:rPr>
        <w:t>s respectively</w:t>
      </w:r>
      <w:r w:rsidRPr="00AB2ED3">
        <w:rPr>
          <w:rStyle w:val="AERbody"/>
        </w:rPr>
        <w:t xml:space="preserve"> across the 2009–14 regulatory control period in order to derive the opening RAB</w:t>
      </w:r>
      <w:r>
        <w:rPr>
          <w:rStyle w:val="AERbody"/>
        </w:rPr>
        <w:t>s</w:t>
      </w:r>
      <w:r w:rsidRPr="00AB2ED3">
        <w:rPr>
          <w:rStyle w:val="AERbody"/>
        </w:rPr>
        <w:t>.</w:t>
      </w:r>
    </w:p>
    <w:p w:rsidR="00724615" w:rsidRPr="005729A2" w:rsidRDefault="002401A5" w:rsidP="00846C67">
      <w:pPr>
        <w:pStyle w:val="Caption"/>
        <w:jc w:val="left"/>
        <w:rPr>
          <w:rStyle w:val="AERbody"/>
        </w:rPr>
      </w:pPr>
      <w:bookmarkStart w:id="203" w:name="_Ref382556562"/>
      <w:r>
        <w:t>Table</w:t>
      </w:r>
      <w:r w:rsidR="00724615" w:rsidRPr="00B414B3">
        <w:t xml:space="preserve"> </w:t>
      </w:r>
      <w:r w:rsidR="00DD155E">
        <w:fldChar w:fldCharType="begin"/>
      </w:r>
      <w:r w:rsidR="00DD155E">
        <w:instrText xml:space="preserve"> STYLEREF 7 \s </w:instrText>
      </w:r>
      <w:r w:rsidR="00DD155E">
        <w:fldChar w:fldCharType="separate"/>
      </w:r>
      <w:r w:rsidR="00E313D7">
        <w:rPr>
          <w:noProof/>
        </w:rPr>
        <w:t>B</w:t>
      </w:r>
      <w:r w:rsidR="00DD155E">
        <w:rPr>
          <w:noProof/>
        </w:rPr>
        <w:fldChar w:fldCharType="end"/>
      </w:r>
      <w:r>
        <w:t>.</w:t>
      </w:r>
      <w:r w:rsidR="00DD155E">
        <w:fldChar w:fldCharType="begin"/>
      </w:r>
      <w:r w:rsidR="00DD155E">
        <w:instrText xml:space="preserve"> SEQ Table_Apx \* ARABIC \s 7 </w:instrText>
      </w:r>
      <w:r w:rsidR="00DD155E">
        <w:fldChar w:fldCharType="separate"/>
      </w:r>
      <w:r w:rsidR="00E313D7">
        <w:rPr>
          <w:noProof/>
        </w:rPr>
        <w:t>4</w:t>
      </w:r>
      <w:r w:rsidR="00DD155E">
        <w:rPr>
          <w:noProof/>
        </w:rPr>
        <w:fldChar w:fldCharType="end"/>
      </w:r>
      <w:bookmarkEnd w:id="203"/>
      <w:r w:rsidR="00724615" w:rsidRPr="00B414B3">
        <w:tab/>
        <w:t xml:space="preserve">Derivation of Ausgrid's opening RAB as at 1 July 2014 </w:t>
      </w:r>
      <w:r w:rsidR="00724615">
        <w:t>–</w:t>
      </w:r>
      <w:r w:rsidR="00724615" w:rsidRPr="00B414B3">
        <w:t xml:space="preserve"> </w:t>
      </w:r>
      <w:r w:rsidR="00724615">
        <w:t>d</w:t>
      </w:r>
      <w:r w:rsidR="00724615" w:rsidRPr="00B414B3">
        <w:t>istribution ($m, nominal)</w:t>
      </w:r>
    </w:p>
    <w:tbl>
      <w:tblPr>
        <w:tblStyle w:val="AERtable-numbers"/>
        <w:tblW w:w="9180" w:type="dxa"/>
        <w:tblLook w:val="04A0" w:firstRow="1" w:lastRow="0" w:firstColumn="1" w:lastColumn="0" w:noHBand="0" w:noVBand="1"/>
      </w:tblPr>
      <w:tblGrid>
        <w:gridCol w:w="3280"/>
        <w:gridCol w:w="1180"/>
        <w:gridCol w:w="1180"/>
        <w:gridCol w:w="1180"/>
        <w:gridCol w:w="1180"/>
        <w:gridCol w:w="1180"/>
      </w:tblGrid>
      <w:tr w:rsidR="00724615" w:rsidRPr="00DB0B45" w:rsidTr="006D266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80" w:type="dxa"/>
            <w:hideMark/>
          </w:tcPr>
          <w:p w:rsidR="00724615" w:rsidRPr="00724615" w:rsidRDefault="00724615" w:rsidP="006D2665">
            <w:pPr>
              <w:pStyle w:val="AERtabletextleft"/>
              <w:spacing w:before="120" w:line="240" w:lineRule="auto"/>
            </w:pPr>
            <w:r w:rsidRPr="00DD1199">
              <w:t xml:space="preserve">RAB </w:t>
            </w:r>
          </w:p>
        </w:tc>
        <w:tc>
          <w:tcPr>
            <w:tcW w:w="1180" w:type="dxa"/>
            <w:hideMark/>
          </w:tcPr>
          <w:p w:rsidR="00724615" w:rsidRPr="00724615" w:rsidRDefault="00724615" w:rsidP="006D2665">
            <w:pPr>
              <w:pStyle w:val="AERtabletextleft"/>
              <w:spacing w:before="120" w:line="240" w:lineRule="auto"/>
              <w:cnfStyle w:val="100000000000" w:firstRow="1" w:lastRow="0" w:firstColumn="0" w:lastColumn="0" w:oddVBand="0" w:evenVBand="0" w:oddHBand="0" w:evenHBand="0" w:firstRowFirstColumn="0" w:firstRowLastColumn="0" w:lastRowFirstColumn="0" w:lastRowLastColumn="0"/>
            </w:pPr>
            <w:r w:rsidRPr="00DD1199">
              <w:t>2009–10</w:t>
            </w:r>
          </w:p>
        </w:tc>
        <w:tc>
          <w:tcPr>
            <w:tcW w:w="1180" w:type="dxa"/>
            <w:hideMark/>
          </w:tcPr>
          <w:p w:rsidR="00724615" w:rsidRPr="00724615" w:rsidRDefault="00724615" w:rsidP="006D2665">
            <w:pPr>
              <w:pStyle w:val="AERtabletextleft"/>
              <w:spacing w:before="120" w:line="240" w:lineRule="auto"/>
              <w:cnfStyle w:val="100000000000" w:firstRow="1" w:lastRow="0" w:firstColumn="0" w:lastColumn="0" w:oddVBand="0" w:evenVBand="0" w:oddHBand="0" w:evenHBand="0" w:firstRowFirstColumn="0" w:firstRowLastColumn="0" w:lastRowFirstColumn="0" w:lastRowLastColumn="0"/>
            </w:pPr>
            <w:r w:rsidRPr="00DD1199">
              <w:t>2010–11</w:t>
            </w:r>
          </w:p>
        </w:tc>
        <w:tc>
          <w:tcPr>
            <w:tcW w:w="1180" w:type="dxa"/>
            <w:hideMark/>
          </w:tcPr>
          <w:p w:rsidR="00724615" w:rsidRPr="00724615" w:rsidRDefault="00724615" w:rsidP="006D2665">
            <w:pPr>
              <w:pStyle w:val="AERtabletextleft"/>
              <w:spacing w:before="120" w:line="240" w:lineRule="auto"/>
              <w:cnfStyle w:val="100000000000" w:firstRow="1" w:lastRow="0" w:firstColumn="0" w:lastColumn="0" w:oddVBand="0" w:evenVBand="0" w:oddHBand="0" w:evenHBand="0" w:firstRowFirstColumn="0" w:firstRowLastColumn="0" w:lastRowFirstColumn="0" w:lastRowLastColumn="0"/>
            </w:pPr>
            <w:r w:rsidRPr="00DD1199">
              <w:t>2011–12</w:t>
            </w:r>
          </w:p>
        </w:tc>
        <w:tc>
          <w:tcPr>
            <w:tcW w:w="1180" w:type="dxa"/>
            <w:hideMark/>
          </w:tcPr>
          <w:p w:rsidR="00724615" w:rsidRPr="00724615" w:rsidRDefault="00724615" w:rsidP="006D2665">
            <w:pPr>
              <w:pStyle w:val="AERtabletextleft"/>
              <w:spacing w:before="120" w:line="240" w:lineRule="auto"/>
              <w:cnfStyle w:val="100000000000" w:firstRow="1" w:lastRow="0" w:firstColumn="0" w:lastColumn="0" w:oddVBand="0" w:evenVBand="0" w:oddHBand="0" w:evenHBand="0" w:firstRowFirstColumn="0" w:firstRowLastColumn="0" w:lastRowFirstColumn="0" w:lastRowLastColumn="0"/>
            </w:pPr>
            <w:r w:rsidRPr="00DD1199">
              <w:t>2012–13</w:t>
            </w:r>
          </w:p>
        </w:tc>
        <w:tc>
          <w:tcPr>
            <w:tcW w:w="1180" w:type="dxa"/>
            <w:hideMark/>
          </w:tcPr>
          <w:p w:rsidR="00724615" w:rsidRPr="00724615" w:rsidRDefault="00724615" w:rsidP="006D2665">
            <w:pPr>
              <w:pStyle w:val="AERtabletextleft"/>
              <w:spacing w:before="120" w:line="240" w:lineRule="auto"/>
              <w:cnfStyle w:val="100000000000" w:firstRow="1" w:lastRow="0" w:firstColumn="0" w:lastColumn="0" w:oddVBand="0" w:evenVBand="0" w:oddHBand="0" w:evenHBand="0" w:firstRowFirstColumn="0" w:firstRowLastColumn="0" w:lastRowFirstColumn="0" w:lastRowLastColumn="0"/>
            </w:pPr>
            <w:r w:rsidRPr="00DD1199">
              <w:t>2013–14</w:t>
            </w:r>
          </w:p>
        </w:tc>
      </w:tr>
      <w:tr w:rsidR="00724615" w:rsidRPr="00DB0B45" w:rsidTr="006D2665">
        <w:trPr>
          <w:trHeight w:val="255"/>
        </w:trPr>
        <w:tc>
          <w:tcPr>
            <w:cnfStyle w:val="001000000000" w:firstRow="0" w:lastRow="0" w:firstColumn="1" w:lastColumn="0" w:oddVBand="0" w:evenVBand="0" w:oddHBand="0" w:evenHBand="0" w:firstRowFirstColumn="0" w:firstRowLastColumn="0" w:lastRowFirstColumn="0" w:lastRowLastColumn="0"/>
            <w:tcW w:w="3280" w:type="dxa"/>
            <w:hideMark/>
          </w:tcPr>
          <w:p w:rsidR="00724615" w:rsidRPr="00724615" w:rsidRDefault="00724615" w:rsidP="006D2665">
            <w:pPr>
              <w:pStyle w:val="AERtabletextleft"/>
              <w:spacing w:before="120" w:line="240" w:lineRule="auto"/>
            </w:pPr>
            <w:r w:rsidRPr="00DD1199">
              <w:t>Opening RAB</w:t>
            </w:r>
          </w:p>
        </w:tc>
        <w:tc>
          <w:tcPr>
            <w:tcW w:w="1180" w:type="dxa"/>
            <w:hideMark/>
          </w:tcPr>
          <w:p w:rsidR="00724615" w:rsidRPr="00724615" w:rsidRDefault="00724615" w:rsidP="006D2665">
            <w:pPr>
              <w:pStyle w:val="AERtabletextleft"/>
              <w:spacing w:before="120" w:line="240" w:lineRule="auto"/>
              <w:cnfStyle w:val="000000000000" w:firstRow="0" w:lastRow="0" w:firstColumn="0" w:lastColumn="0" w:oddVBand="0" w:evenVBand="0" w:oddHBand="0" w:evenHBand="0" w:firstRowFirstColumn="0" w:firstRowLastColumn="0" w:lastRowFirstColumn="0" w:lastRowLastColumn="0"/>
            </w:pPr>
            <w:r w:rsidRPr="00A33E9D">
              <w:t xml:space="preserve">     7</w:t>
            </w:r>
            <w:r w:rsidRPr="00724615">
              <w:t xml:space="preserve">297 </w:t>
            </w:r>
          </w:p>
        </w:tc>
        <w:tc>
          <w:tcPr>
            <w:tcW w:w="1180" w:type="dxa"/>
            <w:hideMark/>
          </w:tcPr>
          <w:p w:rsidR="00724615" w:rsidRPr="00724615" w:rsidRDefault="00724615" w:rsidP="006D2665">
            <w:pPr>
              <w:pStyle w:val="AERtabletextleft"/>
              <w:spacing w:before="120" w:line="240" w:lineRule="auto"/>
              <w:cnfStyle w:val="000000000000" w:firstRow="0" w:lastRow="0" w:firstColumn="0" w:lastColumn="0" w:oddVBand="0" w:evenVBand="0" w:oddHBand="0" w:evenHBand="0" w:firstRowFirstColumn="0" w:firstRowLastColumn="0" w:lastRowFirstColumn="0" w:lastRowLastColumn="0"/>
            </w:pPr>
            <w:r w:rsidRPr="00A33E9D">
              <w:t xml:space="preserve">     8</w:t>
            </w:r>
            <w:r w:rsidRPr="00724615">
              <w:t xml:space="preserve">297 </w:t>
            </w:r>
          </w:p>
        </w:tc>
        <w:tc>
          <w:tcPr>
            <w:tcW w:w="1180" w:type="dxa"/>
            <w:hideMark/>
          </w:tcPr>
          <w:p w:rsidR="00724615" w:rsidRPr="00724615" w:rsidRDefault="00724615" w:rsidP="006D2665">
            <w:pPr>
              <w:pStyle w:val="AERtabletextleft"/>
              <w:spacing w:before="120" w:line="240" w:lineRule="auto"/>
              <w:cnfStyle w:val="000000000000" w:firstRow="0" w:lastRow="0" w:firstColumn="0" w:lastColumn="0" w:oddVBand="0" w:evenVBand="0" w:oddHBand="0" w:evenHBand="0" w:firstRowFirstColumn="0" w:firstRowLastColumn="0" w:lastRowFirstColumn="0" w:lastRowLastColumn="0"/>
            </w:pPr>
            <w:r w:rsidRPr="00A33E9D">
              <w:t xml:space="preserve">     9</w:t>
            </w:r>
            <w:r w:rsidRPr="00724615">
              <w:t xml:space="preserve">471 </w:t>
            </w:r>
          </w:p>
        </w:tc>
        <w:tc>
          <w:tcPr>
            <w:tcW w:w="1180" w:type="dxa"/>
            <w:hideMark/>
          </w:tcPr>
          <w:p w:rsidR="00724615" w:rsidRPr="00724615" w:rsidRDefault="00724615" w:rsidP="006D2665">
            <w:pPr>
              <w:pStyle w:val="AERtabletextleft"/>
              <w:spacing w:before="120" w:line="240" w:lineRule="auto"/>
              <w:cnfStyle w:val="000000000000" w:firstRow="0" w:lastRow="0" w:firstColumn="0" w:lastColumn="0" w:oddVBand="0" w:evenVBand="0" w:oddHBand="0" w:evenHBand="0" w:firstRowFirstColumn="0" w:firstRowLastColumn="0" w:lastRowFirstColumn="0" w:lastRowLastColumn="0"/>
            </w:pPr>
            <w:r w:rsidRPr="00A33E9D">
              <w:t xml:space="preserve">    10</w:t>
            </w:r>
            <w:r w:rsidRPr="00724615">
              <w:t xml:space="preserve">757 </w:t>
            </w:r>
          </w:p>
        </w:tc>
        <w:tc>
          <w:tcPr>
            <w:tcW w:w="1180" w:type="dxa"/>
            <w:hideMark/>
          </w:tcPr>
          <w:p w:rsidR="00724615" w:rsidRPr="00724615" w:rsidRDefault="00724615" w:rsidP="006D2665">
            <w:pPr>
              <w:pStyle w:val="AERtabletextleft"/>
              <w:spacing w:before="120" w:line="240" w:lineRule="auto"/>
              <w:cnfStyle w:val="000000000000" w:firstRow="0" w:lastRow="0" w:firstColumn="0" w:lastColumn="0" w:oddVBand="0" w:evenVBand="0" w:oddHBand="0" w:evenHBand="0" w:firstRowFirstColumn="0" w:firstRowLastColumn="0" w:lastRowFirstColumn="0" w:lastRowLastColumn="0"/>
            </w:pPr>
            <w:r w:rsidRPr="00A33E9D">
              <w:t xml:space="preserve">    11</w:t>
            </w:r>
            <w:r w:rsidRPr="00724615">
              <w:t xml:space="preserve">551 </w:t>
            </w:r>
          </w:p>
        </w:tc>
      </w:tr>
      <w:tr w:rsidR="00724615" w:rsidRPr="00DB0B45" w:rsidTr="006D2665">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80" w:type="dxa"/>
            <w:hideMark/>
          </w:tcPr>
          <w:p w:rsidR="00724615" w:rsidRPr="00724615" w:rsidRDefault="00724615" w:rsidP="006D2665">
            <w:pPr>
              <w:pStyle w:val="AERtabletextleft"/>
              <w:spacing w:before="120" w:line="240" w:lineRule="auto"/>
            </w:pPr>
            <w:r w:rsidRPr="00DD1199">
              <w:t>Net capital expenditure</w:t>
            </w:r>
          </w:p>
        </w:tc>
        <w:tc>
          <w:tcPr>
            <w:tcW w:w="1180" w:type="dxa"/>
            <w:hideMark/>
          </w:tcPr>
          <w:p w:rsidR="00724615" w:rsidRPr="00724615" w:rsidRDefault="00724615" w:rsidP="006D2665">
            <w:pPr>
              <w:pStyle w:val="AERtabletextleft"/>
              <w:spacing w:before="120" w:line="240" w:lineRule="auto"/>
              <w:cnfStyle w:val="000000010000" w:firstRow="0" w:lastRow="0" w:firstColumn="0" w:lastColumn="0" w:oddVBand="0" w:evenVBand="0" w:oddHBand="0" w:evenHBand="1" w:firstRowFirstColumn="0" w:firstRowLastColumn="0" w:lastRowFirstColumn="0" w:lastRowLastColumn="0"/>
            </w:pPr>
            <w:r w:rsidRPr="00A33E9D">
              <w:t xml:space="preserve">     1</w:t>
            </w:r>
            <w:r w:rsidRPr="00724615">
              <w:t xml:space="preserve">129 </w:t>
            </w:r>
          </w:p>
        </w:tc>
        <w:tc>
          <w:tcPr>
            <w:tcW w:w="1180" w:type="dxa"/>
            <w:hideMark/>
          </w:tcPr>
          <w:p w:rsidR="00724615" w:rsidRPr="00724615" w:rsidRDefault="00724615" w:rsidP="006D2665">
            <w:pPr>
              <w:pStyle w:val="AERtabletextleft"/>
              <w:spacing w:before="120" w:line="240" w:lineRule="auto"/>
              <w:cnfStyle w:val="000000010000" w:firstRow="0" w:lastRow="0" w:firstColumn="0" w:lastColumn="0" w:oddVBand="0" w:evenVBand="0" w:oddHBand="0" w:evenHBand="1" w:firstRowFirstColumn="0" w:firstRowLastColumn="0" w:lastRowFirstColumn="0" w:lastRowLastColumn="0"/>
            </w:pPr>
            <w:r w:rsidRPr="00A33E9D">
              <w:t xml:space="preserve">     1</w:t>
            </w:r>
            <w:r w:rsidRPr="00724615">
              <w:t xml:space="preserve">247 </w:t>
            </w:r>
          </w:p>
        </w:tc>
        <w:tc>
          <w:tcPr>
            <w:tcW w:w="1180" w:type="dxa"/>
            <w:hideMark/>
          </w:tcPr>
          <w:p w:rsidR="00724615" w:rsidRPr="00724615" w:rsidRDefault="00724615" w:rsidP="006D2665">
            <w:pPr>
              <w:pStyle w:val="AERtabletextleft"/>
              <w:spacing w:before="120" w:line="240" w:lineRule="auto"/>
              <w:cnfStyle w:val="000000010000" w:firstRow="0" w:lastRow="0" w:firstColumn="0" w:lastColumn="0" w:oddVBand="0" w:evenVBand="0" w:oddHBand="0" w:evenHBand="1" w:firstRowFirstColumn="0" w:firstRowLastColumn="0" w:lastRowFirstColumn="0" w:lastRowLastColumn="0"/>
            </w:pPr>
            <w:r w:rsidRPr="00A33E9D">
              <w:t xml:space="preserve">     1</w:t>
            </w:r>
            <w:r w:rsidRPr="00724615">
              <w:t xml:space="preserve">335 </w:t>
            </w:r>
          </w:p>
        </w:tc>
        <w:tc>
          <w:tcPr>
            <w:tcW w:w="1180" w:type="dxa"/>
            <w:hideMark/>
          </w:tcPr>
          <w:p w:rsidR="00724615" w:rsidRPr="00724615" w:rsidRDefault="00724615" w:rsidP="006D2665">
            <w:pPr>
              <w:pStyle w:val="AERtabletextleft"/>
              <w:spacing w:before="120" w:line="240" w:lineRule="auto"/>
              <w:cnfStyle w:val="000000010000" w:firstRow="0" w:lastRow="0" w:firstColumn="0" w:lastColumn="0" w:oddVBand="0" w:evenVBand="0" w:oddHBand="0" w:evenHBand="1" w:firstRowFirstColumn="0" w:firstRowLastColumn="0" w:lastRowFirstColumn="0" w:lastRowLastColumn="0"/>
            </w:pPr>
            <w:r w:rsidRPr="00A33E9D">
              <w:t xml:space="preserve">     1</w:t>
            </w:r>
            <w:r w:rsidRPr="00724615">
              <w:t xml:space="preserve">037 </w:t>
            </w:r>
          </w:p>
        </w:tc>
        <w:tc>
          <w:tcPr>
            <w:tcW w:w="1180" w:type="dxa"/>
            <w:hideMark/>
          </w:tcPr>
          <w:p w:rsidR="00724615" w:rsidRPr="00724615" w:rsidRDefault="00724615" w:rsidP="006D2665">
            <w:pPr>
              <w:pStyle w:val="AERtabletextleft"/>
              <w:spacing w:before="120" w:line="240" w:lineRule="auto"/>
              <w:cnfStyle w:val="000000010000" w:firstRow="0" w:lastRow="0" w:firstColumn="0" w:lastColumn="0" w:oddVBand="0" w:evenVBand="0" w:oddHBand="0" w:evenHBand="1" w:firstRowFirstColumn="0" w:firstRowLastColumn="0" w:lastRowFirstColumn="0" w:lastRowLastColumn="0"/>
            </w:pPr>
            <w:r w:rsidRPr="00A33E9D">
              <w:t xml:space="preserve">        753 </w:t>
            </w:r>
          </w:p>
        </w:tc>
      </w:tr>
      <w:tr w:rsidR="00724615" w:rsidRPr="00DB0B45" w:rsidTr="006D2665">
        <w:trPr>
          <w:trHeight w:val="255"/>
        </w:trPr>
        <w:tc>
          <w:tcPr>
            <w:cnfStyle w:val="001000000000" w:firstRow="0" w:lastRow="0" w:firstColumn="1" w:lastColumn="0" w:oddVBand="0" w:evenVBand="0" w:oddHBand="0" w:evenHBand="0" w:firstRowFirstColumn="0" w:firstRowLastColumn="0" w:lastRowFirstColumn="0" w:lastRowLastColumn="0"/>
            <w:tcW w:w="3280" w:type="dxa"/>
            <w:hideMark/>
          </w:tcPr>
          <w:p w:rsidR="00724615" w:rsidRPr="00724615" w:rsidRDefault="00724615" w:rsidP="006D2665">
            <w:pPr>
              <w:pStyle w:val="AERtabletextleft"/>
              <w:spacing w:before="120" w:line="240" w:lineRule="auto"/>
            </w:pPr>
            <w:r w:rsidRPr="00DD1199">
              <w:t>Straight-line depreciation</w:t>
            </w:r>
          </w:p>
        </w:tc>
        <w:tc>
          <w:tcPr>
            <w:tcW w:w="1180" w:type="dxa"/>
            <w:hideMark/>
          </w:tcPr>
          <w:p w:rsidR="00724615" w:rsidRPr="00724615" w:rsidRDefault="00724615" w:rsidP="006D2665">
            <w:pPr>
              <w:pStyle w:val="AERtabletextleft"/>
              <w:spacing w:before="120" w:line="240" w:lineRule="auto"/>
              <w:cnfStyle w:val="000000000000" w:firstRow="0" w:lastRow="0" w:firstColumn="0" w:lastColumn="0" w:oddVBand="0" w:evenVBand="0" w:oddHBand="0" w:evenHBand="0" w:firstRowFirstColumn="0" w:firstRowLastColumn="0" w:lastRowFirstColumn="0" w:lastRowLastColumn="0"/>
            </w:pPr>
            <w:r w:rsidRPr="00A33E9D">
              <w:t xml:space="preserve">-262 </w:t>
            </w:r>
          </w:p>
        </w:tc>
        <w:tc>
          <w:tcPr>
            <w:tcW w:w="1180" w:type="dxa"/>
            <w:hideMark/>
          </w:tcPr>
          <w:p w:rsidR="00724615" w:rsidRPr="00724615" w:rsidRDefault="00724615" w:rsidP="006D2665">
            <w:pPr>
              <w:pStyle w:val="AERtabletextleft"/>
              <w:spacing w:before="120" w:line="240" w:lineRule="auto"/>
              <w:cnfStyle w:val="000000000000" w:firstRow="0" w:lastRow="0" w:firstColumn="0" w:lastColumn="0" w:oddVBand="0" w:evenVBand="0" w:oddHBand="0" w:evenHBand="0" w:firstRowFirstColumn="0" w:firstRowLastColumn="0" w:lastRowFirstColumn="0" w:lastRowLastColumn="0"/>
            </w:pPr>
            <w:r w:rsidRPr="00A33E9D">
              <w:t xml:space="preserve">-309 </w:t>
            </w:r>
          </w:p>
        </w:tc>
        <w:tc>
          <w:tcPr>
            <w:tcW w:w="1180" w:type="dxa"/>
            <w:hideMark/>
          </w:tcPr>
          <w:p w:rsidR="00724615" w:rsidRPr="00724615" w:rsidRDefault="00724615" w:rsidP="006D2665">
            <w:pPr>
              <w:pStyle w:val="AERtabletextleft"/>
              <w:spacing w:before="120" w:line="240" w:lineRule="auto"/>
              <w:cnfStyle w:val="000000000000" w:firstRow="0" w:lastRow="0" w:firstColumn="0" w:lastColumn="0" w:oddVBand="0" w:evenVBand="0" w:oddHBand="0" w:evenHBand="0" w:firstRowFirstColumn="0" w:firstRowLastColumn="0" w:lastRowFirstColumn="0" w:lastRowLastColumn="0"/>
            </w:pPr>
            <w:r w:rsidRPr="00A33E9D">
              <w:t xml:space="preserve">-370 </w:t>
            </w:r>
          </w:p>
        </w:tc>
        <w:tc>
          <w:tcPr>
            <w:tcW w:w="1180" w:type="dxa"/>
            <w:hideMark/>
          </w:tcPr>
          <w:p w:rsidR="00724615" w:rsidRPr="00724615" w:rsidRDefault="00724615" w:rsidP="006D2665">
            <w:pPr>
              <w:pStyle w:val="AERtabletextleft"/>
              <w:spacing w:before="120" w:line="240" w:lineRule="auto"/>
              <w:cnfStyle w:val="000000000000" w:firstRow="0" w:lastRow="0" w:firstColumn="0" w:lastColumn="0" w:oddVBand="0" w:evenVBand="0" w:oddHBand="0" w:evenHBand="0" w:firstRowFirstColumn="0" w:firstRowLastColumn="0" w:lastRowFirstColumn="0" w:lastRowLastColumn="0"/>
            </w:pPr>
            <w:r w:rsidRPr="00A33E9D">
              <w:t xml:space="preserve">-433 </w:t>
            </w:r>
          </w:p>
        </w:tc>
        <w:tc>
          <w:tcPr>
            <w:tcW w:w="1180" w:type="dxa"/>
            <w:hideMark/>
          </w:tcPr>
          <w:p w:rsidR="00724615" w:rsidRPr="00724615" w:rsidRDefault="00724615" w:rsidP="006D2665">
            <w:pPr>
              <w:pStyle w:val="AERtabletextleft"/>
              <w:spacing w:before="120" w:line="240" w:lineRule="auto"/>
              <w:cnfStyle w:val="000000000000" w:firstRow="0" w:lastRow="0" w:firstColumn="0" w:lastColumn="0" w:oddVBand="0" w:evenVBand="0" w:oddHBand="0" w:evenHBand="0" w:firstRowFirstColumn="0" w:firstRowLastColumn="0" w:lastRowFirstColumn="0" w:lastRowLastColumn="0"/>
            </w:pPr>
            <w:r w:rsidRPr="00A33E9D">
              <w:t xml:space="preserve">-446 </w:t>
            </w:r>
          </w:p>
        </w:tc>
      </w:tr>
      <w:tr w:rsidR="00724615" w:rsidRPr="00DB0B45" w:rsidTr="006D2665">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80" w:type="dxa"/>
            <w:hideMark/>
          </w:tcPr>
          <w:p w:rsidR="00724615" w:rsidRPr="00724615" w:rsidRDefault="00724615" w:rsidP="006D2665">
            <w:pPr>
              <w:pStyle w:val="AERtabletextleft"/>
              <w:spacing w:before="120" w:line="240" w:lineRule="auto"/>
            </w:pPr>
            <w:r w:rsidRPr="00DD1199">
              <w:t>Inflation adjustment</w:t>
            </w:r>
          </w:p>
        </w:tc>
        <w:tc>
          <w:tcPr>
            <w:tcW w:w="1180" w:type="dxa"/>
            <w:hideMark/>
          </w:tcPr>
          <w:p w:rsidR="00724615" w:rsidRPr="00724615" w:rsidRDefault="00724615" w:rsidP="006D2665">
            <w:pPr>
              <w:pStyle w:val="AERtabletextleft"/>
              <w:spacing w:before="120" w:line="240" w:lineRule="auto"/>
              <w:cnfStyle w:val="000000010000" w:firstRow="0" w:lastRow="0" w:firstColumn="0" w:lastColumn="0" w:oddVBand="0" w:evenVBand="0" w:oddHBand="0" w:evenHBand="1" w:firstRowFirstColumn="0" w:firstRowLastColumn="0" w:lastRowFirstColumn="0" w:lastRowLastColumn="0"/>
            </w:pPr>
            <w:r w:rsidRPr="00A33E9D">
              <w:t xml:space="preserve">        133 </w:t>
            </w:r>
          </w:p>
        </w:tc>
        <w:tc>
          <w:tcPr>
            <w:tcW w:w="1180" w:type="dxa"/>
            <w:hideMark/>
          </w:tcPr>
          <w:p w:rsidR="00724615" w:rsidRPr="00724615" w:rsidRDefault="00724615" w:rsidP="006D2665">
            <w:pPr>
              <w:pStyle w:val="AERtabletextleft"/>
              <w:spacing w:before="120" w:line="240" w:lineRule="auto"/>
              <w:cnfStyle w:val="000000010000" w:firstRow="0" w:lastRow="0" w:firstColumn="0" w:lastColumn="0" w:oddVBand="0" w:evenVBand="0" w:oddHBand="0" w:evenHBand="1" w:firstRowFirstColumn="0" w:firstRowLastColumn="0" w:lastRowFirstColumn="0" w:lastRowLastColumn="0"/>
            </w:pPr>
            <w:r w:rsidRPr="00A33E9D">
              <w:t xml:space="preserve">        236 </w:t>
            </w:r>
          </w:p>
        </w:tc>
        <w:tc>
          <w:tcPr>
            <w:tcW w:w="1180" w:type="dxa"/>
            <w:hideMark/>
          </w:tcPr>
          <w:p w:rsidR="00724615" w:rsidRPr="00724615" w:rsidRDefault="00724615" w:rsidP="006D2665">
            <w:pPr>
              <w:pStyle w:val="AERtabletextleft"/>
              <w:spacing w:before="120" w:line="240" w:lineRule="auto"/>
              <w:cnfStyle w:val="000000010000" w:firstRow="0" w:lastRow="0" w:firstColumn="0" w:lastColumn="0" w:oddVBand="0" w:evenVBand="0" w:oddHBand="0" w:evenHBand="1" w:firstRowFirstColumn="0" w:firstRowLastColumn="0" w:lastRowFirstColumn="0" w:lastRowLastColumn="0"/>
            </w:pPr>
            <w:r w:rsidRPr="00A33E9D">
              <w:t xml:space="preserve">        321 </w:t>
            </w:r>
          </w:p>
        </w:tc>
        <w:tc>
          <w:tcPr>
            <w:tcW w:w="1180" w:type="dxa"/>
            <w:hideMark/>
          </w:tcPr>
          <w:p w:rsidR="00724615" w:rsidRPr="00724615" w:rsidRDefault="00724615" w:rsidP="006D2665">
            <w:pPr>
              <w:pStyle w:val="AERtabletextleft"/>
              <w:spacing w:before="120" w:line="240" w:lineRule="auto"/>
              <w:cnfStyle w:val="000000010000" w:firstRow="0" w:lastRow="0" w:firstColumn="0" w:lastColumn="0" w:oddVBand="0" w:evenVBand="0" w:oddHBand="0" w:evenHBand="1" w:firstRowFirstColumn="0" w:firstRowLastColumn="0" w:lastRowFirstColumn="0" w:lastRowLastColumn="0"/>
            </w:pPr>
            <w:r w:rsidRPr="00A33E9D">
              <w:t xml:space="preserve">        190 </w:t>
            </w:r>
          </w:p>
        </w:tc>
        <w:tc>
          <w:tcPr>
            <w:tcW w:w="1180" w:type="dxa"/>
            <w:hideMark/>
          </w:tcPr>
          <w:p w:rsidR="00724615" w:rsidRPr="00724615" w:rsidRDefault="00724615" w:rsidP="006D2665">
            <w:pPr>
              <w:pStyle w:val="AERtabletextleft"/>
              <w:spacing w:before="120" w:line="240" w:lineRule="auto"/>
              <w:cnfStyle w:val="000000010000" w:firstRow="0" w:lastRow="0" w:firstColumn="0" w:lastColumn="0" w:oddVBand="0" w:evenVBand="0" w:oddHBand="0" w:evenHBand="1" w:firstRowFirstColumn="0" w:firstRowLastColumn="0" w:lastRowFirstColumn="0" w:lastRowLastColumn="0"/>
            </w:pPr>
            <w:r w:rsidRPr="00A33E9D">
              <w:t xml:space="preserve">        289 </w:t>
            </w:r>
          </w:p>
        </w:tc>
      </w:tr>
      <w:tr w:rsidR="00724615" w:rsidRPr="00752B52" w:rsidTr="006D2665">
        <w:trPr>
          <w:trHeight w:val="270"/>
        </w:trPr>
        <w:tc>
          <w:tcPr>
            <w:cnfStyle w:val="001000000000" w:firstRow="0" w:lastRow="0" w:firstColumn="1" w:lastColumn="0" w:oddVBand="0" w:evenVBand="0" w:oddHBand="0" w:evenHBand="0" w:firstRowFirstColumn="0" w:firstRowLastColumn="0" w:lastRowFirstColumn="0" w:lastRowLastColumn="0"/>
            <w:tcW w:w="3280" w:type="dxa"/>
            <w:hideMark/>
          </w:tcPr>
          <w:p w:rsidR="00724615" w:rsidRPr="00724615" w:rsidRDefault="00724615" w:rsidP="006D2665">
            <w:pPr>
              <w:pStyle w:val="AERtabletextleft"/>
              <w:spacing w:before="120" w:line="240" w:lineRule="auto"/>
              <w:rPr>
                <w:rStyle w:val="AERtextbold"/>
              </w:rPr>
            </w:pPr>
            <w:r w:rsidRPr="00A33E9D">
              <w:rPr>
                <w:rStyle w:val="AERtextbold"/>
              </w:rPr>
              <w:t xml:space="preserve">Closing RAB </w:t>
            </w:r>
          </w:p>
        </w:tc>
        <w:tc>
          <w:tcPr>
            <w:tcW w:w="1180" w:type="dxa"/>
            <w:hideMark/>
          </w:tcPr>
          <w:p w:rsidR="00724615" w:rsidRPr="00724615" w:rsidRDefault="00724615" w:rsidP="006D2665">
            <w:pPr>
              <w:pStyle w:val="AERtabletextleft"/>
              <w:spacing w:before="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 xml:space="preserve">     8</w:t>
            </w:r>
            <w:r w:rsidRPr="00724615">
              <w:rPr>
                <w:rStyle w:val="AERtextbold"/>
              </w:rPr>
              <w:t xml:space="preserve">297 </w:t>
            </w:r>
          </w:p>
        </w:tc>
        <w:tc>
          <w:tcPr>
            <w:tcW w:w="1180" w:type="dxa"/>
            <w:hideMark/>
          </w:tcPr>
          <w:p w:rsidR="00724615" w:rsidRPr="00724615" w:rsidRDefault="00724615" w:rsidP="006D2665">
            <w:pPr>
              <w:pStyle w:val="AERtabletextleft"/>
              <w:spacing w:before="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 xml:space="preserve">     9</w:t>
            </w:r>
            <w:r w:rsidRPr="00724615">
              <w:rPr>
                <w:rStyle w:val="AERtextbold"/>
              </w:rPr>
              <w:t xml:space="preserve">471 </w:t>
            </w:r>
          </w:p>
        </w:tc>
        <w:tc>
          <w:tcPr>
            <w:tcW w:w="1180" w:type="dxa"/>
            <w:hideMark/>
          </w:tcPr>
          <w:p w:rsidR="00724615" w:rsidRPr="00724615" w:rsidRDefault="00724615" w:rsidP="006D2665">
            <w:pPr>
              <w:pStyle w:val="AERtabletextleft"/>
              <w:spacing w:before="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 xml:space="preserve">    10</w:t>
            </w:r>
            <w:r w:rsidRPr="00724615">
              <w:rPr>
                <w:rStyle w:val="AERtextbold"/>
              </w:rPr>
              <w:t xml:space="preserve">757 </w:t>
            </w:r>
          </w:p>
        </w:tc>
        <w:tc>
          <w:tcPr>
            <w:tcW w:w="1180" w:type="dxa"/>
            <w:hideMark/>
          </w:tcPr>
          <w:p w:rsidR="00724615" w:rsidRPr="00724615" w:rsidRDefault="00724615" w:rsidP="006D2665">
            <w:pPr>
              <w:pStyle w:val="AERtabletextleft"/>
              <w:spacing w:before="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 xml:space="preserve">    11</w:t>
            </w:r>
            <w:r w:rsidRPr="00724615">
              <w:rPr>
                <w:rStyle w:val="AERtextbold"/>
              </w:rPr>
              <w:t xml:space="preserve">551 </w:t>
            </w:r>
          </w:p>
        </w:tc>
        <w:tc>
          <w:tcPr>
            <w:tcW w:w="1180" w:type="dxa"/>
            <w:hideMark/>
          </w:tcPr>
          <w:p w:rsidR="00724615" w:rsidRPr="00724615" w:rsidRDefault="00724615" w:rsidP="006D2665">
            <w:pPr>
              <w:pStyle w:val="AERtabletextleft"/>
              <w:spacing w:before="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 xml:space="preserve">    12</w:t>
            </w:r>
            <w:r w:rsidRPr="00724615">
              <w:rPr>
                <w:rStyle w:val="AERtextbold"/>
              </w:rPr>
              <w:t xml:space="preserve">147 </w:t>
            </w:r>
          </w:p>
        </w:tc>
      </w:tr>
      <w:tr w:rsidR="00724615" w:rsidRPr="00DB0B45" w:rsidTr="006D2665">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80" w:type="dxa"/>
            <w:hideMark/>
          </w:tcPr>
          <w:p w:rsidR="00724615" w:rsidRPr="00724615" w:rsidRDefault="00724615" w:rsidP="006D2665">
            <w:pPr>
              <w:pStyle w:val="AERtabletextleft"/>
              <w:spacing w:before="120" w:line="240" w:lineRule="auto"/>
            </w:pPr>
            <w:r w:rsidRPr="00DD1199">
              <w:t>Net adjustments from 2008–09</w:t>
            </w:r>
          </w:p>
        </w:tc>
        <w:tc>
          <w:tcPr>
            <w:tcW w:w="1180" w:type="dxa"/>
            <w:hideMark/>
          </w:tcPr>
          <w:p w:rsidR="00724615" w:rsidRPr="00724615" w:rsidRDefault="00724615" w:rsidP="006D2665">
            <w:pPr>
              <w:pStyle w:val="AERtabletextleft"/>
              <w:spacing w:before="120" w:line="240" w:lineRule="auto"/>
              <w:cnfStyle w:val="000000010000" w:firstRow="0" w:lastRow="0" w:firstColumn="0" w:lastColumn="0" w:oddVBand="0" w:evenVBand="0" w:oddHBand="0" w:evenHBand="1" w:firstRowFirstColumn="0" w:firstRowLastColumn="0" w:lastRowFirstColumn="0" w:lastRowLastColumn="0"/>
            </w:pPr>
            <w:r w:rsidRPr="00A33E9D">
              <w:rPr>
                <w:rFonts w:hint="eastAsia"/>
              </w:rPr>
              <w:t> </w:t>
            </w:r>
          </w:p>
        </w:tc>
        <w:tc>
          <w:tcPr>
            <w:tcW w:w="1180" w:type="dxa"/>
            <w:hideMark/>
          </w:tcPr>
          <w:p w:rsidR="00724615" w:rsidRPr="00724615" w:rsidRDefault="00724615" w:rsidP="006D2665">
            <w:pPr>
              <w:pStyle w:val="AERtabletextleft"/>
              <w:spacing w:before="120" w:line="240" w:lineRule="auto"/>
              <w:cnfStyle w:val="000000010000" w:firstRow="0" w:lastRow="0" w:firstColumn="0" w:lastColumn="0" w:oddVBand="0" w:evenVBand="0" w:oddHBand="0" w:evenHBand="1" w:firstRowFirstColumn="0" w:firstRowLastColumn="0" w:lastRowFirstColumn="0" w:lastRowLastColumn="0"/>
            </w:pPr>
            <w:r w:rsidRPr="00A33E9D">
              <w:rPr>
                <w:rFonts w:hint="eastAsia"/>
              </w:rPr>
              <w:t> </w:t>
            </w:r>
          </w:p>
        </w:tc>
        <w:tc>
          <w:tcPr>
            <w:tcW w:w="1180" w:type="dxa"/>
            <w:hideMark/>
          </w:tcPr>
          <w:p w:rsidR="00724615" w:rsidRPr="00724615" w:rsidRDefault="00724615" w:rsidP="006D2665">
            <w:pPr>
              <w:pStyle w:val="AERtabletextleft"/>
              <w:spacing w:before="120" w:line="240" w:lineRule="auto"/>
              <w:cnfStyle w:val="000000010000" w:firstRow="0" w:lastRow="0" w:firstColumn="0" w:lastColumn="0" w:oddVBand="0" w:evenVBand="0" w:oddHBand="0" w:evenHBand="1" w:firstRowFirstColumn="0" w:firstRowLastColumn="0" w:lastRowFirstColumn="0" w:lastRowLastColumn="0"/>
            </w:pPr>
            <w:r w:rsidRPr="00A33E9D">
              <w:rPr>
                <w:rFonts w:hint="eastAsia"/>
              </w:rPr>
              <w:t> </w:t>
            </w:r>
          </w:p>
        </w:tc>
        <w:tc>
          <w:tcPr>
            <w:tcW w:w="1180" w:type="dxa"/>
            <w:hideMark/>
          </w:tcPr>
          <w:p w:rsidR="00724615" w:rsidRPr="00724615" w:rsidRDefault="00724615" w:rsidP="006D2665">
            <w:pPr>
              <w:pStyle w:val="AERtabletextleft"/>
              <w:spacing w:before="120" w:line="240" w:lineRule="auto"/>
              <w:cnfStyle w:val="000000010000" w:firstRow="0" w:lastRow="0" w:firstColumn="0" w:lastColumn="0" w:oddVBand="0" w:evenVBand="0" w:oddHBand="0" w:evenHBand="1" w:firstRowFirstColumn="0" w:firstRowLastColumn="0" w:lastRowFirstColumn="0" w:lastRowLastColumn="0"/>
            </w:pPr>
            <w:r w:rsidRPr="00A33E9D">
              <w:rPr>
                <w:rFonts w:hint="eastAsia"/>
              </w:rPr>
              <w:t> </w:t>
            </w:r>
          </w:p>
        </w:tc>
        <w:tc>
          <w:tcPr>
            <w:tcW w:w="1180" w:type="dxa"/>
            <w:hideMark/>
          </w:tcPr>
          <w:p w:rsidR="00724615" w:rsidRPr="00724615" w:rsidRDefault="00724615" w:rsidP="006D2665">
            <w:pPr>
              <w:pStyle w:val="AERtabletextleft"/>
              <w:spacing w:before="120" w:line="240" w:lineRule="auto"/>
              <w:cnfStyle w:val="000000010000" w:firstRow="0" w:lastRow="0" w:firstColumn="0" w:lastColumn="0" w:oddVBand="0" w:evenVBand="0" w:oddHBand="0" w:evenHBand="1" w:firstRowFirstColumn="0" w:firstRowLastColumn="0" w:lastRowFirstColumn="0" w:lastRowLastColumn="0"/>
            </w:pPr>
            <w:r w:rsidRPr="00A33E9D">
              <w:t xml:space="preserve">        390 </w:t>
            </w:r>
          </w:p>
        </w:tc>
      </w:tr>
      <w:tr w:rsidR="00724615" w:rsidRPr="00752B52" w:rsidTr="006D2665">
        <w:trPr>
          <w:trHeight w:val="270"/>
        </w:trPr>
        <w:tc>
          <w:tcPr>
            <w:cnfStyle w:val="001000000000" w:firstRow="0" w:lastRow="0" w:firstColumn="1" w:lastColumn="0" w:oddVBand="0" w:evenVBand="0" w:oddHBand="0" w:evenHBand="0" w:firstRowFirstColumn="0" w:firstRowLastColumn="0" w:lastRowFirstColumn="0" w:lastRowLastColumn="0"/>
            <w:tcW w:w="3280" w:type="dxa"/>
            <w:hideMark/>
          </w:tcPr>
          <w:p w:rsidR="00724615" w:rsidRPr="00724615" w:rsidRDefault="00724615" w:rsidP="006D2665">
            <w:pPr>
              <w:pStyle w:val="AERtabletextleft"/>
              <w:spacing w:before="120" w:line="240" w:lineRule="auto"/>
              <w:rPr>
                <w:rStyle w:val="AERtextbold"/>
              </w:rPr>
            </w:pPr>
            <w:r w:rsidRPr="00A33E9D">
              <w:rPr>
                <w:rStyle w:val="AERtextbold"/>
              </w:rPr>
              <w:t>Opening RAB as at 1 July 2014</w:t>
            </w:r>
          </w:p>
        </w:tc>
        <w:tc>
          <w:tcPr>
            <w:tcW w:w="1180" w:type="dxa"/>
            <w:hideMark/>
          </w:tcPr>
          <w:p w:rsidR="00724615" w:rsidRPr="00724615" w:rsidRDefault="00724615" w:rsidP="006D2665">
            <w:pPr>
              <w:pStyle w:val="AERtabletextleft"/>
              <w:spacing w:before="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Fonts w:hint="eastAsia"/>
              </w:rPr>
              <w:t> </w:t>
            </w:r>
          </w:p>
        </w:tc>
        <w:tc>
          <w:tcPr>
            <w:tcW w:w="1180" w:type="dxa"/>
            <w:hideMark/>
          </w:tcPr>
          <w:p w:rsidR="00724615" w:rsidRPr="00724615" w:rsidRDefault="00724615" w:rsidP="006D2665">
            <w:pPr>
              <w:pStyle w:val="AERtabletextleft"/>
              <w:spacing w:before="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Fonts w:hint="eastAsia"/>
              </w:rPr>
              <w:t> </w:t>
            </w:r>
          </w:p>
        </w:tc>
        <w:tc>
          <w:tcPr>
            <w:tcW w:w="1180" w:type="dxa"/>
            <w:hideMark/>
          </w:tcPr>
          <w:p w:rsidR="00724615" w:rsidRPr="00724615" w:rsidRDefault="00724615" w:rsidP="006D2665">
            <w:pPr>
              <w:pStyle w:val="AERtabletextleft"/>
              <w:spacing w:before="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Fonts w:hint="eastAsia"/>
              </w:rPr>
              <w:t> </w:t>
            </w:r>
          </w:p>
        </w:tc>
        <w:tc>
          <w:tcPr>
            <w:tcW w:w="1180" w:type="dxa"/>
            <w:hideMark/>
          </w:tcPr>
          <w:p w:rsidR="00724615" w:rsidRPr="00724615" w:rsidRDefault="00724615" w:rsidP="006D2665">
            <w:pPr>
              <w:pStyle w:val="AERtabletextleft"/>
              <w:spacing w:before="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Fonts w:hint="eastAsia"/>
              </w:rPr>
              <w:t> </w:t>
            </w:r>
          </w:p>
        </w:tc>
        <w:tc>
          <w:tcPr>
            <w:tcW w:w="1180" w:type="dxa"/>
            <w:hideMark/>
          </w:tcPr>
          <w:p w:rsidR="00724615" w:rsidRPr="00724615" w:rsidRDefault="00724615" w:rsidP="006D2665">
            <w:pPr>
              <w:pStyle w:val="AERtabletextleft"/>
              <w:spacing w:before="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 xml:space="preserve">    12</w:t>
            </w:r>
            <w:r w:rsidRPr="00724615">
              <w:rPr>
                <w:rStyle w:val="AERtextbold"/>
              </w:rPr>
              <w:t xml:space="preserve">536 </w:t>
            </w:r>
          </w:p>
        </w:tc>
      </w:tr>
    </w:tbl>
    <w:p w:rsidR="00724615" w:rsidRDefault="00724615" w:rsidP="00724615">
      <w:pPr>
        <w:pStyle w:val="AERtablesource"/>
      </w:pPr>
      <w:r w:rsidRPr="003D4734">
        <w:t>Source:</w:t>
      </w:r>
      <w:r w:rsidRPr="003D4734">
        <w:tab/>
      </w:r>
      <w:r>
        <w:t>Aus</w:t>
      </w:r>
      <w:r w:rsidR="00D30A51">
        <w:t>g</w:t>
      </w:r>
      <w:r>
        <w:t xml:space="preserve">rid, </w:t>
      </w:r>
      <w:r w:rsidRPr="00447042">
        <w:rPr>
          <w:rStyle w:val="AERtextitalic"/>
        </w:rPr>
        <w:t>Roll Forward Model</w:t>
      </w:r>
      <w:r>
        <w:t>,</w:t>
      </w:r>
      <w:r w:rsidRPr="00A2480F">
        <w:t xml:space="preserve"> January 2014.</w:t>
      </w:r>
    </w:p>
    <w:p w:rsidR="00724615" w:rsidRPr="00135642" w:rsidRDefault="00724615" w:rsidP="00724615">
      <w:pPr>
        <w:pStyle w:val="AERtablesource"/>
      </w:pPr>
      <w:r w:rsidRPr="00135642">
        <w:t>Notes:</w:t>
      </w:r>
      <w:r w:rsidRPr="00135642">
        <w:tab/>
        <w:t>Numbers may not sum due to rounding.</w:t>
      </w:r>
    </w:p>
    <w:p w:rsidR="00724615" w:rsidRDefault="002401A5" w:rsidP="00846C67">
      <w:pPr>
        <w:pStyle w:val="Caption"/>
        <w:jc w:val="left"/>
        <w:rPr>
          <w:rStyle w:val="AERbody"/>
        </w:rPr>
      </w:pPr>
      <w:bookmarkStart w:id="204" w:name="_Ref382556687"/>
      <w:r>
        <w:t>Table</w:t>
      </w:r>
      <w:r w:rsidR="00846C67">
        <w:t xml:space="preserve"> </w:t>
      </w:r>
      <w:r w:rsidR="00DD155E">
        <w:fldChar w:fldCharType="begin"/>
      </w:r>
      <w:r w:rsidR="00DD155E">
        <w:instrText xml:space="preserve"> STYLEREF 7 \s </w:instrText>
      </w:r>
      <w:r w:rsidR="00DD155E">
        <w:fldChar w:fldCharType="separate"/>
      </w:r>
      <w:r w:rsidR="00E313D7">
        <w:rPr>
          <w:noProof/>
        </w:rPr>
        <w:t>B</w:t>
      </w:r>
      <w:r w:rsidR="00DD155E">
        <w:rPr>
          <w:noProof/>
        </w:rPr>
        <w:fldChar w:fldCharType="end"/>
      </w:r>
      <w:r>
        <w:t>.</w:t>
      </w:r>
      <w:r w:rsidR="00DD155E">
        <w:fldChar w:fldCharType="begin"/>
      </w:r>
      <w:r w:rsidR="00DD155E">
        <w:instrText xml:space="preserve"> SEQ Table_Apx \* ARABIC \s 7 </w:instrText>
      </w:r>
      <w:r w:rsidR="00DD155E">
        <w:fldChar w:fldCharType="separate"/>
      </w:r>
      <w:r w:rsidR="00E313D7">
        <w:rPr>
          <w:noProof/>
        </w:rPr>
        <w:t>5</w:t>
      </w:r>
      <w:r w:rsidR="00DD155E">
        <w:rPr>
          <w:noProof/>
        </w:rPr>
        <w:fldChar w:fldCharType="end"/>
      </w:r>
      <w:bookmarkEnd w:id="204"/>
      <w:r w:rsidR="00724615">
        <w:tab/>
      </w:r>
      <w:r w:rsidR="00724615" w:rsidRPr="001814C4">
        <w:t xml:space="preserve">Derivation of Ausgrid's opening RAB as at 1 July 2014 </w:t>
      </w:r>
      <w:r w:rsidR="00724615">
        <w:t>–</w:t>
      </w:r>
      <w:r w:rsidR="00724615" w:rsidRPr="001814C4">
        <w:t xml:space="preserve"> </w:t>
      </w:r>
      <w:r w:rsidR="00724615">
        <w:t>transmission</w:t>
      </w:r>
      <w:r w:rsidR="00724615" w:rsidRPr="001814C4">
        <w:t xml:space="preserve"> ($m, nominal)</w:t>
      </w:r>
    </w:p>
    <w:tbl>
      <w:tblPr>
        <w:tblStyle w:val="AERtable-numbers"/>
        <w:tblW w:w="9180" w:type="dxa"/>
        <w:tblLook w:val="04A0" w:firstRow="1" w:lastRow="0" w:firstColumn="1" w:lastColumn="0" w:noHBand="0" w:noVBand="1"/>
      </w:tblPr>
      <w:tblGrid>
        <w:gridCol w:w="3280"/>
        <w:gridCol w:w="1180"/>
        <w:gridCol w:w="1180"/>
        <w:gridCol w:w="1180"/>
        <w:gridCol w:w="1180"/>
        <w:gridCol w:w="1180"/>
      </w:tblGrid>
      <w:tr w:rsidR="00724615" w:rsidRPr="00DB0B45" w:rsidTr="006D266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80" w:type="dxa"/>
            <w:hideMark/>
          </w:tcPr>
          <w:p w:rsidR="00724615" w:rsidRPr="00724615" w:rsidRDefault="00724615" w:rsidP="006D2665">
            <w:pPr>
              <w:pStyle w:val="AERtabletextleft"/>
              <w:spacing w:before="120" w:line="240" w:lineRule="auto"/>
            </w:pPr>
            <w:r w:rsidRPr="00AB2ED3">
              <w:t xml:space="preserve">RAB </w:t>
            </w:r>
          </w:p>
        </w:tc>
        <w:tc>
          <w:tcPr>
            <w:tcW w:w="1180" w:type="dxa"/>
            <w:hideMark/>
          </w:tcPr>
          <w:p w:rsidR="00724615" w:rsidRPr="00724615" w:rsidRDefault="00724615" w:rsidP="006D2665">
            <w:pPr>
              <w:pStyle w:val="AERtabletextright"/>
              <w:spacing w:after="120" w:line="240" w:lineRule="auto"/>
              <w:cnfStyle w:val="100000000000" w:firstRow="1" w:lastRow="0" w:firstColumn="0" w:lastColumn="0" w:oddVBand="0" w:evenVBand="0" w:oddHBand="0" w:evenHBand="0" w:firstRowFirstColumn="0" w:firstRowLastColumn="0" w:lastRowFirstColumn="0" w:lastRowLastColumn="0"/>
            </w:pPr>
            <w:r w:rsidRPr="00AB2ED3">
              <w:t>2009–10</w:t>
            </w:r>
          </w:p>
        </w:tc>
        <w:tc>
          <w:tcPr>
            <w:tcW w:w="1180" w:type="dxa"/>
            <w:hideMark/>
          </w:tcPr>
          <w:p w:rsidR="00724615" w:rsidRPr="00724615" w:rsidRDefault="00724615" w:rsidP="006D2665">
            <w:pPr>
              <w:pStyle w:val="AERtabletextright"/>
              <w:spacing w:after="120" w:line="240" w:lineRule="auto"/>
              <w:cnfStyle w:val="100000000000" w:firstRow="1" w:lastRow="0" w:firstColumn="0" w:lastColumn="0" w:oddVBand="0" w:evenVBand="0" w:oddHBand="0" w:evenHBand="0" w:firstRowFirstColumn="0" w:firstRowLastColumn="0" w:lastRowFirstColumn="0" w:lastRowLastColumn="0"/>
            </w:pPr>
            <w:r w:rsidRPr="00AB2ED3">
              <w:t>2010–11</w:t>
            </w:r>
          </w:p>
        </w:tc>
        <w:tc>
          <w:tcPr>
            <w:tcW w:w="1180" w:type="dxa"/>
            <w:hideMark/>
          </w:tcPr>
          <w:p w:rsidR="00724615" w:rsidRPr="00724615" w:rsidRDefault="00724615" w:rsidP="006D2665">
            <w:pPr>
              <w:pStyle w:val="AERtabletextright"/>
              <w:spacing w:after="120" w:line="240" w:lineRule="auto"/>
              <w:cnfStyle w:val="100000000000" w:firstRow="1" w:lastRow="0" w:firstColumn="0" w:lastColumn="0" w:oddVBand="0" w:evenVBand="0" w:oddHBand="0" w:evenHBand="0" w:firstRowFirstColumn="0" w:firstRowLastColumn="0" w:lastRowFirstColumn="0" w:lastRowLastColumn="0"/>
            </w:pPr>
            <w:r w:rsidRPr="00AB2ED3">
              <w:t>2011–12</w:t>
            </w:r>
          </w:p>
        </w:tc>
        <w:tc>
          <w:tcPr>
            <w:tcW w:w="1180" w:type="dxa"/>
            <w:hideMark/>
          </w:tcPr>
          <w:p w:rsidR="00724615" w:rsidRPr="00724615" w:rsidRDefault="00724615" w:rsidP="006D2665">
            <w:pPr>
              <w:pStyle w:val="AERtabletextright"/>
              <w:spacing w:after="120" w:line="240" w:lineRule="auto"/>
              <w:cnfStyle w:val="100000000000" w:firstRow="1" w:lastRow="0" w:firstColumn="0" w:lastColumn="0" w:oddVBand="0" w:evenVBand="0" w:oddHBand="0" w:evenHBand="0" w:firstRowFirstColumn="0" w:firstRowLastColumn="0" w:lastRowFirstColumn="0" w:lastRowLastColumn="0"/>
            </w:pPr>
            <w:r w:rsidRPr="00AB2ED3">
              <w:t>2012–13</w:t>
            </w:r>
          </w:p>
        </w:tc>
        <w:tc>
          <w:tcPr>
            <w:tcW w:w="1180" w:type="dxa"/>
            <w:hideMark/>
          </w:tcPr>
          <w:p w:rsidR="00724615" w:rsidRPr="00724615" w:rsidRDefault="00724615" w:rsidP="006D2665">
            <w:pPr>
              <w:pStyle w:val="AERtabletextright"/>
              <w:spacing w:after="120" w:line="240" w:lineRule="auto"/>
              <w:cnfStyle w:val="100000000000" w:firstRow="1" w:lastRow="0" w:firstColumn="0" w:lastColumn="0" w:oddVBand="0" w:evenVBand="0" w:oddHBand="0" w:evenHBand="0" w:firstRowFirstColumn="0" w:firstRowLastColumn="0" w:lastRowFirstColumn="0" w:lastRowLastColumn="0"/>
            </w:pPr>
            <w:r w:rsidRPr="00AB2ED3">
              <w:t>2013–14</w:t>
            </w:r>
          </w:p>
        </w:tc>
      </w:tr>
      <w:tr w:rsidR="00724615" w:rsidRPr="00DB0B45" w:rsidTr="006D2665">
        <w:trPr>
          <w:trHeight w:val="255"/>
        </w:trPr>
        <w:tc>
          <w:tcPr>
            <w:cnfStyle w:val="001000000000" w:firstRow="0" w:lastRow="0" w:firstColumn="1" w:lastColumn="0" w:oddVBand="0" w:evenVBand="0" w:oddHBand="0" w:evenHBand="0" w:firstRowFirstColumn="0" w:firstRowLastColumn="0" w:lastRowFirstColumn="0" w:lastRowLastColumn="0"/>
            <w:tcW w:w="3280" w:type="dxa"/>
            <w:hideMark/>
          </w:tcPr>
          <w:p w:rsidR="00724615" w:rsidRPr="00724615" w:rsidRDefault="00724615" w:rsidP="006D2665">
            <w:pPr>
              <w:pStyle w:val="AERtabletextleft"/>
              <w:spacing w:before="120" w:line="240" w:lineRule="auto"/>
            </w:pPr>
            <w:r w:rsidRPr="00AB2ED3">
              <w:t>Opening RAB</w:t>
            </w:r>
          </w:p>
        </w:tc>
        <w:tc>
          <w:tcPr>
            <w:tcW w:w="1180"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AB2ED3">
              <w:t>1</w:t>
            </w:r>
            <w:r w:rsidRPr="00724615">
              <w:t xml:space="preserve">028 </w:t>
            </w:r>
          </w:p>
        </w:tc>
        <w:tc>
          <w:tcPr>
            <w:tcW w:w="1180"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AB2ED3">
              <w:t>1</w:t>
            </w:r>
            <w:r w:rsidRPr="00724615">
              <w:t xml:space="preserve">264 </w:t>
            </w:r>
          </w:p>
        </w:tc>
        <w:tc>
          <w:tcPr>
            <w:tcW w:w="1180"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AB2ED3">
              <w:t>1</w:t>
            </w:r>
            <w:r w:rsidRPr="00724615">
              <w:t xml:space="preserve">545 </w:t>
            </w:r>
          </w:p>
        </w:tc>
        <w:tc>
          <w:tcPr>
            <w:tcW w:w="1180"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AB2ED3">
              <w:t>1</w:t>
            </w:r>
            <w:r w:rsidRPr="00724615">
              <w:t xml:space="preserve">863 </w:t>
            </w:r>
          </w:p>
        </w:tc>
        <w:tc>
          <w:tcPr>
            <w:tcW w:w="1180"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AB2ED3">
              <w:t>2</w:t>
            </w:r>
            <w:r w:rsidRPr="00724615">
              <w:t xml:space="preserve">063 </w:t>
            </w:r>
          </w:p>
        </w:tc>
      </w:tr>
      <w:tr w:rsidR="00724615" w:rsidRPr="00DB0B45" w:rsidTr="006D2665">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80" w:type="dxa"/>
            <w:hideMark/>
          </w:tcPr>
          <w:p w:rsidR="00724615" w:rsidRPr="00724615" w:rsidRDefault="00724615" w:rsidP="006D2665">
            <w:pPr>
              <w:pStyle w:val="AERtabletextleft"/>
              <w:spacing w:before="120" w:line="240" w:lineRule="auto"/>
            </w:pPr>
            <w:r w:rsidRPr="00AB2ED3">
              <w:t xml:space="preserve">Net </w:t>
            </w:r>
            <w:r w:rsidRPr="00724615">
              <w:t>capital expenditure</w:t>
            </w:r>
          </w:p>
        </w:tc>
        <w:tc>
          <w:tcPr>
            <w:tcW w:w="1180"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AB2ED3">
              <w:t xml:space="preserve">235 </w:t>
            </w:r>
          </w:p>
        </w:tc>
        <w:tc>
          <w:tcPr>
            <w:tcW w:w="1180"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AB2ED3">
              <w:t xml:space="preserve">276 </w:t>
            </w:r>
          </w:p>
        </w:tc>
        <w:tc>
          <w:tcPr>
            <w:tcW w:w="1180"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AB2ED3">
              <w:t xml:space="preserve">340 </w:t>
            </w:r>
          </w:p>
        </w:tc>
        <w:tc>
          <w:tcPr>
            <w:tcW w:w="1180"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AB2ED3">
              <w:t xml:space="preserve">212 </w:t>
            </w:r>
          </w:p>
        </w:tc>
        <w:tc>
          <w:tcPr>
            <w:tcW w:w="1180"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AB2ED3">
              <w:t xml:space="preserve">167 </w:t>
            </w:r>
          </w:p>
        </w:tc>
      </w:tr>
      <w:tr w:rsidR="00724615" w:rsidRPr="00DB0B45" w:rsidTr="006D2665">
        <w:trPr>
          <w:trHeight w:val="255"/>
        </w:trPr>
        <w:tc>
          <w:tcPr>
            <w:cnfStyle w:val="001000000000" w:firstRow="0" w:lastRow="0" w:firstColumn="1" w:lastColumn="0" w:oddVBand="0" w:evenVBand="0" w:oddHBand="0" w:evenHBand="0" w:firstRowFirstColumn="0" w:firstRowLastColumn="0" w:lastRowFirstColumn="0" w:lastRowLastColumn="0"/>
            <w:tcW w:w="3280" w:type="dxa"/>
            <w:hideMark/>
          </w:tcPr>
          <w:p w:rsidR="00724615" w:rsidRPr="00724615" w:rsidRDefault="00724615" w:rsidP="006D2665">
            <w:pPr>
              <w:pStyle w:val="AERtabletextleft"/>
              <w:spacing w:before="120" w:line="240" w:lineRule="auto"/>
            </w:pPr>
            <w:r w:rsidRPr="00AB2ED3">
              <w:t xml:space="preserve">Straight-line </w:t>
            </w:r>
            <w:r w:rsidRPr="00724615">
              <w:t>depreciation</w:t>
            </w:r>
          </w:p>
        </w:tc>
        <w:tc>
          <w:tcPr>
            <w:tcW w:w="1180"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AB2ED3">
              <w:t xml:space="preserve">-29 </w:t>
            </w:r>
          </w:p>
        </w:tc>
        <w:tc>
          <w:tcPr>
            <w:tcW w:w="1180"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AB2ED3">
              <w:t xml:space="preserve">-37 </w:t>
            </w:r>
          </w:p>
        </w:tc>
        <w:tc>
          <w:tcPr>
            <w:tcW w:w="1180"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AB2ED3">
              <w:t xml:space="preserve">-48 </w:t>
            </w:r>
          </w:p>
        </w:tc>
        <w:tc>
          <w:tcPr>
            <w:tcW w:w="1180"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AB2ED3">
              <w:t xml:space="preserve">-59 </w:t>
            </w:r>
          </w:p>
        </w:tc>
        <w:tc>
          <w:tcPr>
            <w:tcW w:w="1180"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AB2ED3">
              <w:t xml:space="preserve">-63 </w:t>
            </w:r>
          </w:p>
        </w:tc>
      </w:tr>
      <w:tr w:rsidR="00724615" w:rsidRPr="00DB0B45" w:rsidTr="006D2665">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80" w:type="dxa"/>
            <w:hideMark/>
          </w:tcPr>
          <w:p w:rsidR="00724615" w:rsidRPr="00724615" w:rsidRDefault="00724615" w:rsidP="006D2665">
            <w:pPr>
              <w:pStyle w:val="AERtabletextleft"/>
              <w:spacing w:before="120" w:line="240" w:lineRule="auto"/>
            </w:pPr>
            <w:r w:rsidRPr="00AB2ED3">
              <w:t xml:space="preserve">Inflation </w:t>
            </w:r>
            <w:r w:rsidRPr="00724615">
              <w:t>adjustment</w:t>
            </w:r>
          </w:p>
        </w:tc>
        <w:tc>
          <w:tcPr>
            <w:tcW w:w="1180"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AB2ED3">
              <w:t xml:space="preserve">30 </w:t>
            </w:r>
          </w:p>
        </w:tc>
        <w:tc>
          <w:tcPr>
            <w:tcW w:w="1180"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AB2ED3">
              <w:t xml:space="preserve">42 </w:t>
            </w:r>
          </w:p>
        </w:tc>
        <w:tc>
          <w:tcPr>
            <w:tcW w:w="1180"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AB2ED3">
              <w:t xml:space="preserve">25 </w:t>
            </w:r>
          </w:p>
        </w:tc>
        <w:tc>
          <w:tcPr>
            <w:tcW w:w="1180"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AB2ED3">
              <w:t xml:space="preserve">47 </w:t>
            </w:r>
          </w:p>
        </w:tc>
        <w:tc>
          <w:tcPr>
            <w:tcW w:w="1180"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AB2ED3">
              <w:t xml:space="preserve">52 </w:t>
            </w:r>
          </w:p>
        </w:tc>
      </w:tr>
      <w:tr w:rsidR="00724615" w:rsidRPr="00752B52" w:rsidTr="006D2665">
        <w:trPr>
          <w:trHeight w:val="270"/>
        </w:trPr>
        <w:tc>
          <w:tcPr>
            <w:cnfStyle w:val="001000000000" w:firstRow="0" w:lastRow="0" w:firstColumn="1" w:lastColumn="0" w:oddVBand="0" w:evenVBand="0" w:oddHBand="0" w:evenHBand="0" w:firstRowFirstColumn="0" w:firstRowLastColumn="0" w:lastRowFirstColumn="0" w:lastRowLastColumn="0"/>
            <w:tcW w:w="3280" w:type="dxa"/>
            <w:hideMark/>
          </w:tcPr>
          <w:p w:rsidR="00724615" w:rsidRPr="00724615" w:rsidRDefault="00724615" w:rsidP="006D2665">
            <w:pPr>
              <w:pStyle w:val="AERtabletextleft"/>
              <w:spacing w:before="120" w:line="240" w:lineRule="auto"/>
              <w:rPr>
                <w:rStyle w:val="AERtextbold"/>
              </w:rPr>
            </w:pPr>
            <w:r w:rsidRPr="002367B6">
              <w:rPr>
                <w:rStyle w:val="AERtextbold"/>
              </w:rPr>
              <w:t xml:space="preserve">Closing RAB </w:t>
            </w:r>
          </w:p>
        </w:tc>
        <w:tc>
          <w:tcPr>
            <w:tcW w:w="1180"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2367B6">
              <w:rPr>
                <w:rStyle w:val="AERtextbold"/>
              </w:rPr>
              <w:t>1</w:t>
            </w:r>
            <w:r w:rsidRPr="00724615">
              <w:rPr>
                <w:rStyle w:val="AERtextbold"/>
              </w:rPr>
              <w:t xml:space="preserve">264 </w:t>
            </w:r>
          </w:p>
        </w:tc>
        <w:tc>
          <w:tcPr>
            <w:tcW w:w="1180"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2367B6">
              <w:rPr>
                <w:rStyle w:val="AERtextbold"/>
              </w:rPr>
              <w:t>1</w:t>
            </w:r>
            <w:r w:rsidRPr="00724615">
              <w:rPr>
                <w:rStyle w:val="AERtextbold"/>
              </w:rPr>
              <w:t xml:space="preserve">545 </w:t>
            </w:r>
          </w:p>
        </w:tc>
        <w:tc>
          <w:tcPr>
            <w:tcW w:w="1180"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2367B6">
              <w:rPr>
                <w:rStyle w:val="AERtextbold"/>
              </w:rPr>
              <w:t>1</w:t>
            </w:r>
            <w:r w:rsidRPr="00724615">
              <w:rPr>
                <w:rStyle w:val="AERtextbold"/>
              </w:rPr>
              <w:t xml:space="preserve">863 </w:t>
            </w:r>
          </w:p>
        </w:tc>
        <w:tc>
          <w:tcPr>
            <w:tcW w:w="1180"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2367B6">
              <w:rPr>
                <w:rStyle w:val="AERtextbold"/>
              </w:rPr>
              <w:t>2</w:t>
            </w:r>
            <w:r w:rsidRPr="00724615">
              <w:rPr>
                <w:rStyle w:val="AERtextbold"/>
              </w:rPr>
              <w:t xml:space="preserve">063 </w:t>
            </w:r>
          </w:p>
        </w:tc>
        <w:tc>
          <w:tcPr>
            <w:tcW w:w="1180"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2367B6">
              <w:rPr>
                <w:rStyle w:val="AERtextbold"/>
              </w:rPr>
              <w:t>2</w:t>
            </w:r>
            <w:r w:rsidRPr="00724615">
              <w:rPr>
                <w:rStyle w:val="AERtextbold"/>
              </w:rPr>
              <w:t xml:space="preserve">218 </w:t>
            </w:r>
          </w:p>
        </w:tc>
      </w:tr>
      <w:tr w:rsidR="00724615" w:rsidRPr="00DB0B45" w:rsidTr="006D2665">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80" w:type="dxa"/>
            <w:hideMark/>
          </w:tcPr>
          <w:p w:rsidR="00724615" w:rsidRPr="00724615" w:rsidRDefault="00724615" w:rsidP="006D2665">
            <w:pPr>
              <w:pStyle w:val="AERtabletextleft"/>
              <w:spacing w:before="120" w:line="240" w:lineRule="auto"/>
            </w:pPr>
            <w:r w:rsidRPr="00AB2ED3">
              <w:t>Net adjustments from 2008–09</w:t>
            </w:r>
          </w:p>
        </w:tc>
        <w:tc>
          <w:tcPr>
            <w:tcW w:w="1180"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AB2ED3">
              <w:t> </w:t>
            </w:r>
          </w:p>
        </w:tc>
        <w:tc>
          <w:tcPr>
            <w:tcW w:w="1180"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AB2ED3">
              <w:t> </w:t>
            </w:r>
          </w:p>
        </w:tc>
        <w:tc>
          <w:tcPr>
            <w:tcW w:w="1180"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AB2ED3">
              <w:t> </w:t>
            </w:r>
          </w:p>
        </w:tc>
        <w:tc>
          <w:tcPr>
            <w:tcW w:w="1180"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AB2ED3">
              <w:t> </w:t>
            </w:r>
          </w:p>
        </w:tc>
        <w:tc>
          <w:tcPr>
            <w:tcW w:w="1180"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AB2ED3">
              <w:t xml:space="preserve">-108 </w:t>
            </w:r>
          </w:p>
        </w:tc>
      </w:tr>
      <w:tr w:rsidR="00724615" w:rsidRPr="00752B52" w:rsidTr="006D2665">
        <w:trPr>
          <w:trHeight w:val="270"/>
        </w:trPr>
        <w:tc>
          <w:tcPr>
            <w:cnfStyle w:val="001000000000" w:firstRow="0" w:lastRow="0" w:firstColumn="1" w:lastColumn="0" w:oddVBand="0" w:evenVBand="0" w:oddHBand="0" w:evenHBand="0" w:firstRowFirstColumn="0" w:firstRowLastColumn="0" w:lastRowFirstColumn="0" w:lastRowLastColumn="0"/>
            <w:tcW w:w="3280" w:type="dxa"/>
            <w:hideMark/>
          </w:tcPr>
          <w:p w:rsidR="00724615" w:rsidRPr="00724615" w:rsidRDefault="00724615" w:rsidP="006D2665">
            <w:pPr>
              <w:pStyle w:val="AERtabletextleft"/>
              <w:spacing w:before="120" w:line="240" w:lineRule="auto"/>
              <w:rPr>
                <w:rStyle w:val="AERtextbold"/>
              </w:rPr>
            </w:pPr>
            <w:r w:rsidRPr="002367B6">
              <w:rPr>
                <w:rStyle w:val="AERtextbold"/>
              </w:rPr>
              <w:t>Opening RAB as at 1 July 2014</w:t>
            </w:r>
          </w:p>
        </w:tc>
        <w:tc>
          <w:tcPr>
            <w:tcW w:w="1180"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2367B6">
              <w:rPr>
                <w:rStyle w:val="AERtextbold"/>
                <w:rFonts w:hint="eastAsia"/>
              </w:rPr>
              <w:t> </w:t>
            </w:r>
          </w:p>
        </w:tc>
        <w:tc>
          <w:tcPr>
            <w:tcW w:w="1180"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2367B6">
              <w:rPr>
                <w:rStyle w:val="AERtextbold"/>
                <w:rFonts w:hint="eastAsia"/>
              </w:rPr>
              <w:t> </w:t>
            </w:r>
          </w:p>
        </w:tc>
        <w:tc>
          <w:tcPr>
            <w:tcW w:w="1180"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2367B6">
              <w:rPr>
                <w:rStyle w:val="AERtextbold"/>
                <w:rFonts w:hint="eastAsia"/>
              </w:rPr>
              <w:t> </w:t>
            </w:r>
          </w:p>
        </w:tc>
        <w:tc>
          <w:tcPr>
            <w:tcW w:w="1180"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2367B6">
              <w:rPr>
                <w:rStyle w:val="AERtextbold"/>
                <w:rFonts w:hint="eastAsia"/>
              </w:rPr>
              <w:t> </w:t>
            </w:r>
          </w:p>
        </w:tc>
        <w:tc>
          <w:tcPr>
            <w:tcW w:w="1180"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2367B6">
              <w:rPr>
                <w:rStyle w:val="AERtextbold"/>
              </w:rPr>
              <w:t>2</w:t>
            </w:r>
            <w:r w:rsidRPr="00724615">
              <w:rPr>
                <w:rStyle w:val="AERtextbold"/>
              </w:rPr>
              <w:t xml:space="preserve">109 </w:t>
            </w:r>
          </w:p>
        </w:tc>
      </w:tr>
    </w:tbl>
    <w:p w:rsidR="00724615" w:rsidRPr="00135642" w:rsidRDefault="00724615" w:rsidP="00724615">
      <w:pPr>
        <w:pStyle w:val="AERtablesource"/>
        <w:rPr>
          <w:rStyle w:val="AERbody"/>
        </w:rPr>
      </w:pPr>
      <w:r w:rsidRPr="003D4734">
        <w:t>Source:</w:t>
      </w:r>
      <w:r w:rsidRPr="003D4734">
        <w:tab/>
      </w:r>
      <w:r>
        <w:t>Aus</w:t>
      </w:r>
      <w:r w:rsidR="00D30A51">
        <w:t>g</w:t>
      </w:r>
      <w:r>
        <w:t xml:space="preserve">rid, </w:t>
      </w:r>
      <w:r w:rsidRPr="00447042">
        <w:rPr>
          <w:rStyle w:val="AERtextitalic"/>
        </w:rPr>
        <w:t>Roll Forward Model</w:t>
      </w:r>
      <w:r>
        <w:t>,</w:t>
      </w:r>
      <w:r w:rsidRPr="00A2480F">
        <w:t xml:space="preserve"> January 2014.</w:t>
      </w:r>
    </w:p>
    <w:p w:rsidR="00724615" w:rsidRPr="006D2665" w:rsidRDefault="00724615" w:rsidP="006D2665">
      <w:pPr>
        <w:pStyle w:val="AERtablesource"/>
        <w:rPr>
          <w:rStyle w:val="AERbody"/>
          <w:sz w:val="16"/>
        </w:rPr>
      </w:pPr>
      <w:r w:rsidRPr="003D4734">
        <w:t>Notes:</w:t>
      </w:r>
      <w:r w:rsidRPr="003D4734">
        <w:tab/>
      </w:r>
      <w:r w:rsidRPr="00693A45">
        <w:t>Numbers may not sum due to rounding.</w:t>
      </w:r>
    </w:p>
    <w:p w:rsidR="00724615" w:rsidRPr="00DD1199" w:rsidRDefault="00724615" w:rsidP="00724615">
      <w:pPr>
        <w:pStyle w:val="AERbodytext"/>
        <w:numPr>
          <w:ilvl w:val="0"/>
          <w:numId w:val="6"/>
        </w:numPr>
        <w:rPr>
          <w:rStyle w:val="AERbody"/>
        </w:rPr>
      </w:pPr>
      <w:r w:rsidRPr="00DD1199">
        <w:rPr>
          <w:rStyle w:val="AERbody"/>
        </w:rPr>
        <w:fldChar w:fldCharType="begin"/>
      </w:r>
      <w:r w:rsidRPr="00DD1199">
        <w:rPr>
          <w:rStyle w:val="AERbody"/>
        </w:rPr>
        <w:instrText xml:space="preserve"> REF _Ref382556562 \h </w:instrText>
      </w:r>
      <w:r w:rsidRPr="00DD1199">
        <w:rPr>
          <w:rStyle w:val="AERbody"/>
        </w:rPr>
      </w:r>
      <w:r w:rsidRPr="00DD1199">
        <w:rPr>
          <w:rStyle w:val="AERbody"/>
        </w:rPr>
        <w:fldChar w:fldCharType="separate"/>
      </w:r>
      <w:r w:rsidR="00E313D7">
        <w:t>Table</w:t>
      </w:r>
      <w:r w:rsidR="00E313D7" w:rsidRPr="00B414B3">
        <w:t xml:space="preserve"> </w:t>
      </w:r>
      <w:r w:rsidR="00E313D7">
        <w:rPr>
          <w:noProof/>
        </w:rPr>
        <w:t>B</w:t>
      </w:r>
      <w:r w:rsidR="00E313D7">
        <w:t>.</w:t>
      </w:r>
      <w:r w:rsidR="00E313D7">
        <w:rPr>
          <w:noProof/>
        </w:rPr>
        <w:t>4</w:t>
      </w:r>
      <w:r w:rsidRPr="00DD1199">
        <w:rPr>
          <w:rStyle w:val="AERbody"/>
        </w:rPr>
        <w:fldChar w:fldCharType="end"/>
      </w:r>
      <w:r w:rsidRPr="00DD1199">
        <w:rPr>
          <w:rStyle w:val="AERbody"/>
        </w:rPr>
        <w:t xml:space="preserve"> and </w:t>
      </w:r>
      <w:r w:rsidR="006D2665">
        <w:rPr>
          <w:rStyle w:val="AERbody"/>
        </w:rPr>
        <w:fldChar w:fldCharType="begin"/>
      </w:r>
      <w:r w:rsidR="006D2665">
        <w:rPr>
          <w:rStyle w:val="AERbody"/>
        </w:rPr>
        <w:instrText xml:space="preserve"> REF _Ref382556687 \h </w:instrText>
      </w:r>
      <w:r w:rsidR="006D2665">
        <w:rPr>
          <w:rStyle w:val="AERbody"/>
        </w:rPr>
      </w:r>
      <w:r w:rsidR="006D2665">
        <w:rPr>
          <w:rStyle w:val="AERbody"/>
        </w:rPr>
        <w:fldChar w:fldCharType="separate"/>
      </w:r>
      <w:r w:rsidR="00E313D7">
        <w:t xml:space="preserve">Table </w:t>
      </w:r>
      <w:r w:rsidR="00E313D7">
        <w:rPr>
          <w:noProof/>
        </w:rPr>
        <w:t>B</w:t>
      </w:r>
      <w:r w:rsidR="00E313D7">
        <w:t>.</w:t>
      </w:r>
      <w:r w:rsidR="00E313D7">
        <w:rPr>
          <w:noProof/>
        </w:rPr>
        <w:t>5</w:t>
      </w:r>
      <w:r w:rsidR="006D2665">
        <w:rPr>
          <w:rStyle w:val="AERbody"/>
        </w:rPr>
        <w:fldChar w:fldCharType="end"/>
      </w:r>
      <w:r w:rsidR="006D2665">
        <w:rPr>
          <w:rStyle w:val="AERbody"/>
        </w:rPr>
        <w:t xml:space="preserve"> </w:t>
      </w:r>
      <w:r w:rsidRPr="00DD1199">
        <w:rPr>
          <w:rStyle w:val="AERbody"/>
        </w:rPr>
        <w:t xml:space="preserve">also include adjustments that relate to 2008–09. When the AER made its determination for the </w:t>
      </w:r>
      <w:r>
        <w:rPr>
          <w:rStyle w:val="AERbody"/>
        </w:rPr>
        <w:t>current</w:t>
      </w:r>
      <w:r w:rsidRPr="00DD1199">
        <w:rPr>
          <w:rStyle w:val="AERbody"/>
        </w:rPr>
        <w:t xml:space="preserve"> regulatory control period, final figures for 2008–09 could not be obtained (since the year was not yet complete). Hence, Ausgrid’s proposal adjusts for the difference between actual and estimated capex for the 2008–09 financial year.</w:t>
      </w:r>
    </w:p>
    <w:p w:rsidR="00724615" w:rsidRPr="00DD1199" w:rsidRDefault="00724615" w:rsidP="00724615">
      <w:pPr>
        <w:pStyle w:val="AERbodytext"/>
        <w:numPr>
          <w:ilvl w:val="0"/>
          <w:numId w:val="6"/>
        </w:numPr>
        <w:rPr>
          <w:rStyle w:val="AERbody"/>
        </w:rPr>
      </w:pPr>
      <w:r w:rsidRPr="00DD1199">
        <w:rPr>
          <w:rStyle w:val="AERbody"/>
        </w:rPr>
        <w:fldChar w:fldCharType="begin"/>
      </w:r>
      <w:r w:rsidRPr="00DD1199">
        <w:rPr>
          <w:rStyle w:val="AERbody"/>
        </w:rPr>
        <w:instrText xml:space="preserve"> REF _Ref382557178 \h </w:instrText>
      </w:r>
      <w:r w:rsidRPr="00DD1199">
        <w:rPr>
          <w:rStyle w:val="AERbody"/>
        </w:rPr>
      </w:r>
      <w:r w:rsidRPr="00DD1199">
        <w:rPr>
          <w:rStyle w:val="AERbody"/>
        </w:rPr>
        <w:fldChar w:fldCharType="separate"/>
      </w:r>
      <w:r w:rsidR="00E313D7">
        <w:t xml:space="preserve">Table </w:t>
      </w:r>
      <w:r w:rsidR="00E313D7">
        <w:rPr>
          <w:noProof/>
        </w:rPr>
        <w:t>B</w:t>
      </w:r>
      <w:r w:rsidR="00E313D7">
        <w:t>.</w:t>
      </w:r>
      <w:r w:rsidR="00E313D7">
        <w:rPr>
          <w:noProof/>
        </w:rPr>
        <w:t>6</w:t>
      </w:r>
      <w:r w:rsidRPr="00DD1199">
        <w:rPr>
          <w:rStyle w:val="AERbody"/>
        </w:rPr>
        <w:fldChar w:fldCharType="end"/>
      </w:r>
      <w:r w:rsidRPr="00DD1199">
        <w:rPr>
          <w:rStyle w:val="AERbody"/>
        </w:rPr>
        <w:t xml:space="preserve"> </w:t>
      </w:r>
      <w:r w:rsidR="001D00C7">
        <w:rPr>
          <w:rStyle w:val="AERbody"/>
        </w:rPr>
        <w:t xml:space="preserve">and </w:t>
      </w:r>
      <w:r w:rsidR="001D00C7">
        <w:rPr>
          <w:rStyle w:val="AERbody"/>
        </w:rPr>
        <w:fldChar w:fldCharType="begin"/>
      </w:r>
      <w:r w:rsidR="001D00C7">
        <w:rPr>
          <w:rStyle w:val="AERbody"/>
        </w:rPr>
        <w:instrText xml:space="preserve"> REF _Ref382557181 \h </w:instrText>
      </w:r>
      <w:r w:rsidR="001D00C7">
        <w:rPr>
          <w:rStyle w:val="AERbody"/>
        </w:rPr>
      </w:r>
      <w:r w:rsidR="001D00C7">
        <w:rPr>
          <w:rStyle w:val="AERbody"/>
        </w:rPr>
        <w:fldChar w:fldCharType="separate"/>
      </w:r>
      <w:r w:rsidR="00E313D7">
        <w:t xml:space="preserve">Table </w:t>
      </w:r>
      <w:r w:rsidR="00E313D7">
        <w:rPr>
          <w:noProof/>
        </w:rPr>
        <w:t>B</w:t>
      </w:r>
      <w:r w:rsidR="00E313D7">
        <w:t>.</w:t>
      </w:r>
      <w:r w:rsidR="00E313D7">
        <w:rPr>
          <w:noProof/>
        </w:rPr>
        <w:t>7</w:t>
      </w:r>
      <w:r w:rsidR="001D00C7">
        <w:rPr>
          <w:rStyle w:val="AERbody"/>
        </w:rPr>
        <w:fldChar w:fldCharType="end"/>
      </w:r>
      <w:r w:rsidR="001D00C7">
        <w:rPr>
          <w:rStyle w:val="AERbody"/>
        </w:rPr>
        <w:t xml:space="preserve"> show</w:t>
      </w:r>
      <w:r w:rsidRPr="00DD1199">
        <w:rPr>
          <w:rStyle w:val="AERbody"/>
        </w:rPr>
        <w:t xml:space="preserve"> Ausgrid’s proposed roll forward of the RABs from 1 July 2014 to 30 June 2019 for its distribution and transmission networks respectively. This builds on the proposed capex outlined above.</w:t>
      </w:r>
    </w:p>
    <w:p w:rsidR="00724615" w:rsidRDefault="002401A5" w:rsidP="00724615">
      <w:pPr>
        <w:pStyle w:val="Caption"/>
        <w:rPr>
          <w:rStyle w:val="AERbody"/>
        </w:rPr>
      </w:pPr>
      <w:bookmarkStart w:id="205" w:name="_Ref382557178"/>
      <w:r>
        <w:lastRenderedPageBreak/>
        <w:t>Table</w:t>
      </w:r>
      <w:r w:rsidR="00724615">
        <w:t xml:space="preserve"> </w:t>
      </w:r>
      <w:r w:rsidR="00DD155E">
        <w:fldChar w:fldCharType="begin"/>
      </w:r>
      <w:r w:rsidR="00DD155E">
        <w:instrText xml:space="preserve"> STYLEREF 7 \s </w:instrText>
      </w:r>
      <w:r w:rsidR="00DD155E">
        <w:fldChar w:fldCharType="separate"/>
      </w:r>
      <w:r w:rsidR="00E313D7">
        <w:rPr>
          <w:noProof/>
        </w:rPr>
        <w:t>B</w:t>
      </w:r>
      <w:r w:rsidR="00DD155E">
        <w:rPr>
          <w:noProof/>
        </w:rPr>
        <w:fldChar w:fldCharType="end"/>
      </w:r>
      <w:r>
        <w:t>.</w:t>
      </w:r>
      <w:r w:rsidR="00DD155E">
        <w:fldChar w:fldCharType="begin"/>
      </w:r>
      <w:r w:rsidR="00DD155E">
        <w:instrText xml:space="preserve"> SEQ Tab</w:instrText>
      </w:r>
      <w:r w:rsidR="00DD155E">
        <w:instrText xml:space="preserve">le_Apx \* ARABIC \s 7 </w:instrText>
      </w:r>
      <w:r w:rsidR="00DD155E">
        <w:fldChar w:fldCharType="separate"/>
      </w:r>
      <w:r w:rsidR="00E313D7">
        <w:rPr>
          <w:noProof/>
        </w:rPr>
        <w:t>6</w:t>
      </w:r>
      <w:r w:rsidR="00DD155E">
        <w:rPr>
          <w:noProof/>
        </w:rPr>
        <w:fldChar w:fldCharType="end"/>
      </w:r>
      <w:bookmarkEnd w:id="205"/>
      <w:r w:rsidR="00724615">
        <w:tab/>
        <w:t>Ausgrid's proposed RAB 2014–19 – distribution ($m, nominal)</w:t>
      </w:r>
    </w:p>
    <w:tbl>
      <w:tblPr>
        <w:tblStyle w:val="AERtable-numbers"/>
        <w:tblW w:w="9180" w:type="dxa"/>
        <w:tblLook w:val="04A0" w:firstRow="1" w:lastRow="0" w:firstColumn="1" w:lastColumn="0" w:noHBand="0" w:noVBand="1"/>
      </w:tblPr>
      <w:tblGrid>
        <w:gridCol w:w="3100"/>
        <w:gridCol w:w="1216"/>
        <w:gridCol w:w="1216"/>
        <w:gridCol w:w="1216"/>
        <w:gridCol w:w="1216"/>
        <w:gridCol w:w="1216"/>
      </w:tblGrid>
      <w:tr w:rsidR="00724615" w:rsidRPr="00DB0B45" w:rsidTr="006D266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00" w:type="dxa"/>
            <w:hideMark/>
          </w:tcPr>
          <w:p w:rsidR="00724615" w:rsidRPr="00724615" w:rsidRDefault="00724615" w:rsidP="006D2665">
            <w:pPr>
              <w:pStyle w:val="AERtabletextleft"/>
              <w:spacing w:before="120" w:line="240" w:lineRule="auto"/>
            </w:pPr>
            <w:r w:rsidRPr="00DD1199">
              <w:t xml:space="preserve">RAB </w:t>
            </w:r>
          </w:p>
        </w:tc>
        <w:tc>
          <w:tcPr>
            <w:tcW w:w="1216" w:type="dxa"/>
            <w:hideMark/>
          </w:tcPr>
          <w:p w:rsidR="00724615" w:rsidRPr="00724615" w:rsidRDefault="00724615" w:rsidP="006D2665">
            <w:pPr>
              <w:pStyle w:val="AERtabletextright"/>
              <w:spacing w:after="120" w:line="240" w:lineRule="auto"/>
              <w:cnfStyle w:val="100000000000" w:firstRow="1" w:lastRow="0" w:firstColumn="0" w:lastColumn="0" w:oddVBand="0" w:evenVBand="0" w:oddHBand="0" w:evenHBand="0" w:firstRowFirstColumn="0" w:firstRowLastColumn="0" w:lastRowFirstColumn="0" w:lastRowLastColumn="0"/>
            </w:pPr>
            <w:r w:rsidRPr="00DD1199">
              <w:t xml:space="preserve">2014–15 </w:t>
            </w:r>
          </w:p>
        </w:tc>
        <w:tc>
          <w:tcPr>
            <w:tcW w:w="1216" w:type="dxa"/>
            <w:hideMark/>
          </w:tcPr>
          <w:p w:rsidR="00724615" w:rsidRPr="00724615" w:rsidRDefault="00724615" w:rsidP="006D2665">
            <w:pPr>
              <w:pStyle w:val="AERtabletextright"/>
              <w:spacing w:after="120" w:line="240" w:lineRule="auto"/>
              <w:cnfStyle w:val="100000000000" w:firstRow="1" w:lastRow="0" w:firstColumn="0" w:lastColumn="0" w:oddVBand="0" w:evenVBand="0" w:oddHBand="0" w:evenHBand="0" w:firstRowFirstColumn="0" w:firstRowLastColumn="0" w:lastRowFirstColumn="0" w:lastRowLastColumn="0"/>
            </w:pPr>
            <w:r w:rsidRPr="00DD1199">
              <w:t xml:space="preserve">2015–16 </w:t>
            </w:r>
          </w:p>
        </w:tc>
        <w:tc>
          <w:tcPr>
            <w:tcW w:w="1216" w:type="dxa"/>
            <w:hideMark/>
          </w:tcPr>
          <w:p w:rsidR="00724615" w:rsidRPr="00724615" w:rsidRDefault="00724615" w:rsidP="006D2665">
            <w:pPr>
              <w:pStyle w:val="AERtabletextright"/>
              <w:spacing w:after="120" w:line="240" w:lineRule="auto"/>
              <w:cnfStyle w:val="100000000000" w:firstRow="1" w:lastRow="0" w:firstColumn="0" w:lastColumn="0" w:oddVBand="0" w:evenVBand="0" w:oddHBand="0" w:evenHBand="0" w:firstRowFirstColumn="0" w:firstRowLastColumn="0" w:lastRowFirstColumn="0" w:lastRowLastColumn="0"/>
            </w:pPr>
            <w:r w:rsidRPr="00DD1199">
              <w:t xml:space="preserve">2016–17 </w:t>
            </w:r>
          </w:p>
        </w:tc>
        <w:tc>
          <w:tcPr>
            <w:tcW w:w="1216" w:type="dxa"/>
            <w:hideMark/>
          </w:tcPr>
          <w:p w:rsidR="00724615" w:rsidRPr="00724615" w:rsidRDefault="00724615" w:rsidP="006D2665">
            <w:pPr>
              <w:pStyle w:val="AERtabletextright"/>
              <w:spacing w:after="120" w:line="240" w:lineRule="auto"/>
              <w:cnfStyle w:val="100000000000" w:firstRow="1" w:lastRow="0" w:firstColumn="0" w:lastColumn="0" w:oddVBand="0" w:evenVBand="0" w:oddHBand="0" w:evenHBand="0" w:firstRowFirstColumn="0" w:firstRowLastColumn="0" w:lastRowFirstColumn="0" w:lastRowLastColumn="0"/>
            </w:pPr>
            <w:r w:rsidRPr="00DD1199">
              <w:t xml:space="preserve">2017–18 </w:t>
            </w:r>
          </w:p>
        </w:tc>
        <w:tc>
          <w:tcPr>
            <w:tcW w:w="1216" w:type="dxa"/>
            <w:hideMark/>
          </w:tcPr>
          <w:p w:rsidR="00724615" w:rsidRPr="00724615" w:rsidRDefault="00724615" w:rsidP="006D2665">
            <w:pPr>
              <w:pStyle w:val="AERtabletextright"/>
              <w:spacing w:after="120" w:line="240" w:lineRule="auto"/>
              <w:cnfStyle w:val="100000000000" w:firstRow="1" w:lastRow="0" w:firstColumn="0" w:lastColumn="0" w:oddVBand="0" w:evenVBand="0" w:oddHBand="0" w:evenHBand="0" w:firstRowFirstColumn="0" w:firstRowLastColumn="0" w:lastRowFirstColumn="0" w:lastRowLastColumn="0"/>
            </w:pPr>
            <w:r w:rsidRPr="00DD1199">
              <w:t xml:space="preserve">2018–19 </w:t>
            </w:r>
          </w:p>
        </w:tc>
      </w:tr>
      <w:tr w:rsidR="00724615" w:rsidRPr="00DB0B45" w:rsidTr="006D2665">
        <w:trPr>
          <w:trHeight w:val="255"/>
        </w:trPr>
        <w:tc>
          <w:tcPr>
            <w:cnfStyle w:val="001000000000" w:firstRow="0" w:lastRow="0" w:firstColumn="1" w:lastColumn="0" w:oddVBand="0" w:evenVBand="0" w:oddHBand="0" w:evenHBand="0" w:firstRowFirstColumn="0" w:firstRowLastColumn="0" w:lastRowFirstColumn="0" w:lastRowLastColumn="0"/>
            <w:tcW w:w="3100" w:type="dxa"/>
            <w:hideMark/>
          </w:tcPr>
          <w:p w:rsidR="00724615" w:rsidRPr="00724615" w:rsidRDefault="00724615" w:rsidP="006D2665">
            <w:pPr>
              <w:pStyle w:val="AERtabletextleft"/>
              <w:spacing w:before="120" w:line="240" w:lineRule="auto"/>
            </w:pPr>
            <w:r w:rsidRPr="00F85305">
              <w:t>Opening RAB</w:t>
            </w:r>
          </w:p>
        </w:tc>
        <w:tc>
          <w:tcPr>
            <w:tcW w:w="1216"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F85305">
              <w:t xml:space="preserve">    12</w:t>
            </w:r>
            <w:r w:rsidRPr="00724615">
              <w:t xml:space="preserve">280 </w:t>
            </w:r>
          </w:p>
        </w:tc>
        <w:tc>
          <w:tcPr>
            <w:tcW w:w="1216"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F85305">
              <w:t xml:space="preserve">    12</w:t>
            </w:r>
            <w:r w:rsidRPr="00724615">
              <w:t xml:space="preserve">988 </w:t>
            </w:r>
          </w:p>
        </w:tc>
        <w:tc>
          <w:tcPr>
            <w:tcW w:w="1216"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F85305">
              <w:t xml:space="preserve">    13</w:t>
            </w:r>
            <w:r w:rsidRPr="00724615">
              <w:t xml:space="preserve">756 </w:t>
            </w:r>
          </w:p>
        </w:tc>
        <w:tc>
          <w:tcPr>
            <w:tcW w:w="1216"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F85305">
              <w:t xml:space="preserve">    14</w:t>
            </w:r>
            <w:r w:rsidRPr="00724615">
              <w:t xml:space="preserve">421 </w:t>
            </w:r>
          </w:p>
        </w:tc>
        <w:tc>
          <w:tcPr>
            <w:tcW w:w="1216"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F85305">
              <w:t xml:space="preserve">    15</w:t>
            </w:r>
            <w:r w:rsidRPr="00724615">
              <w:t xml:space="preserve">081 </w:t>
            </w:r>
          </w:p>
        </w:tc>
      </w:tr>
      <w:tr w:rsidR="00724615" w:rsidRPr="00DB0B45" w:rsidTr="006D2665">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00" w:type="dxa"/>
            <w:hideMark/>
          </w:tcPr>
          <w:p w:rsidR="00724615" w:rsidRPr="00724615" w:rsidRDefault="00724615" w:rsidP="006D2665">
            <w:pPr>
              <w:pStyle w:val="AERtabletextleft"/>
              <w:spacing w:before="120" w:line="240" w:lineRule="auto"/>
            </w:pPr>
            <w:r w:rsidRPr="00F85305">
              <w:t xml:space="preserve">Net </w:t>
            </w:r>
            <w:r w:rsidRPr="00724615">
              <w:t>capital expenditure</w:t>
            </w:r>
          </w:p>
        </w:tc>
        <w:tc>
          <w:tcPr>
            <w:tcW w:w="1216"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F85305">
              <w:t xml:space="preserve">        827 </w:t>
            </w:r>
          </w:p>
        </w:tc>
        <w:tc>
          <w:tcPr>
            <w:tcW w:w="1216"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F85305">
              <w:t xml:space="preserve">        909 </w:t>
            </w:r>
          </w:p>
        </w:tc>
        <w:tc>
          <w:tcPr>
            <w:tcW w:w="1216"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F85305">
              <w:t xml:space="preserve">        828 </w:t>
            </w:r>
          </w:p>
        </w:tc>
        <w:tc>
          <w:tcPr>
            <w:tcW w:w="1216"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F85305">
              <w:t xml:space="preserve">        809 </w:t>
            </w:r>
          </w:p>
        </w:tc>
        <w:tc>
          <w:tcPr>
            <w:tcW w:w="1216"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F85305">
              <w:t xml:space="preserve">        749 </w:t>
            </w:r>
          </w:p>
        </w:tc>
      </w:tr>
      <w:tr w:rsidR="00724615" w:rsidRPr="00DB0B45" w:rsidTr="006D2665">
        <w:trPr>
          <w:trHeight w:val="255"/>
        </w:trPr>
        <w:tc>
          <w:tcPr>
            <w:cnfStyle w:val="001000000000" w:firstRow="0" w:lastRow="0" w:firstColumn="1" w:lastColumn="0" w:oddVBand="0" w:evenVBand="0" w:oddHBand="0" w:evenHBand="0" w:firstRowFirstColumn="0" w:firstRowLastColumn="0" w:lastRowFirstColumn="0" w:lastRowLastColumn="0"/>
            <w:tcW w:w="3100" w:type="dxa"/>
            <w:hideMark/>
          </w:tcPr>
          <w:p w:rsidR="00724615" w:rsidRPr="00724615" w:rsidRDefault="00724615" w:rsidP="006D2665">
            <w:pPr>
              <w:pStyle w:val="AERtabletextleft"/>
              <w:spacing w:before="120" w:line="240" w:lineRule="auto"/>
            </w:pPr>
            <w:r w:rsidRPr="00F85305">
              <w:t xml:space="preserve">Straight-line </w:t>
            </w:r>
            <w:r w:rsidRPr="00724615">
              <w:t>depreciation</w:t>
            </w:r>
          </w:p>
        </w:tc>
        <w:tc>
          <w:tcPr>
            <w:tcW w:w="1216"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F85305">
              <w:t xml:space="preserve">-425 </w:t>
            </w:r>
          </w:p>
        </w:tc>
        <w:tc>
          <w:tcPr>
            <w:tcW w:w="1216"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F85305">
              <w:t xml:space="preserve">-466 </w:t>
            </w:r>
          </w:p>
        </w:tc>
        <w:tc>
          <w:tcPr>
            <w:tcW w:w="1216"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F85305">
              <w:t xml:space="preserve">-507 </w:t>
            </w:r>
          </w:p>
        </w:tc>
        <w:tc>
          <w:tcPr>
            <w:tcW w:w="1216"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F85305">
              <w:t xml:space="preserve">-509 </w:t>
            </w:r>
          </w:p>
        </w:tc>
        <w:tc>
          <w:tcPr>
            <w:tcW w:w="1216"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F85305">
              <w:t xml:space="preserve">-539 </w:t>
            </w:r>
          </w:p>
        </w:tc>
      </w:tr>
      <w:tr w:rsidR="00724615" w:rsidRPr="00DB0B45" w:rsidTr="006D2665">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00" w:type="dxa"/>
            <w:hideMark/>
          </w:tcPr>
          <w:p w:rsidR="00724615" w:rsidRPr="00724615" w:rsidRDefault="00724615" w:rsidP="006D2665">
            <w:pPr>
              <w:pStyle w:val="AERtabletextleft"/>
              <w:spacing w:before="120" w:line="240" w:lineRule="auto"/>
              <w:rPr>
                <w:rStyle w:val="AERsuperscript"/>
              </w:rPr>
            </w:pPr>
            <w:r w:rsidRPr="00F85305">
              <w:t xml:space="preserve">Inflation </w:t>
            </w:r>
            <w:r w:rsidRPr="00724615">
              <w:t>adjustment</w:t>
            </w:r>
            <w:r w:rsidRPr="00724615">
              <w:rPr>
                <w:rStyle w:val="AERsuperscript"/>
              </w:rPr>
              <w:t>a</w:t>
            </w:r>
          </w:p>
        </w:tc>
        <w:tc>
          <w:tcPr>
            <w:tcW w:w="1216"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F85305">
              <w:t xml:space="preserve">        307 </w:t>
            </w:r>
          </w:p>
        </w:tc>
        <w:tc>
          <w:tcPr>
            <w:tcW w:w="1216"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F85305">
              <w:t xml:space="preserve">        325 </w:t>
            </w:r>
          </w:p>
        </w:tc>
        <w:tc>
          <w:tcPr>
            <w:tcW w:w="1216"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F85305">
              <w:t xml:space="preserve">        344 </w:t>
            </w:r>
          </w:p>
        </w:tc>
        <w:tc>
          <w:tcPr>
            <w:tcW w:w="1216"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F85305">
              <w:t xml:space="preserve">        361 </w:t>
            </w:r>
          </w:p>
        </w:tc>
        <w:tc>
          <w:tcPr>
            <w:tcW w:w="1216"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F85305">
              <w:t xml:space="preserve">        377 </w:t>
            </w:r>
          </w:p>
        </w:tc>
      </w:tr>
      <w:tr w:rsidR="00724615" w:rsidRPr="00F85305" w:rsidTr="006D2665">
        <w:trPr>
          <w:trHeight w:val="270"/>
        </w:trPr>
        <w:tc>
          <w:tcPr>
            <w:cnfStyle w:val="001000000000" w:firstRow="0" w:lastRow="0" w:firstColumn="1" w:lastColumn="0" w:oddVBand="0" w:evenVBand="0" w:oddHBand="0" w:evenHBand="0" w:firstRowFirstColumn="0" w:firstRowLastColumn="0" w:lastRowFirstColumn="0" w:lastRowLastColumn="0"/>
            <w:tcW w:w="3100" w:type="dxa"/>
            <w:hideMark/>
          </w:tcPr>
          <w:p w:rsidR="00724615" w:rsidRPr="00724615" w:rsidRDefault="00724615" w:rsidP="006D2665">
            <w:pPr>
              <w:pStyle w:val="AERtabletextleft"/>
              <w:spacing w:before="120" w:line="240" w:lineRule="auto"/>
              <w:rPr>
                <w:rStyle w:val="AERtextbold"/>
              </w:rPr>
            </w:pPr>
            <w:r w:rsidRPr="00A33E9D">
              <w:rPr>
                <w:rStyle w:val="AERtextbold"/>
              </w:rPr>
              <w:t xml:space="preserve">Closing RAB </w:t>
            </w:r>
          </w:p>
        </w:tc>
        <w:tc>
          <w:tcPr>
            <w:tcW w:w="1216"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 xml:space="preserve">    12</w:t>
            </w:r>
            <w:r w:rsidRPr="00724615">
              <w:rPr>
                <w:rStyle w:val="AERtextbold"/>
              </w:rPr>
              <w:t xml:space="preserve">988 </w:t>
            </w:r>
          </w:p>
        </w:tc>
        <w:tc>
          <w:tcPr>
            <w:tcW w:w="1216"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 xml:space="preserve">    13</w:t>
            </w:r>
            <w:r w:rsidRPr="00724615">
              <w:rPr>
                <w:rStyle w:val="AERtextbold"/>
              </w:rPr>
              <w:t xml:space="preserve">756 </w:t>
            </w:r>
          </w:p>
        </w:tc>
        <w:tc>
          <w:tcPr>
            <w:tcW w:w="1216"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 xml:space="preserve">    14</w:t>
            </w:r>
            <w:r w:rsidRPr="00724615">
              <w:rPr>
                <w:rStyle w:val="AERtextbold"/>
              </w:rPr>
              <w:t xml:space="preserve">421 </w:t>
            </w:r>
          </w:p>
        </w:tc>
        <w:tc>
          <w:tcPr>
            <w:tcW w:w="1216"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 xml:space="preserve">    15</w:t>
            </w:r>
            <w:r w:rsidRPr="00724615">
              <w:rPr>
                <w:rStyle w:val="AERtextbold"/>
              </w:rPr>
              <w:t xml:space="preserve">081 </w:t>
            </w:r>
          </w:p>
        </w:tc>
        <w:tc>
          <w:tcPr>
            <w:tcW w:w="1216" w:type="dxa"/>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 xml:space="preserve">    15</w:t>
            </w:r>
            <w:r w:rsidRPr="00724615">
              <w:rPr>
                <w:rStyle w:val="AERtextbold"/>
              </w:rPr>
              <w:t xml:space="preserve">668 </w:t>
            </w:r>
          </w:p>
        </w:tc>
      </w:tr>
    </w:tbl>
    <w:p w:rsidR="00724615" w:rsidRPr="00135642" w:rsidRDefault="00724615" w:rsidP="00724615">
      <w:pPr>
        <w:pStyle w:val="AERtablesource"/>
        <w:rPr>
          <w:rStyle w:val="AERbody"/>
        </w:rPr>
      </w:pPr>
      <w:r w:rsidRPr="003D4734">
        <w:t>Source:</w:t>
      </w:r>
      <w:r w:rsidRPr="003D4734">
        <w:tab/>
      </w:r>
      <w:r>
        <w:t>Aus</w:t>
      </w:r>
      <w:r w:rsidR="00D30A51">
        <w:t>g</w:t>
      </w:r>
      <w:r>
        <w:t xml:space="preserve">rid, </w:t>
      </w:r>
      <w:r w:rsidRPr="00447042">
        <w:rPr>
          <w:rStyle w:val="AERtextitalic"/>
        </w:rPr>
        <w:t>Post</w:t>
      </w:r>
      <w:r>
        <w:rPr>
          <w:rStyle w:val="AERtextitalic"/>
        </w:rPr>
        <w:t>-</w:t>
      </w:r>
      <w:r w:rsidRPr="00447042">
        <w:rPr>
          <w:rStyle w:val="AERtextitalic"/>
        </w:rPr>
        <w:t>Tax Revenue Model</w:t>
      </w:r>
      <w:r>
        <w:t>,</w:t>
      </w:r>
      <w:r w:rsidRPr="00A2480F">
        <w:t xml:space="preserve"> January 2014.</w:t>
      </w:r>
    </w:p>
    <w:p w:rsidR="00724615" w:rsidRDefault="00724615" w:rsidP="00724615">
      <w:pPr>
        <w:pStyle w:val="AERtablesource"/>
      </w:pPr>
      <w:r w:rsidRPr="003D4734">
        <w:t>Notes:</w:t>
      </w:r>
      <w:r w:rsidRPr="003D4734">
        <w:tab/>
      </w:r>
      <w:r w:rsidRPr="00693A45">
        <w:t>Numbers may not sum due to rounding.</w:t>
      </w:r>
    </w:p>
    <w:p w:rsidR="00724615" w:rsidRPr="00977661" w:rsidRDefault="00B75E0D" w:rsidP="00724615">
      <w:pPr>
        <w:pStyle w:val="AERtablesource"/>
      </w:pPr>
      <w:r>
        <w:tab/>
      </w:r>
      <w:r w:rsidR="00724615" w:rsidRPr="00977661">
        <w:t>a.</w:t>
      </w:r>
      <w:r w:rsidR="00724615" w:rsidRPr="00977661">
        <w:tab/>
        <w:t>Based on a forecast inflation rate of 2.50 per cent per annum.</w:t>
      </w:r>
    </w:p>
    <w:p w:rsidR="00724615" w:rsidRPr="00DD1199" w:rsidRDefault="00724615" w:rsidP="00724615">
      <w:pPr>
        <w:pStyle w:val="AERtablesource"/>
        <w:rPr>
          <w:rStyle w:val="AERbody"/>
        </w:rPr>
      </w:pPr>
    </w:p>
    <w:p w:rsidR="00724615" w:rsidRDefault="002401A5" w:rsidP="00724615">
      <w:pPr>
        <w:pStyle w:val="Caption"/>
        <w:rPr>
          <w:rStyle w:val="AERbody"/>
        </w:rPr>
      </w:pPr>
      <w:bookmarkStart w:id="206" w:name="_Ref382557181"/>
      <w:r>
        <w:t>Table</w:t>
      </w:r>
      <w:r w:rsidR="00724615">
        <w:t xml:space="preserve"> </w:t>
      </w:r>
      <w:r w:rsidR="00DD155E">
        <w:fldChar w:fldCharType="begin"/>
      </w:r>
      <w:r w:rsidR="00DD155E">
        <w:instrText xml:space="preserve"> STYLEREF 7 \s </w:instrText>
      </w:r>
      <w:r w:rsidR="00DD155E">
        <w:fldChar w:fldCharType="separate"/>
      </w:r>
      <w:r w:rsidR="00E313D7">
        <w:rPr>
          <w:noProof/>
        </w:rPr>
        <w:t>B</w:t>
      </w:r>
      <w:r w:rsidR="00DD155E">
        <w:rPr>
          <w:noProof/>
        </w:rPr>
        <w:fldChar w:fldCharType="end"/>
      </w:r>
      <w:r>
        <w:t>.</w:t>
      </w:r>
      <w:r w:rsidR="00DD155E">
        <w:fldChar w:fldCharType="begin"/>
      </w:r>
      <w:r w:rsidR="00DD155E">
        <w:instrText xml:space="preserve"> SEQ Table_Apx \* ARABIC \s 7 </w:instrText>
      </w:r>
      <w:r w:rsidR="00DD155E">
        <w:fldChar w:fldCharType="separate"/>
      </w:r>
      <w:r w:rsidR="00E313D7">
        <w:rPr>
          <w:noProof/>
        </w:rPr>
        <w:t>7</w:t>
      </w:r>
      <w:r w:rsidR="00DD155E">
        <w:rPr>
          <w:noProof/>
        </w:rPr>
        <w:fldChar w:fldCharType="end"/>
      </w:r>
      <w:bookmarkEnd w:id="206"/>
      <w:r w:rsidR="00724615">
        <w:tab/>
      </w:r>
      <w:r w:rsidR="00724615" w:rsidRPr="001814C4">
        <w:t>Ausgrid's proposed RAB 2014</w:t>
      </w:r>
      <w:r w:rsidR="00724615">
        <w:t>–</w:t>
      </w:r>
      <w:r w:rsidR="00724615" w:rsidRPr="001814C4">
        <w:t xml:space="preserve">19 </w:t>
      </w:r>
      <w:r w:rsidR="00724615">
        <w:t>–</w:t>
      </w:r>
      <w:r w:rsidR="00724615" w:rsidRPr="001814C4">
        <w:t xml:space="preserve"> </w:t>
      </w:r>
      <w:r w:rsidR="00724615">
        <w:t>transmission</w:t>
      </w:r>
      <w:r w:rsidR="00724615" w:rsidRPr="001814C4">
        <w:t xml:space="preserve"> ($m, nominal)</w:t>
      </w:r>
    </w:p>
    <w:tbl>
      <w:tblPr>
        <w:tblStyle w:val="AERtable-numbers"/>
        <w:tblW w:w="9180" w:type="dxa"/>
        <w:tblLook w:val="04A0" w:firstRow="1" w:lastRow="0" w:firstColumn="1" w:lastColumn="0" w:noHBand="0" w:noVBand="1"/>
      </w:tblPr>
      <w:tblGrid>
        <w:gridCol w:w="3100"/>
        <w:gridCol w:w="1216"/>
        <w:gridCol w:w="1216"/>
        <w:gridCol w:w="1216"/>
        <w:gridCol w:w="1216"/>
        <w:gridCol w:w="1216"/>
      </w:tblGrid>
      <w:tr w:rsidR="00724615" w:rsidRPr="001814C4" w:rsidTr="006D266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00" w:type="dxa"/>
            <w:hideMark/>
          </w:tcPr>
          <w:p w:rsidR="00724615" w:rsidRPr="00724615" w:rsidRDefault="00724615" w:rsidP="006D2665">
            <w:pPr>
              <w:pStyle w:val="AERtabletextleft"/>
              <w:spacing w:before="120" w:line="240" w:lineRule="auto"/>
            </w:pPr>
            <w:r w:rsidRPr="00DD1199">
              <w:t xml:space="preserve">RAB </w:t>
            </w:r>
          </w:p>
        </w:tc>
        <w:tc>
          <w:tcPr>
            <w:tcW w:w="1216" w:type="dxa"/>
            <w:hideMark/>
          </w:tcPr>
          <w:p w:rsidR="00724615" w:rsidRPr="00724615" w:rsidRDefault="00724615" w:rsidP="006D2665">
            <w:pPr>
              <w:pStyle w:val="AERtabletextright"/>
              <w:spacing w:after="120" w:line="240" w:lineRule="auto"/>
              <w:cnfStyle w:val="100000000000" w:firstRow="1" w:lastRow="0" w:firstColumn="0" w:lastColumn="0" w:oddVBand="0" w:evenVBand="0" w:oddHBand="0" w:evenHBand="0" w:firstRowFirstColumn="0" w:firstRowLastColumn="0" w:lastRowFirstColumn="0" w:lastRowLastColumn="0"/>
            </w:pPr>
            <w:r w:rsidRPr="00DD1199">
              <w:t xml:space="preserve">2014–15 </w:t>
            </w:r>
          </w:p>
        </w:tc>
        <w:tc>
          <w:tcPr>
            <w:tcW w:w="1216" w:type="dxa"/>
            <w:hideMark/>
          </w:tcPr>
          <w:p w:rsidR="00724615" w:rsidRPr="00724615" w:rsidRDefault="00724615" w:rsidP="006D2665">
            <w:pPr>
              <w:pStyle w:val="AERtabletextright"/>
              <w:spacing w:after="120" w:line="240" w:lineRule="auto"/>
              <w:cnfStyle w:val="100000000000" w:firstRow="1" w:lastRow="0" w:firstColumn="0" w:lastColumn="0" w:oddVBand="0" w:evenVBand="0" w:oddHBand="0" w:evenHBand="0" w:firstRowFirstColumn="0" w:firstRowLastColumn="0" w:lastRowFirstColumn="0" w:lastRowLastColumn="0"/>
            </w:pPr>
            <w:r w:rsidRPr="00DD1199">
              <w:t xml:space="preserve">2015–16 </w:t>
            </w:r>
          </w:p>
        </w:tc>
        <w:tc>
          <w:tcPr>
            <w:tcW w:w="1216" w:type="dxa"/>
            <w:hideMark/>
          </w:tcPr>
          <w:p w:rsidR="00724615" w:rsidRPr="00724615" w:rsidRDefault="00724615" w:rsidP="006D2665">
            <w:pPr>
              <w:pStyle w:val="AERtabletextright"/>
              <w:spacing w:after="120" w:line="240" w:lineRule="auto"/>
              <w:cnfStyle w:val="100000000000" w:firstRow="1" w:lastRow="0" w:firstColumn="0" w:lastColumn="0" w:oddVBand="0" w:evenVBand="0" w:oddHBand="0" w:evenHBand="0" w:firstRowFirstColumn="0" w:firstRowLastColumn="0" w:lastRowFirstColumn="0" w:lastRowLastColumn="0"/>
            </w:pPr>
            <w:r w:rsidRPr="00DD1199">
              <w:t xml:space="preserve">2016–17 </w:t>
            </w:r>
          </w:p>
        </w:tc>
        <w:tc>
          <w:tcPr>
            <w:tcW w:w="1216" w:type="dxa"/>
            <w:hideMark/>
          </w:tcPr>
          <w:p w:rsidR="00724615" w:rsidRPr="00724615" w:rsidRDefault="00724615" w:rsidP="006D2665">
            <w:pPr>
              <w:pStyle w:val="AERtabletextright"/>
              <w:spacing w:after="120" w:line="240" w:lineRule="auto"/>
              <w:cnfStyle w:val="100000000000" w:firstRow="1" w:lastRow="0" w:firstColumn="0" w:lastColumn="0" w:oddVBand="0" w:evenVBand="0" w:oddHBand="0" w:evenHBand="0" w:firstRowFirstColumn="0" w:firstRowLastColumn="0" w:lastRowFirstColumn="0" w:lastRowLastColumn="0"/>
            </w:pPr>
            <w:r w:rsidRPr="00DD1199">
              <w:t xml:space="preserve">2017–18 </w:t>
            </w:r>
          </w:p>
        </w:tc>
        <w:tc>
          <w:tcPr>
            <w:tcW w:w="1216" w:type="dxa"/>
            <w:hideMark/>
          </w:tcPr>
          <w:p w:rsidR="00724615" w:rsidRPr="00724615" w:rsidRDefault="00724615" w:rsidP="006D2665">
            <w:pPr>
              <w:pStyle w:val="AERtabletextright"/>
              <w:spacing w:after="120" w:line="240" w:lineRule="auto"/>
              <w:cnfStyle w:val="100000000000" w:firstRow="1" w:lastRow="0" w:firstColumn="0" w:lastColumn="0" w:oddVBand="0" w:evenVBand="0" w:oddHBand="0" w:evenHBand="0" w:firstRowFirstColumn="0" w:firstRowLastColumn="0" w:lastRowFirstColumn="0" w:lastRowLastColumn="0"/>
            </w:pPr>
            <w:r w:rsidRPr="00DD1199">
              <w:t xml:space="preserve">2018–19 </w:t>
            </w:r>
          </w:p>
        </w:tc>
      </w:tr>
      <w:tr w:rsidR="00724615" w:rsidRPr="001814C4" w:rsidTr="006D2665">
        <w:trPr>
          <w:trHeight w:val="255"/>
        </w:trPr>
        <w:tc>
          <w:tcPr>
            <w:cnfStyle w:val="001000000000" w:firstRow="0" w:lastRow="0" w:firstColumn="1" w:lastColumn="0" w:oddVBand="0" w:evenVBand="0" w:oddHBand="0" w:evenHBand="0" w:firstRowFirstColumn="0" w:firstRowLastColumn="0" w:lastRowFirstColumn="0" w:lastRowLastColumn="0"/>
            <w:tcW w:w="3100" w:type="dxa"/>
            <w:shd w:val="clear" w:color="auto" w:fill="auto"/>
            <w:hideMark/>
          </w:tcPr>
          <w:p w:rsidR="00724615" w:rsidRPr="00724615" w:rsidRDefault="00724615" w:rsidP="006D2665">
            <w:pPr>
              <w:pStyle w:val="AERtabletextleft"/>
              <w:spacing w:before="120" w:line="240" w:lineRule="auto"/>
            </w:pPr>
            <w:r w:rsidRPr="00DD1199">
              <w:t>Opening RAB</w:t>
            </w:r>
          </w:p>
        </w:tc>
        <w:tc>
          <w:tcPr>
            <w:tcW w:w="1216" w:type="dxa"/>
            <w:shd w:val="clear" w:color="auto" w:fill="auto"/>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2109 </w:t>
            </w:r>
          </w:p>
        </w:tc>
        <w:tc>
          <w:tcPr>
            <w:tcW w:w="1216" w:type="dxa"/>
            <w:shd w:val="clear" w:color="auto" w:fill="auto"/>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2247 </w:t>
            </w:r>
          </w:p>
        </w:tc>
        <w:tc>
          <w:tcPr>
            <w:tcW w:w="1216" w:type="dxa"/>
            <w:shd w:val="clear" w:color="auto" w:fill="auto"/>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2390 </w:t>
            </w:r>
          </w:p>
        </w:tc>
        <w:tc>
          <w:tcPr>
            <w:tcW w:w="1216" w:type="dxa"/>
            <w:shd w:val="clear" w:color="auto" w:fill="auto"/>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2468 </w:t>
            </w:r>
          </w:p>
        </w:tc>
        <w:tc>
          <w:tcPr>
            <w:tcW w:w="1216" w:type="dxa"/>
            <w:shd w:val="clear" w:color="auto" w:fill="auto"/>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2553 </w:t>
            </w:r>
          </w:p>
        </w:tc>
      </w:tr>
      <w:tr w:rsidR="00724615" w:rsidRPr="001814C4" w:rsidTr="006D2665">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00" w:type="dxa"/>
            <w:hideMark/>
          </w:tcPr>
          <w:p w:rsidR="00724615" w:rsidRPr="00724615" w:rsidRDefault="00724615" w:rsidP="006D2665">
            <w:pPr>
              <w:pStyle w:val="AERtabletextleft"/>
              <w:spacing w:before="120" w:line="240" w:lineRule="auto"/>
            </w:pPr>
            <w:r w:rsidRPr="00DD1199">
              <w:t>Net capital expenditure</w:t>
            </w:r>
          </w:p>
        </w:tc>
        <w:tc>
          <w:tcPr>
            <w:tcW w:w="1216"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150 </w:t>
            </w:r>
          </w:p>
        </w:tc>
        <w:tc>
          <w:tcPr>
            <w:tcW w:w="1216"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159 </w:t>
            </w:r>
          </w:p>
        </w:tc>
        <w:tc>
          <w:tcPr>
            <w:tcW w:w="1216"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98 </w:t>
            </w:r>
          </w:p>
        </w:tc>
        <w:tc>
          <w:tcPr>
            <w:tcW w:w="1216"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102 </w:t>
            </w:r>
          </w:p>
        </w:tc>
        <w:tc>
          <w:tcPr>
            <w:tcW w:w="1216"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77 </w:t>
            </w:r>
          </w:p>
        </w:tc>
      </w:tr>
      <w:tr w:rsidR="00724615" w:rsidRPr="001814C4" w:rsidTr="006D2665">
        <w:trPr>
          <w:trHeight w:val="255"/>
        </w:trPr>
        <w:tc>
          <w:tcPr>
            <w:cnfStyle w:val="001000000000" w:firstRow="0" w:lastRow="0" w:firstColumn="1" w:lastColumn="0" w:oddVBand="0" w:evenVBand="0" w:oddHBand="0" w:evenHBand="0" w:firstRowFirstColumn="0" w:firstRowLastColumn="0" w:lastRowFirstColumn="0" w:lastRowLastColumn="0"/>
            <w:tcW w:w="3100" w:type="dxa"/>
            <w:shd w:val="clear" w:color="auto" w:fill="auto"/>
            <w:hideMark/>
          </w:tcPr>
          <w:p w:rsidR="00724615" w:rsidRPr="00724615" w:rsidRDefault="00724615" w:rsidP="006D2665">
            <w:pPr>
              <w:pStyle w:val="AERtabletextleft"/>
              <w:spacing w:before="120" w:line="240" w:lineRule="auto"/>
            </w:pPr>
            <w:r w:rsidRPr="00DD1199">
              <w:t xml:space="preserve">Straight-line </w:t>
            </w:r>
            <w:r w:rsidRPr="00724615">
              <w:t>depreciation</w:t>
            </w:r>
          </w:p>
        </w:tc>
        <w:tc>
          <w:tcPr>
            <w:tcW w:w="1216" w:type="dxa"/>
            <w:shd w:val="clear" w:color="auto" w:fill="auto"/>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-65 </w:t>
            </w:r>
          </w:p>
        </w:tc>
        <w:tc>
          <w:tcPr>
            <w:tcW w:w="1216" w:type="dxa"/>
            <w:shd w:val="clear" w:color="auto" w:fill="auto"/>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-72 </w:t>
            </w:r>
          </w:p>
        </w:tc>
        <w:tc>
          <w:tcPr>
            <w:tcW w:w="1216" w:type="dxa"/>
            <w:shd w:val="clear" w:color="auto" w:fill="auto"/>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-80 </w:t>
            </w:r>
          </w:p>
        </w:tc>
        <w:tc>
          <w:tcPr>
            <w:tcW w:w="1216" w:type="dxa"/>
            <w:shd w:val="clear" w:color="auto" w:fill="auto"/>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-78 </w:t>
            </w:r>
          </w:p>
        </w:tc>
        <w:tc>
          <w:tcPr>
            <w:tcW w:w="1216" w:type="dxa"/>
            <w:shd w:val="clear" w:color="auto" w:fill="auto"/>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-83 </w:t>
            </w:r>
          </w:p>
        </w:tc>
      </w:tr>
      <w:tr w:rsidR="00724615" w:rsidRPr="001814C4" w:rsidTr="006D2665">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00" w:type="dxa"/>
            <w:hideMark/>
          </w:tcPr>
          <w:p w:rsidR="00724615" w:rsidRPr="00724615" w:rsidRDefault="00724615" w:rsidP="006D2665">
            <w:pPr>
              <w:pStyle w:val="AERtabletextleft"/>
              <w:spacing w:before="120" w:line="240" w:lineRule="auto"/>
              <w:rPr>
                <w:rStyle w:val="AERsuperscript"/>
              </w:rPr>
            </w:pPr>
            <w:r w:rsidRPr="00DD1199">
              <w:t>Inflation adjustment</w:t>
            </w:r>
            <w:r w:rsidRPr="00724615">
              <w:rPr>
                <w:rStyle w:val="AERsuperscript"/>
              </w:rPr>
              <w:t>a</w:t>
            </w:r>
          </w:p>
        </w:tc>
        <w:tc>
          <w:tcPr>
            <w:tcW w:w="1216"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53 </w:t>
            </w:r>
          </w:p>
        </w:tc>
        <w:tc>
          <w:tcPr>
            <w:tcW w:w="1216"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56 </w:t>
            </w:r>
          </w:p>
        </w:tc>
        <w:tc>
          <w:tcPr>
            <w:tcW w:w="1216"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60 </w:t>
            </w:r>
          </w:p>
        </w:tc>
        <w:tc>
          <w:tcPr>
            <w:tcW w:w="1216"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62 </w:t>
            </w:r>
          </w:p>
        </w:tc>
        <w:tc>
          <w:tcPr>
            <w:tcW w:w="1216" w:type="dxa"/>
            <w:hideMark/>
          </w:tcPr>
          <w:p w:rsidR="00724615" w:rsidRPr="00724615" w:rsidRDefault="00724615" w:rsidP="006D2665">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64 </w:t>
            </w:r>
          </w:p>
        </w:tc>
      </w:tr>
      <w:tr w:rsidR="00724615" w:rsidRPr="00752B52" w:rsidTr="006D2665">
        <w:trPr>
          <w:trHeight w:val="270"/>
        </w:trPr>
        <w:tc>
          <w:tcPr>
            <w:cnfStyle w:val="001000000000" w:firstRow="0" w:lastRow="0" w:firstColumn="1" w:lastColumn="0" w:oddVBand="0" w:evenVBand="0" w:oddHBand="0" w:evenHBand="0" w:firstRowFirstColumn="0" w:firstRowLastColumn="0" w:lastRowFirstColumn="0" w:lastRowLastColumn="0"/>
            <w:tcW w:w="3100" w:type="dxa"/>
            <w:shd w:val="clear" w:color="auto" w:fill="auto"/>
            <w:hideMark/>
          </w:tcPr>
          <w:p w:rsidR="00724615" w:rsidRPr="00724615" w:rsidRDefault="00724615" w:rsidP="006D2665">
            <w:pPr>
              <w:pStyle w:val="AERtabletextleft"/>
              <w:spacing w:before="120" w:line="240" w:lineRule="auto"/>
              <w:rPr>
                <w:rStyle w:val="AERtextbold"/>
              </w:rPr>
            </w:pPr>
            <w:r w:rsidRPr="00A33E9D">
              <w:rPr>
                <w:rStyle w:val="AERtextbold"/>
              </w:rPr>
              <w:t xml:space="preserve">Closing RAB </w:t>
            </w:r>
          </w:p>
        </w:tc>
        <w:tc>
          <w:tcPr>
            <w:tcW w:w="1216" w:type="dxa"/>
            <w:shd w:val="clear" w:color="auto" w:fill="auto"/>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2</w:t>
            </w:r>
            <w:r w:rsidRPr="00724615">
              <w:rPr>
                <w:rStyle w:val="AERtextbold"/>
              </w:rPr>
              <w:t xml:space="preserve">247 </w:t>
            </w:r>
          </w:p>
        </w:tc>
        <w:tc>
          <w:tcPr>
            <w:tcW w:w="1216" w:type="dxa"/>
            <w:shd w:val="clear" w:color="auto" w:fill="auto"/>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2</w:t>
            </w:r>
            <w:r w:rsidRPr="00724615">
              <w:rPr>
                <w:rStyle w:val="AERtextbold"/>
              </w:rPr>
              <w:t xml:space="preserve">390 </w:t>
            </w:r>
          </w:p>
        </w:tc>
        <w:tc>
          <w:tcPr>
            <w:tcW w:w="1216" w:type="dxa"/>
            <w:shd w:val="clear" w:color="auto" w:fill="auto"/>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2</w:t>
            </w:r>
            <w:r w:rsidRPr="00724615">
              <w:rPr>
                <w:rStyle w:val="AERtextbold"/>
              </w:rPr>
              <w:t xml:space="preserve">468 </w:t>
            </w:r>
          </w:p>
        </w:tc>
        <w:tc>
          <w:tcPr>
            <w:tcW w:w="1216" w:type="dxa"/>
            <w:shd w:val="clear" w:color="auto" w:fill="auto"/>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2</w:t>
            </w:r>
            <w:r w:rsidRPr="00724615">
              <w:rPr>
                <w:rStyle w:val="AERtextbold"/>
              </w:rPr>
              <w:t xml:space="preserve">553 </w:t>
            </w:r>
          </w:p>
        </w:tc>
        <w:tc>
          <w:tcPr>
            <w:tcW w:w="1216" w:type="dxa"/>
            <w:shd w:val="clear" w:color="auto" w:fill="auto"/>
            <w:hideMark/>
          </w:tcPr>
          <w:p w:rsidR="00724615" w:rsidRPr="00724615" w:rsidRDefault="00724615" w:rsidP="006D2665">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2</w:t>
            </w:r>
            <w:r w:rsidRPr="00724615">
              <w:rPr>
                <w:rStyle w:val="AERtextbold"/>
              </w:rPr>
              <w:t xml:space="preserve">611 </w:t>
            </w:r>
          </w:p>
        </w:tc>
      </w:tr>
    </w:tbl>
    <w:p w:rsidR="00724615" w:rsidRPr="003D4734" w:rsidRDefault="00724615" w:rsidP="00724615">
      <w:pPr>
        <w:pStyle w:val="AERtablesource"/>
      </w:pPr>
      <w:r w:rsidRPr="003D4734">
        <w:t>Source:</w:t>
      </w:r>
      <w:r w:rsidRPr="003D4734">
        <w:tab/>
      </w:r>
      <w:r w:rsidR="00D30A51">
        <w:t>Ausg</w:t>
      </w:r>
      <w:r>
        <w:t xml:space="preserve">rid, </w:t>
      </w:r>
      <w:r>
        <w:rPr>
          <w:rStyle w:val="AERtextitalic"/>
        </w:rPr>
        <w:t>Post Tax-</w:t>
      </w:r>
      <w:r w:rsidRPr="00447042">
        <w:rPr>
          <w:rStyle w:val="AERtextitalic"/>
        </w:rPr>
        <w:t>Revenue Model</w:t>
      </w:r>
      <w:r>
        <w:t>,</w:t>
      </w:r>
      <w:r w:rsidRPr="00A2480F">
        <w:t xml:space="preserve"> January 2014.</w:t>
      </w:r>
    </w:p>
    <w:p w:rsidR="00724615" w:rsidRDefault="00724615" w:rsidP="00724615">
      <w:pPr>
        <w:pStyle w:val="AERtablesource"/>
      </w:pPr>
      <w:r w:rsidRPr="003D4734">
        <w:t>Notes:</w:t>
      </w:r>
      <w:r w:rsidRPr="003D4734">
        <w:tab/>
      </w:r>
      <w:r w:rsidRPr="00693A45">
        <w:t>Numbers may not sum due to rounding.</w:t>
      </w:r>
    </w:p>
    <w:p w:rsidR="00724615" w:rsidRPr="003D4734" w:rsidRDefault="00B75E0D" w:rsidP="00724615">
      <w:pPr>
        <w:pStyle w:val="AERtablesource"/>
      </w:pPr>
      <w:r>
        <w:tab/>
      </w:r>
      <w:r w:rsidR="00724615">
        <w:t>a.</w:t>
      </w:r>
      <w:r w:rsidR="00724615">
        <w:tab/>
        <w:t>Based on a forecast inflation rate of 2.50 per cent per annum.</w:t>
      </w:r>
    </w:p>
    <w:p w:rsidR="004F4499" w:rsidRDefault="00724615" w:rsidP="004F4499">
      <w:pPr>
        <w:pStyle w:val="AERbodytext"/>
        <w:numPr>
          <w:ilvl w:val="0"/>
          <w:numId w:val="6"/>
        </w:numPr>
        <w:rPr>
          <w:rStyle w:val="AERbody"/>
        </w:rPr>
      </w:pPr>
      <w:r w:rsidRPr="008D2B76">
        <w:rPr>
          <w:rStyle w:val="AERbody"/>
        </w:rPr>
        <w:t xml:space="preserve">Although the roll forward of the RAB across this period has little direct impact on the revenue for the </w:t>
      </w:r>
      <w:r>
        <w:rPr>
          <w:rStyle w:val="AERbody"/>
        </w:rPr>
        <w:t>transitional</w:t>
      </w:r>
      <w:r w:rsidRPr="008D2B76">
        <w:rPr>
          <w:rStyle w:val="AERbody"/>
        </w:rPr>
        <w:t xml:space="preserve"> </w:t>
      </w:r>
      <w:r w:rsidRPr="00DD1199">
        <w:rPr>
          <w:rStyle w:val="AERbody"/>
        </w:rPr>
        <w:t>regulatory control period, it has a larger impact on subsequent years. Hence, it is relevant to our assessment of the likely price variations that will occur across the entire 2014–19 period.</w:t>
      </w:r>
    </w:p>
    <w:p w:rsidR="00724615" w:rsidRPr="00985999" w:rsidRDefault="00724615" w:rsidP="00985999">
      <w:pPr>
        <w:pStyle w:val="Heading9"/>
        <w:rPr>
          <w:rStyle w:val="AERbody"/>
          <w:rFonts w:eastAsia="Calibri"/>
          <w:color w:val="E36C0A"/>
          <w:sz w:val="24"/>
        </w:rPr>
      </w:pPr>
      <w:r w:rsidRPr="00985999">
        <w:rPr>
          <w:rStyle w:val="AERbody"/>
          <w:color w:val="E36C0A"/>
          <w:sz w:val="24"/>
        </w:rPr>
        <w:t xml:space="preserve">Operating expenditure </w:t>
      </w:r>
    </w:p>
    <w:p w:rsidR="00724615" w:rsidRPr="000033D5" w:rsidRDefault="00724615" w:rsidP="00724615">
      <w:r w:rsidRPr="000033D5">
        <w:t>Aus</w:t>
      </w:r>
      <w:r w:rsidR="00D400D5">
        <w:t>g</w:t>
      </w:r>
      <w:r w:rsidRPr="000033D5">
        <w:t>rid h</w:t>
      </w:r>
      <w:r w:rsidR="00964CE1">
        <w:t>as used the actual opex of 2012–</w:t>
      </w:r>
      <w:r w:rsidRPr="000033D5">
        <w:t xml:space="preserve">13 as its base year. To derive forecast </w:t>
      </w:r>
      <w:r w:rsidR="00D400D5">
        <w:t>opex for 2014</w:t>
      </w:r>
      <w:r w:rsidR="00D400D5">
        <w:noBreakHyphen/>
        <w:t>15 to 2018</w:t>
      </w:r>
      <w:r w:rsidR="00D400D5">
        <w:noBreakHyphen/>
        <w:t>19 Ausg</w:t>
      </w:r>
      <w:r w:rsidRPr="000033D5">
        <w:t>rid has added opex for the following factors:</w:t>
      </w:r>
    </w:p>
    <w:p w:rsidR="00724615" w:rsidRPr="000033D5" w:rsidRDefault="00724615" w:rsidP="00C23850">
      <w:pPr>
        <w:pStyle w:val="AERbulletlistfirststyle"/>
      </w:pPr>
      <w:r w:rsidRPr="000033D5">
        <w:t>Forecast changes in labour costs</w:t>
      </w:r>
      <w:r w:rsidRPr="000033D5">
        <w:rPr>
          <w:rStyle w:val="FootnoteReference"/>
        </w:rPr>
        <w:footnoteReference w:id="122"/>
      </w:r>
    </w:p>
    <w:p w:rsidR="00724615" w:rsidRPr="000033D5" w:rsidRDefault="00724615" w:rsidP="00C23850">
      <w:pPr>
        <w:pStyle w:val="AERbulletlistfirststyle"/>
      </w:pPr>
      <w:r w:rsidRPr="000033D5">
        <w:t>Loss of synergy from the sale of associated retail service providers</w:t>
      </w:r>
      <w:r w:rsidRPr="000033D5">
        <w:rPr>
          <w:rStyle w:val="FootnoteReference"/>
        </w:rPr>
        <w:footnoteReference w:id="123"/>
      </w:r>
    </w:p>
    <w:p w:rsidR="00724615" w:rsidRPr="000033D5" w:rsidRDefault="00724615" w:rsidP="00C23850">
      <w:pPr>
        <w:pStyle w:val="AERbulletlistfirststyle"/>
      </w:pPr>
      <w:r w:rsidRPr="000033D5">
        <w:t>The impact of reductions capex on opex requirements including the impact of a reduced capex program on its cost structures.</w:t>
      </w:r>
      <w:r w:rsidRPr="000033D5">
        <w:rPr>
          <w:rStyle w:val="FootnoteReference"/>
        </w:rPr>
        <w:footnoteReference w:id="124"/>
      </w:r>
    </w:p>
    <w:p w:rsidR="00724615" w:rsidRPr="000033D5" w:rsidRDefault="00724615" w:rsidP="00C23850">
      <w:pPr>
        <w:pStyle w:val="AERbulletlistfirststyle"/>
      </w:pPr>
      <w:r w:rsidRPr="000033D5">
        <w:lastRenderedPageBreak/>
        <w:t>Additional cost of inspecting private mains to comply with our legislative and regulatory obligations</w:t>
      </w:r>
      <w:r w:rsidRPr="000033D5">
        <w:rPr>
          <w:rStyle w:val="FootnoteReference"/>
        </w:rPr>
        <w:footnoteReference w:id="125"/>
      </w:r>
    </w:p>
    <w:p w:rsidR="00724615" w:rsidRPr="000033D5" w:rsidRDefault="00724615" w:rsidP="00C23850">
      <w:pPr>
        <w:pStyle w:val="AERbulletlistfirststyle"/>
      </w:pPr>
      <w:r w:rsidRPr="000033D5">
        <w:t>Leaseback cost of one of its corporate buildings that is forecast to be sold by 30 June 2014</w:t>
      </w:r>
      <w:r w:rsidRPr="000033D5">
        <w:rPr>
          <w:rStyle w:val="FootnoteReference"/>
        </w:rPr>
        <w:footnoteReference w:id="126"/>
      </w:r>
    </w:p>
    <w:p w:rsidR="00724615" w:rsidRPr="000033D5" w:rsidRDefault="00724615" w:rsidP="00724615">
      <w:r>
        <w:t>Ausg</w:t>
      </w:r>
      <w:r w:rsidRPr="000033D5">
        <w:t>rid has also forecast productivity improvements to offset some of the cost increases identified above.</w:t>
      </w:r>
    </w:p>
    <w:p w:rsidR="00724615" w:rsidRPr="000033D5" w:rsidRDefault="001D00C7" w:rsidP="001D00C7">
      <w:pPr>
        <w:pStyle w:val="Caption"/>
        <w:jc w:val="left"/>
      </w:pPr>
      <w:r>
        <w:t xml:space="preserve">Figure </w:t>
      </w:r>
      <w:r w:rsidR="00DD155E">
        <w:fldChar w:fldCharType="begin"/>
      </w:r>
      <w:r w:rsidR="00DD155E">
        <w:instrText xml:space="preserve"> STYLEREF 7 \s </w:instrText>
      </w:r>
      <w:r w:rsidR="00DD155E">
        <w:fldChar w:fldCharType="separate"/>
      </w:r>
      <w:r w:rsidR="00E313D7">
        <w:rPr>
          <w:noProof/>
        </w:rPr>
        <w:t>B</w:t>
      </w:r>
      <w:r w:rsidR="00DD155E">
        <w:rPr>
          <w:noProof/>
        </w:rPr>
        <w:fldChar w:fldCharType="end"/>
      </w:r>
      <w:r>
        <w:t>.</w:t>
      </w:r>
      <w:r w:rsidR="00DD155E">
        <w:fldChar w:fldCharType="begin"/>
      </w:r>
      <w:r w:rsidR="00DD155E">
        <w:instrText xml:space="preserve"> SEQ Figure_Apx \* ARABIC \s 7 </w:instrText>
      </w:r>
      <w:r w:rsidR="00DD155E">
        <w:fldChar w:fldCharType="separate"/>
      </w:r>
      <w:r w:rsidR="00E313D7">
        <w:rPr>
          <w:noProof/>
        </w:rPr>
        <w:t>1</w:t>
      </w:r>
      <w:r w:rsidR="00DD155E">
        <w:rPr>
          <w:noProof/>
        </w:rPr>
        <w:fldChar w:fldCharType="end"/>
      </w:r>
      <w:r w:rsidR="00724615" w:rsidRPr="000033D5">
        <w:tab/>
        <w:t>Comparison of Ausgrid’s forecast opex to its recent actual opex</w:t>
      </w:r>
    </w:p>
    <w:p w:rsidR="00724615" w:rsidRPr="000033D5" w:rsidRDefault="00724615" w:rsidP="00724615">
      <w:pPr>
        <w:pStyle w:val="AERbodytext"/>
        <w:numPr>
          <w:ilvl w:val="0"/>
          <w:numId w:val="6"/>
        </w:numPr>
      </w:pPr>
      <w:r w:rsidRPr="00724615">
        <w:rPr>
          <w:noProof/>
          <w:lang w:eastAsia="en-AU"/>
        </w:rPr>
        <w:drawing>
          <wp:inline distT="0" distB="0" distL="0" distR="0" wp14:anchorId="1C4DDC26" wp14:editId="72034D28">
            <wp:extent cx="5731510" cy="3734667"/>
            <wp:effectExtent l="0" t="0" r="254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724615" w:rsidRPr="000033D5" w:rsidRDefault="00724615" w:rsidP="00724615">
      <w:pPr>
        <w:pStyle w:val="AERtablesource"/>
      </w:pPr>
      <w:r w:rsidRPr="000033D5">
        <w:t>Source:</w:t>
      </w:r>
      <w:r w:rsidRPr="000033D5">
        <w:tab/>
        <w:t>Aus</w:t>
      </w:r>
      <w:r w:rsidR="00D30A51">
        <w:t>g</w:t>
      </w:r>
      <w:r w:rsidRPr="000033D5">
        <w:t xml:space="preserve">rid, </w:t>
      </w:r>
      <w:r w:rsidRPr="000033D5">
        <w:rPr>
          <w:rStyle w:val="AERtextitalic"/>
        </w:rPr>
        <w:t>Transitional regulatory proposal</w:t>
      </w:r>
      <w:r w:rsidRPr="000033D5">
        <w:t>, p.</w:t>
      </w:r>
      <w:r w:rsidR="00AE52E4">
        <w:t>29</w:t>
      </w:r>
      <w:r w:rsidR="006D2665">
        <w:t>.</w:t>
      </w:r>
    </w:p>
    <w:p w:rsidR="00724615" w:rsidRPr="00985999" w:rsidRDefault="00724615" w:rsidP="00985999">
      <w:pPr>
        <w:pStyle w:val="Heading9"/>
        <w:rPr>
          <w:rStyle w:val="AERbody"/>
          <w:color w:val="E36C0A"/>
          <w:sz w:val="24"/>
        </w:rPr>
      </w:pPr>
      <w:r w:rsidRPr="00985999">
        <w:rPr>
          <w:rStyle w:val="AERbody"/>
          <w:color w:val="E36C0A"/>
          <w:sz w:val="24"/>
        </w:rPr>
        <w:t>Capital expenditure</w:t>
      </w:r>
    </w:p>
    <w:p w:rsidR="00724615" w:rsidRPr="000033D5" w:rsidRDefault="00724615" w:rsidP="00724615">
      <w:pPr>
        <w:pStyle w:val="AERbodytext"/>
        <w:numPr>
          <w:ilvl w:val="0"/>
          <w:numId w:val="6"/>
        </w:numPr>
      </w:pPr>
      <w:r w:rsidRPr="000033D5">
        <w:t>Ausgrid’s actual total capex spend for its distribution assets was around 24 per cent less than its forecast capex over the 2009–14 regulatory control perio</w:t>
      </w:r>
      <w:r w:rsidR="007671C6">
        <w:t>d. It spent $5</w:t>
      </w:r>
      <w:r w:rsidRPr="000033D5">
        <w:t>805 million ($2013</w:t>
      </w:r>
      <w:r w:rsidR="005606AC">
        <w:t>–</w:t>
      </w:r>
      <w:r w:rsidRPr="000033D5">
        <w:t>14) compar</w:t>
      </w:r>
      <w:r w:rsidR="007671C6">
        <w:t>ed with a capex allowance of $7</w:t>
      </w:r>
      <w:r w:rsidR="00964CE1">
        <w:t>677 </w:t>
      </w:r>
      <w:r w:rsidRPr="000033D5">
        <w:t>million ($2013</w:t>
      </w:r>
      <w:r w:rsidR="005606AC">
        <w:t>–</w:t>
      </w:r>
      <w:r w:rsidRPr="000033D5">
        <w:t>14). This is an underspend of $1872</w:t>
      </w:r>
      <w:r w:rsidR="005606AC">
        <w:t> </w:t>
      </w:r>
      <w:r w:rsidRPr="000033D5">
        <w:t>million. As shown in</w:t>
      </w:r>
      <w:r w:rsidR="005606AC">
        <w:t xml:space="preserve"> </w:t>
      </w:r>
      <w:r w:rsidR="00B876E6">
        <w:fldChar w:fldCharType="begin"/>
      </w:r>
      <w:r w:rsidR="00B876E6">
        <w:instrText xml:space="preserve"> REF  _Ref379450260 \* Caps \h </w:instrText>
      </w:r>
      <w:r w:rsidR="00B876E6">
        <w:fldChar w:fldCharType="separate"/>
      </w:r>
      <w:r w:rsidR="00E313D7">
        <w:t xml:space="preserve">Figure </w:t>
      </w:r>
      <w:r w:rsidR="00E313D7">
        <w:rPr>
          <w:noProof/>
        </w:rPr>
        <w:t>B</w:t>
      </w:r>
      <w:r w:rsidR="00E313D7">
        <w:t>.</w:t>
      </w:r>
      <w:r w:rsidR="00E313D7">
        <w:rPr>
          <w:noProof/>
        </w:rPr>
        <w:t>2</w:t>
      </w:r>
      <w:r w:rsidR="00B876E6">
        <w:fldChar w:fldCharType="end"/>
      </w:r>
      <w:r w:rsidRPr="000033D5">
        <w:t>, the majority of this underspend was in the final 2 years of the regulatory control period where Ausgrid spent 32.3</w:t>
      </w:r>
      <w:r w:rsidR="005606AC">
        <w:t> per cent</w:t>
      </w:r>
      <w:r w:rsidRPr="000033D5">
        <w:t xml:space="preserve"> and 54.5</w:t>
      </w:r>
      <w:r w:rsidR="005606AC">
        <w:t> per cent</w:t>
      </w:r>
      <w:r w:rsidRPr="000033D5">
        <w:t xml:space="preserve"> under its allowance respectively.</w:t>
      </w:r>
      <w:r w:rsidR="000603C4" w:rsidRPr="000033D5">
        <w:rPr>
          <w:rStyle w:val="FootnoteReference"/>
        </w:rPr>
        <w:footnoteReference w:id="127"/>
      </w:r>
    </w:p>
    <w:p w:rsidR="00724615" w:rsidRPr="000033D5" w:rsidRDefault="00724615" w:rsidP="00724615">
      <w:pPr>
        <w:pStyle w:val="AERbodytext"/>
        <w:numPr>
          <w:ilvl w:val="0"/>
          <w:numId w:val="6"/>
        </w:numPr>
      </w:pPr>
      <w:r w:rsidRPr="000033D5">
        <w:t>Ausgrid’s actual total capex on its transmission assets spend was around 9 per cent less than its forecast capex over the 2009–14 regulatory control period. It spent $1239 million ($2013-14) compared with a capex allowance of $1359 million ($2013</w:t>
      </w:r>
      <w:r w:rsidR="005606AC">
        <w:t>–</w:t>
      </w:r>
      <w:r w:rsidRPr="000033D5">
        <w:t xml:space="preserve">14). This is an underspend of $120 million. </w:t>
      </w:r>
      <w:r w:rsidRPr="000033D5">
        <w:lastRenderedPageBreak/>
        <w:t xml:space="preserve">As shown in </w:t>
      </w:r>
      <w:r w:rsidR="00B876E6">
        <w:fldChar w:fldCharType="begin"/>
      </w:r>
      <w:r w:rsidR="00B876E6">
        <w:instrText xml:space="preserve"> REF  _Ref379450267 \* Caps \h </w:instrText>
      </w:r>
      <w:r w:rsidR="00B876E6">
        <w:fldChar w:fldCharType="separate"/>
      </w:r>
      <w:r w:rsidR="00E313D7">
        <w:t xml:space="preserve">Figure </w:t>
      </w:r>
      <w:r w:rsidR="00E313D7">
        <w:rPr>
          <w:noProof/>
        </w:rPr>
        <w:t>B</w:t>
      </w:r>
      <w:r w:rsidR="00E313D7">
        <w:t>.</w:t>
      </w:r>
      <w:r w:rsidR="00E313D7">
        <w:rPr>
          <w:noProof/>
        </w:rPr>
        <w:t>3</w:t>
      </w:r>
      <w:r w:rsidR="00B876E6">
        <w:fldChar w:fldCharType="end"/>
      </w:r>
      <w:r w:rsidRPr="000033D5">
        <w:t xml:space="preserve">, Ausgrid underspent on capex </w:t>
      </w:r>
      <w:r w:rsidR="00130B85">
        <w:t xml:space="preserve">for its transmission assets </w:t>
      </w:r>
      <w:r w:rsidRPr="000033D5">
        <w:t>in the first and last years by over 40</w:t>
      </w:r>
      <w:r w:rsidR="005606AC">
        <w:t> per cent</w:t>
      </w:r>
      <w:r w:rsidRPr="000033D5">
        <w:t xml:space="preserve"> but </w:t>
      </w:r>
      <w:r w:rsidR="005606AC">
        <w:t>overspent its allowance in 2011–</w:t>
      </w:r>
      <w:r w:rsidRPr="000033D5">
        <w:t>12 by 46.4</w:t>
      </w:r>
      <w:r w:rsidR="005606AC">
        <w:t> per cent</w:t>
      </w:r>
      <w:r w:rsidRPr="000033D5">
        <w:t>.</w:t>
      </w:r>
      <w:r w:rsidR="000603C4" w:rsidRPr="000033D5">
        <w:rPr>
          <w:rStyle w:val="FootnoteReference"/>
        </w:rPr>
        <w:footnoteReference w:id="128"/>
      </w:r>
    </w:p>
    <w:p w:rsidR="00724615" w:rsidRPr="000033D5" w:rsidRDefault="00724615" w:rsidP="00724615">
      <w:pPr>
        <w:pStyle w:val="AERbodytext"/>
        <w:numPr>
          <w:ilvl w:val="0"/>
          <w:numId w:val="6"/>
        </w:numPr>
      </w:pPr>
      <w:r w:rsidRPr="000033D5">
        <w:t>Ausgrid’s indicative proposed total forecast distribution capex for the 2014–19 period is $3974 million ($2013</w:t>
      </w:r>
      <w:r w:rsidR="005606AC">
        <w:t>–</w:t>
      </w:r>
      <w:r w:rsidRPr="000033D5">
        <w:t>14).</w:t>
      </w:r>
      <w:r w:rsidR="002B2400">
        <w:rPr>
          <w:rStyle w:val="FootnoteReference"/>
        </w:rPr>
        <w:footnoteReference w:id="129"/>
      </w:r>
      <w:r w:rsidRPr="000033D5">
        <w:t xml:space="preserve"> This is $3703 million ($2013</w:t>
      </w:r>
      <w:r w:rsidR="005606AC">
        <w:t>–</w:t>
      </w:r>
      <w:r w:rsidR="00964CE1">
        <w:t>14), or 48 </w:t>
      </w:r>
      <w:r w:rsidRPr="000033D5">
        <w:t>per</w:t>
      </w:r>
      <w:r w:rsidR="00964CE1">
        <w:t> </w:t>
      </w:r>
      <w:r w:rsidRPr="000033D5">
        <w:t>cent, lower than its allowed capex for the 2009–14 regulatory control period. It is $</w:t>
      </w:r>
      <w:r w:rsidRPr="005606AC">
        <w:t>1831</w:t>
      </w:r>
      <w:r w:rsidRPr="000033D5">
        <w:t xml:space="preserve"> million ($2013</w:t>
      </w:r>
      <w:r w:rsidR="006B3F30">
        <w:t>–</w:t>
      </w:r>
      <w:r w:rsidRPr="000033D5">
        <w:t>14), or 31 per</w:t>
      </w:r>
      <w:r w:rsidR="00964CE1">
        <w:t> </w:t>
      </w:r>
      <w:r w:rsidRPr="000033D5">
        <w:t xml:space="preserve">cent less than Ausgrid’s actual total capex spend over the 2009–14 regulatory control period. </w:t>
      </w:r>
      <w:r w:rsidR="005606AC">
        <w:fldChar w:fldCharType="begin"/>
      </w:r>
      <w:r w:rsidR="005606AC">
        <w:instrText xml:space="preserve"> REF _Ref379450260 \h </w:instrText>
      </w:r>
      <w:r w:rsidR="005606AC">
        <w:fldChar w:fldCharType="separate"/>
      </w:r>
      <w:r w:rsidR="00E313D7">
        <w:t xml:space="preserve">Figure </w:t>
      </w:r>
      <w:r w:rsidR="00E313D7">
        <w:rPr>
          <w:noProof/>
        </w:rPr>
        <w:t>B</w:t>
      </w:r>
      <w:r w:rsidR="00E313D7">
        <w:t>.</w:t>
      </w:r>
      <w:r w:rsidR="00E313D7">
        <w:rPr>
          <w:noProof/>
        </w:rPr>
        <w:t>2</w:t>
      </w:r>
      <w:r w:rsidR="005606AC">
        <w:fldChar w:fldCharType="end"/>
      </w:r>
      <w:r w:rsidRPr="000033D5">
        <w:t xml:space="preserve"> shows Ausgrid’s indicative proposed forecast capex in each year of the 2014–19</w:t>
      </w:r>
      <w:r w:rsidR="00964CE1">
        <w:t xml:space="preserve"> regulatory control</w:t>
      </w:r>
      <w:r w:rsidRPr="000033D5">
        <w:t xml:space="preserve"> period. </w:t>
      </w:r>
    </w:p>
    <w:p w:rsidR="00724615" w:rsidRPr="000033D5" w:rsidRDefault="00724615" w:rsidP="00724615">
      <w:pPr>
        <w:pStyle w:val="AERbodytext"/>
        <w:numPr>
          <w:ilvl w:val="0"/>
          <w:numId w:val="6"/>
        </w:numPr>
      </w:pPr>
      <w:r w:rsidRPr="000033D5">
        <w:t>For its transmission assets, Ausgrid’s indicative proposed total forecast capex for the 2014–1</w:t>
      </w:r>
      <w:r w:rsidR="006B3F30">
        <w:t>9 period is $549 million ($2013–</w:t>
      </w:r>
      <w:r w:rsidRPr="000033D5">
        <w:t>14).</w:t>
      </w:r>
      <w:r w:rsidR="002B2400">
        <w:rPr>
          <w:rStyle w:val="FootnoteReference"/>
        </w:rPr>
        <w:footnoteReference w:id="130"/>
      </w:r>
      <w:r w:rsidRPr="000033D5">
        <w:t xml:space="preserve"> This is $810 million ($2013</w:t>
      </w:r>
      <w:r w:rsidR="00964CE1">
        <w:t>–</w:t>
      </w:r>
      <w:r w:rsidRPr="000033D5">
        <w:t>14), or 59</w:t>
      </w:r>
      <w:r w:rsidR="00964CE1">
        <w:t> </w:t>
      </w:r>
      <w:r w:rsidRPr="000033D5">
        <w:t>per</w:t>
      </w:r>
      <w:r w:rsidR="00964CE1">
        <w:t> </w:t>
      </w:r>
      <w:r w:rsidRPr="000033D5">
        <w:t>cent, lower than its allowed capex for the 2009–14 regulatory control period. It is $690 million ($2013</w:t>
      </w:r>
      <w:r w:rsidR="006B3F30">
        <w:t>–</w:t>
      </w:r>
      <w:r w:rsidRPr="000033D5">
        <w:t>14), or 58 per</w:t>
      </w:r>
      <w:r w:rsidR="00964CE1">
        <w:t> </w:t>
      </w:r>
      <w:r w:rsidRPr="000033D5">
        <w:t xml:space="preserve">cent less than Ausgrid’s actual total capex spend over the 2009–14 regulatory control period. </w:t>
      </w:r>
      <w:r w:rsidR="005606AC">
        <w:fldChar w:fldCharType="begin"/>
      </w:r>
      <w:r w:rsidR="005606AC">
        <w:instrText xml:space="preserve"> REF _Ref379450267 \h </w:instrText>
      </w:r>
      <w:r w:rsidR="005606AC">
        <w:fldChar w:fldCharType="separate"/>
      </w:r>
      <w:r w:rsidR="00E313D7">
        <w:t xml:space="preserve">Figure </w:t>
      </w:r>
      <w:r w:rsidR="00E313D7">
        <w:rPr>
          <w:noProof/>
        </w:rPr>
        <w:t>B</w:t>
      </w:r>
      <w:r w:rsidR="00E313D7">
        <w:t>.</w:t>
      </w:r>
      <w:r w:rsidR="00E313D7">
        <w:rPr>
          <w:noProof/>
        </w:rPr>
        <w:t>3</w:t>
      </w:r>
      <w:r w:rsidR="005606AC">
        <w:fldChar w:fldCharType="end"/>
      </w:r>
      <w:r w:rsidRPr="000033D5">
        <w:t xml:space="preserve"> shows Ausgrid’s indicative proposed forecast capex</w:t>
      </w:r>
      <w:r w:rsidR="005606AC">
        <w:t xml:space="preserve"> for its transmission assets</w:t>
      </w:r>
      <w:r w:rsidRPr="000033D5">
        <w:t xml:space="preserve"> in each year of the 2014–19 </w:t>
      </w:r>
      <w:r w:rsidR="00525EC2">
        <w:t xml:space="preserve">regulatory control </w:t>
      </w:r>
      <w:r w:rsidRPr="000033D5">
        <w:t>period.</w:t>
      </w:r>
    </w:p>
    <w:p w:rsidR="00724615" w:rsidRPr="000033D5" w:rsidRDefault="001D00C7" w:rsidP="001D00C7">
      <w:pPr>
        <w:pStyle w:val="Caption"/>
        <w:jc w:val="left"/>
      </w:pPr>
      <w:bookmarkStart w:id="207" w:name="_Ref379450260"/>
      <w:r>
        <w:t>Figure</w:t>
      </w:r>
      <w:r w:rsidR="005606AC">
        <w:t xml:space="preserve"> </w:t>
      </w:r>
      <w:r w:rsidR="00DD155E">
        <w:fldChar w:fldCharType="begin"/>
      </w:r>
      <w:r w:rsidR="00DD155E">
        <w:instrText xml:space="preserve"> STYLEREF 7 \s </w:instrText>
      </w:r>
      <w:r w:rsidR="00DD155E">
        <w:fldChar w:fldCharType="separate"/>
      </w:r>
      <w:r w:rsidR="00E313D7">
        <w:rPr>
          <w:noProof/>
        </w:rPr>
        <w:t>B</w:t>
      </w:r>
      <w:r w:rsidR="00DD155E">
        <w:rPr>
          <w:noProof/>
        </w:rPr>
        <w:fldChar w:fldCharType="end"/>
      </w:r>
      <w:r>
        <w:t>.</w:t>
      </w:r>
      <w:r w:rsidR="00DD155E">
        <w:fldChar w:fldCharType="begin"/>
      </w:r>
      <w:r w:rsidR="00DD155E">
        <w:instrText xml:space="preserve"> SEQ Figure_Apx \* ARABIC \s 7 </w:instrText>
      </w:r>
      <w:r w:rsidR="00DD155E">
        <w:fldChar w:fldCharType="separate"/>
      </w:r>
      <w:r w:rsidR="00E313D7">
        <w:rPr>
          <w:noProof/>
        </w:rPr>
        <w:t>2</w:t>
      </w:r>
      <w:r w:rsidR="00DD155E">
        <w:rPr>
          <w:noProof/>
        </w:rPr>
        <w:fldChar w:fldCharType="end"/>
      </w:r>
      <w:bookmarkEnd w:id="207"/>
      <w:r w:rsidR="005606AC">
        <w:tab/>
      </w:r>
      <w:r w:rsidR="00724615" w:rsidRPr="000033D5">
        <w:t xml:space="preserve">Ausgrid (distribution) proposed and current period capex ($m, </w:t>
      </w:r>
      <w:r w:rsidR="008F3D66">
        <w:t>2013-14</w:t>
      </w:r>
      <w:r w:rsidR="00724615" w:rsidRPr="000033D5">
        <w:t>)</w:t>
      </w:r>
    </w:p>
    <w:p w:rsidR="00724615" w:rsidRPr="000033D5" w:rsidRDefault="008F3D66" w:rsidP="00724615">
      <w:pPr>
        <w:pStyle w:val="AERbodytext"/>
        <w:numPr>
          <w:ilvl w:val="0"/>
          <w:numId w:val="6"/>
        </w:numPr>
      </w:pPr>
      <w:r>
        <w:rPr>
          <w:noProof/>
          <w:lang w:eastAsia="en-AU"/>
        </w:rPr>
        <w:drawing>
          <wp:inline distT="0" distB="0" distL="0" distR="0" wp14:anchorId="03B3EFF2" wp14:editId="2908C67F">
            <wp:extent cx="5450205" cy="3066415"/>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50205" cy="3066415"/>
                    </a:xfrm>
                    <a:prstGeom prst="rect">
                      <a:avLst/>
                    </a:prstGeom>
                    <a:noFill/>
                  </pic:spPr>
                </pic:pic>
              </a:graphicData>
            </a:graphic>
          </wp:inline>
        </w:drawing>
      </w:r>
    </w:p>
    <w:p w:rsidR="00724615" w:rsidRPr="000033D5" w:rsidRDefault="008F3D66" w:rsidP="00724615">
      <w:pPr>
        <w:pStyle w:val="AERtablesource"/>
      </w:pPr>
      <w:r>
        <w:t>S</w:t>
      </w:r>
      <w:r w:rsidR="00724615">
        <w:t xml:space="preserve">ource: </w:t>
      </w:r>
      <w:r w:rsidR="00AE52E4">
        <w:tab/>
      </w:r>
      <w:r w:rsidR="00185BB3">
        <w:t>AER analysis.</w:t>
      </w:r>
    </w:p>
    <w:p w:rsidR="00724615" w:rsidRPr="000033D5" w:rsidRDefault="001D00C7" w:rsidP="001D00C7">
      <w:pPr>
        <w:pStyle w:val="Caption"/>
        <w:jc w:val="left"/>
      </w:pPr>
      <w:bookmarkStart w:id="208" w:name="_Ref379450267"/>
      <w:r>
        <w:lastRenderedPageBreak/>
        <w:t>Figure</w:t>
      </w:r>
      <w:r w:rsidR="005606AC">
        <w:t xml:space="preserve"> </w:t>
      </w:r>
      <w:r w:rsidR="00DD155E">
        <w:fldChar w:fldCharType="begin"/>
      </w:r>
      <w:r w:rsidR="00DD155E">
        <w:instrText xml:space="preserve"> STYLEREF 7 \s </w:instrText>
      </w:r>
      <w:r w:rsidR="00DD155E">
        <w:fldChar w:fldCharType="separate"/>
      </w:r>
      <w:r w:rsidR="00E313D7">
        <w:rPr>
          <w:noProof/>
        </w:rPr>
        <w:t>B</w:t>
      </w:r>
      <w:r w:rsidR="00DD155E">
        <w:rPr>
          <w:noProof/>
        </w:rPr>
        <w:fldChar w:fldCharType="end"/>
      </w:r>
      <w:r>
        <w:t>.</w:t>
      </w:r>
      <w:r w:rsidR="00DD155E">
        <w:fldChar w:fldCharType="begin"/>
      </w:r>
      <w:r w:rsidR="00DD155E">
        <w:instrText xml:space="preserve"> SEQ Figure_Apx \* ARABIC \s 7 </w:instrText>
      </w:r>
      <w:r w:rsidR="00DD155E">
        <w:fldChar w:fldCharType="separate"/>
      </w:r>
      <w:r w:rsidR="00E313D7">
        <w:rPr>
          <w:noProof/>
        </w:rPr>
        <w:t>3</w:t>
      </w:r>
      <w:r w:rsidR="00DD155E">
        <w:rPr>
          <w:noProof/>
        </w:rPr>
        <w:fldChar w:fldCharType="end"/>
      </w:r>
      <w:bookmarkEnd w:id="208"/>
      <w:r w:rsidR="005606AC">
        <w:tab/>
      </w:r>
      <w:r w:rsidR="00724615" w:rsidRPr="000033D5">
        <w:t xml:space="preserve">Ausgrid (transmission) proposed and current period capex ($m, </w:t>
      </w:r>
      <w:r w:rsidR="008F3D66">
        <w:t>2013-14</w:t>
      </w:r>
      <w:r w:rsidR="00724615" w:rsidRPr="000033D5">
        <w:t>)</w:t>
      </w:r>
    </w:p>
    <w:p w:rsidR="00724615" w:rsidRPr="000033D5" w:rsidRDefault="008F3D66" w:rsidP="00724615">
      <w:pPr>
        <w:pStyle w:val="AERbodytext"/>
        <w:numPr>
          <w:ilvl w:val="0"/>
          <w:numId w:val="6"/>
        </w:numPr>
      </w:pPr>
      <w:r>
        <w:rPr>
          <w:noProof/>
          <w:lang w:eastAsia="en-AU"/>
        </w:rPr>
        <w:drawing>
          <wp:inline distT="0" distB="0" distL="0" distR="0" wp14:anchorId="50B3B6B9" wp14:editId="1975C714">
            <wp:extent cx="5462270" cy="3066415"/>
            <wp:effectExtent l="0" t="0" r="508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62270" cy="3066415"/>
                    </a:xfrm>
                    <a:prstGeom prst="rect">
                      <a:avLst/>
                    </a:prstGeom>
                    <a:noFill/>
                  </pic:spPr>
                </pic:pic>
              </a:graphicData>
            </a:graphic>
          </wp:inline>
        </w:drawing>
      </w:r>
    </w:p>
    <w:p w:rsidR="00724615" w:rsidRPr="00DD1199" w:rsidRDefault="008F3D66" w:rsidP="00724615">
      <w:pPr>
        <w:pStyle w:val="AERtablesource"/>
        <w:rPr>
          <w:rStyle w:val="AERbody"/>
        </w:rPr>
      </w:pPr>
      <w:r>
        <w:t>S</w:t>
      </w:r>
      <w:r w:rsidR="00724615" w:rsidRPr="008F3582">
        <w:t>ource:</w:t>
      </w:r>
      <w:r w:rsidR="00185BB3">
        <w:tab/>
        <w:t>AER analysis.</w:t>
      </w:r>
    </w:p>
    <w:p w:rsidR="00724615" w:rsidRPr="00DD1199" w:rsidRDefault="00724615" w:rsidP="00724615">
      <w:pPr>
        <w:rPr>
          <w:rStyle w:val="AERbody"/>
        </w:rPr>
      </w:pPr>
      <w:r>
        <w:rPr>
          <w:rStyle w:val="AERbody"/>
        </w:rPr>
        <w:br w:type="page"/>
      </w:r>
    </w:p>
    <w:p w:rsidR="00724615" w:rsidRPr="00B7680B" w:rsidRDefault="00724615" w:rsidP="00985999">
      <w:pPr>
        <w:pStyle w:val="Heading8"/>
        <w:pageBreakBefore/>
        <w:rPr>
          <w:rStyle w:val="AERtextbold"/>
          <w:b/>
        </w:rPr>
      </w:pPr>
      <w:bookmarkStart w:id="209" w:name="_Ref384118761"/>
      <w:bookmarkStart w:id="210" w:name="_Toc385326329"/>
      <w:r w:rsidRPr="00B7680B">
        <w:rPr>
          <w:rStyle w:val="AERtextbold"/>
          <w:b/>
        </w:rPr>
        <w:lastRenderedPageBreak/>
        <w:t>Essential Energy</w:t>
      </w:r>
      <w:bookmarkEnd w:id="209"/>
      <w:bookmarkEnd w:id="210"/>
    </w:p>
    <w:p w:rsidR="00724615" w:rsidRPr="003F0974" w:rsidRDefault="00724615" w:rsidP="003F0974">
      <w:pPr>
        <w:pStyle w:val="Heading9"/>
      </w:pPr>
      <w:r w:rsidRPr="003F0974">
        <w:t xml:space="preserve">Total revenue </w:t>
      </w:r>
    </w:p>
    <w:p w:rsidR="00724615" w:rsidRPr="00A33E9D" w:rsidRDefault="00724615" w:rsidP="00724615">
      <w:pPr>
        <w:pStyle w:val="AERbodytext"/>
        <w:numPr>
          <w:ilvl w:val="0"/>
          <w:numId w:val="6"/>
        </w:numPr>
      </w:pPr>
      <w:r>
        <w:fldChar w:fldCharType="begin"/>
      </w:r>
      <w:r>
        <w:instrText xml:space="preserve"> REF _Ref382565906 \h </w:instrText>
      </w:r>
      <w:r>
        <w:fldChar w:fldCharType="separate"/>
      </w:r>
      <w:r w:rsidR="00E313D7">
        <w:t xml:space="preserve">Table </w:t>
      </w:r>
      <w:r w:rsidR="00E313D7">
        <w:rPr>
          <w:noProof/>
        </w:rPr>
        <w:t>B</w:t>
      </w:r>
      <w:r w:rsidR="00E313D7">
        <w:t>.</w:t>
      </w:r>
      <w:r w:rsidR="00E313D7">
        <w:rPr>
          <w:noProof/>
        </w:rPr>
        <w:t>8</w:t>
      </w:r>
      <w:r>
        <w:fldChar w:fldCharType="end"/>
      </w:r>
      <w:r>
        <w:t xml:space="preserve"> </w:t>
      </w:r>
      <w:r w:rsidRPr="007076B6">
        <w:t>show</w:t>
      </w:r>
      <w:r>
        <w:t>s</w:t>
      </w:r>
      <w:r w:rsidRPr="007076B6">
        <w:t xml:space="preserve"> </w:t>
      </w:r>
      <w:r>
        <w:t>Essential Energy</w:t>
      </w:r>
      <w:r w:rsidRPr="007076B6">
        <w:t xml:space="preserve">’s proposed total revenue for each year of the 2014–19 </w:t>
      </w:r>
      <w:r w:rsidR="00185BB3">
        <w:t xml:space="preserve">regulatory control </w:t>
      </w:r>
      <w:r w:rsidRPr="007076B6">
        <w:t>period</w:t>
      </w:r>
      <w:r>
        <w:t xml:space="preserve"> broken down by its</w:t>
      </w:r>
      <w:r w:rsidRPr="007076B6">
        <w:t xml:space="preserve"> constituent building blocks</w:t>
      </w:r>
      <w:r>
        <w:t xml:space="preserve"> and the </w:t>
      </w:r>
      <w:r w:rsidRPr="007076B6">
        <w:t xml:space="preserve">proposed </w:t>
      </w:r>
      <w:r>
        <w:t xml:space="preserve">revenue </w:t>
      </w:r>
      <w:r w:rsidRPr="007076B6">
        <w:t>smoothing.</w:t>
      </w:r>
    </w:p>
    <w:p w:rsidR="00724615" w:rsidRPr="00DD1199" w:rsidRDefault="002401A5" w:rsidP="001D00C7">
      <w:pPr>
        <w:pStyle w:val="Caption"/>
        <w:jc w:val="left"/>
        <w:rPr>
          <w:rStyle w:val="AERbody"/>
        </w:rPr>
      </w:pPr>
      <w:bookmarkStart w:id="211" w:name="_Ref382565906"/>
      <w:r>
        <w:t>Table</w:t>
      </w:r>
      <w:r w:rsidR="00724615">
        <w:t xml:space="preserve"> </w:t>
      </w:r>
      <w:r w:rsidR="00DD155E">
        <w:fldChar w:fldCharType="begin"/>
      </w:r>
      <w:r w:rsidR="00DD155E">
        <w:instrText xml:space="preserve"> STYLEREF 7 \s </w:instrText>
      </w:r>
      <w:r w:rsidR="00DD155E">
        <w:fldChar w:fldCharType="separate"/>
      </w:r>
      <w:r w:rsidR="00E313D7">
        <w:rPr>
          <w:noProof/>
        </w:rPr>
        <w:t>B</w:t>
      </w:r>
      <w:r w:rsidR="00DD155E">
        <w:rPr>
          <w:noProof/>
        </w:rPr>
        <w:fldChar w:fldCharType="end"/>
      </w:r>
      <w:r>
        <w:t>.</w:t>
      </w:r>
      <w:r w:rsidR="00DD155E">
        <w:fldChar w:fldCharType="begin"/>
      </w:r>
      <w:r w:rsidR="00DD155E">
        <w:instrText xml:space="preserve"> SEQ Table_Apx \* ARABIC \s 7 </w:instrText>
      </w:r>
      <w:r w:rsidR="00DD155E">
        <w:fldChar w:fldCharType="separate"/>
      </w:r>
      <w:r w:rsidR="00E313D7">
        <w:rPr>
          <w:noProof/>
        </w:rPr>
        <w:t>8</w:t>
      </w:r>
      <w:r w:rsidR="00DD155E">
        <w:rPr>
          <w:noProof/>
        </w:rPr>
        <w:fldChar w:fldCharType="end"/>
      </w:r>
      <w:bookmarkEnd w:id="211"/>
      <w:r w:rsidR="00724615">
        <w:tab/>
        <w:t>Essential Energy's</w:t>
      </w:r>
      <w:r w:rsidR="00724615" w:rsidRPr="00752B52">
        <w:t xml:space="preserve"> proposed building blocks and total revenue ($m, nominal)</w:t>
      </w:r>
    </w:p>
    <w:tbl>
      <w:tblPr>
        <w:tblStyle w:val="AERtable-numbers"/>
        <w:tblW w:w="9180" w:type="dxa"/>
        <w:tblLayout w:type="fixed"/>
        <w:tblLook w:val="04A0" w:firstRow="1" w:lastRow="0" w:firstColumn="1" w:lastColumn="0" w:noHBand="0" w:noVBand="1"/>
      </w:tblPr>
      <w:tblGrid>
        <w:gridCol w:w="2516"/>
        <w:gridCol w:w="1110"/>
        <w:gridCol w:w="1111"/>
        <w:gridCol w:w="1111"/>
        <w:gridCol w:w="1110"/>
        <w:gridCol w:w="1111"/>
        <w:gridCol w:w="1111"/>
      </w:tblGrid>
      <w:tr w:rsidR="00724615" w:rsidRPr="002834A4" w:rsidTr="00185BB3">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16" w:type="dxa"/>
            <w:noWrap/>
            <w:hideMark/>
          </w:tcPr>
          <w:p w:rsidR="00724615" w:rsidRPr="00724615" w:rsidRDefault="00724615" w:rsidP="00724615">
            <w:pPr>
              <w:pStyle w:val="AERtabletextleft"/>
            </w:pPr>
            <w:r w:rsidRPr="00DD1199">
              <w:t>Building blocks</w:t>
            </w:r>
          </w:p>
        </w:tc>
        <w:tc>
          <w:tcPr>
            <w:tcW w:w="1110" w:type="dxa"/>
            <w:noWrap/>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2013–14</w:t>
            </w:r>
          </w:p>
        </w:tc>
        <w:tc>
          <w:tcPr>
            <w:tcW w:w="1111" w:type="dxa"/>
            <w:noWrap/>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2014–15</w:t>
            </w:r>
          </w:p>
        </w:tc>
        <w:tc>
          <w:tcPr>
            <w:tcW w:w="1111" w:type="dxa"/>
            <w:noWrap/>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2015–16</w:t>
            </w:r>
          </w:p>
        </w:tc>
        <w:tc>
          <w:tcPr>
            <w:tcW w:w="1110" w:type="dxa"/>
            <w:noWrap/>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2016–17</w:t>
            </w:r>
          </w:p>
        </w:tc>
        <w:tc>
          <w:tcPr>
            <w:tcW w:w="1111" w:type="dxa"/>
            <w:noWrap/>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2017–18</w:t>
            </w:r>
          </w:p>
        </w:tc>
        <w:tc>
          <w:tcPr>
            <w:tcW w:w="1111" w:type="dxa"/>
            <w:noWrap/>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2018–19</w:t>
            </w:r>
          </w:p>
        </w:tc>
      </w:tr>
      <w:tr w:rsidR="00724615" w:rsidRPr="002834A4" w:rsidTr="00185BB3">
        <w:trPr>
          <w:trHeight w:val="255"/>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noWrap/>
            <w:hideMark/>
          </w:tcPr>
          <w:p w:rsidR="00724615" w:rsidRPr="00724615" w:rsidRDefault="00724615" w:rsidP="00724615">
            <w:pPr>
              <w:pStyle w:val="AERtabletextleft"/>
            </w:pPr>
            <w:r w:rsidRPr="00DD1199">
              <w:t>Return on capital</w:t>
            </w:r>
          </w:p>
        </w:tc>
        <w:tc>
          <w:tcPr>
            <w:tcW w:w="1110" w:type="dxa"/>
            <w:shd w:val="clear" w:color="auto" w:fill="auto"/>
            <w:noWrap/>
            <w:hideMark/>
          </w:tcPr>
          <w:p w:rsidR="00724615" w:rsidRPr="00DD1199"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p>
        </w:tc>
        <w:tc>
          <w:tcPr>
            <w:tcW w:w="1111"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579</w:t>
            </w:r>
          </w:p>
        </w:tc>
        <w:tc>
          <w:tcPr>
            <w:tcW w:w="1111"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620</w:t>
            </w:r>
          </w:p>
        </w:tc>
        <w:tc>
          <w:tcPr>
            <w:tcW w:w="1110"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656</w:t>
            </w:r>
          </w:p>
        </w:tc>
        <w:tc>
          <w:tcPr>
            <w:tcW w:w="1111"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692</w:t>
            </w:r>
          </w:p>
        </w:tc>
        <w:tc>
          <w:tcPr>
            <w:tcW w:w="1111"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727</w:t>
            </w:r>
          </w:p>
        </w:tc>
      </w:tr>
      <w:tr w:rsidR="00724615" w:rsidRPr="002834A4" w:rsidTr="00185BB3">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16" w:type="dxa"/>
            <w:noWrap/>
            <w:hideMark/>
          </w:tcPr>
          <w:p w:rsidR="00724615" w:rsidRPr="00724615" w:rsidRDefault="00724615" w:rsidP="00724615">
            <w:pPr>
              <w:pStyle w:val="AERtabletextleft"/>
            </w:pPr>
            <w:r w:rsidRPr="00DD1199">
              <w:t>Return of capital</w:t>
            </w:r>
          </w:p>
        </w:tc>
        <w:tc>
          <w:tcPr>
            <w:tcW w:w="1110"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w:t>
            </w:r>
          </w:p>
        </w:tc>
        <w:tc>
          <w:tcPr>
            <w:tcW w:w="1111"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99</w:t>
            </w:r>
          </w:p>
        </w:tc>
        <w:tc>
          <w:tcPr>
            <w:tcW w:w="1111"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118</w:t>
            </w:r>
          </w:p>
        </w:tc>
        <w:tc>
          <w:tcPr>
            <w:tcW w:w="1110"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132</w:t>
            </w:r>
          </w:p>
        </w:tc>
        <w:tc>
          <w:tcPr>
            <w:tcW w:w="1111"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135</w:t>
            </w:r>
          </w:p>
        </w:tc>
        <w:tc>
          <w:tcPr>
            <w:tcW w:w="1111"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129</w:t>
            </w:r>
          </w:p>
        </w:tc>
      </w:tr>
      <w:tr w:rsidR="00724615" w:rsidRPr="002834A4" w:rsidTr="00185BB3">
        <w:trPr>
          <w:trHeight w:val="255"/>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noWrap/>
            <w:hideMark/>
          </w:tcPr>
          <w:p w:rsidR="00724615" w:rsidRPr="00724615" w:rsidRDefault="00724615" w:rsidP="00724615">
            <w:pPr>
              <w:pStyle w:val="AERtabletextleft"/>
            </w:pPr>
            <w:r w:rsidRPr="00DD1199">
              <w:t>Operating expenditure</w:t>
            </w:r>
          </w:p>
        </w:tc>
        <w:tc>
          <w:tcPr>
            <w:tcW w:w="1110" w:type="dxa"/>
            <w:shd w:val="clear" w:color="auto" w:fill="auto"/>
            <w:noWrap/>
            <w:hideMark/>
          </w:tcPr>
          <w:p w:rsidR="00724615" w:rsidRPr="00DD1199"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p>
        </w:tc>
        <w:tc>
          <w:tcPr>
            <w:tcW w:w="1111"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481</w:t>
            </w:r>
          </w:p>
        </w:tc>
        <w:tc>
          <w:tcPr>
            <w:tcW w:w="1111"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479</w:t>
            </w:r>
          </w:p>
        </w:tc>
        <w:tc>
          <w:tcPr>
            <w:tcW w:w="1110"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475</w:t>
            </w:r>
          </w:p>
        </w:tc>
        <w:tc>
          <w:tcPr>
            <w:tcW w:w="1111"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484</w:t>
            </w:r>
          </w:p>
        </w:tc>
        <w:tc>
          <w:tcPr>
            <w:tcW w:w="1111"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497</w:t>
            </w:r>
          </w:p>
        </w:tc>
      </w:tr>
      <w:tr w:rsidR="00724615" w:rsidRPr="002834A4" w:rsidTr="00185BB3">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16" w:type="dxa"/>
            <w:noWrap/>
            <w:hideMark/>
          </w:tcPr>
          <w:p w:rsidR="00724615" w:rsidRPr="00724615" w:rsidRDefault="00724615" w:rsidP="00724615">
            <w:pPr>
              <w:pStyle w:val="AERtabletextleft"/>
            </w:pPr>
            <w:r w:rsidRPr="00DD1199">
              <w:t>Efficiency carryover</w:t>
            </w:r>
          </w:p>
        </w:tc>
        <w:tc>
          <w:tcPr>
            <w:tcW w:w="1110"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w:t>
            </w:r>
          </w:p>
        </w:tc>
        <w:tc>
          <w:tcPr>
            <w:tcW w:w="1111"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-15</w:t>
            </w:r>
          </w:p>
        </w:tc>
        <w:tc>
          <w:tcPr>
            <w:tcW w:w="1111"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-53</w:t>
            </w:r>
          </w:p>
        </w:tc>
        <w:tc>
          <w:tcPr>
            <w:tcW w:w="1110"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-48</w:t>
            </w:r>
          </w:p>
        </w:tc>
        <w:tc>
          <w:tcPr>
            <w:tcW w:w="1111"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39</w:t>
            </w:r>
          </w:p>
        </w:tc>
        <w:tc>
          <w:tcPr>
            <w:tcW w:w="1111"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0</w:t>
            </w:r>
          </w:p>
        </w:tc>
      </w:tr>
      <w:tr w:rsidR="00724615" w:rsidRPr="002834A4" w:rsidTr="00185BB3">
        <w:trPr>
          <w:trHeight w:val="270"/>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noWrap/>
            <w:hideMark/>
          </w:tcPr>
          <w:p w:rsidR="00724615" w:rsidRPr="00724615" w:rsidRDefault="00724615" w:rsidP="00724615">
            <w:pPr>
              <w:pStyle w:val="AERtabletextleft"/>
            </w:pPr>
            <w:r w:rsidRPr="00DD1199">
              <w:t>Net tax allowance</w:t>
            </w:r>
          </w:p>
        </w:tc>
        <w:tc>
          <w:tcPr>
            <w:tcW w:w="1110" w:type="dxa"/>
            <w:shd w:val="clear" w:color="auto" w:fill="auto"/>
            <w:noWrap/>
            <w:hideMark/>
          </w:tcPr>
          <w:p w:rsidR="00724615" w:rsidRPr="00DD1199"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p>
        </w:tc>
        <w:tc>
          <w:tcPr>
            <w:tcW w:w="1111"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71</w:t>
            </w:r>
          </w:p>
        </w:tc>
        <w:tc>
          <w:tcPr>
            <w:tcW w:w="1111"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75</w:t>
            </w:r>
          </w:p>
        </w:tc>
        <w:tc>
          <w:tcPr>
            <w:tcW w:w="1110"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79</w:t>
            </w:r>
          </w:p>
        </w:tc>
        <w:tc>
          <w:tcPr>
            <w:tcW w:w="1111"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85</w:t>
            </w:r>
          </w:p>
        </w:tc>
        <w:tc>
          <w:tcPr>
            <w:tcW w:w="1111"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86</w:t>
            </w:r>
          </w:p>
        </w:tc>
      </w:tr>
      <w:tr w:rsidR="00724615" w:rsidRPr="002834A4" w:rsidTr="00185BB3">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16" w:type="dxa"/>
            <w:noWrap/>
            <w:hideMark/>
          </w:tcPr>
          <w:p w:rsidR="00724615" w:rsidRPr="00724615" w:rsidRDefault="00724615" w:rsidP="00724615">
            <w:pPr>
              <w:pStyle w:val="AERtabletextleft"/>
            </w:pPr>
            <w:r w:rsidRPr="00DD1199">
              <w:t>Metering and other revenue</w:t>
            </w:r>
          </w:p>
        </w:tc>
        <w:tc>
          <w:tcPr>
            <w:tcW w:w="1110"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w:t>
            </w:r>
          </w:p>
        </w:tc>
        <w:tc>
          <w:tcPr>
            <w:tcW w:w="1111"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71</w:t>
            </w:r>
          </w:p>
        </w:tc>
        <w:tc>
          <w:tcPr>
            <w:tcW w:w="1111"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60</w:t>
            </w:r>
          </w:p>
        </w:tc>
        <w:tc>
          <w:tcPr>
            <w:tcW w:w="1110"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63</w:t>
            </w:r>
          </w:p>
        </w:tc>
        <w:tc>
          <w:tcPr>
            <w:tcW w:w="1111"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69</w:t>
            </w:r>
          </w:p>
        </w:tc>
        <w:tc>
          <w:tcPr>
            <w:tcW w:w="1111"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78</w:t>
            </w:r>
          </w:p>
        </w:tc>
      </w:tr>
      <w:tr w:rsidR="00724615" w:rsidRPr="002834A4" w:rsidTr="00185BB3">
        <w:trPr>
          <w:trHeight w:val="270"/>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noWrap/>
            <w:hideMark/>
          </w:tcPr>
          <w:p w:rsidR="00724615" w:rsidRPr="00724615" w:rsidRDefault="00724615" w:rsidP="00724615">
            <w:pPr>
              <w:pStyle w:val="AERtabletextleft"/>
            </w:pPr>
            <w:r w:rsidRPr="00DD1199">
              <w:t>Total revenue (unsmoothed)</w:t>
            </w:r>
          </w:p>
        </w:tc>
        <w:tc>
          <w:tcPr>
            <w:tcW w:w="1110" w:type="dxa"/>
            <w:shd w:val="clear" w:color="auto" w:fill="auto"/>
            <w:noWrap/>
            <w:hideMark/>
          </w:tcPr>
          <w:p w:rsidR="00724615" w:rsidRPr="00DD1199"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p>
        </w:tc>
        <w:tc>
          <w:tcPr>
            <w:tcW w:w="1111"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1285</w:t>
            </w:r>
          </w:p>
        </w:tc>
        <w:tc>
          <w:tcPr>
            <w:tcW w:w="1111"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1300</w:t>
            </w:r>
          </w:p>
        </w:tc>
        <w:tc>
          <w:tcPr>
            <w:tcW w:w="1110"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1356</w:t>
            </w:r>
          </w:p>
        </w:tc>
        <w:tc>
          <w:tcPr>
            <w:tcW w:w="1111"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1505</w:t>
            </w:r>
          </w:p>
        </w:tc>
        <w:tc>
          <w:tcPr>
            <w:tcW w:w="1111"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1516</w:t>
            </w:r>
          </w:p>
        </w:tc>
      </w:tr>
      <w:tr w:rsidR="00724615" w:rsidRPr="002834A4" w:rsidTr="00185BB3">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16" w:type="dxa"/>
            <w:noWrap/>
            <w:hideMark/>
          </w:tcPr>
          <w:p w:rsidR="00724615" w:rsidRPr="00724615" w:rsidRDefault="00724615" w:rsidP="00724615">
            <w:pPr>
              <w:pStyle w:val="AERtabletextleft"/>
              <w:rPr>
                <w:rStyle w:val="AERtextbold"/>
              </w:rPr>
            </w:pPr>
            <w:r w:rsidRPr="00A33E9D">
              <w:rPr>
                <w:rStyle w:val="AERtextbold"/>
              </w:rPr>
              <w:t>Total revenue (smoothed)</w:t>
            </w:r>
          </w:p>
        </w:tc>
        <w:tc>
          <w:tcPr>
            <w:tcW w:w="1110"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A33E9D">
              <w:rPr>
                <w:rStyle w:val="AERtextbold"/>
              </w:rPr>
              <w:t>1</w:t>
            </w:r>
            <w:r w:rsidRPr="00724615">
              <w:rPr>
                <w:rStyle w:val="AERtextbold"/>
              </w:rPr>
              <w:t>361</w:t>
            </w:r>
          </w:p>
        </w:tc>
        <w:tc>
          <w:tcPr>
            <w:tcW w:w="1111"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A33E9D">
              <w:rPr>
                <w:rStyle w:val="AERtextbold"/>
              </w:rPr>
              <w:t>1</w:t>
            </w:r>
            <w:r w:rsidRPr="00724615">
              <w:rPr>
                <w:rStyle w:val="AERtextbold"/>
              </w:rPr>
              <w:t>363</w:t>
            </w:r>
          </w:p>
        </w:tc>
        <w:tc>
          <w:tcPr>
            <w:tcW w:w="1111"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A33E9D">
              <w:rPr>
                <w:rStyle w:val="AERtextbold"/>
              </w:rPr>
              <w:t>1</w:t>
            </w:r>
            <w:r w:rsidRPr="00724615">
              <w:rPr>
                <w:rStyle w:val="AERtextbold"/>
              </w:rPr>
              <w:t>375</w:t>
            </w:r>
          </w:p>
        </w:tc>
        <w:tc>
          <w:tcPr>
            <w:tcW w:w="1110"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A33E9D">
              <w:rPr>
                <w:rStyle w:val="AERtextbold"/>
              </w:rPr>
              <w:t>1</w:t>
            </w:r>
            <w:r w:rsidRPr="00724615">
              <w:rPr>
                <w:rStyle w:val="AERtextbold"/>
              </w:rPr>
              <w:t>382</w:t>
            </w:r>
          </w:p>
        </w:tc>
        <w:tc>
          <w:tcPr>
            <w:tcW w:w="1111"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A33E9D">
              <w:rPr>
                <w:rStyle w:val="AERtextbold"/>
              </w:rPr>
              <w:t>1</w:t>
            </w:r>
            <w:r w:rsidRPr="00724615">
              <w:rPr>
                <w:rStyle w:val="AERtextbold"/>
              </w:rPr>
              <w:t>390</w:t>
            </w:r>
          </w:p>
        </w:tc>
        <w:tc>
          <w:tcPr>
            <w:tcW w:w="1111"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A33E9D">
              <w:rPr>
                <w:rStyle w:val="AERtextbold"/>
              </w:rPr>
              <w:t>1</w:t>
            </w:r>
            <w:r w:rsidRPr="00724615">
              <w:rPr>
                <w:rStyle w:val="AERtextbold"/>
              </w:rPr>
              <w:t>407</w:t>
            </w:r>
          </w:p>
        </w:tc>
      </w:tr>
      <w:tr w:rsidR="00724615" w:rsidRPr="002834A4" w:rsidTr="00185BB3">
        <w:trPr>
          <w:trHeight w:val="300"/>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noWrap/>
            <w:hideMark/>
          </w:tcPr>
          <w:p w:rsidR="00724615" w:rsidRPr="00724615" w:rsidRDefault="00724615" w:rsidP="00724615">
            <w:pPr>
              <w:pStyle w:val="AERtabletextleft"/>
            </w:pPr>
            <w:r w:rsidRPr="00DD1199">
              <w:t>Change</w:t>
            </w:r>
            <w:r w:rsidRPr="00724615">
              <w:rPr>
                <w:rStyle w:val="AERsuperscript"/>
              </w:rPr>
              <w:t>a</w:t>
            </w:r>
            <w:r w:rsidRPr="00724615">
              <w:t xml:space="preserve"> (%)</w:t>
            </w:r>
          </w:p>
        </w:tc>
        <w:tc>
          <w:tcPr>
            <w:tcW w:w="1110"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w:t>
            </w:r>
          </w:p>
        </w:tc>
        <w:tc>
          <w:tcPr>
            <w:tcW w:w="1111"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0.1%</w:t>
            </w:r>
          </w:p>
        </w:tc>
        <w:tc>
          <w:tcPr>
            <w:tcW w:w="1111"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0.9%</w:t>
            </w:r>
          </w:p>
        </w:tc>
        <w:tc>
          <w:tcPr>
            <w:tcW w:w="1110"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0.5%</w:t>
            </w:r>
          </w:p>
        </w:tc>
        <w:tc>
          <w:tcPr>
            <w:tcW w:w="1111"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0.6%</w:t>
            </w:r>
          </w:p>
        </w:tc>
        <w:tc>
          <w:tcPr>
            <w:tcW w:w="1111"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1.2%</w:t>
            </w:r>
          </w:p>
        </w:tc>
      </w:tr>
    </w:tbl>
    <w:p w:rsidR="00724615" w:rsidRPr="00102D82" w:rsidRDefault="00724615" w:rsidP="00724615">
      <w:pPr>
        <w:pStyle w:val="AERtablesource"/>
      </w:pPr>
      <w:r w:rsidRPr="00102D82">
        <w:t>Source:</w:t>
      </w:r>
      <w:r w:rsidRPr="00102D82">
        <w:tab/>
      </w:r>
      <w:r>
        <w:t xml:space="preserve">Essential Energy, </w:t>
      </w:r>
      <w:r w:rsidRPr="00447042">
        <w:rPr>
          <w:rStyle w:val="AERtextitalic"/>
        </w:rPr>
        <w:t>Transitional regulatory proposal</w:t>
      </w:r>
      <w:r w:rsidRPr="00A2480F">
        <w:t xml:space="preserve">, January 2014. </w:t>
      </w:r>
      <w:r>
        <w:t>Essential</w:t>
      </w:r>
      <w:r w:rsidRPr="00A2480F">
        <w:t xml:space="preserve"> Energy, </w:t>
      </w:r>
      <w:r>
        <w:rPr>
          <w:rStyle w:val="AERtextitalic"/>
        </w:rPr>
        <w:t>Post-</w:t>
      </w:r>
      <w:r w:rsidRPr="00447042">
        <w:rPr>
          <w:rStyle w:val="AERtextitalic"/>
        </w:rPr>
        <w:t>Tax Revenue Model</w:t>
      </w:r>
      <w:r w:rsidRPr="00A2480F">
        <w:t xml:space="preserve"> January 2014</w:t>
      </w:r>
      <w:r>
        <w:t xml:space="preserve">. </w:t>
      </w:r>
    </w:p>
    <w:p w:rsidR="00724615" w:rsidRPr="00102D82" w:rsidRDefault="00724615" w:rsidP="00724615">
      <w:pPr>
        <w:pStyle w:val="AERtablesource"/>
      </w:pPr>
      <w:r w:rsidRPr="00102D82">
        <w:t>Notes:</w:t>
      </w:r>
      <w:r w:rsidRPr="00102D82">
        <w:tab/>
      </w:r>
      <w:r w:rsidRPr="00693A45">
        <w:t>Numbers may not sum due to rounding.</w:t>
      </w:r>
    </w:p>
    <w:p w:rsidR="00724615" w:rsidRPr="00102D82" w:rsidRDefault="00B75E0D" w:rsidP="00724615">
      <w:pPr>
        <w:pStyle w:val="AERtablesource"/>
      </w:pPr>
      <w:r>
        <w:tab/>
      </w:r>
      <w:r w:rsidR="00724615" w:rsidRPr="00102D82">
        <w:t>a.</w:t>
      </w:r>
      <w:r w:rsidR="00724615" w:rsidRPr="00102D82">
        <w:tab/>
        <w:t>This row shows the year-on-year change in total nominal revenues. It should not be interpreted as the X-factor change from year to year.</w:t>
      </w:r>
    </w:p>
    <w:p w:rsidR="00724615" w:rsidRPr="00AB2ED3" w:rsidRDefault="00724615" w:rsidP="00724615">
      <w:pPr>
        <w:pStyle w:val="AERbodytext"/>
        <w:numPr>
          <w:ilvl w:val="0"/>
          <w:numId w:val="6"/>
        </w:numPr>
      </w:pPr>
      <w:r w:rsidRPr="00AB2ED3">
        <w:t xml:space="preserve">The key determinants of the building blocks from </w:t>
      </w:r>
      <w:r>
        <w:t>Essential Energy</w:t>
      </w:r>
      <w:r w:rsidRPr="00AB2ED3">
        <w:t xml:space="preserve">’s proposal (opex, capex, rate of return and RAB) are separately presented below. </w:t>
      </w:r>
      <w:r>
        <w:t>Essential Energy</w:t>
      </w:r>
      <w:r w:rsidRPr="00AB2ED3">
        <w:t>’s proposal also included details on:</w:t>
      </w:r>
    </w:p>
    <w:p w:rsidR="00724615" w:rsidRPr="00AB2ED3" w:rsidRDefault="00724615" w:rsidP="00C23850">
      <w:pPr>
        <w:pStyle w:val="AERbulletlistfirststyle"/>
      </w:pPr>
      <w:r w:rsidRPr="00AB2ED3">
        <w:t>Regulatory depreciation—</w:t>
      </w:r>
      <w:r>
        <w:t>Essential</w:t>
      </w:r>
      <w:r w:rsidRPr="00AB2ED3">
        <w:t xml:space="preserve"> </w:t>
      </w:r>
      <w:r>
        <w:t xml:space="preserve">Energy </w:t>
      </w:r>
      <w:r w:rsidRPr="00AB2ED3">
        <w:t>proposed to use straight-line depreciation as calculated in the PTRM, and put forward a schedule of asset lives. Its depreciation forecasts (including the net effect of indexation) are included in the RAB roll forward table presented below.</w:t>
      </w:r>
    </w:p>
    <w:p w:rsidR="00724615" w:rsidRPr="00AB2ED3" w:rsidRDefault="00724615" w:rsidP="00C23850">
      <w:pPr>
        <w:pStyle w:val="AERbulletlistfirststyle"/>
      </w:pPr>
      <w:r w:rsidRPr="00AB2ED3">
        <w:t>Cost of corporate income tax—</w:t>
      </w:r>
      <w:r>
        <w:t>Essential Energy</w:t>
      </w:r>
      <w:r w:rsidRPr="00AB2ED3">
        <w:t xml:space="preserve"> submitted taxation calculations using the PTRM, which involves calculating the indicative tax payable and then reducing its tax allowance with respect to the value of imputation credits.  </w:t>
      </w:r>
      <w:r>
        <w:t>Essential</w:t>
      </w:r>
      <w:r w:rsidRPr="00AB2ED3">
        <w:t xml:space="preserve"> </w:t>
      </w:r>
      <w:r>
        <w:t xml:space="preserve">Energy's </w:t>
      </w:r>
      <w:r w:rsidRPr="00AB2ED3">
        <w:t>proposed gamma figure (assumed value of imputation credits) is discussed below in the rate of return section.</w:t>
      </w:r>
    </w:p>
    <w:p w:rsidR="00724615" w:rsidRDefault="00724615" w:rsidP="00C23850">
      <w:pPr>
        <w:pStyle w:val="AERbulletlistfirststyle"/>
        <w:rPr>
          <w:rStyle w:val="AERbody"/>
        </w:rPr>
      </w:pPr>
      <w:r w:rsidRPr="00AB2ED3">
        <w:t>Efficiency carryovers—</w:t>
      </w:r>
      <w:r>
        <w:t>Essential</w:t>
      </w:r>
      <w:r w:rsidRPr="00102D82">
        <w:t xml:space="preserve"> </w:t>
      </w:r>
      <w:r>
        <w:t xml:space="preserve">Energy </w:t>
      </w:r>
      <w:r w:rsidRPr="00102D82">
        <w:t xml:space="preserve">proposed a </w:t>
      </w:r>
      <w:r>
        <w:t>negative</w:t>
      </w:r>
      <w:r w:rsidRPr="00102D82">
        <w:t xml:space="preserve"> carryover allowance reflecting past efficiency </w:t>
      </w:r>
      <w:r>
        <w:t>losses</w:t>
      </w:r>
      <w:r w:rsidRPr="00102D82">
        <w:t xml:space="preserve"> associated with its opex (under the EBSS) over the </w:t>
      </w:r>
      <w:r>
        <w:t>current</w:t>
      </w:r>
      <w:r w:rsidRPr="00102D82">
        <w:t xml:space="preserve"> regulatory control period.</w:t>
      </w:r>
    </w:p>
    <w:p w:rsidR="00724615" w:rsidRDefault="00724615" w:rsidP="00C23850">
      <w:pPr>
        <w:pStyle w:val="AERbulletlistfirststyle"/>
      </w:pPr>
      <w:r>
        <w:t>Metering revenue—Essential Energy has proposed a revenue allowance to recover the costs of providing distribution metering services in its TRP. Metering services will be unbundled from standard control services from 1 July 2014 to alternative control services. However, the transitional rules require Essential Energy to recover the costs of providing these services as part of standard control services for the transitional regulatory control period. For the subsequent regulatory control period metering costs will not be recovered via Essential Energy's standard control services revenue.</w:t>
      </w:r>
    </w:p>
    <w:p w:rsidR="00032BEE" w:rsidRPr="00985999" w:rsidRDefault="00032BEE" w:rsidP="00985999">
      <w:pPr>
        <w:pStyle w:val="Heading9"/>
        <w:rPr>
          <w:rStyle w:val="AERbody"/>
          <w:color w:val="E36C0A"/>
          <w:sz w:val="24"/>
        </w:rPr>
      </w:pPr>
      <w:r w:rsidRPr="00985999">
        <w:rPr>
          <w:rStyle w:val="AERbody"/>
          <w:color w:val="E36C0A"/>
          <w:sz w:val="24"/>
        </w:rPr>
        <w:lastRenderedPageBreak/>
        <w:t>Rate of return</w:t>
      </w:r>
    </w:p>
    <w:p w:rsidR="00032BEE" w:rsidRDefault="00032BEE" w:rsidP="00032BEE">
      <w:pPr>
        <w:pStyle w:val="AERbodytext"/>
        <w:numPr>
          <w:ilvl w:val="0"/>
          <w:numId w:val="6"/>
        </w:numPr>
        <w:rPr>
          <w:rStyle w:val="AERbody"/>
        </w:rPr>
      </w:pPr>
      <w:r>
        <w:rPr>
          <w:rStyle w:val="AERbody"/>
        </w:rPr>
        <w:t xml:space="preserve">Essential Energy </w:t>
      </w:r>
      <w:r w:rsidRPr="0000172E">
        <w:rPr>
          <w:rStyle w:val="AERbody"/>
        </w:rPr>
        <w:t>proposed</w:t>
      </w:r>
      <w:r>
        <w:rPr>
          <w:rStyle w:val="AERbody"/>
        </w:rPr>
        <w:t xml:space="preserve"> an indicative WACC range </w:t>
      </w:r>
      <w:r w:rsidRPr="0000172E">
        <w:rPr>
          <w:rStyle w:val="AERbody"/>
        </w:rPr>
        <w:t>of 8.5</w:t>
      </w:r>
      <w:r w:rsidR="001D00C7">
        <w:rPr>
          <w:rStyle w:val="AERbody"/>
        </w:rPr>
        <w:t xml:space="preserve"> to </w:t>
      </w:r>
      <w:r w:rsidRPr="0000172E">
        <w:rPr>
          <w:rStyle w:val="AERbody"/>
        </w:rPr>
        <w:t>9.1 per cent</w:t>
      </w:r>
      <w:r>
        <w:rPr>
          <w:rStyle w:val="AERbody"/>
        </w:rPr>
        <w:t xml:space="preserve"> for the </w:t>
      </w:r>
      <w:r w:rsidR="00A00775">
        <w:rPr>
          <w:rStyle w:val="AERbody"/>
        </w:rPr>
        <w:t>transitional</w:t>
      </w:r>
      <w:r>
        <w:rPr>
          <w:rStyle w:val="AERbody"/>
        </w:rPr>
        <w:t xml:space="preserve"> regulatory control period. This indicative WACC range</w:t>
      </w:r>
      <w:r w:rsidRPr="0000172E">
        <w:rPr>
          <w:rStyle w:val="AERbody"/>
        </w:rPr>
        <w:t xml:space="preserve"> reflect</w:t>
      </w:r>
      <w:r>
        <w:rPr>
          <w:rStyle w:val="AERbody"/>
        </w:rPr>
        <w:t>s</w:t>
      </w:r>
      <w:r w:rsidRPr="0000172E">
        <w:rPr>
          <w:rStyle w:val="AERbody"/>
        </w:rPr>
        <w:t xml:space="preserve"> the parameters shown in</w:t>
      </w:r>
      <w:r>
        <w:rPr>
          <w:rStyle w:val="AERbody"/>
        </w:rPr>
        <w:t xml:space="preserve"> </w:t>
      </w:r>
      <w:r w:rsidR="001D00C7">
        <w:rPr>
          <w:rStyle w:val="AERbody"/>
        </w:rPr>
        <w:fldChar w:fldCharType="begin"/>
      </w:r>
      <w:r w:rsidR="001D00C7">
        <w:rPr>
          <w:rStyle w:val="AERbody"/>
        </w:rPr>
        <w:instrText xml:space="preserve"> REF _Ref381717848 \h </w:instrText>
      </w:r>
      <w:r w:rsidR="001D00C7">
        <w:rPr>
          <w:rStyle w:val="AERbody"/>
        </w:rPr>
      </w:r>
      <w:r w:rsidR="001D00C7">
        <w:rPr>
          <w:rStyle w:val="AERbody"/>
        </w:rPr>
        <w:fldChar w:fldCharType="separate"/>
      </w:r>
      <w:r w:rsidR="00E313D7">
        <w:t xml:space="preserve">Table </w:t>
      </w:r>
      <w:r w:rsidR="00E313D7">
        <w:rPr>
          <w:noProof/>
        </w:rPr>
        <w:t>B</w:t>
      </w:r>
      <w:r w:rsidR="00E313D7">
        <w:t>.</w:t>
      </w:r>
      <w:r w:rsidR="00E313D7">
        <w:rPr>
          <w:noProof/>
        </w:rPr>
        <w:t>3</w:t>
      </w:r>
      <w:r w:rsidR="001D00C7">
        <w:rPr>
          <w:rStyle w:val="AERbody"/>
        </w:rPr>
        <w:fldChar w:fldCharType="end"/>
      </w:r>
      <w:r w:rsidR="001D00C7">
        <w:rPr>
          <w:rStyle w:val="AERbody"/>
        </w:rPr>
        <w:t xml:space="preserve">. </w:t>
      </w:r>
      <w:r>
        <w:rPr>
          <w:rStyle w:val="AERbody"/>
        </w:rPr>
        <w:t xml:space="preserve">Essential Energy </w:t>
      </w:r>
      <w:r w:rsidRPr="00875721">
        <w:rPr>
          <w:rStyle w:val="AERbody"/>
        </w:rPr>
        <w:t>considered multiple models and estimation methods</w:t>
      </w:r>
      <w:r>
        <w:rPr>
          <w:rStyle w:val="AERbody"/>
        </w:rPr>
        <w:t xml:space="preserve"> in estimating the return on equity,</w:t>
      </w:r>
      <w:r w:rsidRPr="00875721">
        <w:rPr>
          <w:rStyle w:val="AERbody"/>
        </w:rPr>
        <w:t xml:space="preserve"> before adopting a long-term average approach to arrive at a point estimate</w:t>
      </w:r>
      <w:r>
        <w:rPr>
          <w:rStyle w:val="AERbody"/>
        </w:rPr>
        <w:t>.</w:t>
      </w:r>
      <w:r>
        <w:rPr>
          <w:rStyle w:val="FootnoteReference"/>
        </w:rPr>
        <w:footnoteReference w:id="131"/>
      </w:r>
      <w:r>
        <w:rPr>
          <w:rStyle w:val="AERbody"/>
        </w:rPr>
        <w:t xml:space="preserve"> Essential Energy submitted that their approach is</w:t>
      </w:r>
      <w:r w:rsidRPr="00782AF4">
        <w:rPr>
          <w:rStyle w:val="AERbody"/>
        </w:rPr>
        <w:t xml:space="preserve"> consistent with the requirement to have regard to relevant estimation methods, financial models, market data and other evidence when determining the allowed rate of return</w:t>
      </w:r>
      <w:r>
        <w:rPr>
          <w:rStyle w:val="AERbody"/>
        </w:rPr>
        <w:t>.</w:t>
      </w:r>
      <w:r>
        <w:rPr>
          <w:rStyle w:val="FootnoteReference"/>
        </w:rPr>
        <w:footnoteReference w:id="132"/>
      </w:r>
      <w:r>
        <w:rPr>
          <w:rStyle w:val="AERbody"/>
        </w:rPr>
        <w:t xml:space="preserve"> Essential Energy</w:t>
      </w:r>
      <w:r w:rsidRPr="00782AF4">
        <w:rPr>
          <w:rStyle w:val="AERbody"/>
        </w:rPr>
        <w:t>’s return on equity estimates are based on a report commissioned in January 2014 by the Competition Economists Group (CEG)</w:t>
      </w:r>
      <w:r>
        <w:rPr>
          <w:rStyle w:val="AERbody"/>
        </w:rPr>
        <w:t>.</w:t>
      </w:r>
      <w:r>
        <w:rPr>
          <w:rStyle w:val="FootnoteReference"/>
        </w:rPr>
        <w:footnoteReference w:id="133"/>
      </w:r>
    </w:p>
    <w:p w:rsidR="00032BEE" w:rsidRDefault="00032BEE" w:rsidP="00032BEE">
      <w:pPr>
        <w:pStyle w:val="AERbodytext"/>
        <w:numPr>
          <w:ilvl w:val="0"/>
          <w:numId w:val="6"/>
        </w:numPr>
        <w:rPr>
          <w:rStyle w:val="AERbody"/>
        </w:rPr>
      </w:pPr>
      <w:r>
        <w:rPr>
          <w:rStyle w:val="AERbody"/>
        </w:rPr>
        <w:t xml:space="preserve">Essential Energy proposed to adopt a trailing average portfolio approach (with a </w:t>
      </w:r>
      <w:r w:rsidRPr="00782AF4">
        <w:rPr>
          <w:rStyle w:val="AERbody"/>
        </w:rPr>
        <w:t>10-year debt term and BBB+ credit rating</w:t>
      </w:r>
      <w:r>
        <w:rPr>
          <w:rStyle w:val="AERbody"/>
        </w:rPr>
        <w:t>)</w:t>
      </w:r>
      <w:r w:rsidRPr="00782AF4">
        <w:rPr>
          <w:rStyle w:val="AERbody"/>
        </w:rPr>
        <w:t xml:space="preserve"> </w:t>
      </w:r>
      <w:r>
        <w:rPr>
          <w:rStyle w:val="AERbody"/>
        </w:rPr>
        <w:t>to estimate the return on debt as set out in our</w:t>
      </w:r>
      <w:r w:rsidRPr="00782AF4">
        <w:rPr>
          <w:rStyle w:val="AERbody"/>
        </w:rPr>
        <w:t xml:space="preserve"> </w:t>
      </w:r>
      <w:r>
        <w:rPr>
          <w:rStyle w:val="AERbody"/>
        </w:rPr>
        <w:t>rate of return guideline</w:t>
      </w:r>
      <w:r w:rsidRPr="00782AF4">
        <w:rPr>
          <w:rStyle w:val="AERbody"/>
        </w:rPr>
        <w:t>.</w:t>
      </w:r>
      <w:r>
        <w:rPr>
          <w:rStyle w:val="FootnoteReference"/>
        </w:rPr>
        <w:footnoteReference w:id="134"/>
      </w:r>
      <w:r>
        <w:rPr>
          <w:rStyle w:val="AERbody"/>
        </w:rPr>
        <w:t xml:space="preserve"> </w:t>
      </w:r>
      <w:r w:rsidRPr="00782AF4">
        <w:rPr>
          <w:rStyle w:val="AERbody"/>
        </w:rPr>
        <w:t xml:space="preserve">However, they </w:t>
      </w:r>
      <w:r>
        <w:rPr>
          <w:rStyle w:val="AERbody"/>
        </w:rPr>
        <w:t xml:space="preserve">submitted that historical rates would best match their actual debt financing practices </w:t>
      </w:r>
      <w:r w:rsidRPr="00D9659D">
        <w:rPr>
          <w:rStyle w:val="AERbody"/>
        </w:rPr>
        <w:t>(the immediate adoption of a trailing average debt portfolio)</w:t>
      </w:r>
      <w:r>
        <w:rPr>
          <w:rStyle w:val="AERbody"/>
        </w:rPr>
        <w:t>.</w:t>
      </w:r>
      <w:r>
        <w:rPr>
          <w:rStyle w:val="FootnoteReference"/>
        </w:rPr>
        <w:footnoteReference w:id="135"/>
      </w:r>
      <w:r>
        <w:rPr>
          <w:rStyle w:val="AERbody"/>
        </w:rPr>
        <w:t xml:space="preserve"> </w:t>
      </w:r>
    </w:p>
    <w:p w:rsidR="00032BEE" w:rsidRDefault="00032BEE" w:rsidP="00032BEE">
      <w:pPr>
        <w:pStyle w:val="AERbodytext"/>
        <w:numPr>
          <w:ilvl w:val="0"/>
          <w:numId w:val="6"/>
        </w:numPr>
        <w:rPr>
          <w:rStyle w:val="AERbody"/>
        </w:rPr>
      </w:pPr>
      <w:r>
        <w:rPr>
          <w:rStyle w:val="AERbody"/>
        </w:rPr>
        <w:t xml:space="preserve">Essential Energy </w:t>
      </w:r>
      <w:r w:rsidRPr="00782AF4">
        <w:rPr>
          <w:rStyle w:val="AERbody"/>
        </w:rPr>
        <w:t xml:space="preserve">adopted a value of 0.25 </w:t>
      </w:r>
      <w:r>
        <w:rPr>
          <w:rStyle w:val="AERbody"/>
        </w:rPr>
        <w:t>for imputation credits (gamma).</w:t>
      </w:r>
      <w:r>
        <w:rPr>
          <w:rStyle w:val="FootnoteReference"/>
        </w:rPr>
        <w:footnoteReference w:id="136"/>
      </w:r>
      <w:r>
        <w:rPr>
          <w:rStyle w:val="AERbody"/>
        </w:rPr>
        <w:t xml:space="preserve"> </w:t>
      </w:r>
    </w:p>
    <w:p w:rsidR="00724615" w:rsidRPr="00985999" w:rsidRDefault="00724615" w:rsidP="00985999">
      <w:pPr>
        <w:pStyle w:val="Heading9"/>
        <w:rPr>
          <w:rStyle w:val="AERbody"/>
          <w:color w:val="E36C0A"/>
          <w:sz w:val="24"/>
        </w:rPr>
      </w:pPr>
      <w:r w:rsidRPr="00985999">
        <w:rPr>
          <w:rStyle w:val="AERbody"/>
          <w:color w:val="E36C0A"/>
          <w:sz w:val="24"/>
        </w:rPr>
        <w:t>RAB</w:t>
      </w:r>
    </w:p>
    <w:p w:rsidR="00724615" w:rsidRPr="00AE52E4" w:rsidRDefault="00724615" w:rsidP="00724615">
      <w:pPr>
        <w:pStyle w:val="AERbodytext"/>
        <w:numPr>
          <w:ilvl w:val="0"/>
          <w:numId w:val="6"/>
        </w:numPr>
        <w:rPr>
          <w:rStyle w:val="AERbody"/>
          <w:rFonts w:eastAsia="Calibri"/>
        </w:rPr>
      </w:pPr>
      <w:r w:rsidRPr="00571F28">
        <w:rPr>
          <w:rStyle w:val="AERbody"/>
        </w:rPr>
        <w:t xml:space="preserve">The opening RAB at 1 July 2014 is a key determinant of the allowed revenue for the </w:t>
      </w:r>
      <w:r>
        <w:rPr>
          <w:rStyle w:val="AERbody"/>
        </w:rPr>
        <w:t>transitional</w:t>
      </w:r>
      <w:r w:rsidRPr="00571F28">
        <w:rPr>
          <w:rStyle w:val="AERbody"/>
        </w:rPr>
        <w:t xml:space="preserve"> regulatory control period. It directly influences the return on capital and return of capital building blocks. </w:t>
      </w:r>
      <w:r w:rsidRPr="00DD1199">
        <w:rPr>
          <w:rStyle w:val="AERbody"/>
        </w:rPr>
        <w:fldChar w:fldCharType="begin"/>
      </w:r>
      <w:r w:rsidRPr="00DD1199">
        <w:rPr>
          <w:rStyle w:val="AERbody"/>
        </w:rPr>
        <w:instrText xml:space="preserve"> REF _Ref382566429 \h </w:instrText>
      </w:r>
      <w:r w:rsidRPr="00DD1199">
        <w:rPr>
          <w:rStyle w:val="AERbody"/>
        </w:rPr>
      </w:r>
      <w:r w:rsidRPr="00DD1199">
        <w:rPr>
          <w:rStyle w:val="AERbody"/>
        </w:rPr>
        <w:fldChar w:fldCharType="separate"/>
      </w:r>
      <w:r w:rsidR="00E313D7">
        <w:t xml:space="preserve">Table </w:t>
      </w:r>
      <w:r w:rsidR="00E313D7">
        <w:rPr>
          <w:noProof/>
        </w:rPr>
        <w:t>B</w:t>
      </w:r>
      <w:r w:rsidR="00E313D7">
        <w:t>.</w:t>
      </w:r>
      <w:r w:rsidR="00E313D7">
        <w:rPr>
          <w:noProof/>
        </w:rPr>
        <w:t>9</w:t>
      </w:r>
      <w:r w:rsidRPr="00DD1199">
        <w:rPr>
          <w:rStyle w:val="AERbody"/>
        </w:rPr>
        <w:fldChar w:fldCharType="end"/>
      </w:r>
      <w:r w:rsidRPr="00DD1199">
        <w:rPr>
          <w:rStyle w:val="AERbody"/>
        </w:rPr>
        <w:t xml:space="preserve"> shows Essential Energy’s proposed roll forward of its RAB across the 2009–14 regulatory control period in order to derive the opening RAB.</w:t>
      </w:r>
    </w:p>
    <w:p w:rsidR="00724615" w:rsidRDefault="002401A5" w:rsidP="003F0974">
      <w:pPr>
        <w:pStyle w:val="Caption"/>
        <w:keepLines/>
        <w:rPr>
          <w:rStyle w:val="AERbody"/>
        </w:rPr>
      </w:pPr>
      <w:bookmarkStart w:id="212" w:name="_Ref382566429"/>
      <w:r>
        <w:t>Table</w:t>
      </w:r>
      <w:r w:rsidR="00724615">
        <w:t xml:space="preserve"> </w:t>
      </w:r>
      <w:r w:rsidR="00DD155E">
        <w:fldChar w:fldCharType="begin"/>
      </w:r>
      <w:r w:rsidR="00DD155E">
        <w:instrText xml:space="preserve"> STYLEREF 7 \s </w:instrText>
      </w:r>
      <w:r w:rsidR="00DD155E">
        <w:fldChar w:fldCharType="separate"/>
      </w:r>
      <w:r w:rsidR="00E313D7">
        <w:rPr>
          <w:noProof/>
        </w:rPr>
        <w:t>B</w:t>
      </w:r>
      <w:r w:rsidR="00DD155E">
        <w:rPr>
          <w:noProof/>
        </w:rPr>
        <w:fldChar w:fldCharType="end"/>
      </w:r>
      <w:r>
        <w:t>.</w:t>
      </w:r>
      <w:r w:rsidR="00DD155E">
        <w:fldChar w:fldCharType="begin"/>
      </w:r>
      <w:r w:rsidR="00DD155E">
        <w:instrText xml:space="preserve"> SEQ Table_Apx \* ARABIC \s 7 </w:instrText>
      </w:r>
      <w:r w:rsidR="00DD155E">
        <w:fldChar w:fldCharType="separate"/>
      </w:r>
      <w:r w:rsidR="00E313D7">
        <w:rPr>
          <w:noProof/>
        </w:rPr>
        <w:t>9</w:t>
      </w:r>
      <w:r w:rsidR="00DD155E">
        <w:rPr>
          <w:noProof/>
        </w:rPr>
        <w:fldChar w:fldCharType="end"/>
      </w:r>
      <w:bookmarkEnd w:id="212"/>
      <w:r w:rsidR="00724615">
        <w:tab/>
      </w:r>
      <w:r w:rsidR="00724615" w:rsidRPr="00752B52">
        <w:t xml:space="preserve">Derivation of </w:t>
      </w:r>
      <w:r w:rsidR="00724615">
        <w:t>Essential Energy's</w:t>
      </w:r>
      <w:r w:rsidR="00724615" w:rsidRPr="00752B52">
        <w:t xml:space="preserve"> opening RAB as at 1 July 2014 ($m, nominal)</w:t>
      </w:r>
    </w:p>
    <w:tbl>
      <w:tblPr>
        <w:tblStyle w:val="AERtable-numbers"/>
        <w:tblW w:w="9180" w:type="dxa"/>
        <w:tblLook w:val="04A0" w:firstRow="1" w:lastRow="0" w:firstColumn="1" w:lastColumn="0" w:noHBand="0" w:noVBand="1"/>
      </w:tblPr>
      <w:tblGrid>
        <w:gridCol w:w="3280"/>
        <w:gridCol w:w="1180"/>
        <w:gridCol w:w="1180"/>
        <w:gridCol w:w="1180"/>
        <w:gridCol w:w="1180"/>
        <w:gridCol w:w="1180"/>
      </w:tblGrid>
      <w:tr w:rsidR="00724615" w:rsidRPr="00752B52" w:rsidTr="003F097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80" w:type="dxa"/>
            <w:hideMark/>
          </w:tcPr>
          <w:p w:rsidR="00724615" w:rsidRPr="00724615" w:rsidRDefault="00724615" w:rsidP="003F0974">
            <w:pPr>
              <w:pStyle w:val="AERtabletextleft"/>
              <w:keepNext/>
              <w:keepLines/>
              <w:spacing w:before="120" w:line="240" w:lineRule="auto"/>
            </w:pPr>
            <w:r w:rsidRPr="00DD1199">
              <w:t xml:space="preserve">RAB </w:t>
            </w:r>
          </w:p>
        </w:tc>
        <w:tc>
          <w:tcPr>
            <w:tcW w:w="1180" w:type="dxa"/>
            <w:hideMark/>
          </w:tcPr>
          <w:p w:rsidR="00724615" w:rsidRPr="00724615" w:rsidRDefault="00724615" w:rsidP="003F0974">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DD1199">
              <w:t>2009–10</w:t>
            </w:r>
          </w:p>
        </w:tc>
        <w:tc>
          <w:tcPr>
            <w:tcW w:w="1180" w:type="dxa"/>
            <w:hideMark/>
          </w:tcPr>
          <w:p w:rsidR="00724615" w:rsidRPr="00724615" w:rsidRDefault="00724615" w:rsidP="003F0974">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DD1199">
              <w:t>2010–11</w:t>
            </w:r>
          </w:p>
        </w:tc>
        <w:tc>
          <w:tcPr>
            <w:tcW w:w="1180" w:type="dxa"/>
            <w:hideMark/>
          </w:tcPr>
          <w:p w:rsidR="00724615" w:rsidRPr="00724615" w:rsidRDefault="00724615" w:rsidP="003F0974">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DD1199">
              <w:t>2011–12</w:t>
            </w:r>
          </w:p>
        </w:tc>
        <w:tc>
          <w:tcPr>
            <w:tcW w:w="1180" w:type="dxa"/>
            <w:hideMark/>
          </w:tcPr>
          <w:p w:rsidR="00724615" w:rsidRPr="00724615" w:rsidRDefault="00724615" w:rsidP="003F0974">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DD1199">
              <w:t>2012–13</w:t>
            </w:r>
          </w:p>
        </w:tc>
        <w:tc>
          <w:tcPr>
            <w:tcW w:w="1180" w:type="dxa"/>
            <w:hideMark/>
          </w:tcPr>
          <w:p w:rsidR="00724615" w:rsidRPr="00724615" w:rsidRDefault="00724615" w:rsidP="003F0974">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DD1199">
              <w:t>2013–14</w:t>
            </w:r>
          </w:p>
        </w:tc>
      </w:tr>
      <w:tr w:rsidR="00724615" w:rsidRPr="00752B52" w:rsidTr="003F0974">
        <w:trPr>
          <w:trHeight w:val="255"/>
        </w:trPr>
        <w:tc>
          <w:tcPr>
            <w:cnfStyle w:val="001000000000" w:firstRow="0" w:lastRow="0" w:firstColumn="1" w:lastColumn="0" w:oddVBand="0" w:evenVBand="0" w:oddHBand="0" w:evenHBand="0" w:firstRowFirstColumn="0" w:firstRowLastColumn="0" w:lastRowFirstColumn="0" w:lastRowLastColumn="0"/>
            <w:tcW w:w="3280" w:type="dxa"/>
            <w:hideMark/>
          </w:tcPr>
          <w:p w:rsidR="00724615" w:rsidRPr="00724615" w:rsidRDefault="00724615" w:rsidP="003F0974">
            <w:pPr>
              <w:pStyle w:val="AERtabletextleft"/>
              <w:keepNext/>
              <w:keepLines/>
              <w:spacing w:before="120" w:line="240" w:lineRule="auto"/>
            </w:pPr>
            <w:r w:rsidRPr="00DD1199">
              <w:t>Opening RAB</w:t>
            </w:r>
          </w:p>
        </w:tc>
        <w:tc>
          <w:tcPr>
            <w:tcW w:w="1180" w:type="dxa"/>
            <w:hideMark/>
          </w:tcPr>
          <w:p w:rsidR="00724615" w:rsidRPr="00724615" w:rsidRDefault="00724615" w:rsidP="003F0974">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4319 </w:t>
            </w:r>
          </w:p>
        </w:tc>
        <w:tc>
          <w:tcPr>
            <w:tcW w:w="1180" w:type="dxa"/>
            <w:hideMark/>
          </w:tcPr>
          <w:p w:rsidR="00724615" w:rsidRPr="00724615" w:rsidRDefault="00724615" w:rsidP="003F0974">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4821 </w:t>
            </w:r>
          </w:p>
        </w:tc>
        <w:tc>
          <w:tcPr>
            <w:tcW w:w="1180" w:type="dxa"/>
            <w:hideMark/>
          </w:tcPr>
          <w:p w:rsidR="00724615" w:rsidRPr="00724615" w:rsidRDefault="00724615" w:rsidP="003F0974">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5384 </w:t>
            </w:r>
          </w:p>
        </w:tc>
        <w:tc>
          <w:tcPr>
            <w:tcW w:w="1180" w:type="dxa"/>
            <w:hideMark/>
          </w:tcPr>
          <w:p w:rsidR="00724615" w:rsidRPr="00724615" w:rsidRDefault="00724615" w:rsidP="003F0974">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6066 </w:t>
            </w:r>
          </w:p>
        </w:tc>
        <w:tc>
          <w:tcPr>
            <w:tcW w:w="1180" w:type="dxa"/>
            <w:hideMark/>
          </w:tcPr>
          <w:p w:rsidR="00724615" w:rsidRPr="00724615" w:rsidRDefault="00724615" w:rsidP="003F0974">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6518 </w:t>
            </w:r>
          </w:p>
        </w:tc>
      </w:tr>
      <w:tr w:rsidR="00724615" w:rsidRPr="00752B52" w:rsidTr="003F0974">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80" w:type="dxa"/>
            <w:hideMark/>
          </w:tcPr>
          <w:p w:rsidR="00724615" w:rsidRPr="00724615" w:rsidRDefault="00724615" w:rsidP="003F0974">
            <w:pPr>
              <w:pStyle w:val="AERtabletextleft"/>
              <w:keepNext/>
              <w:keepLines/>
              <w:spacing w:before="120" w:line="240" w:lineRule="auto"/>
            </w:pPr>
            <w:r w:rsidRPr="00DD1199">
              <w:t>Net capital expenditure</w:t>
            </w:r>
          </w:p>
        </w:tc>
        <w:tc>
          <w:tcPr>
            <w:tcW w:w="1180" w:type="dxa"/>
            <w:hideMark/>
          </w:tcPr>
          <w:p w:rsidR="00724615" w:rsidRPr="00724615" w:rsidRDefault="00724615" w:rsidP="003F0974">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688 </w:t>
            </w:r>
          </w:p>
        </w:tc>
        <w:tc>
          <w:tcPr>
            <w:tcW w:w="1180" w:type="dxa"/>
            <w:hideMark/>
          </w:tcPr>
          <w:p w:rsidR="00724615" w:rsidRPr="00724615" w:rsidRDefault="00724615" w:rsidP="003F0974">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724 </w:t>
            </w:r>
          </w:p>
        </w:tc>
        <w:tc>
          <w:tcPr>
            <w:tcW w:w="1180" w:type="dxa"/>
            <w:hideMark/>
          </w:tcPr>
          <w:p w:rsidR="00724615" w:rsidRPr="00724615" w:rsidRDefault="00724615" w:rsidP="003F0974">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771 </w:t>
            </w:r>
          </w:p>
        </w:tc>
        <w:tc>
          <w:tcPr>
            <w:tcW w:w="1180" w:type="dxa"/>
            <w:hideMark/>
          </w:tcPr>
          <w:p w:rsidR="00724615" w:rsidRPr="00724615" w:rsidRDefault="00724615" w:rsidP="003F0974">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655 </w:t>
            </w:r>
          </w:p>
        </w:tc>
        <w:tc>
          <w:tcPr>
            <w:tcW w:w="1180" w:type="dxa"/>
            <w:hideMark/>
          </w:tcPr>
          <w:p w:rsidR="00724615" w:rsidRPr="00724615" w:rsidRDefault="00724615" w:rsidP="003F0974">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585 </w:t>
            </w:r>
          </w:p>
        </w:tc>
      </w:tr>
      <w:tr w:rsidR="00724615" w:rsidRPr="00752B52" w:rsidTr="003F0974">
        <w:trPr>
          <w:trHeight w:val="255"/>
        </w:trPr>
        <w:tc>
          <w:tcPr>
            <w:cnfStyle w:val="001000000000" w:firstRow="0" w:lastRow="0" w:firstColumn="1" w:lastColumn="0" w:oddVBand="0" w:evenVBand="0" w:oddHBand="0" w:evenHBand="0" w:firstRowFirstColumn="0" w:firstRowLastColumn="0" w:lastRowFirstColumn="0" w:lastRowLastColumn="0"/>
            <w:tcW w:w="3280" w:type="dxa"/>
            <w:hideMark/>
          </w:tcPr>
          <w:p w:rsidR="00724615" w:rsidRPr="00724615" w:rsidRDefault="00724615" w:rsidP="003F0974">
            <w:pPr>
              <w:pStyle w:val="AERtabletextleft"/>
              <w:keepNext/>
              <w:keepLines/>
              <w:spacing w:before="120" w:line="240" w:lineRule="auto"/>
            </w:pPr>
            <w:r w:rsidRPr="00DD1199">
              <w:t>Straight-line depreciation</w:t>
            </w:r>
          </w:p>
        </w:tc>
        <w:tc>
          <w:tcPr>
            <w:tcW w:w="1180" w:type="dxa"/>
            <w:hideMark/>
          </w:tcPr>
          <w:p w:rsidR="00724615" w:rsidRPr="00724615" w:rsidRDefault="00724615" w:rsidP="003F0974">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-266 </w:t>
            </w:r>
          </w:p>
        </w:tc>
        <w:tc>
          <w:tcPr>
            <w:tcW w:w="1180" w:type="dxa"/>
            <w:hideMark/>
          </w:tcPr>
          <w:p w:rsidR="00724615" w:rsidRPr="00724615" w:rsidRDefault="00724615" w:rsidP="003F0974">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-298 </w:t>
            </w:r>
          </w:p>
        </w:tc>
        <w:tc>
          <w:tcPr>
            <w:tcW w:w="1180" w:type="dxa"/>
            <w:hideMark/>
          </w:tcPr>
          <w:p w:rsidR="00724615" w:rsidRPr="00724615" w:rsidRDefault="00724615" w:rsidP="003F0974">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-272 </w:t>
            </w:r>
          </w:p>
        </w:tc>
        <w:tc>
          <w:tcPr>
            <w:tcW w:w="1180" w:type="dxa"/>
            <w:hideMark/>
          </w:tcPr>
          <w:p w:rsidR="00724615" w:rsidRPr="00724615" w:rsidRDefault="00724615" w:rsidP="003F0974">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-309 </w:t>
            </w:r>
          </w:p>
        </w:tc>
        <w:tc>
          <w:tcPr>
            <w:tcW w:w="1180" w:type="dxa"/>
            <w:hideMark/>
          </w:tcPr>
          <w:p w:rsidR="00724615" w:rsidRPr="00724615" w:rsidRDefault="00724615" w:rsidP="003F0974">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-334 </w:t>
            </w:r>
          </w:p>
        </w:tc>
      </w:tr>
      <w:tr w:rsidR="00724615" w:rsidRPr="00752B52" w:rsidTr="003F0974">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80" w:type="dxa"/>
            <w:hideMark/>
          </w:tcPr>
          <w:p w:rsidR="00724615" w:rsidRPr="00724615" w:rsidRDefault="00724615" w:rsidP="003F0974">
            <w:pPr>
              <w:pStyle w:val="AERtabletextleft"/>
              <w:keepNext/>
              <w:keepLines/>
              <w:spacing w:before="120" w:line="240" w:lineRule="auto"/>
            </w:pPr>
            <w:r w:rsidRPr="00DD1199">
              <w:t>Inflation adjustment</w:t>
            </w:r>
          </w:p>
        </w:tc>
        <w:tc>
          <w:tcPr>
            <w:tcW w:w="1180" w:type="dxa"/>
            <w:hideMark/>
          </w:tcPr>
          <w:p w:rsidR="00724615" w:rsidRPr="00724615" w:rsidRDefault="00724615" w:rsidP="003F0974">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79 </w:t>
            </w:r>
          </w:p>
        </w:tc>
        <w:tc>
          <w:tcPr>
            <w:tcW w:w="1180" w:type="dxa"/>
            <w:hideMark/>
          </w:tcPr>
          <w:p w:rsidR="00724615" w:rsidRPr="00724615" w:rsidRDefault="00724615" w:rsidP="003F0974">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137 </w:t>
            </w:r>
          </w:p>
        </w:tc>
        <w:tc>
          <w:tcPr>
            <w:tcW w:w="1180" w:type="dxa"/>
            <w:hideMark/>
          </w:tcPr>
          <w:p w:rsidR="00724615" w:rsidRPr="00724615" w:rsidRDefault="00724615" w:rsidP="003F0974">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182 </w:t>
            </w:r>
          </w:p>
        </w:tc>
        <w:tc>
          <w:tcPr>
            <w:tcW w:w="1180" w:type="dxa"/>
            <w:hideMark/>
          </w:tcPr>
          <w:p w:rsidR="00724615" w:rsidRPr="00724615" w:rsidRDefault="00724615" w:rsidP="003F0974">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107 </w:t>
            </w:r>
          </w:p>
        </w:tc>
        <w:tc>
          <w:tcPr>
            <w:tcW w:w="1180" w:type="dxa"/>
            <w:hideMark/>
          </w:tcPr>
          <w:p w:rsidR="00724615" w:rsidRPr="00724615" w:rsidRDefault="00724615" w:rsidP="003F0974">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163 </w:t>
            </w:r>
          </w:p>
        </w:tc>
      </w:tr>
      <w:tr w:rsidR="00724615" w:rsidRPr="00752B52" w:rsidTr="003F0974">
        <w:trPr>
          <w:trHeight w:val="270"/>
        </w:trPr>
        <w:tc>
          <w:tcPr>
            <w:cnfStyle w:val="001000000000" w:firstRow="0" w:lastRow="0" w:firstColumn="1" w:lastColumn="0" w:oddVBand="0" w:evenVBand="0" w:oddHBand="0" w:evenHBand="0" w:firstRowFirstColumn="0" w:firstRowLastColumn="0" w:lastRowFirstColumn="0" w:lastRowLastColumn="0"/>
            <w:tcW w:w="3280" w:type="dxa"/>
            <w:hideMark/>
          </w:tcPr>
          <w:p w:rsidR="00724615" w:rsidRPr="00724615" w:rsidRDefault="00724615" w:rsidP="003F0974">
            <w:pPr>
              <w:pStyle w:val="AERtabletextleft"/>
              <w:keepNext/>
              <w:keepLines/>
              <w:spacing w:before="120" w:line="240" w:lineRule="auto"/>
              <w:rPr>
                <w:rStyle w:val="AERtextbold"/>
              </w:rPr>
            </w:pPr>
            <w:r w:rsidRPr="00A33E9D">
              <w:rPr>
                <w:rStyle w:val="AERtextbold"/>
              </w:rPr>
              <w:t xml:space="preserve">Closing RAB </w:t>
            </w:r>
          </w:p>
        </w:tc>
        <w:tc>
          <w:tcPr>
            <w:tcW w:w="1180" w:type="dxa"/>
            <w:hideMark/>
          </w:tcPr>
          <w:p w:rsidR="00724615" w:rsidRPr="00724615" w:rsidRDefault="00724615" w:rsidP="003F0974">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4</w:t>
            </w:r>
            <w:r w:rsidRPr="00724615">
              <w:rPr>
                <w:rStyle w:val="AERtextbold"/>
              </w:rPr>
              <w:t xml:space="preserve">821 </w:t>
            </w:r>
          </w:p>
        </w:tc>
        <w:tc>
          <w:tcPr>
            <w:tcW w:w="1180" w:type="dxa"/>
            <w:hideMark/>
          </w:tcPr>
          <w:p w:rsidR="00724615" w:rsidRPr="00724615" w:rsidRDefault="00724615" w:rsidP="003F0974">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5</w:t>
            </w:r>
            <w:r w:rsidRPr="00724615">
              <w:rPr>
                <w:rStyle w:val="AERtextbold"/>
              </w:rPr>
              <w:t xml:space="preserve">384 </w:t>
            </w:r>
          </w:p>
        </w:tc>
        <w:tc>
          <w:tcPr>
            <w:tcW w:w="1180" w:type="dxa"/>
            <w:hideMark/>
          </w:tcPr>
          <w:p w:rsidR="00724615" w:rsidRPr="00724615" w:rsidRDefault="00724615" w:rsidP="003F0974">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6</w:t>
            </w:r>
            <w:r w:rsidRPr="00724615">
              <w:rPr>
                <w:rStyle w:val="AERtextbold"/>
              </w:rPr>
              <w:t xml:space="preserve">066 </w:t>
            </w:r>
          </w:p>
        </w:tc>
        <w:tc>
          <w:tcPr>
            <w:tcW w:w="1180" w:type="dxa"/>
            <w:hideMark/>
          </w:tcPr>
          <w:p w:rsidR="00724615" w:rsidRPr="00724615" w:rsidRDefault="00724615" w:rsidP="003F0974">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6</w:t>
            </w:r>
            <w:r w:rsidRPr="00724615">
              <w:rPr>
                <w:rStyle w:val="AERtextbold"/>
              </w:rPr>
              <w:t xml:space="preserve">518 </w:t>
            </w:r>
          </w:p>
        </w:tc>
        <w:tc>
          <w:tcPr>
            <w:tcW w:w="1180" w:type="dxa"/>
            <w:hideMark/>
          </w:tcPr>
          <w:p w:rsidR="00724615" w:rsidRPr="00724615" w:rsidRDefault="00724615" w:rsidP="003F0974">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6</w:t>
            </w:r>
            <w:r w:rsidRPr="00724615">
              <w:rPr>
                <w:rStyle w:val="AERtextbold"/>
              </w:rPr>
              <w:t xml:space="preserve">933 </w:t>
            </w:r>
          </w:p>
        </w:tc>
      </w:tr>
      <w:tr w:rsidR="00724615" w:rsidRPr="00752B52" w:rsidTr="003F0974">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80" w:type="dxa"/>
            <w:hideMark/>
          </w:tcPr>
          <w:p w:rsidR="00724615" w:rsidRPr="00724615" w:rsidRDefault="00724615" w:rsidP="003F0974">
            <w:pPr>
              <w:pStyle w:val="AERtabletextleft"/>
              <w:keepNext/>
              <w:keepLines/>
              <w:spacing w:before="120" w:line="240" w:lineRule="auto"/>
            </w:pPr>
            <w:r w:rsidRPr="00DD1199">
              <w:t xml:space="preserve">Net adjustments from </w:t>
            </w:r>
            <w:r w:rsidRPr="00724615">
              <w:t>2008–09</w:t>
            </w:r>
          </w:p>
        </w:tc>
        <w:tc>
          <w:tcPr>
            <w:tcW w:w="1180" w:type="dxa"/>
            <w:hideMark/>
          </w:tcPr>
          <w:p w:rsidR="00724615" w:rsidRPr="00724615" w:rsidRDefault="00724615" w:rsidP="003F0974">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 </w:t>
            </w:r>
          </w:p>
        </w:tc>
        <w:tc>
          <w:tcPr>
            <w:tcW w:w="1180" w:type="dxa"/>
            <w:hideMark/>
          </w:tcPr>
          <w:p w:rsidR="00724615" w:rsidRPr="00724615" w:rsidRDefault="00724615" w:rsidP="003F0974">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 </w:t>
            </w:r>
          </w:p>
        </w:tc>
        <w:tc>
          <w:tcPr>
            <w:tcW w:w="1180" w:type="dxa"/>
            <w:hideMark/>
          </w:tcPr>
          <w:p w:rsidR="00724615" w:rsidRPr="00724615" w:rsidRDefault="00724615" w:rsidP="003F0974">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 </w:t>
            </w:r>
          </w:p>
        </w:tc>
        <w:tc>
          <w:tcPr>
            <w:tcW w:w="1180" w:type="dxa"/>
            <w:hideMark/>
          </w:tcPr>
          <w:p w:rsidR="00724615" w:rsidRPr="00724615" w:rsidRDefault="00724615" w:rsidP="003F0974">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 </w:t>
            </w:r>
          </w:p>
        </w:tc>
        <w:tc>
          <w:tcPr>
            <w:tcW w:w="1180" w:type="dxa"/>
            <w:hideMark/>
          </w:tcPr>
          <w:p w:rsidR="00724615" w:rsidRPr="00724615" w:rsidRDefault="00724615" w:rsidP="003F0974">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-45 </w:t>
            </w:r>
          </w:p>
        </w:tc>
      </w:tr>
      <w:tr w:rsidR="00724615" w:rsidRPr="00752B52" w:rsidTr="003F0974">
        <w:trPr>
          <w:trHeight w:val="270"/>
        </w:trPr>
        <w:tc>
          <w:tcPr>
            <w:cnfStyle w:val="001000000000" w:firstRow="0" w:lastRow="0" w:firstColumn="1" w:lastColumn="0" w:oddVBand="0" w:evenVBand="0" w:oddHBand="0" w:evenHBand="0" w:firstRowFirstColumn="0" w:firstRowLastColumn="0" w:lastRowFirstColumn="0" w:lastRowLastColumn="0"/>
            <w:tcW w:w="3280" w:type="dxa"/>
            <w:hideMark/>
          </w:tcPr>
          <w:p w:rsidR="00724615" w:rsidRPr="00724615" w:rsidRDefault="00724615" w:rsidP="003F0974">
            <w:pPr>
              <w:pStyle w:val="AERtabletextleft"/>
              <w:keepNext/>
              <w:keepLines/>
              <w:spacing w:before="120" w:line="240" w:lineRule="auto"/>
              <w:rPr>
                <w:rStyle w:val="AERtextbold"/>
              </w:rPr>
            </w:pPr>
            <w:r w:rsidRPr="00A33E9D">
              <w:rPr>
                <w:rStyle w:val="AERtextbold"/>
              </w:rPr>
              <w:t>Opening RAB as at 1 July 2014</w:t>
            </w:r>
          </w:p>
        </w:tc>
        <w:tc>
          <w:tcPr>
            <w:tcW w:w="1180" w:type="dxa"/>
            <w:hideMark/>
          </w:tcPr>
          <w:p w:rsidR="00724615" w:rsidRPr="00724615" w:rsidRDefault="00724615" w:rsidP="003F0974">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Fonts w:hint="eastAsia"/>
              </w:rPr>
              <w:t> </w:t>
            </w:r>
          </w:p>
        </w:tc>
        <w:tc>
          <w:tcPr>
            <w:tcW w:w="1180" w:type="dxa"/>
            <w:hideMark/>
          </w:tcPr>
          <w:p w:rsidR="00724615" w:rsidRPr="00724615" w:rsidRDefault="00724615" w:rsidP="003F0974">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Fonts w:hint="eastAsia"/>
              </w:rPr>
              <w:t> </w:t>
            </w:r>
          </w:p>
        </w:tc>
        <w:tc>
          <w:tcPr>
            <w:tcW w:w="1180" w:type="dxa"/>
            <w:hideMark/>
          </w:tcPr>
          <w:p w:rsidR="00724615" w:rsidRPr="00724615" w:rsidRDefault="00724615" w:rsidP="003F0974">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Fonts w:hint="eastAsia"/>
              </w:rPr>
              <w:t> </w:t>
            </w:r>
          </w:p>
        </w:tc>
        <w:tc>
          <w:tcPr>
            <w:tcW w:w="1180" w:type="dxa"/>
            <w:hideMark/>
          </w:tcPr>
          <w:p w:rsidR="00724615" w:rsidRPr="00724615" w:rsidRDefault="00724615" w:rsidP="003F0974">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Fonts w:hint="eastAsia"/>
              </w:rPr>
              <w:t> </w:t>
            </w:r>
          </w:p>
        </w:tc>
        <w:tc>
          <w:tcPr>
            <w:tcW w:w="1180" w:type="dxa"/>
            <w:hideMark/>
          </w:tcPr>
          <w:p w:rsidR="00724615" w:rsidRPr="00724615" w:rsidRDefault="00724615" w:rsidP="003F0974">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6</w:t>
            </w:r>
            <w:r w:rsidRPr="00724615">
              <w:rPr>
                <w:rStyle w:val="AERtextbold"/>
              </w:rPr>
              <w:t xml:space="preserve">888 </w:t>
            </w:r>
          </w:p>
        </w:tc>
      </w:tr>
    </w:tbl>
    <w:p w:rsidR="00724615" w:rsidRDefault="00724615" w:rsidP="003F0974">
      <w:pPr>
        <w:pStyle w:val="AERtablesource"/>
        <w:keepNext/>
        <w:keepLines/>
      </w:pPr>
      <w:r w:rsidRPr="00102D82">
        <w:t>Source:</w:t>
      </w:r>
      <w:r w:rsidRPr="00102D82">
        <w:tab/>
      </w:r>
      <w:r>
        <w:t xml:space="preserve">Essential Energy, </w:t>
      </w:r>
      <w:r w:rsidRPr="00447042">
        <w:rPr>
          <w:rStyle w:val="AERtextitalic"/>
        </w:rPr>
        <w:t>Roll Forward Model</w:t>
      </w:r>
      <w:r>
        <w:t>,</w:t>
      </w:r>
      <w:r w:rsidRPr="00A2480F">
        <w:t xml:space="preserve"> January 2014.</w:t>
      </w:r>
      <w:r>
        <w:t xml:space="preserve"> </w:t>
      </w:r>
    </w:p>
    <w:p w:rsidR="00724615" w:rsidRDefault="00724615" w:rsidP="003F0974">
      <w:pPr>
        <w:pStyle w:val="AERtablesource"/>
      </w:pPr>
      <w:r w:rsidRPr="00693A45">
        <w:t>Notes:</w:t>
      </w:r>
      <w:r w:rsidRPr="00693A45">
        <w:tab/>
        <w:t>Numbers may not sum due to rounding</w:t>
      </w:r>
      <w:r>
        <w:t xml:space="preserve">. </w:t>
      </w:r>
    </w:p>
    <w:p w:rsidR="00724615" w:rsidRPr="002C62B3" w:rsidRDefault="00724615" w:rsidP="00724615">
      <w:pPr>
        <w:pStyle w:val="AERbodytext"/>
        <w:numPr>
          <w:ilvl w:val="0"/>
          <w:numId w:val="6"/>
        </w:numPr>
      </w:pPr>
      <w:r>
        <w:fldChar w:fldCharType="begin"/>
      </w:r>
      <w:r>
        <w:instrText xml:space="preserve"> REF _Ref382566429 \h </w:instrText>
      </w:r>
      <w:r>
        <w:fldChar w:fldCharType="separate"/>
      </w:r>
      <w:r w:rsidR="00E313D7">
        <w:t xml:space="preserve">Table </w:t>
      </w:r>
      <w:r w:rsidR="00E313D7">
        <w:rPr>
          <w:noProof/>
        </w:rPr>
        <w:t>B</w:t>
      </w:r>
      <w:r w:rsidR="00E313D7">
        <w:t>.</w:t>
      </w:r>
      <w:r w:rsidR="00E313D7">
        <w:rPr>
          <w:noProof/>
        </w:rPr>
        <w:t>9</w:t>
      </w:r>
      <w:r>
        <w:fldChar w:fldCharType="end"/>
      </w:r>
      <w:r>
        <w:t xml:space="preserve"> </w:t>
      </w:r>
      <w:r w:rsidRPr="002C62B3">
        <w:t>also include</w:t>
      </w:r>
      <w:r>
        <w:t>s</w:t>
      </w:r>
      <w:r w:rsidRPr="002C62B3">
        <w:t xml:space="preserve"> adjustments that relate to 2008–09. When the AER made its determination for the </w:t>
      </w:r>
      <w:r>
        <w:t>current</w:t>
      </w:r>
      <w:r w:rsidRPr="002C62B3">
        <w:t xml:space="preserve"> regulatory control period, final figures for 2008–09 could not be obtained (since the year was not yet complete). Hence, </w:t>
      </w:r>
      <w:r>
        <w:t>Essential Energy</w:t>
      </w:r>
      <w:r w:rsidRPr="002C62B3">
        <w:t>’s proposal adjusts for the difference between actual and estimated capex for the 2008–09 financial year.</w:t>
      </w:r>
    </w:p>
    <w:p w:rsidR="00724615" w:rsidRPr="00FD2223" w:rsidRDefault="00724615" w:rsidP="00724615">
      <w:pPr>
        <w:pStyle w:val="AERbodytext"/>
        <w:numPr>
          <w:ilvl w:val="0"/>
          <w:numId w:val="6"/>
        </w:numPr>
      </w:pPr>
      <w:r>
        <w:lastRenderedPageBreak/>
        <w:fldChar w:fldCharType="begin"/>
      </w:r>
      <w:r>
        <w:instrText xml:space="preserve"> REF _Ref382566554 \h </w:instrText>
      </w:r>
      <w:r>
        <w:fldChar w:fldCharType="separate"/>
      </w:r>
      <w:r w:rsidR="00E313D7">
        <w:t xml:space="preserve">Table </w:t>
      </w:r>
      <w:r w:rsidR="00E313D7">
        <w:rPr>
          <w:noProof/>
        </w:rPr>
        <w:t>B</w:t>
      </w:r>
      <w:r w:rsidR="00E313D7">
        <w:t>.</w:t>
      </w:r>
      <w:r w:rsidR="00E313D7">
        <w:rPr>
          <w:noProof/>
        </w:rPr>
        <w:t>10</w:t>
      </w:r>
      <w:r>
        <w:fldChar w:fldCharType="end"/>
      </w:r>
      <w:r>
        <w:t xml:space="preserve"> </w:t>
      </w:r>
      <w:r w:rsidRPr="002C62B3">
        <w:t>show</w:t>
      </w:r>
      <w:r>
        <w:t>s</w:t>
      </w:r>
      <w:r w:rsidRPr="002C62B3">
        <w:t xml:space="preserve"> </w:t>
      </w:r>
      <w:r>
        <w:t>Essential Energy</w:t>
      </w:r>
      <w:r w:rsidRPr="002C62B3">
        <w:t xml:space="preserve">’s proposed roll forward of the </w:t>
      </w:r>
      <w:r>
        <w:t>RAB</w:t>
      </w:r>
      <w:r w:rsidRPr="002C62B3">
        <w:t xml:space="preserve"> from 1 July 2014 to 30 June 2019. This </w:t>
      </w:r>
      <w:r>
        <w:t xml:space="preserve">roll forward </w:t>
      </w:r>
      <w:r w:rsidRPr="002C62B3">
        <w:t>builds on the proposed capex outlined above.</w:t>
      </w:r>
    </w:p>
    <w:p w:rsidR="00724615" w:rsidRDefault="002401A5" w:rsidP="00724615">
      <w:pPr>
        <w:pStyle w:val="Caption"/>
        <w:rPr>
          <w:rStyle w:val="AERbody"/>
        </w:rPr>
      </w:pPr>
      <w:bookmarkStart w:id="213" w:name="_Ref382566554"/>
      <w:r>
        <w:t>Table</w:t>
      </w:r>
      <w:r w:rsidR="001D00C7">
        <w:t xml:space="preserve"> </w:t>
      </w:r>
      <w:r w:rsidR="00DD155E">
        <w:fldChar w:fldCharType="begin"/>
      </w:r>
      <w:r w:rsidR="00DD155E">
        <w:instrText xml:space="preserve"> STYLEREF 7 \s </w:instrText>
      </w:r>
      <w:r w:rsidR="00DD155E">
        <w:fldChar w:fldCharType="separate"/>
      </w:r>
      <w:r w:rsidR="00E313D7">
        <w:rPr>
          <w:noProof/>
        </w:rPr>
        <w:t>B</w:t>
      </w:r>
      <w:r w:rsidR="00DD155E">
        <w:rPr>
          <w:noProof/>
        </w:rPr>
        <w:fldChar w:fldCharType="end"/>
      </w:r>
      <w:r>
        <w:t>.</w:t>
      </w:r>
      <w:r w:rsidR="00DD155E">
        <w:fldChar w:fldCharType="begin"/>
      </w:r>
      <w:r w:rsidR="00DD155E">
        <w:instrText xml:space="preserve"> SEQ Tab</w:instrText>
      </w:r>
      <w:r w:rsidR="00DD155E">
        <w:instrText xml:space="preserve">le_Apx \* ARABIC \s 7 </w:instrText>
      </w:r>
      <w:r w:rsidR="00DD155E">
        <w:fldChar w:fldCharType="separate"/>
      </w:r>
      <w:r w:rsidR="00E313D7">
        <w:rPr>
          <w:noProof/>
        </w:rPr>
        <w:t>10</w:t>
      </w:r>
      <w:r w:rsidR="00DD155E">
        <w:rPr>
          <w:noProof/>
        </w:rPr>
        <w:fldChar w:fldCharType="end"/>
      </w:r>
      <w:bookmarkEnd w:id="213"/>
      <w:r w:rsidR="00724615">
        <w:tab/>
        <w:t>Essential Energy</w:t>
      </w:r>
      <w:r w:rsidR="00724615" w:rsidRPr="00752B52">
        <w:t>'s proposed RAB 2014</w:t>
      </w:r>
      <w:r w:rsidR="00724615">
        <w:t>–</w:t>
      </w:r>
      <w:r w:rsidR="00724615" w:rsidRPr="00752B52">
        <w:t>19 ($m, nominal)</w:t>
      </w:r>
    </w:p>
    <w:tbl>
      <w:tblPr>
        <w:tblStyle w:val="AERtable-numbers"/>
        <w:tblW w:w="9180" w:type="dxa"/>
        <w:tblLook w:val="04A0" w:firstRow="1" w:lastRow="0" w:firstColumn="1" w:lastColumn="0" w:noHBand="0" w:noVBand="1"/>
      </w:tblPr>
      <w:tblGrid>
        <w:gridCol w:w="3100"/>
        <w:gridCol w:w="1216"/>
        <w:gridCol w:w="1216"/>
        <w:gridCol w:w="1216"/>
        <w:gridCol w:w="1216"/>
        <w:gridCol w:w="1216"/>
      </w:tblGrid>
      <w:tr w:rsidR="00724615" w:rsidRPr="00752B52" w:rsidTr="00185BB3">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00" w:type="dxa"/>
            <w:hideMark/>
          </w:tcPr>
          <w:p w:rsidR="00724615" w:rsidRPr="00724615" w:rsidRDefault="00724615" w:rsidP="00724615">
            <w:pPr>
              <w:pStyle w:val="AERtabletextleft"/>
            </w:pPr>
            <w:r w:rsidRPr="00DD1199">
              <w:t xml:space="preserve">RAB </w:t>
            </w:r>
          </w:p>
        </w:tc>
        <w:tc>
          <w:tcPr>
            <w:tcW w:w="1216" w:type="dxa"/>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 xml:space="preserve">2014–15 </w:t>
            </w:r>
          </w:p>
        </w:tc>
        <w:tc>
          <w:tcPr>
            <w:tcW w:w="1216" w:type="dxa"/>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 xml:space="preserve">2015–16 </w:t>
            </w:r>
          </w:p>
        </w:tc>
        <w:tc>
          <w:tcPr>
            <w:tcW w:w="1216" w:type="dxa"/>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 xml:space="preserve">2016–17 </w:t>
            </w:r>
          </w:p>
        </w:tc>
        <w:tc>
          <w:tcPr>
            <w:tcW w:w="1216" w:type="dxa"/>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 xml:space="preserve">2017–18 </w:t>
            </w:r>
          </w:p>
        </w:tc>
        <w:tc>
          <w:tcPr>
            <w:tcW w:w="1216" w:type="dxa"/>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 xml:space="preserve">2018–19 </w:t>
            </w:r>
          </w:p>
        </w:tc>
      </w:tr>
      <w:tr w:rsidR="00724615" w:rsidRPr="00752B52" w:rsidTr="00185BB3">
        <w:trPr>
          <w:trHeight w:val="255"/>
        </w:trPr>
        <w:tc>
          <w:tcPr>
            <w:cnfStyle w:val="001000000000" w:firstRow="0" w:lastRow="0" w:firstColumn="1" w:lastColumn="0" w:oddVBand="0" w:evenVBand="0" w:oddHBand="0" w:evenHBand="0" w:firstRowFirstColumn="0" w:firstRowLastColumn="0" w:lastRowFirstColumn="0" w:lastRowLastColumn="0"/>
            <w:tcW w:w="3100" w:type="dxa"/>
            <w:shd w:val="clear" w:color="auto" w:fill="auto"/>
            <w:hideMark/>
          </w:tcPr>
          <w:p w:rsidR="00724615" w:rsidRPr="00724615" w:rsidRDefault="00724615" w:rsidP="00724615">
            <w:pPr>
              <w:pStyle w:val="AERtabletextleft"/>
            </w:pPr>
            <w:r w:rsidRPr="00DD1199">
              <w:t>Opening RAB</w:t>
            </w:r>
          </w:p>
        </w:tc>
        <w:tc>
          <w:tcPr>
            <w:tcW w:w="1216"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6790 </w:t>
            </w:r>
          </w:p>
        </w:tc>
        <w:tc>
          <w:tcPr>
            <w:tcW w:w="1216"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7278 </w:t>
            </w:r>
          </w:p>
        </w:tc>
        <w:tc>
          <w:tcPr>
            <w:tcW w:w="1216"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7699 </w:t>
            </w:r>
          </w:p>
        </w:tc>
        <w:tc>
          <w:tcPr>
            <w:tcW w:w="1216"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8121 </w:t>
            </w:r>
          </w:p>
        </w:tc>
        <w:tc>
          <w:tcPr>
            <w:tcW w:w="1216"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8533 </w:t>
            </w:r>
          </w:p>
        </w:tc>
      </w:tr>
      <w:tr w:rsidR="00724615" w:rsidRPr="00752B52" w:rsidTr="00185BB3">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00" w:type="dxa"/>
            <w:hideMark/>
          </w:tcPr>
          <w:p w:rsidR="00724615" w:rsidRPr="00724615" w:rsidRDefault="00724615" w:rsidP="00724615">
            <w:pPr>
              <w:pStyle w:val="AERtabletextleft"/>
            </w:pPr>
            <w:r w:rsidRPr="00DD1199">
              <w:t>Net capital expenditure</w:t>
            </w:r>
          </w:p>
        </w:tc>
        <w:tc>
          <w:tcPr>
            <w:tcW w:w="1216"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587 </w:t>
            </w:r>
          </w:p>
        </w:tc>
        <w:tc>
          <w:tcPr>
            <w:tcW w:w="1216"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539 </w:t>
            </w:r>
          </w:p>
        </w:tc>
        <w:tc>
          <w:tcPr>
            <w:tcW w:w="1216"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554 </w:t>
            </w:r>
          </w:p>
        </w:tc>
        <w:tc>
          <w:tcPr>
            <w:tcW w:w="1216"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548 </w:t>
            </w:r>
          </w:p>
        </w:tc>
        <w:tc>
          <w:tcPr>
            <w:tcW w:w="1216"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549 </w:t>
            </w:r>
          </w:p>
        </w:tc>
      </w:tr>
      <w:tr w:rsidR="00724615" w:rsidRPr="00752B52" w:rsidTr="00185BB3">
        <w:trPr>
          <w:trHeight w:val="255"/>
        </w:trPr>
        <w:tc>
          <w:tcPr>
            <w:cnfStyle w:val="001000000000" w:firstRow="0" w:lastRow="0" w:firstColumn="1" w:lastColumn="0" w:oddVBand="0" w:evenVBand="0" w:oddHBand="0" w:evenHBand="0" w:firstRowFirstColumn="0" w:firstRowLastColumn="0" w:lastRowFirstColumn="0" w:lastRowLastColumn="0"/>
            <w:tcW w:w="3100" w:type="dxa"/>
            <w:shd w:val="clear" w:color="auto" w:fill="auto"/>
            <w:hideMark/>
          </w:tcPr>
          <w:p w:rsidR="00724615" w:rsidRPr="00724615" w:rsidRDefault="00724615" w:rsidP="00724615">
            <w:pPr>
              <w:pStyle w:val="AERtabletextleft"/>
            </w:pPr>
            <w:r w:rsidRPr="00DD1199">
              <w:t>Straight-line depreciation</w:t>
            </w:r>
          </w:p>
        </w:tc>
        <w:tc>
          <w:tcPr>
            <w:tcW w:w="1216"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-269 </w:t>
            </w:r>
          </w:p>
        </w:tc>
        <w:tc>
          <w:tcPr>
            <w:tcW w:w="1216"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-300 </w:t>
            </w:r>
          </w:p>
        </w:tc>
        <w:tc>
          <w:tcPr>
            <w:tcW w:w="1216"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-325 </w:t>
            </w:r>
          </w:p>
        </w:tc>
        <w:tc>
          <w:tcPr>
            <w:tcW w:w="1216"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-338 </w:t>
            </w:r>
          </w:p>
        </w:tc>
        <w:tc>
          <w:tcPr>
            <w:tcW w:w="1216"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-342 </w:t>
            </w:r>
          </w:p>
        </w:tc>
      </w:tr>
      <w:tr w:rsidR="00724615" w:rsidRPr="00752B52" w:rsidTr="00185BB3">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00" w:type="dxa"/>
            <w:hideMark/>
          </w:tcPr>
          <w:p w:rsidR="00724615" w:rsidRPr="00724615" w:rsidRDefault="00724615" w:rsidP="00724615">
            <w:pPr>
              <w:pStyle w:val="AERtabletextleft"/>
              <w:rPr>
                <w:rStyle w:val="AERsuperscript"/>
              </w:rPr>
            </w:pPr>
            <w:r w:rsidRPr="00DD1199">
              <w:t>Inflation adjustment</w:t>
            </w:r>
            <w:r w:rsidRPr="00724615">
              <w:rPr>
                <w:rStyle w:val="AERsuperscript"/>
              </w:rPr>
              <w:t>a</w:t>
            </w:r>
          </w:p>
        </w:tc>
        <w:tc>
          <w:tcPr>
            <w:tcW w:w="1216"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170 </w:t>
            </w:r>
          </w:p>
        </w:tc>
        <w:tc>
          <w:tcPr>
            <w:tcW w:w="1216"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182 </w:t>
            </w:r>
          </w:p>
        </w:tc>
        <w:tc>
          <w:tcPr>
            <w:tcW w:w="1216"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192 </w:t>
            </w:r>
          </w:p>
        </w:tc>
        <w:tc>
          <w:tcPr>
            <w:tcW w:w="1216"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203 </w:t>
            </w:r>
          </w:p>
        </w:tc>
        <w:tc>
          <w:tcPr>
            <w:tcW w:w="1216"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213 </w:t>
            </w:r>
          </w:p>
        </w:tc>
      </w:tr>
      <w:tr w:rsidR="00724615" w:rsidRPr="00752B52" w:rsidTr="00185BB3">
        <w:trPr>
          <w:trHeight w:val="270"/>
        </w:trPr>
        <w:tc>
          <w:tcPr>
            <w:cnfStyle w:val="001000000000" w:firstRow="0" w:lastRow="0" w:firstColumn="1" w:lastColumn="0" w:oddVBand="0" w:evenVBand="0" w:oddHBand="0" w:evenHBand="0" w:firstRowFirstColumn="0" w:firstRowLastColumn="0" w:lastRowFirstColumn="0" w:lastRowLastColumn="0"/>
            <w:tcW w:w="3100" w:type="dxa"/>
            <w:shd w:val="clear" w:color="auto" w:fill="auto"/>
            <w:hideMark/>
          </w:tcPr>
          <w:p w:rsidR="00724615" w:rsidRPr="00724615" w:rsidRDefault="00724615" w:rsidP="00724615">
            <w:pPr>
              <w:pStyle w:val="AERtabletextleft"/>
              <w:rPr>
                <w:rStyle w:val="AERtextbold"/>
              </w:rPr>
            </w:pPr>
            <w:r w:rsidRPr="00A33E9D">
              <w:rPr>
                <w:rStyle w:val="AERtextbold"/>
              </w:rPr>
              <w:t xml:space="preserve">Closing RAB </w:t>
            </w:r>
          </w:p>
        </w:tc>
        <w:tc>
          <w:tcPr>
            <w:tcW w:w="1216"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7</w:t>
            </w:r>
            <w:r w:rsidRPr="00724615">
              <w:rPr>
                <w:rStyle w:val="AERtextbold"/>
              </w:rPr>
              <w:t xml:space="preserve">278 </w:t>
            </w:r>
          </w:p>
        </w:tc>
        <w:tc>
          <w:tcPr>
            <w:tcW w:w="1216"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7</w:t>
            </w:r>
            <w:r w:rsidRPr="00724615">
              <w:rPr>
                <w:rStyle w:val="AERtextbold"/>
              </w:rPr>
              <w:t xml:space="preserve">699 </w:t>
            </w:r>
          </w:p>
        </w:tc>
        <w:tc>
          <w:tcPr>
            <w:tcW w:w="1216"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8</w:t>
            </w:r>
            <w:r w:rsidRPr="00724615">
              <w:rPr>
                <w:rStyle w:val="AERtextbold"/>
              </w:rPr>
              <w:t xml:space="preserve">121 </w:t>
            </w:r>
          </w:p>
        </w:tc>
        <w:tc>
          <w:tcPr>
            <w:tcW w:w="1216"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8</w:t>
            </w:r>
            <w:r w:rsidRPr="00724615">
              <w:rPr>
                <w:rStyle w:val="AERtextbold"/>
              </w:rPr>
              <w:t xml:space="preserve">533 </w:t>
            </w:r>
          </w:p>
        </w:tc>
        <w:tc>
          <w:tcPr>
            <w:tcW w:w="1216"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8</w:t>
            </w:r>
            <w:r w:rsidRPr="00724615">
              <w:rPr>
                <w:rStyle w:val="AERtextbold"/>
              </w:rPr>
              <w:t xml:space="preserve">953 </w:t>
            </w:r>
          </w:p>
        </w:tc>
      </w:tr>
    </w:tbl>
    <w:p w:rsidR="00724615" w:rsidRDefault="00724615" w:rsidP="00724615">
      <w:pPr>
        <w:pStyle w:val="AERtablesource"/>
      </w:pPr>
      <w:r w:rsidRPr="00102D82">
        <w:t>Source:</w:t>
      </w:r>
      <w:r w:rsidRPr="00102D82">
        <w:tab/>
      </w:r>
      <w:r>
        <w:t xml:space="preserve">Essential Energy, </w:t>
      </w:r>
      <w:r w:rsidRPr="00447042">
        <w:rPr>
          <w:rStyle w:val="AERtextitalic"/>
        </w:rPr>
        <w:t>Transitional regulatory proposal</w:t>
      </w:r>
      <w:r w:rsidRPr="00A2480F">
        <w:t xml:space="preserve">, January 2014. </w:t>
      </w:r>
      <w:r>
        <w:t>Essential</w:t>
      </w:r>
      <w:r w:rsidRPr="00A2480F">
        <w:t xml:space="preserve"> Energy, </w:t>
      </w:r>
      <w:r w:rsidRPr="00447042">
        <w:rPr>
          <w:rStyle w:val="AERtextitalic"/>
        </w:rPr>
        <w:t>Post</w:t>
      </w:r>
      <w:r>
        <w:rPr>
          <w:rStyle w:val="AERtextitalic"/>
        </w:rPr>
        <w:t>-</w:t>
      </w:r>
      <w:r w:rsidRPr="00447042">
        <w:rPr>
          <w:rStyle w:val="AERtextitalic"/>
        </w:rPr>
        <w:t>Tax Revenue Model</w:t>
      </w:r>
      <w:r>
        <w:t>,</w:t>
      </w:r>
      <w:r w:rsidRPr="00A2480F">
        <w:t xml:space="preserve"> January 2014.</w:t>
      </w:r>
    </w:p>
    <w:p w:rsidR="00724615" w:rsidRDefault="00724615" w:rsidP="00724615">
      <w:pPr>
        <w:pStyle w:val="AERtablesource"/>
      </w:pPr>
      <w:r w:rsidRPr="00693A45">
        <w:t>Notes:</w:t>
      </w:r>
      <w:r w:rsidRPr="00693A45">
        <w:tab/>
        <w:t>Numbers may not sum due to rounding.</w:t>
      </w:r>
    </w:p>
    <w:p w:rsidR="00724615" w:rsidRPr="00724615" w:rsidRDefault="00B75E0D" w:rsidP="00724615">
      <w:pPr>
        <w:pStyle w:val="AERtablesource"/>
      </w:pPr>
      <w:r>
        <w:tab/>
      </w:r>
      <w:r w:rsidR="00724615">
        <w:t>a.</w:t>
      </w:r>
      <w:r w:rsidR="00724615">
        <w:tab/>
        <w:t>Based on a forecast inflation rate of 2.50 per cent per annum</w:t>
      </w:r>
      <w:r w:rsidR="00724615" w:rsidRPr="00724615">
        <w:t xml:space="preserve">. </w:t>
      </w:r>
    </w:p>
    <w:p w:rsidR="00724615" w:rsidRPr="00985999" w:rsidRDefault="00724615" w:rsidP="00985999">
      <w:pPr>
        <w:pStyle w:val="Heading9"/>
        <w:rPr>
          <w:rStyle w:val="AERbody"/>
          <w:color w:val="E36C0A"/>
          <w:sz w:val="24"/>
        </w:rPr>
      </w:pPr>
      <w:r w:rsidRPr="00985999">
        <w:rPr>
          <w:rStyle w:val="AERbody"/>
          <w:color w:val="E36C0A"/>
          <w:sz w:val="24"/>
        </w:rPr>
        <w:t>Operating expenditure</w:t>
      </w:r>
    </w:p>
    <w:p w:rsidR="00724615" w:rsidRPr="008F3582" w:rsidRDefault="00724615" w:rsidP="00724615">
      <w:r>
        <w:t xml:space="preserve">Essential Energy </w:t>
      </w:r>
      <w:r w:rsidRPr="008F3582">
        <w:t>has used the actual opex</w:t>
      </w:r>
      <w:r w:rsidR="005606AC">
        <w:t xml:space="preserve"> of 2012–</w:t>
      </w:r>
      <w:r w:rsidRPr="008F3582">
        <w:t>13 as its base year. To derive forecast opex for 2014</w:t>
      </w:r>
      <w:r w:rsidR="005606AC">
        <w:t>–</w:t>
      </w:r>
      <w:r w:rsidRPr="008F3582">
        <w:t>15 to 2018</w:t>
      </w:r>
      <w:r w:rsidR="005606AC">
        <w:t>–</w:t>
      </w:r>
      <w:r w:rsidRPr="008F3582">
        <w:t>19 Essential energy has added opex for the following factors:</w:t>
      </w:r>
    </w:p>
    <w:p w:rsidR="00724615" w:rsidRPr="008F3582" w:rsidRDefault="00185BB3" w:rsidP="00C23850">
      <w:pPr>
        <w:pStyle w:val="AERbulletlistfirststyle"/>
      </w:pPr>
      <w:r>
        <w:t>f</w:t>
      </w:r>
      <w:r w:rsidR="00724615" w:rsidRPr="008F3582">
        <w:t>orecast changes in labour costs</w:t>
      </w:r>
      <w:r w:rsidR="00724615" w:rsidRPr="008F3582">
        <w:rPr>
          <w:rStyle w:val="FootnoteReference"/>
        </w:rPr>
        <w:footnoteReference w:id="137"/>
      </w:r>
    </w:p>
    <w:p w:rsidR="00724615" w:rsidRPr="008F3582" w:rsidRDefault="00185BB3" w:rsidP="00C23850">
      <w:pPr>
        <w:pStyle w:val="AERbulletlistfirststyle"/>
      </w:pPr>
      <w:r>
        <w:t>l</w:t>
      </w:r>
      <w:r w:rsidR="00724615" w:rsidRPr="008F3582">
        <w:t>oss of synergy from the sale of associated retail service providers</w:t>
      </w:r>
      <w:r w:rsidR="00724615" w:rsidRPr="008F3582">
        <w:rPr>
          <w:rStyle w:val="FootnoteReference"/>
        </w:rPr>
        <w:footnoteReference w:id="138"/>
      </w:r>
    </w:p>
    <w:p w:rsidR="00724615" w:rsidRPr="008F3582" w:rsidRDefault="00185BB3" w:rsidP="00C23850">
      <w:pPr>
        <w:pStyle w:val="AERbulletlistfirststyle"/>
      </w:pPr>
      <w:r>
        <w:t>t</w:t>
      </w:r>
      <w:r w:rsidR="00724615" w:rsidRPr="008F3582">
        <w:t>he impact of reductions capex on opex requirements including the impact of a reduced capex program on its cost structures</w:t>
      </w:r>
      <w:r w:rsidR="00724615" w:rsidRPr="008F3582">
        <w:rPr>
          <w:rStyle w:val="FootnoteReference"/>
        </w:rPr>
        <w:footnoteReference w:id="139"/>
      </w:r>
    </w:p>
    <w:p w:rsidR="00724615" w:rsidRPr="008F3582" w:rsidRDefault="00185BB3" w:rsidP="00C23850">
      <w:pPr>
        <w:pStyle w:val="AERbulletlistfirststyle"/>
      </w:pPr>
      <w:r>
        <w:t>i</w:t>
      </w:r>
      <w:r w:rsidR="00724615" w:rsidRPr="008F3582">
        <w:t>ncrease in opex due to network growth</w:t>
      </w:r>
      <w:r>
        <w:t>.</w:t>
      </w:r>
      <w:r w:rsidR="00724615" w:rsidRPr="008F3582">
        <w:rPr>
          <w:rStyle w:val="FootnoteReference"/>
        </w:rPr>
        <w:footnoteReference w:id="140"/>
      </w:r>
    </w:p>
    <w:p w:rsidR="00724615" w:rsidRPr="008F3582" w:rsidRDefault="00724615" w:rsidP="00724615">
      <w:r>
        <w:t>Essential E</w:t>
      </w:r>
      <w:r w:rsidRPr="008F3582">
        <w:t>nergy has also forecast productivity improvements to offset some of the cost increases identified above.</w:t>
      </w:r>
    </w:p>
    <w:p w:rsidR="00724615" w:rsidRPr="008F3582" w:rsidRDefault="001D00C7" w:rsidP="001D00C7">
      <w:pPr>
        <w:pStyle w:val="Caption"/>
        <w:jc w:val="left"/>
      </w:pPr>
      <w:bookmarkStart w:id="214" w:name="_Ref383427496"/>
      <w:r>
        <w:lastRenderedPageBreak/>
        <w:t>Figure</w:t>
      </w:r>
      <w:r w:rsidR="00724615" w:rsidRPr="008F3582">
        <w:t xml:space="preserve"> </w:t>
      </w:r>
      <w:r w:rsidR="00DD155E">
        <w:fldChar w:fldCharType="begin"/>
      </w:r>
      <w:r w:rsidR="00DD155E">
        <w:instrText xml:space="preserve"> STYLEREF 7 \s </w:instrText>
      </w:r>
      <w:r w:rsidR="00DD155E">
        <w:fldChar w:fldCharType="separate"/>
      </w:r>
      <w:r w:rsidR="00E313D7">
        <w:rPr>
          <w:noProof/>
        </w:rPr>
        <w:t>B</w:t>
      </w:r>
      <w:r w:rsidR="00DD155E">
        <w:rPr>
          <w:noProof/>
        </w:rPr>
        <w:fldChar w:fldCharType="end"/>
      </w:r>
      <w:r>
        <w:t>.</w:t>
      </w:r>
      <w:r w:rsidR="00DD155E">
        <w:fldChar w:fldCharType="begin"/>
      </w:r>
      <w:r w:rsidR="00DD155E">
        <w:instrText xml:space="preserve"> SEQ Figure_Apx \* ARABIC \s 7 </w:instrText>
      </w:r>
      <w:r w:rsidR="00DD155E">
        <w:fldChar w:fldCharType="separate"/>
      </w:r>
      <w:r w:rsidR="00E313D7">
        <w:rPr>
          <w:noProof/>
        </w:rPr>
        <w:t>4</w:t>
      </w:r>
      <w:r w:rsidR="00DD155E">
        <w:rPr>
          <w:noProof/>
        </w:rPr>
        <w:fldChar w:fldCharType="end"/>
      </w:r>
      <w:bookmarkEnd w:id="214"/>
      <w:r w:rsidR="00724615" w:rsidRPr="008F3582">
        <w:tab/>
        <w:t>Comparison of Essential Energy’s forecast opex to its recent actual opex</w:t>
      </w:r>
    </w:p>
    <w:p w:rsidR="00724615" w:rsidRPr="008F3582" w:rsidRDefault="00724615" w:rsidP="00724615">
      <w:pPr>
        <w:pStyle w:val="HeadingBoldItalic"/>
        <w:numPr>
          <w:ilvl w:val="0"/>
          <w:numId w:val="6"/>
        </w:numPr>
      </w:pPr>
      <w:r w:rsidRPr="00724615">
        <w:rPr>
          <w:noProof/>
          <w:lang w:eastAsia="en-AU"/>
        </w:rPr>
        <w:drawing>
          <wp:inline distT="0" distB="0" distL="0" distR="0" wp14:anchorId="56630502" wp14:editId="2FC40727">
            <wp:extent cx="5731510" cy="3734667"/>
            <wp:effectExtent l="0" t="0" r="254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724615" w:rsidRPr="008F3582" w:rsidRDefault="00724615" w:rsidP="00724615">
      <w:pPr>
        <w:pStyle w:val="AERtablesource"/>
      </w:pPr>
      <w:r w:rsidRPr="008F3582">
        <w:t>Source:</w:t>
      </w:r>
      <w:r w:rsidRPr="008F3582">
        <w:tab/>
      </w:r>
      <w:r w:rsidR="007129F8">
        <w:t>AER analysis.</w:t>
      </w:r>
    </w:p>
    <w:p w:rsidR="00724615" w:rsidRPr="00985999" w:rsidRDefault="00724615" w:rsidP="00985999">
      <w:pPr>
        <w:pStyle w:val="Heading9"/>
        <w:rPr>
          <w:rStyle w:val="AERbody"/>
          <w:color w:val="E36C0A"/>
          <w:sz w:val="24"/>
        </w:rPr>
      </w:pPr>
      <w:r w:rsidRPr="00985999">
        <w:rPr>
          <w:rStyle w:val="AERbody"/>
          <w:color w:val="E36C0A"/>
          <w:sz w:val="24"/>
        </w:rPr>
        <w:t>Capital expenditure</w:t>
      </w:r>
    </w:p>
    <w:p w:rsidR="00724615" w:rsidRPr="008F3582" w:rsidRDefault="00724615" w:rsidP="00724615">
      <w:pPr>
        <w:pStyle w:val="AERbodytext"/>
        <w:numPr>
          <w:ilvl w:val="0"/>
          <w:numId w:val="6"/>
        </w:numPr>
      </w:pPr>
      <w:r w:rsidRPr="008F3582">
        <w:t>Essential Energy’s actual total capex spend was around 19 per cent less than its forecast capex over the 2009–14 regulatory control period. It spent $3605 million ($2013</w:t>
      </w:r>
      <w:r w:rsidR="006B3F30">
        <w:t>–</w:t>
      </w:r>
      <w:r w:rsidRPr="008F3582">
        <w:t>14) compared with a capex allowance of $4445 million ($2013</w:t>
      </w:r>
      <w:r w:rsidR="006B3F30">
        <w:t>–</w:t>
      </w:r>
      <w:r w:rsidRPr="008F3582">
        <w:t xml:space="preserve">14). This is an underspend of $840 million. As shown in </w:t>
      </w:r>
      <w:r w:rsidR="00B876E6">
        <w:br/>
      </w:r>
      <w:r w:rsidR="00B876E6">
        <w:fldChar w:fldCharType="begin"/>
      </w:r>
      <w:r w:rsidR="00B876E6">
        <w:instrText xml:space="preserve"> REF  _Ref379456263 \* Caps \h </w:instrText>
      </w:r>
      <w:r w:rsidR="00B876E6">
        <w:fldChar w:fldCharType="separate"/>
      </w:r>
      <w:r w:rsidR="00E313D7">
        <w:t xml:space="preserve">Figure </w:t>
      </w:r>
      <w:r w:rsidR="00E313D7">
        <w:rPr>
          <w:noProof/>
        </w:rPr>
        <w:t>B</w:t>
      </w:r>
      <w:r w:rsidR="00E313D7">
        <w:t>.</w:t>
      </w:r>
      <w:r w:rsidR="00E313D7">
        <w:rPr>
          <w:noProof/>
        </w:rPr>
        <w:t>5</w:t>
      </w:r>
      <w:r w:rsidR="00B876E6">
        <w:fldChar w:fldCharType="end"/>
      </w:r>
      <w:r w:rsidRPr="008F3582">
        <w:t>, Essential Energy consistently underspent its capex allowance in each year of the regulatory control period with greater underspends occurring in the last 2 years of 25.6</w:t>
      </w:r>
      <w:r w:rsidR="006B3F30">
        <w:t> per cent</w:t>
      </w:r>
      <w:r w:rsidRPr="008F3582">
        <w:t xml:space="preserve"> and 36.5</w:t>
      </w:r>
      <w:r w:rsidR="006B3F30">
        <w:t> per cent</w:t>
      </w:r>
      <w:r w:rsidRPr="008F3582">
        <w:t xml:space="preserve"> respectively.</w:t>
      </w:r>
      <w:r w:rsidR="000603C4" w:rsidRPr="000033D5">
        <w:rPr>
          <w:rStyle w:val="FootnoteReference"/>
        </w:rPr>
        <w:footnoteReference w:id="141"/>
      </w:r>
    </w:p>
    <w:p w:rsidR="00724615" w:rsidRPr="008F3582" w:rsidRDefault="00724615" w:rsidP="00724615">
      <w:pPr>
        <w:pStyle w:val="AERbodytext"/>
        <w:numPr>
          <w:ilvl w:val="0"/>
          <w:numId w:val="6"/>
        </w:numPr>
      </w:pPr>
      <w:r w:rsidRPr="008F3582">
        <w:t>Essential Energy’s indicative proposed total forecast capex for the 2014–19 period is $2625 million ($2013</w:t>
      </w:r>
      <w:r w:rsidR="006B3F30">
        <w:t>–</w:t>
      </w:r>
      <w:r w:rsidRPr="008F3582">
        <w:t>14).</w:t>
      </w:r>
      <w:r w:rsidR="005224D5">
        <w:rPr>
          <w:rStyle w:val="FootnoteReference"/>
        </w:rPr>
        <w:footnoteReference w:id="142"/>
      </w:r>
      <w:r w:rsidRPr="008F3582">
        <w:t xml:space="preserve"> This is $1821 million ($2013</w:t>
      </w:r>
      <w:r w:rsidR="006B3F30">
        <w:t>–</w:t>
      </w:r>
      <w:r w:rsidRPr="008F3582">
        <w:t>14), or 41 per cent, lower than its allowed capex for the 2009–14 regulatory control period. It is $981 million ($2013</w:t>
      </w:r>
      <w:r w:rsidR="006B3F30">
        <w:t>–</w:t>
      </w:r>
      <w:r w:rsidRPr="008F3582">
        <w:t xml:space="preserve">14), or 27 per cent less than Essential Energy’s actual total capex spend over the 2009–14 regulatory control period. </w:t>
      </w:r>
      <w:r w:rsidR="0063720C">
        <w:fldChar w:fldCharType="begin"/>
      </w:r>
      <w:r w:rsidR="0063720C">
        <w:instrText xml:space="preserve"> REF _Ref379456263 \h </w:instrText>
      </w:r>
      <w:r w:rsidR="0063720C">
        <w:fldChar w:fldCharType="separate"/>
      </w:r>
      <w:r w:rsidR="00E313D7">
        <w:t xml:space="preserve">Figure </w:t>
      </w:r>
      <w:r w:rsidR="00E313D7">
        <w:rPr>
          <w:noProof/>
        </w:rPr>
        <w:t>B</w:t>
      </w:r>
      <w:r w:rsidR="00E313D7">
        <w:t>.</w:t>
      </w:r>
      <w:r w:rsidR="00E313D7">
        <w:rPr>
          <w:noProof/>
        </w:rPr>
        <w:t>5</w:t>
      </w:r>
      <w:r w:rsidR="0063720C">
        <w:fldChar w:fldCharType="end"/>
      </w:r>
      <w:r w:rsidRPr="008F3582">
        <w:t xml:space="preserve"> shows Essential Energy’s indicative proposed forecast capex in each year of the 2014–19 period.</w:t>
      </w:r>
    </w:p>
    <w:p w:rsidR="00724615" w:rsidRPr="008F3582" w:rsidRDefault="001D00C7" w:rsidP="001D00C7">
      <w:pPr>
        <w:pStyle w:val="Caption"/>
        <w:jc w:val="left"/>
      </w:pPr>
      <w:bookmarkStart w:id="215" w:name="_Ref379456263"/>
      <w:r>
        <w:lastRenderedPageBreak/>
        <w:t>Figure</w:t>
      </w:r>
      <w:r w:rsidR="006B3F30">
        <w:t xml:space="preserve"> </w:t>
      </w:r>
      <w:r w:rsidR="00DD155E">
        <w:fldChar w:fldCharType="begin"/>
      </w:r>
      <w:r w:rsidR="00DD155E">
        <w:instrText xml:space="preserve"> STYLEREF 7 \s </w:instrText>
      </w:r>
      <w:r w:rsidR="00DD155E">
        <w:fldChar w:fldCharType="separate"/>
      </w:r>
      <w:r w:rsidR="00E313D7">
        <w:rPr>
          <w:noProof/>
        </w:rPr>
        <w:t>B</w:t>
      </w:r>
      <w:r w:rsidR="00DD155E">
        <w:rPr>
          <w:noProof/>
        </w:rPr>
        <w:fldChar w:fldCharType="end"/>
      </w:r>
      <w:r>
        <w:t>.</w:t>
      </w:r>
      <w:r w:rsidR="00DD155E">
        <w:fldChar w:fldCharType="begin"/>
      </w:r>
      <w:r w:rsidR="00DD155E">
        <w:instrText xml:space="preserve"> SEQ Figure_Apx \* ARABIC \s 7 </w:instrText>
      </w:r>
      <w:r w:rsidR="00DD155E">
        <w:fldChar w:fldCharType="separate"/>
      </w:r>
      <w:r w:rsidR="00E313D7">
        <w:rPr>
          <w:noProof/>
        </w:rPr>
        <w:t>5</w:t>
      </w:r>
      <w:r w:rsidR="00DD155E">
        <w:rPr>
          <w:noProof/>
        </w:rPr>
        <w:fldChar w:fldCharType="end"/>
      </w:r>
      <w:bookmarkEnd w:id="215"/>
      <w:r w:rsidR="006B3F30">
        <w:tab/>
      </w:r>
      <w:r w:rsidR="00724615" w:rsidRPr="008F3582">
        <w:t>Essential Energy proposed</w:t>
      </w:r>
      <w:r w:rsidR="008F3D66">
        <w:t xml:space="preserve"> and current period capex ($m, 2013-14</w:t>
      </w:r>
      <w:r w:rsidR="00724615" w:rsidRPr="008F3582">
        <w:t>)</w:t>
      </w:r>
    </w:p>
    <w:p w:rsidR="00724615" w:rsidRPr="008F3582" w:rsidRDefault="008F3D66" w:rsidP="00724615">
      <w:pPr>
        <w:pStyle w:val="AERbodytext"/>
        <w:numPr>
          <w:ilvl w:val="0"/>
          <w:numId w:val="6"/>
        </w:numPr>
      </w:pPr>
      <w:r>
        <w:rPr>
          <w:noProof/>
          <w:lang w:eastAsia="en-AU"/>
        </w:rPr>
        <w:drawing>
          <wp:inline distT="0" distB="0" distL="0" distR="0" wp14:anchorId="0E532C74" wp14:editId="27DD03FB">
            <wp:extent cx="5450205" cy="306641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50205" cy="3066415"/>
                    </a:xfrm>
                    <a:prstGeom prst="rect">
                      <a:avLst/>
                    </a:prstGeom>
                    <a:noFill/>
                  </pic:spPr>
                </pic:pic>
              </a:graphicData>
            </a:graphic>
          </wp:inline>
        </w:drawing>
      </w:r>
    </w:p>
    <w:p w:rsidR="00724615" w:rsidRPr="008F3582" w:rsidRDefault="00185BB3" w:rsidP="00724615">
      <w:pPr>
        <w:pStyle w:val="AERtablesource"/>
      </w:pPr>
      <w:r>
        <w:t>S</w:t>
      </w:r>
      <w:r w:rsidR="00724615">
        <w:t>ource:</w:t>
      </w:r>
      <w:r>
        <w:tab/>
        <w:t>AER analysis.</w:t>
      </w:r>
    </w:p>
    <w:p w:rsidR="00724615" w:rsidRPr="00DD1199" w:rsidRDefault="00724615" w:rsidP="00724615">
      <w:pPr>
        <w:rPr>
          <w:rStyle w:val="AERtextbold"/>
        </w:rPr>
      </w:pPr>
    </w:p>
    <w:p w:rsidR="00724615" w:rsidRPr="00B7680B" w:rsidRDefault="00724615" w:rsidP="00985999">
      <w:pPr>
        <w:pStyle w:val="Heading8"/>
        <w:pageBreakBefore/>
        <w:rPr>
          <w:rStyle w:val="AERtextbold"/>
          <w:b/>
        </w:rPr>
      </w:pPr>
      <w:bookmarkStart w:id="216" w:name="_Toc385326330"/>
      <w:r w:rsidRPr="00B7680B">
        <w:rPr>
          <w:rStyle w:val="AERtextbold"/>
          <w:b/>
        </w:rPr>
        <w:lastRenderedPageBreak/>
        <w:t>Endeavour Energy</w:t>
      </w:r>
      <w:bookmarkEnd w:id="216"/>
    </w:p>
    <w:p w:rsidR="00724615" w:rsidRPr="00985999" w:rsidRDefault="00724615" w:rsidP="00985999">
      <w:pPr>
        <w:pStyle w:val="Heading9"/>
        <w:rPr>
          <w:rStyle w:val="AERbody"/>
          <w:color w:val="E36C0A"/>
          <w:sz w:val="24"/>
        </w:rPr>
      </w:pPr>
      <w:r w:rsidRPr="00985999">
        <w:rPr>
          <w:rStyle w:val="AERbody"/>
          <w:color w:val="E36C0A"/>
          <w:sz w:val="24"/>
        </w:rPr>
        <w:t xml:space="preserve">Total revenue </w:t>
      </w:r>
    </w:p>
    <w:p w:rsidR="00724615" w:rsidRPr="00DD1199" w:rsidRDefault="00724615" w:rsidP="00724615">
      <w:pPr>
        <w:pStyle w:val="AERbodytext"/>
        <w:numPr>
          <w:ilvl w:val="0"/>
          <w:numId w:val="6"/>
        </w:numPr>
        <w:rPr>
          <w:rStyle w:val="AERbody"/>
        </w:rPr>
      </w:pPr>
      <w:r>
        <w:fldChar w:fldCharType="begin"/>
      </w:r>
      <w:r>
        <w:instrText xml:space="preserve"> REF _Ref382828014 \h </w:instrText>
      </w:r>
      <w:r>
        <w:fldChar w:fldCharType="separate"/>
      </w:r>
      <w:r w:rsidR="00E313D7">
        <w:t xml:space="preserve">Table </w:t>
      </w:r>
      <w:r w:rsidR="00E313D7">
        <w:rPr>
          <w:noProof/>
        </w:rPr>
        <w:t>B</w:t>
      </w:r>
      <w:r w:rsidR="00E313D7">
        <w:t>.</w:t>
      </w:r>
      <w:r w:rsidR="00E313D7">
        <w:rPr>
          <w:noProof/>
        </w:rPr>
        <w:t>11</w:t>
      </w:r>
      <w:r>
        <w:fldChar w:fldCharType="end"/>
      </w:r>
      <w:r w:rsidRPr="00FD2223">
        <w:t xml:space="preserve"> shows </w:t>
      </w:r>
      <w:r>
        <w:t>Endeavour Energy</w:t>
      </w:r>
      <w:r w:rsidRPr="00FD2223">
        <w:t xml:space="preserve">’s proposed total revenue for each year of the 2014–19 </w:t>
      </w:r>
      <w:r w:rsidR="00185BB3">
        <w:t xml:space="preserve">regulatory control </w:t>
      </w:r>
      <w:r w:rsidRPr="00FD2223">
        <w:t xml:space="preserve">period broken down by its constituent building blocks and </w:t>
      </w:r>
      <w:r>
        <w:t>the</w:t>
      </w:r>
      <w:r w:rsidRPr="00FD2223">
        <w:t xml:space="preserve"> proposed </w:t>
      </w:r>
      <w:r>
        <w:t xml:space="preserve">revenue </w:t>
      </w:r>
      <w:r w:rsidRPr="00FD2223">
        <w:t>smoothing.</w:t>
      </w:r>
    </w:p>
    <w:p w:rsidR="00724615" w:rsidRPr="00724615" w:rsidDel="00226F09" w:rsidRDefault="002401A5" w:rsidP="00724615">
      <w:pPr>
        <w:pStyle w:val="Caption"/>
        <w:rPr>
          <w:rStyle w:val="CommentReference"/>
          <w:rFonts w:eastAsia="Calibri"/>
        </w:rPr>
      </w:pPr>
      <w:bookmarkStart w:id="217" w:name="_Ref382828014"/>
      <w:r>
        <w:t>Table</w:t>
      </w:r>
      <w:r w:rsidR="00724615">
        <w:t xml:space="preserve"> </w:t>
      </w:r>
      <w:r w:rsidR="00DD155E">
        <w:fldChar w:fldCharType="begin"/>
      </w:r>
      <w:r w:rsidR="00DD155E">
        <w:instrText xml:space="preserve"> STYLEREF 7 \s </w:instrText>
      </w:r>
      <w:r w:rsidR="00DD155E">
        <w:fldChar w:fldCharType="separate"/>
      </w:r>
      <w:r w:rsidR="00E313D7">
        <w:rPr>
          <w:noProof/>
        </w:rPr>
        <w:t>B</w:t>
      </w:r>
      <w:r w:rsidR="00DD155E">
        <w:rPr>
          <w:noProof/>
        </w:rPr>
        <w:fldChar w:fldCharType="end"/>
      </w:r>
      <w:r>
        <w:t>.</w:t>
      </w:r>
      <w:r w:rsidR="00DD155E">
        <w:fldChar w:fldCharType="begin"/>
      </w:r>
      <w:r w:rsidR="00DD155E">
        <w:instrText xml:space="preserve"> SEQ Table_Apx \* ARABIC \s 7 </w:instrText>
      </w:r>
      <w:r w:rsidR="00DD155E">
        <w:fldChar w:fldCharType="separate"/>
      </w:r>
      <w:r w:rsidR="00E313D7">
        <w:rPr>
          <w:noProof/>
        </w:rPr>
        <w:t>11</w:t>
      </w:r>
      <w:r w:rsidR="00DD155E">
        <w:rPr>
          <w:noProof/>
        </w:rPr>
        <w:fldChar w:fldCharType="end"/>
      </w:r>
      <w:bookmarkEnd w:id="217"/>
      <w:r w:rsidR="00724615">
        <w:tab/>
        <w:t>Endeavour</w:t>
      </w:r>
      <w:r w:rsidR="00724615" w:rsidRPr="00462B62">
        <w:t xml:space="preserve"> Energy's proposed building blocks and total revenue ($m, nominal)</w:t>
      </w:r>
      <w:r w:rsidR="00724615" w:rsidRPr="00724615" w:rsidDel="00226F09">
        <w:rPr>
          <w:rStyle w:val="CommentReference"/>
          <w:rFonts w:eastAsia="Calibri"/>
        </w:rPr>
        <w:t xml:space="preserve"> </w:t>
      </w:r>
    </w:p>
    <w:tbl>
      <w:tblPr>
        <w:tblStyle w:val="AERtable-numbers"/>
        <w:tblW w:w="9180" w:type="dxa"/>
        <w:tblLayout w:type="fixed"/>
        <w:tblLook w:val="04A0" w:firstRow="1" w:lastRow="0" w:firstColumn="1" w:lastColumn="0" w:noHBand="0" w:noVBand="1"/>
      </w:tblPr>
      <w:tblGrid>
        <w:gridCol w:w="2602"/>
        <w:gridCol w:w="1096"/>
        <w:gridCol w:w="1096"/>
        <w:gridCol w:w="1097"/>
        <w:gridCol w:w="1096"/>
        <w:gridCol w:w="1096"/>
        <w:gridCol w:w="1097"/>
      </w:tblGrid>
      <w:tr w:rsidR="00724615" w:rsidRPr="00226F09" w:rsidTr="00185BB3">
        <w:trPr>
          <w:cnfStyle w:val="100000000000" w:firstRow="1" w:lastRow="0" w:firstColumn="0" w:lastColumn="0" w:oddVBand="0" w:evenVBand="0" w:oddHBand="0"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602" w:type="dxa"/>
            <w:noWrap/>
            <w:hideMark/>
          </w:tcPr>
          <w:p w:rsidR="00724615" w:rsidRPr="00724615" w:rsidRDefault="00724615" w:rsidP="00724615">
            <w:pPr>
              <w:pStyle w:val="AERtabletextleft"/>
            </w:pPr>
            <w:r w:rsidRPr="00DD1199">
              <w:t>Building blocks</w:t>
            </w:r>
          </w:p>
        </w:tc>
        <w:tc>
          <w:tcPr>
            <w:tcW w:w="1096" w:type="dxa"/>
            <w:noWrap/>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2013–14</w:t>
            </w:r>
          </w:p>
        </w:tc>
        <w:tc>
          <w:tcPr>
            <w:tcW w:w="1096" w:type="dxa"/>
            <w:noWrap/>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2014–15</w:t>
            </w:r>
          </w:p>
        </w:tc>
        <w:tc>
          <w:tcPr>
            <w:tcW w:w="1097" w:type="dxa"/>
            <w:noWrap/>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2015–16</w:t>
            </w:r>
          </w:p>
        </w:tc>
        <w:tc>
          <w:tcPr>
            <w:tcW w:w="1096" w:type="dxa"/>
            <w:noWrap/>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2016–17</w:t>
            </w:r>
          </w:p>
        </w:tc>
        <w:tc>
          <w:tcPr>
            <w:tcW w:w="1096" w:type="dxa"/>
            <w:noWrap/>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2017–18</w:t>
            </w:r>
          </w:p>
        </w:tc>
        <w:tc>
          <w:tcPr>
            <w:tcW w:w="1097" w:type="dxa"/>
            <w:noWrap/>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2018–19</w:t>
            </w:r>
          </w:p>
        </w:tc>
      </w:tr>
      <w:tr w:rsidR="00724615" w:rsidRPr="00226F09" w:rsidTr="00185BB3">
        <w:trPr>
          <w:trHeight w:val="222"/>
        </w:trPr>
        <w:tc>
          <w:tcPr>
            <w:cnfStyle w:val="001000000000" w:firstRow="0" w:lastRow="0" w:firstColumn="1" w:lastColumn="0" w:oddVBand="0" w:evenVBand="0" w:oddHBand="0" w:evenHBand="0" w:firstRowFirstColumn="0" w:firstRowLastColumn="0" w:lastRowFirstColumn="0" w:lastRowLastColumn="0"/>
            <w:tcW w:w="2602" w:type="dxa"/>
            <w:shd w:val="clear" w:color="auto" w:fill="auto"/>
            <w:noWrap/>
            <w:hideMark/>
          </w:tcPr>
          <w:p w:rsidR="00724615" w:rsidRPr="00724615" w:rsidRDefault="00724615" w:rsidP="00724615">
            <w:pPr>
              <w:pStyle w:val="AERtabletextleft"/>
            </w:pPr>
            <w:r w:rsidRPr="00DD1199">
              <w:t>Return on capital</w:t>
            </w:r>
          </w:p>
        </w:tc>
        <w:tc>
          <w:tcPr>
            <w:tcW w:w="1096" w:type="dxa"/>
            <w:shd w:val="clear" w:color="auto" w:fill="auto"/>
            <w:noWrap/>
            <w:hideMark/>
          </w:tcPr>
          <w:p w:rsidR="00724615" w:rsidRPr="00DD1199"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p>
        </w:tc>
        <w:tc>
          <w:tcPr>
            <w:tcW w:w="1096"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477</w:t>
            </w:r>
          </w:p>
        </w:tc>
        <w:tc>
          <w:tcPr>
            <w:tcW w:w="1097"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510</w:t>
            </w:r>
          </w:p>
        </w:tc>
        <w:tc>
          <w:tcPr>
            <w:tcW w:w="1096"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536</w:t>
            </w:r>
          </w:p>
        </w:tc>
        <w:tc>
          <w:tcPr>
            <w:tcW w:w="1096"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558</w:t>
            </w:r>
          </w:p>
        </w:tc>
        <w:tc>
          <w:tcPr>
            <w:tcW w:w="1097"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581</w:t>
            </w:r>
          </w:p>
        </w:tc>
      </w:tr>
      <w:tr w:rsidR="00724615" w:rsidRPr="00226F09" w:rsidTr="00185BB3">
        <w:trPr>
          <w:cnfStyle w:val="000000010000" w:firstRow="0" w:lastRow="0" w:firstColumn="0" w:lastColumn="0" w:oddVBand="0" w:evenVBand="0" w:oddHBand="0" w:evenHBand="1"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602" w:type="dxa"/>
            <w:noWrap/>
            <w:hideMark/>
          </w:tcPr>
          <w:p w:rsidR="00724615" w:rsidRPr="00724615" w:rsidRDefault="00724615" w:rsidP="00724615">
            <w:pPr>
              <w:pStyle w:val="AERtabletextleft"/>
            </w:pPr>
            <w:r w:rsidRPr="00DD1199">
              <w:t>Return of capital</w:t>
            </w:r>
          </w:p>
        </w:tc>
        <w:tc>
          <w:tcPr>
            <w:tcW w:w="1096"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w:t>
            </w:r>
          </w:p>
        </w:tc>
        <w:tc>
          <w:tcPr>
            <w:tcW w:w="1096"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63</w:t>
            </w:r>
          </w:p>
        </w:tc>
        <w:tc>
          <w:tcPr>
            <w:tcW w:w="1097"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72</w:t>
            </w:r>
          </w:p>
        </w:tc>
        <w:tc>
          <w:tcPr>
            <w:tcW w:w="1096"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83</w:t>
            </w:r>
          </w:p>
        </w:tc>
        <w:tc>
          <w:tcPr>
            <w:tcW w:w="1096"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88</w:t>
            </w:r>
          </w:p>
        </w:tc>
        <w:tc>
          <w:tcPr>
            <w:tcW w:w="1097"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93</w:t>
            </w:r>
          </w:p>
        </w:tc>
      </w:tr>
      <w:tr w:rsidR="00724615" w:rsidRPr="00226F09" w:rsidTr="00185BB3">
        <w:trPr>
          <w:trHeight w:val="222"/>
        </w:trPr>
        <w:tc>
          <w:tcPr>
            <w:cnfStyle w:val="001000000000" w:firstRow="0" w:lastRow="0" w:firstColumn="1" w:lastColumn="0" w:oddVBand="0" w:evenVBand="0" w:oddHBand="0" w:evenHBand="0" w:firstRowFirstColumn="0" w:firstRowLastColumn="0" w:lastRowFirstColumn="0" w:lastRowLastColumn="0"/>
            <w:tcW w:w="2602" w:type="dxa"/>
            <w:shd w:val="clear" w:color="auto" w:fill="auto"/>
            <w:noWrap/>
            <w:hideMark/>
          </w:tcPr>
          <w:p w:rsidR="00724615" w:rsidRPr="00724615" w:rsidRDefault="00724615" w:rsidP="00724615">
            <w:pPr>
              <w:pStyle w:val="AERtabletextleft"/>
            </w:pPr>
            <w:r w:rsidRPr="00DD1199">
              <w:t>Operating expenditure</w:t>
            </w:r>
          </w:p>
        </w:tc>
        <w:tc>
          <w:tcPr>
            <w:tcW w:w="1096" w:type="dxa"/>
            <w:shd w:val="clear" w:color="auto" w:fill="auto"/>
            <w:noWrap/>
            <w:hideMark/>
          </w:tcPr>
          <w:p w:rsidR="00724615" w:rsidRPr="00DD1199"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p>
        </w:tc>
        <w:tc>
          <w:tcPr>
            <w:tcW w:w="1096"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292</w:t>
            </w:r>
          </w:p>
        </w:tc>
        <w:tc>
          <w:tcPr>
            <w:tcW w:w="1097"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300</w:t>
            </w:r>
          </w:p>
        </w:tc>
        <w:tc>
          <w:tcPr>
            <w:tcW w:w="1096"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303</w:t>
            </w:r>
          </w:p>
        </w:tc>
        <w:tc>
          <w:tcPr>
            <w:tcW w:w="1096"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305</w:t>
            </w:r>
          </w:p>
        </w:tc>
        <w:tc>
          <w:tcPr>
            <w:tcW w:w="1097"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316</w:t>
            </w:r>
          </w:p>
        </w:tc>
      </w:tr>
      <w:tr w:rsidR="00724615" w:rsidRPr="00226F09" w:rsidTr="00185BB3">
        <w:trPr>
          <w:cnfStyle w:val="000000010000" w:firstRow="0" w:lastRow="0" w:firstColumn="0" w:lastColumn="0" w:oddVBand="0" w:evenVBand="0" w:oddHBand="0" w:evenHBand="1"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602" w:type="dxa"/>
            <w:noWrap/>
            <w:hideMark/>
          </w:tcPr>
          <w:p w:rsidR="00724615" w:rsidRPr="00724615" w:rsidRDefault="00724615" w:rsidP="00724615">
            <w:pPr>
              <w:pStyle w:val="AERtabletextleft"/>
            </w:pPr>
            <w:r w:rsidRPr="00DD1199">
              <w:t>Efficiency carryover</w:t>
            </w:r>
          </w:p>
        </w:tc>
        <w:tc>
          <w:tcPr>
            <w:tcW w:w="1096"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w:t>
            </w:r>
          </w:p>
        </w:tc>
        <w:tc>
          <w:tcPr>
            <w:tcW w:w="1096"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97</w:t>
            </w:r>
          </w:p>
        </w:tc>
        <w:tc>
          <w:tcPr>
            <w:tcW w:w="1097"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33</w:t>
            </w:r>
          </w:p>
        </w:tc>
        <w:tc>
          <w:tcPr>
            <w:tcW w:w="1096"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42</w:t>
            </w:r>
          </w:p>
        </w:tc>
        <w:tc>
          <w:tcPr>
            <w:tcW w:w="1096"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34</w:t>
            </w:r>
          </w:p>
        </w:tc>
        <w:tc>
          <w:tcPr>
            <w:tcW w:w="1097"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0</w:t>
            </w:r>
          </w:p>
        </w:tc>
      </w:tr>
      <w:tr w:rsidR="00724615" w:rsidRPr="00226F09" w:rsidTr="00185BB3">
        <w:trPr>
          <w:trHeight w:val="235"/>
        </w:trPr>
        <w:tc>
          <w:tcPr>
            <w:cnfStyle w:val="001000000000" w:firstRow="0" w:lastRow="0" w:firstColumn="1" w:lastColumn="0" w:oddVBand="0" w:evenVBand="0" w:oddHBand="0" w:evenHBand="0" w:firstRowFirstColumn="0" w:firstRowLastColumn="0" w:lastRowFirstColumn="0" w:lastRowLastColumn="0"/>
            <w:tcW w:w="2602" w:type="dxa"/>
            <w:shd w:val="clear" w:color="auto" w:fill="auto"/>
            <w:noWrap/>
            <w:hideMark/>
          </w:tcPr>
          <w:p w:rsidR="00724615" w:rsidRPr="00724615" w:rsidRDefault="00724615" w:rsidP="00724615">
            <w:pPr>
              <w:pStyle w:val="AERtabletextleft"/>
            </w:pPr>
            <w:r w:rsidRPr="00DD1199">
              <w:t>Net tax allowance</w:t>
            </w:r>
          </w:p>
        </w:tc>
        <w:tc>
          <w:tcPr>
            <w:tcW w:w="1096" w:type="dxa"/>
            <w:shd w:val="clear" w:color="auto" w:fill="auto"/>
            <w:noWrap/>
            <w:hideMark/>
          </w:tcPr>
          <w:p w:rsidR="00724615" w:rsidRPr="00DD1199"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p>
        </w:tc>
        <w:tc>
          <w:tcPr>
            <w:tcW w:w="1096"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59</w:t>
            </w:r>
          </w:p>
        </w:tc>
        <w:tc>
          <w:tcPr>
            <w:tcW w:w="1097"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62</w:t>
            </w:r>
          </w:p>
        </w:tc>
        <w:tc>
          <w:tcPr>
            <w:tcW w:w="1096"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68</w:t>
            </w:r>
          </w:p>
        </w:tc>
        <w:tc>
          <w:tcPr>
            <w:tcW w:w="1096"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69</w:t>
            </w:r>
          </w:p>
        </w:tc>
        <w:tc>
          <w:tcPr>
            <w:tcW w:w="1097"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71</w:t>
            </w:r>
          </w:p>
        </w:tc>
      </w:tr>
      <w:tr w:rsidR="00724615" w:rsidRPr="00226F09" w:rsidTr="00185BB3">
        <w:trPr>
          <w:cnfStyle w:val="000000010000" w:firstRow="0" w:lastRow="0" w:firstColumn="0" w:lastColumn="0" w:oddVBand="0" w:evenVBand="0" w:oddHBand="0" w:evenHBand="1"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602" w:type="dxa"/>
            <w:noWrap/>
            <w:hideMark/>
          </w:tcPr>
          <w:p w:rsidR="00724615" w:rsidRPr="00724615" w:rsidRDefault="00275384" w:rsidP="00275384">
            <w:pPr>
              <w:pStyle w:val="AERtabletextleft"/>
            </w:pPr>
            <w:r>
              <w:t xml:space="preserve">Metering costs and expected </w:t>
            </w:r>
            <w:r w:rsidR="00925C8E" w:rsidRPr="00925C8E">
              <w:t xml:space="preserve">ANS </w:t>
            </w:r>
            <w:r w:rsidR="00D84AC6">
              <w:t>and</w:t>
            </w:r>
            <w:r w:rsidR="00925C8E" w:rsidRPr="00925C8E">
              <w:t xml:space="preserve"> ERW revenue</w:t>
            </w:r>
            <w:r>
              <w:t>s</w:t>
            </w:r>
          </w:p>
        </w:tc>
        <w:tc>
          <w:tcPr>
            <w:tcW w:w="1096"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w:t>
            </w:r>
          </w:p>
        </w:tc>
        <w:tc>
          <w:tcPr>
            <w:tcW w:w="1096"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63</w:t>
            </w:r>
          </w:p>
        </w:tc>
        <w:tc>
          <w:tcPr>
            <w:tcW w:w="1097"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w:t>
            </w:r>
          </w:p>
        </w:tc>
        <w:tc>
          <w:tcPr>
            <w:tcW w:w="1096"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w:t>
            </w:r>
          </w:p>
        </w:tc>
        <w:tc>
          <w:tcPr>
            <w:tcW w:w="1096"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w:t>
            </w:r>
          </w:p>
        </w:tc>
        <w:tc>
          <w:tcPr>
            <w:tcW w:w="1097"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w:t>
            </w:r>
          </w:p>
        </w:tc>
      </w:tr>
      <w:tr w:rsidR="00724615" w:rsidRPr="00226F09" w:rsidTr="00185BB3">
        <w:trPr>
          <w:trHeight w:val="235"/>
        </w:trPr>
        <w:tc>
          <w:tcPr>
            <w:cnfStyle w:val="001000000000" w:firstRow="0" w:lastRow="0" w:firstColumn="1" w:lastColumn="0" w:oddVBand="0" w:evenVBand="0" w:oddHBand="0" w:evenHBand="0" w:firstRowFirstColumn="0" w:firstRowLastColumn="0" w:lastRowFirstColumn="0" w:lastRowLastColumn="0"/>
            <w:tcW w:w="2602" w:type="dxa"/>
            <w:shd w:val="clear" w:color="auto" w:fill="auto"/>
            <w:noWrap/>
            <w:hideMark/>
          </w:tcPr>
          <w:p w:rsidR="00724615" w:rsidRPr="00724615" w:rsidRDefault="00724615" w:rsidP="00724615">
            <w:pPr>
              <w:pStyle w:val="AERtabletextleft"/>
            </w:pPr>
            <w:r w:rsidRPr="00DD1199">
              <w:t>Total revenue (unsmoothed)</w:t>
            </w:r>
          </w:p>
        </w:tc>
        <w:tc>
          <w:tcPr>
            <w:tcW w:w="1096" w:type="dxa"/>
            <w:shd w:val="clear" w:color="auto" w:fill="auto"/>
            <w:noWrap/>
            <w:hideMark/>
          </w:tcPr>
          <w:p w:rsidR="00724615" w:rsidRPr="00DD1199"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p>
        </w:tc>
        <w:tc>
          <w:tcPr>
            <w:tcW w:w="1096"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1050</w:t>
            </w:r>
          </w:p>
        </w:tc>
        <w:tc>
          <w:tcPr>
            <w:tcW w:w="1097"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978</w:t>
            </w:r>
          </w:p>
        </w:tc>
        <w:tc>
          <w:tcPr>
            <w:tcW w:w="1096"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1032</w:t>
            </w:r>
          </w:p>
        </w:tc>
        <w:tc>
          <w:tcPr>
            <w:tcW w:w="1096"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1053</w:t>
            </w:r>
          </w:p>
        </w:tc>
        <w:tc>
          <w:tcPr>
            <w:tcW w:w="1097"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1061</w:t>
            </w:r>
          </w:p>
        </w:tc>
      </w:tr>
      <w:tr w:rsidR="00724615" w:rsidRPr="00226F09" w:rsidTr="00185BB3">
        <w:trPr>
          <w:cnfStyle w:val="000000010000" w:firstRow="0" w:lastRow="0" w:firstColumn="0" w:lastColumn="0" w:oddVBand="0" w:evenVBand="0" w:oddHBand="0" w:evenHBand="1"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602" w:type="dxa"/>
            <w:noWrap/>
            <w:hideMark/>
          </w:tcPr>
          <w:p w:rsidR="00724615" w:rsidRPr="00724615" w:rsidRDefault="00724615" w:rsidP="00724615">
            <w:pPr>
              <w:pStyle w:val="AERtabletextleft"/>
              <w:rPr>
                <w:rStyle w:val="AERtextbold"/>
              </w:rPr>
            </w:pPr>
            <w:r w:rsidRPr="00A33E9D">
              <w:rPr>
                <w:rStyle w:val="AERtextbold"/>
              </w:rPr>
              <w:t>Total revenue</w:t>
            </w:r>
            <w:r w:rsidRPr="00724615">
              <w:rPr>
                <w:rStyle w:val="AERtextbold"/>
              </w:rPr>
              <w:t xml:space="preserve"> (smoothed)</w:t>
            </w:r>
          </w:p>
        </w:tc>
        <w:tc>
          <w:tcPr>
            <w:tcW w:w="1096"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A33E9D">
              <w:rPr>
                <w:rStyle w:val="AERtextbold"/>
              </w:rPr>
              <w:t>1</w:t>
            </w:r>
            <w:r w:rsidRPr="00724615">
              <w:rPr>
                <w:rStyle w:val="AERtextbold"/>
              </w:rPr>
              <w:t>015</w:t>
            </w:r>
          </w:p>
        </w:tc>
        <w:tc>
          <w:tcPr>
            <w:tcW w:w="1096"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A33E9D">
              <w:rPr>
                <w:rStyle w:val="AERtextbold"/>
              </w:rPr>
              <w:t>1</w:t>
            </w:r>
            <w:r w:rsidRPr="00724615">
              <w:rPr>
                <w:rStyle w:val="AERtextbold"/>
              </w:rPr>
              <w:t>007</w:t>
            </w:r>
          </w:p>
        </w:tc>
        <w:tc>
          <w:tcPr>
            <w:tcW w:w="1097"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A33E9D">
              <w:rPr>
                <w:rStyle w:val="AERtextbold"/>
              </w:rPr>
              <w:t>1</w:t>
            </w:r>
            <w:r w:rsidRPr="00724615">
              <w:rPr>
                <w:rStyle w:val="AERtextbold"/>
              </w:rPr>
              <w:t>007</w:t>
            </w:r>
          </w:p>
        </w:tc>
        <w:tc>
          <w:tcPr>
            <w:tcW w:w="1096"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A33E9D">
              <w:rPr>
                <w:rStyle w:val="AERtextbold"/>
              </w:rPr>
              <w:t>1</w:t>
            </w:r>
            <w:r w:rsidRPr="00724615">
              <w:rPr>
                <w:rStyle w:val="AERtextbold"/>
              </w:rPr>
              <w:t>031</w:t>
            </w:r>
          </w:p>
        </w:tc>
        <w:tc>
          <w:tcPr>
            <w:tcW w:w="1096"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A33E9D">
              <w:rPr>
                <w:rStyle w:val="AERtextbold"/>
              </w:rPr>
              <w:t>1</w:t>
            </w:r>
            <w:r w:rsidRPr="00724615">
              <w:rPr>
                <w:rStyle w:val="AERtextbold"/>
              </w:rPr>
              <w:t>053</w:t>
            </w:r>
          </w:p>
        </w:tc>
        <w:tc>
          <w:tcPr>
            <w:tcW w:w="1097"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A33E9D">
              <w:rPr>
                <w:rStyle w:val="AERtextbold"/>
              </w:rPr>
              <w:t>1</w:t>
            </w:r>
            <w:r w:rsidRPr="00724615">
              <w:rPr>
                <w:rStyle w:val="AERtextbold"/>
              </w:rPr>
              <w:t>085</w:t>
            </w:r>
          </w:p>
        </w:tc>
      </w:tr>
      <w:tr w:rsidR="00724615" w:rsidRPr="00226F09" w:rsidTr="00185BB3">
        <w:trPr>
          <w:trHeight w:val="261"/>
        </w:trPr>
        <w:tc>
          <w:tcPr>
            <w:cnfStyle w:val="001000000000" w:firstRow="0" w:lastRow="0" w:firstColumn="1" w:lastColumn="0" w:oddVBand="0" w:evenVBand="0" w:oddHBand="0" w:evenHBand="0" w:firstRowFirstColumn="0" w:firstRowLastColumn="0" w:lastRowFirstColumn="0" w:lastRowLastColumn="0"/>
            <w:tcW w:w="2602" w:type="dxa"/>
            <w:shd w:val="clear" w:color="auto" w:fill="auto"/>
            <w:noWrap/>
            <w:hideMark/>
          </w:tcPr>
          <w:p w:rsidR="00724615" w:rsidRPr="00724615" w:rsidRDefault="00724615" w:rsidP="00724615">
            <w:pPr>
              <w:pStyle w:val="AERtabletextleft"/>
            </w:pPr>
            <w:r w:rsidRPr="00DD1199">
              <w:t>Change</w:t>
            </w:r>
            <w:r w:rsidRPr="00724615">
              <w:rPr>
                <w:rStyle w:val="AERsuperscript"/>
              </w:rPr>
              <w:t>a</w:t>
            </w:r>
            <w:r w:rsidRPr="00724615">
              <w:t xml:space="preserve"> (%)</w:t>
            </w:r>
          </w:p>
        </w:tc>
        <w:tc>
          <w:tcPr>
            <w:tcW w:w="1096"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w:t>
            </w:r>
          </w:p>
        </w:tc>
        <w:tc>
          <w:tcPr>
            <w:tcW w:w="1096"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-0.8%</w:t>
            </w:r>
          </w:p>
        </w:tc>
        <w:tc>
          <w:tcPr>
            <w:tcW w:w="1097"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-0.0%</w:t>
            </w:r>
          </w:p>
        </w:tc>
        <w:tc>
          <w:tcPr>
            <w:tcW w:w="1096"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2.4%</w:t>
            </w:r>
          </w:p>
        </w:tc>
        <w:tc>
          <w:tcPr>
            <w:tcW w:w="1096"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2.1%</w:t>
            </w:r>
          </w:p>
        </w:tc>
        <w:tc>
          <w:tcPr>
            <w:tcW w:w="1097"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3.1%</w:t>
            </w:r>
          </w:p>
        </w:tc>
      </w:tr>
    </w:tbl>
    <w:p w:rsidR="00724615" w:rsidRPr="00102D82" w:rsidRDefault="00724615" w:rsidP="00724615">
      <w:pPr>
        <w:pStyle w:val="AERtablesource"/>
      </w:pPr>
      <w:r w:rsidRPr="00102D82">
        <w:t>Source:</w:t>
      </w:r>
      <w:r w:rsidRPr="00102D82">
        <w:tab/>
      </w:r>
      <w:r>
        <w:t xml:space="preserve">Endeavour Energy, </w:t>
      </w:r>
      <w:r w:rsidRPr="00447042">
        <w:rPr>
          <w:rStyle w:val="AERtextitalic"/>
        </w:rPr>
        <w:t>Transitional regulatory proposal</w:t>
      </w:r>
      <w:r w:rsidRPr="00A2480F">
        <w:t xml:space="preserve">, January 2014. Endeavour Energy, </w:t>
      </w:r>
      <w:r>
        <w:rPr>
          <w:rStyle w:val="AERtextitalic"/>
        </w:rPr>
        <w:t>Post-</w:t>
      </w:r>
      <w:r w:rsidRPr="00447042">
        <w:rPr>
          <w:rStyle w:val="AERtextitalic"/>
        </w:rPr>
        <w:t>Tax Revenue Model</w:t>
      </w:r>
      <w:r>
        <w:t xml:space="preserve">, January 2014. </w:t>
      </w:r>
    </w:p>
    <w:p w:rsidR="00724615" w:rsidRPr="00102D82" w:rsidRDefault="00724615" w:rsidP="00724615">
      <w:pPr>
        <w:pStyle w:val="AERtablesource"/>
      </w:pPr>
      <w:r w:rsidRPr="00102D82">
        <w:t>Notes:</w:t>
      </w:r>
      <w:r w:rsidRPr="00102D82">
        <w:tab/>
      </w:r>
      <w:r w:rsidRPr="00693A45">
        <w:t>Numbers may not sum due to rounding.</w:t>
      </w:r>
    </w:p>
    <w:p w:rsidR="00724615" w:rsidRPr="00102D82" w:rsidRDefault="00B75E0D" w:rsidP="00724615">
      <w:pPr>
        <w:pStyle w:val="AERtablesource"/>
      </w:pPr>
      <w:r>
        <w:tab/>
      </w:r>
      <w:r w:rsidR="00724615" w:rsidRPr="00102D82">
        <w:t>a.</w:t>
      </w:r>
      <w:r w:rsidR="00724615" w:rsidRPr="00102D82">
        <w:tab/>
        <w:t>This row shows the year-on-year change in total nominal revenues. It should not be interpreted as the X-factor change from year to year.</w:t>
      </w:r>
    </w:p>
    <w:p w:rsidR="00724615" w:rsidRPr="003A5277" w:rsidRDefault="00724615" w:rsidP="00724615">
      <w:pPr>
        <w:pStyle w:val="AERbodytext"/>
        <w:numPr>
          <w:ilvl w:val="0"/>
          <w:numId w:val="6"/>
        </w:numPr>
        <w:rPr>
          <w:rStyle w:val="AERbody"/>
        </w:rPr>
      </w:pPr>
      <w:r w:rsidRPr="003A5277">
        <w:rPr>
          <w:rStyle w:val="AERbody"/>
        </w:rPr>
        <w:t xml:space="preserve">The key determinants of the building blocks from </w:t>
      </w:r>
      <w:r>
        <w:rPr>
          <w:rStyle w:val="AERbody"/>
        </w:rPr>
        <w:t>Endeavour Energy</w:t>
      </w:r>
      <w:r w:rsidRPr="003A5277">
        <w:rPr>
          <w:rStyle w:val="AERbody"/>
        </w:rPr>
        <w:t xml:space="preserve">’s proposal (opex, capex, rate of return and RAB) are separately presented below. </w:t>
      </w:r>
      <w:r>
        <w:rPr>
          <w:rStyle w:val="AERbody"/>
        </w:rPr>
        <w:t>Endeavour Energy</w:t>
      </w:r>
      <w:r w:rsidRPr="003A5277">
        <w:rPr>
          <w:rStyle w:val="AERbody"/>
        </w:rPr>
        <w:t>’s proposal also included details on:</w:t>
      </w:r>
    </w:p>
    <w:p w:rsidR="00724615" w:rsidRPr="00724615" w:rsidRDefault="00724615" w:rsidP="00C23850">
      <w:pPr>
        <w:pStyle w:val="AERbulletlistfirststyle"/>
        <w:rPr>
          <w:rStyle w:val="AERbody"/>
          <w:rFonts w:eastAsia="Calibri"/>
        </w:rPr>
      </w:pPr>
      <w:r w:rsidRPr="003A5277">
        <w:rPr>
          <w:rStyle w:val="AERbody"/>
        </w:rPr>
        <w:t>Regulatory depreciation—</w:t>
      </w:r>
      <w:r>
        <w:rPr>
          <w:rStyle w:val="AERbody"/>
        </w:rPr>
        <w:t>Endeavour</w:t>
      </w:r>
      <w:r w:rsidRPr="003A5277">
        <w:rPr>
          <w:rStyle w:val="AERbody"/>
        </w:rPr>
        <w:t xml:space="preserve"> </w:t>
      </w:r>
      <w:r>
        <w:rPr>
          <w:rStyle w:val="AERbody"/>
        </w:rPr>
        <w:t xml:space="preserve">Energy </w:t>
      </w:r>
      <w:r w:rsidRPr="003A5277">
        <w:rPr>
          <w:rStyle w:val="AERbody"/>
        </w:rPr>
        <w:t>proposed to use straight-line depreciation as calculated in the PTRM, and put forward a schedule of asset lives. Its depreciation forecasts (including the net effect of indexation) are included in the RAB roll forward table presented below.</w:t>
      </w:r>
    </w:p>
    <w:p w:rsidR="00724615" w:rsidRPr="00724615" w:rsidRDefault="00724615" w:rsidP="00C23850">
      <w:pPr>
        <w:pStyle w:val="AERbulletlistfirststyle"/>
        <w:rPr>
          <w:rStyle w:val="AERbody"/>
          <w:rFonts w:eastAsia="Calibri"/>
        </w:rPr>
      </w:pPr>
      <w:r w:rsidRPr="003A5277">
        <w:rPr>
          <w:rStyle w:val="AERbody"/>
        </w:rPr>
        <w:t>Cost of corporate income tax—</w:t>
      </w:r>
      <w:r>
        <w:rPr>
          <w:rStyle w:val="AERbody"/>
        </w:rPr>
        <w:t>Endeavour</w:t>
      </w:r>
      <w:r w:rsidRPr="003A5277">
        <w:rPr>
          <w:rStyle w:val="AERbody"/>
        </w:rPr>
        <w:t xml:space="preserve"> </w:t>
      </w:r>
      <w:r>
        <w:rPr>
          <w:rStyle w:val="AERbody"/>
        </w:rPr>
        <w:t xml:space="preserve">Energy </w:t>
      </w:r>
      <w:r w:rsidRPr="003A5277">
        <w:rPr>
          <w:rStyle w:val="AERbody"/>
        </w:rPr>
        <w:t xml:space="preserve">submitted taxation calculations using the PTRM, which involves calculating the indicative tax payable and then reducing its tax allowance with respect to the value of imputation credits. </w:t>
      </w:r>
      <w:r>
        <w:rPr>
          <w:rStyle w:val="AERbody"/>
        </w:rPr>
        <w:t>Endeavour Energy's</w:t>
      </w:r>
      <w:r w:rsidRPr="003A5277">
        <w:rPr>
          <w:rStyle w:val="AERbody"/>
        </w:rPr>
        <w:t xml:space="preserve"> proposed gamma figure (assumed value of imputation credits) is discussed below in the rate of return section.</w:t>
      </w:r>
    </w:p>
    <w:p w:rsidR="00724615" w:rsidRPr="00724615" w:rsidRDefault="00724615" w:rsidP="00C23850">
      <w:pPr>
        <w:pStyle w:val="AERbulletlistfirststyle"/>
        <w:rPr>
          <w:rStyle w:val="AERbody"/>
          <w:rFonts w:eastAsia="Calibri"/>
        </w:rPr>
      </w:pPr>
      <w:r w:rsidRPr="00226F09">
        <w:t xml:space="preserve">Efficiency carryovers— </w:t>
      </w:r>
      <w:r>
        <w:t>Endeavour Energy</w:t>
      </w:r>
      <w:r w:rsidRPr="00226F09">
        <w:t xml:space="preserve"> proposed a positive carryover allowance reflecting past efficiency gains associated with its opex (under the EBSS) over the </w:t>
      </w:r>
      <w:r>
        <w:t>current</w:t>
      </w:r>
      <w:r w:rsidRPr="00226F09">
        <w:t xml:space="preserve"> regulatory control period.</w:t>
      </w:r>
    </w:p>
    <w:p w:rsidR="00724615" w:rsidRDefault="00724615" w:rsidP="00C23850">
      <w:pPr>
        <w:pStyle w:val="AERbulletlistfirststyle"/>
      </w:pPr>
      <w:r>
        <w:t xml:space="preserve">Metering revenue—Endeavour Energy has proposed a revenue allowance to recover the costs of providing distribution metering services for 2014–15 in its TRP. Metering services will be unbundled from standard control services from 1 July 2014 and treated as alternative control services. However, the transitional rules require Endeavour Energy to recover the costs of providing these services as part of standard control services for the transitional regulatory control </w:t>
      </w:r>
      <w:r>
        <w:lastRenderedPageBreak/>
        <w:t>period. Endeavour Energy has not included metering costs for the subsequent regulatory control period as the associated revenue will not be recovered via Endeavour Energy's standard control services revenue.</w:t>
      </w:r>
    </w:p>
    <w:p w:rsidR="00032BEE" w:rsidRPr="00985999" w:rsidRDefault="00032BEE" w:rsidP="00985999">
      <w:pPr>
        <w:pStyle w:val="Heading9"/>
        <w:rPr>
          <w:rStyle w:val="AERbody"/>
          <w:color w:val="E36C0A"/>
          <w:sz w:val="24"/>
        </w:rPr>
      </w:pPr>
      <w:r w:rsidRPr="00985999">
        <w:rPr>
          <w:rStyle w:val="AERbody"/>
          <w:color w:val="E36C0A"/>
          <w:sz w:val="24"/>
        </w:rPr>
        <w:t>Rate of return</w:t>
      </w:r>
    </w:p>
    <w:p w:rsidR="00032BEE" w:rsidRDefault="00032BEE" w:rsidP="00032BEE">
      <w:pPr>
        <w:pStyle w:val="AERbodytext"/>
        <w:numPr>
          <w:ilvl w:val="0"/>
          <w:numId w:val="6"/>
        </w:numPr>
        <w:rPr>
          <w:rStyle w:val="AERbody"/>
        </w:rPr>
      </w:pPr>
      <w:r>
        <w:rPr>
          <w:rStyle w:val="AERbody"/>
        </w:rPr>
        <w:t xml:space="preserve">Endeavour Energy </w:t>
      </w:r>
      <w:r w:rsidRPr="0000172E">
        <w:rPr>
          <w:rStyle w:val="AERbody"/>
        </w:rPr>
        <w:t>proposed</w:t>
      </w:r>
      <w:r>
        <w:rPr>
          <w:rStyle w:val="AERbody"/>
        </w:rPr>
        <w:t xml:space="preserve"> an indicative WACC range </w:t>
      </w:r>
      <w:r w:rsidRPr="0000172E">
        <w:rPr>
          <w:rStyle w:val="AERbody"/>
        </w:rPr>
        <w:t>of 8.5–9.1 per cent</w:t>
      </w:r>
      <w:r>
        <w:rPr>
          <w:rStyle w:val="AERbody"/>
        </w:rPr>
        <w:t xml:space="preserve"> for the 2014-</w:t>
      </w:r>
      <w:r w:rsidR="006B3F30">
        <w:rPr>
          <w:rStyle w:val="AERbody"/>
        </w:rPr>
        <w:t>–</w:t>
      </w:r>
      <w:r w:rsidR="00185BB3">
        <w:rPr>
          <w:rStyle w:val="AERbody"/>
        </w:rPr>
        <w:t>1</w:t>
      </w:r>
      <w:r>
        <w:rPr>
          <w:rStyle w:val="AERbody"/>
        </w:rPr>
        <w:t>5 regulatory control period. This indicative WACC range</w:t>
      </w:r>
      <w:r w:rsidRPr="0000172E">
        <w:rPr>
          <w:rStyle w:val="AERbody"/>
        </w:rPr>
        <w:t xml:space="preserve"> reflect</w:t>
      </w:r>
      <w:r>
        <w:rPr>
          <w:rStyle w:val="AERbody"/>
        </w:rPr>
        <w:t>s</w:t>
      </w:r>
      <w:r w:rsidRPr="0000172E">
        <w:rPr>
          <w:rStyle w:val="AERbody"/>
        </w:rPr>
        <w:t xml:space="preserve"> the parameters shown in</w:t>
      </w:r>
      <w:r>
        <w:rPr>
          <w:rStyle w:val="AERbody"/>
        </w:rPr>
        <w:t xml:space="preserve"> </w:t>
      </w:r>
      <w:r w:rsidR="00EF4259">
        <w:rPr>
          <w:rStyle w:val="AERbody"/>
        </w:rPr>
        <w:fldChar w:fldCharType="begin"/>
      </w:r>
      <w:r w:rsidR="00EF4259">
        <w:rPr>
          <w:rStyle w:val="AERbody"/>
        </w:rPr>
        <w:instrText xml:space="preserve"> REF  _Ref381717848 \* Caps \h </w:instrText>
      </w:r>
      <w:r w:rsidR="00EF4259">
        <w:rPr>
          <w:rStyle w:val="AERbody"/>
        </w:rPr>
      </w:r>
      <w:r w:rsidR="00EF4259">
        <w:rPr>
          <w:rStyle w:val="AERbody"/>
        </w:rPr>
        <w:fldChar w:fldCharType="separate"/>
      </w:r>
      <w:r w:rsidR="00E313D7">
        <w:t xml:space="preserve">Table </w:t>
      </w:r>
      <w:r w:rsidR="00E313D7">
        <w:rPr>
          <w:noProof/>
        </w:rPr>
        <w:t>B</w:t>
      </w:r>
      <w:r w:rsidR="00E313D7">
        <w:t>.</w:t>
      </w:r>
      <w:r w:rsidR="00E313D7">
        <w:rPr>
          <w:noProof/>
        </w:rPr>
        <w:t>3</w:t>
      </w:r>
      <w:r w:rsidR="00EF4259">
        <w:rPr>
          <w:rStyle w:val="AERbody"/>
        </w:rPr>
        <w:fldChar w:fldCharType="end"/>
      </w:r>
      <w:r>
        <w:rPr>
          <w:rStyle w:val="AERbody"/>
        </w:rPr>
        <w:t xml:space="preserve">. </w:t>
      </w:r>
    </w:p>
    <w:p w:rsidR="00032BEE" w:rsidRDefault="00032BEE" w:rsidP="00032BEE">
      <w:pPr>
        <w:pStyle w:val="AERbodytext"/>
        <w:numPr>
          <w:ilvl w:val="0"/>
          <w:numId w:val="6"/>
        </w:numPr>
        <w:rPr>
          <w:rStyle w:val="AERbody"/>
        </w:rPr>
      </w:pPr>
      <w:r>
        <w:rPr>
          <w:rStyle w:val="AERbody"/>
        </w:rPr>
        <w:t xml:space="preserve">Endeavour Energy </w:t>
      </w:r>
      <w:r w:rsidRPr="00875721">
        <w:rPr>
          <w:rStyle w:val="AERbody"/>
        </w:rPr>
        <w:t>considered multiple models and estimation methods</w:t>
      </w:r>
      <w:r>
        <w:rPr>
          <w:rStyle w:val="AERbody"/>
        </w:rPr>
        <w:t xml:space="preserve"> in estimating the return on equity,</w:t>
      </w:r>
      <w:r w:rsidRPr="00875721">
        <w:rPr>
          <w:rStyle w:val="AERbody"/>
        </w:rPr>
        <w:t xml:space="preserve"> before adopting a long-term average approach to arrive at a point estimate</w:t>
      </w:r>
      <w:r>
        <w:rPr>
          <w:rStyle w:val="AERbody"/>
        </w:rPr>
        <w:t>.</w:t>
      </w:r>
      <w:r>
        <w:rPr>
          <w:rStyle w:val="FootnoteReference"/>
        </w:rPr>
        <w:footnoteReference w:id="143"/>
      </w:r>
      <w:r>
        <w:rPr>
          <w:rStyle w:val="AERbody"/>
        </w:rPr>
        <w:t xml:space="preserve"> Endeavour Energy submitted that their approach is</w:t>
      </w:r>
      <w:r w:rsidRPr="00782AF4">
        <w:rPr>
          <w:rStyle w:val="AERbody"/>
        </w:rPr>
        <w:t xml:space="preserve"> consistent with the requirement to have regard to relevant estimation methods, financial models, market data and other evidence when determining the allowed rate of return</w:t>
      </w:r>
      <w:r>
        <w:rPr>
          <w:rStyle w:val="AERbody"/>
        </w:rPr>
        <w:t>.</w:t>
      </w:r>
      <w:r>
        <w:rPr>
          <w:rStyle w:val="FootnoteReference"/>
        </w:rPr>
        <w:footnoteReference w:id="144"/>
      </w:r>
      <w:r>
        <w:rPr>
          <w:rStyle w:val="AERbody"/>
        </w:rPr>
        <w:t xml:space="preserve"> Endeavour Energy</w:t>
      </w:r>
      <w:r w:rsidRPr="00782AF4">
        <w:rPr>
          <w:rStyle w:val="AERbody"/>
        </w:rPr>
        <w:t>’s return on equity estimates are based on a report commissioned in January 2014 by the Competition Economists Group (CEG)</w:t>
      </w:r>
      <w:r>
        <w:rPr>
          <w:rStyle w:val="AERbody"/>
        </w:rPr>
        <w:t>.</w:t>
      </w:r>
      <w:r>
        <w:rPr>
          <w:rStyle w:val="FootnoteReference"/>
        </w:rPr>
        <w:footnoteReference w:id="145"/>
      </w:r>
    </w:p>
    <w:p w:rsidR="00032BEE" w:rsidRDefault="00032BEE" w:rsidP="00032BEE">
      <w:pPr>
        <w:pStyle w:val="AERbodytext"/>
        <w:numPr>
          <w:ilvl w:val="0"/>
          <w:numId w:val="6"/>
        </w:numPr>
        <w:rPr>
          <w:rStyle w:val="AERbody"/>
        </w:rPr>
      </w:pPr>
      <w:r>
        <w:rPr>
          <w:rStyle w:val="AERbody"/>
        </w:rPr>
        <w:t xml:space="preserve">Endeavour Energy proposed to adopt a trailing average portfolio approach (with a </w:t>
      </w:r>
      <w:r w:rsidRPr="00782AF4">
        <w:rPr>
          <w:rStyle w:val="AERbody"/>
        </w:rPr>
        <w:t>10-year debt term and BBB+ credit rating</w:t>
      </w:r>
      <w:r>
        <w:rPr>
          <w:rStyle w:val="AERbody"/>
        </w:rPr>
        <w:t>)</w:t>
      </w:r>
      <w:r w:rsidRPr="00782AF4">
        <w:rPr>
          <w:rStyle w:val="AERbody"/>
        </w:rPr>
        <w:t xml:space="preserve"> </w:t>
      </w:r>
      <w:r>
        <w:rPr>
          <w:rStyle w:val="AERbody"/>
        </w:rPr>
        <w:t>to estimate the return on debt as set out in our</w:t>
      </w:r>
      <w:r w:rsidRPr="00782AF4">
        <w:rPr>
          <w:rStyle w:val="AERbody"/>
        </w:rPr>
        <w:t xml:space="preserve"> </w:t>
      </w:r>
      <w:r>
        <w:rPr>
          <w:rStyle w:val="AERbody"/>
        </w:rPr>
        <w:t>rate of return guideline (</w:t>
      </w:r>
      <w:r w:rsidRPr="00D04296">
        <w:rPr>
          <w:rStyle w:val="AERbody"/>
        </w:rPr>
        <w:t>guideline</w:t>
      </w:r>
      <w:r>
        <w:rPr>
          <w:rStyle w:val="AERbody"/>
        </w:rPr>
        <w:t>)</w:t>
      </w:r>
      <w:r w:rsidRPr="00782AF4">
        <w:rPr>
          <w:rStyle w:val="AERbody"/>
        </w:rPr>
        <w:t>.</w:t>
      </w:r>
      <w:r>
        <w:rPr>
          <w:rStyle w:val="FootnoteReference"/>
        </w:rPr>
        <w:footnoteReference w:id="146"/>
      </w:r>
      <w:r>
        <w:rPr>
          <w:rStyle w:val="AERbody"/>
        </w:rPr>
        <w:t xml:space="preserve"> </w:t>
      </w:r>
      <w:r w:rsidRPr="00782AF4">
        <w:rPr>
          <w:rStyle w:val="AERbody"/>
        </w:rPr>
        <w:t xml:space="preserve">However, they </w:t>
      </w:r>
      <w:r>
        <w:rPr>
          <w:rStyle w:val="AERbody"/>
        </w:rPr>
        <w:t xml:space="preserve">submitted that historical rates would best match their actual debt financing practices </w:t>
      </w:r>
      <w:r w:rsidRPr="00D9659D">
        <w:rPr>
          <w:rStyle w:val="AERbody"/>
        </w:rPr>
        <w:t>(the immediate adoption of a trailing average debt portfolio)</w:t>
      </w:r>
      <w:r>
        <w:rPr>
          <w:rStyle w:val="AERbody"/>
        </w:rPr>
        <w:t>.</w:t>
      </w:r>
      <w:r>
        <w:rPr>
          <w:rStyle w:val="FootnoteReference"/>
        </w:rPr>
        <w:footnoteReference w:id="147"/>
      </w:r>
      <w:r>
        <w:rPr>
          <w:rStyle w:val="AERbody"/>
        </w:rPr>
        <w:t xml:space="preserve"> </w:t>
      </w:r>
    </w:p>
    <w:p w:rsidR="00032BEE" w:rsidRDefault="00032BEE" w:rsidP="00032BEE">
      <w:pPr>
        <w:pStyle w:val="AERbodytext"/>
        <w:numPr>
          <w:ilvl w:val="0"/>
          <w:numId w:val="6"/>
        </w:numPr>
        <w:rPr>
          <w:rStyle w:val="AERbody"/>
        </w:rPr>
      </w:pPr>
      <w:r>
        <w:rPr>
          <w:rStyle w:val="AERbody"/>
        </w:rPr>
        <w:t xml:space="preserve">Endeavour Energy </w:t>
      </w:r>
      <w:r w:rsidRPr="00782AF4">
        <w:rPr>
          <w:rStyle w:val="AERbody"/>
        </w:rPr>
        <w:t xml:space="preserve">adopted a value of 0.25 </w:t>
      </w:r>
      <w:r>
        <w:rPr>
          <w:rStyle w:val="AERbody"/>
        </w:rPr>
        <w:t>for imputation credits (gamma).</w:t>
      </w:r>
      <w:r>
        <w:rPr>
          <w:rStyle w:val="FootnoteReference"/>
        </w:rPr>
        <w:footnoteReference w:id="148"/>
      </w:r>
      <w:r>
        <w:rPr>
          <w:rStyle w:val="AERbody"/>
        </w:rPr>
        <w:t xml:space="preserve"> </w:t>
      </w:r>
    </w:p>
    <w:p w:rsidR="00724615" w:rsidRPr="00985999" w:rsidRDefault="00724615" w:rsidP="00985999">
      <w:pPr>
        <w:pStyle w:val="Heading9"/>
        <w:rPr>
          <w:rStyle w:val="AERbody"/>
          <w:color w:val="E36C0A"/>
          <w:sz w:val="24"/>
        </w:rPr>
      </w:pPr>
      <w:r w:rsidRPr="00985999">
        <w:rPr>
          <w:rStyle w:val="AERbody"/>
          <w:color w:val="E36C0A"/>
          <w:sz w:val="24"/>
        </w:rPr>
        <w:t>RAB</w:t>
      </w:r>
    </w:p>
    <w:p w:rsidR="00724615" w:rsidRDefault="00724615" w:rsidP="00724615">
      <w:pPr>
        <w:pStyle w:val="AERbodytext"/>
        <w:numPr>
          <w:ilvl w:val="0"/>
          <w:numId w:val="6"/>
        </w:numPr>
        <w:rPr>
          <w:rStyle w:val="AERbody"/>
        </w:rPr>
      </w:pPr>
      <w:r w:rsidRPr="003A5277">
        <w:rPr>
          <w:rStyle w:val="AERbody"/>
        </w:rPr>
        <w:t xml:space="preserve">The opening RAB at 1 July 2014 is a key determinant of the allowed revenue for the </w:t>
      </w:r>
      <w:r>
        <w:rPr>
          <w:rStyle w:val="AERbody"/>
        </w:rPr>
        <w:t>transitional</w:t>
      </w:r>
      <w:r w:rsidRPr="003A5277">
        <w:rPr>
          <w:rStyle w:val="AERbody"/>
        </w:rPr>
        <w:t xml:space="preserve"> regulatory control period. It directly influences the return on capital and return of capital building blocks. </w:t>
      </w:r>
      <w:r>
        <w:rPr>
          <w:rStyle w:val="AERbody"/>
        </w:rPr>
        <w:fldChar w:fldCharType="begin"/>
      </w:r>
      <w:r>
        <w:rPr>
          <w:rStyle w:val="AERbody"/>
        </w:rPr>
        <w:instrText xml:space="preserve"> REF _Ref382828437 \h </w:instrText>
      </w:r>
      <w:r>
        <w:rPr>
          <w:rStyle w:val="AERbody"/>
        </w:rPr>
      </w:r>
      <w:r>
        <w:rPr>
          <w:rStyle w:val="AERbody"/>
        </w:rPr>
        <w:fldChar w:fldCharType="separate"/>
      </w:r>
      <w:r w:rsidR="00E313D7">
        <w:t xml:space="preserve">Table </w:t>
      </w:r>
      <w:r w:rsidR="00E313D7">
        <w:rPr>
          <w:noProof/>
        </w:rPr>
        <w:t>B</w:t>
      </w:r>
      <w:r w:rsidR="00E313D7">
        <w:t>.</w:t>
      </w:r>
      <w:r w:rsidR="00E313D7">
        <w:rPr>
          <w:noProof/>
        </w:rPr>
        <w:t>12</w:t>
      </w:r>
      <w:r>
        <w:rPr>
          <w:rStyle w:val="AERbody"/>
        </w:rPr>
        <w:fldChar w:fldCharType="end"/>
      </w:r>
      <w:r w:rsidRPr="003A5277">
        <w:rPr>
          <w:rStyle w:val="AERbody"/>
        </w:rPr>
        <w:t xml:space="preserve"> show</w:t>
      </w:r>
      <w:r>
        <w:rPr>
          <w:rStyle w:val="AERbody"/>
        </w:rPr>
        <w:t>s</w:t>
      </w:r>
      <w:r w:rsidRPr="003A5277">
        <w:rPr>
          <w:rStyle w:val="AERbody"/>
        </w:rPr>
        <w:t xml:space="preserve"> </w:t>
      </w:r>
      <w:r>
        <w:rPr>
          <w:rStyle w:val="AERbody"/>
        </w:rPr>
        <w:t>Endeavour Energy</w:t>
      </w:r>
      <w:r w:rsidRPr="003A5277">
        <w:rPr>
          <w:rStyle w:val="AERbody"/>
        </w:rPr>
        <w:t>’s proposed roll forward of its RAB across the 2009–14 regulatory control period in order to derive the opening RAB.</w:t>
      </w:r>
    </w:p>
    <w:p w:rsidR="00724615" w:rsidRDefault="002401A5" w:rsidP="001D00C7">
      <w:pPr>
        <w:pStyle w:val="Caption"/>
        <w:jc w:val="left"/>
        <w:rPr>
          <w:rStyle w:val="AERbody"/>
        </w:rPr>
      </w:pPr>
      <w:bookmarkStart w:id="218" w:name="_Ref382828437"/>
      <w:r>
        <w:t>Table</w:t>
      </w:r>
      <w:r w:rsidR="00724615">
        <w:t xml:space="preserve"> </w:t>
      </w:r>
      <w:r w:rsidR="00DD155E">
        <w:fldChar w:fldCharType="begin"/>
      </w:r>
      <w:r w:rsidR="00DD155E">
        <w:instrText xml:space="preserve"> STYLEREF 7 \s </w:instrText>
      </w:r>
      <w:r w:rsidR="00DD155E">
        <w:fldChar w:fldCharType="separate"/>
      </w:r>
      <w:r w:rsidR="00E313D7">
        <w:rPr>
          <w:noProof/>
        </w:rPr>
        <w:t>B</w:t>
      </w:r>
      <w:r w:rsidR="00DD155E">
        <w:rPr>
          <w:noProof/>
        </w:rPr>
        <w:fldChar w:fldCharType="end"/>
      </w:r>
      <w:r>
        <w:t>.</w:t>
      </w:r>
      <w:r w:rsidR="00DD155E">
        <w:fldChar w:fldCharType="begin"/>
      </w:r>
      <w:r w:rsidR="00DD155E">
        <w:instrText xml:space="preserve"> SEQ Table_Apx \* ARABIC \s 7 </w:instrText>
      </w:r>
      <w:r w:rsidR="00DD155E">
        <w:fldChar w:fldCharType="separate"/>
      </w:r>
      <w:r w:rsidR="00E313D7">
        <w:rPr>
          <w:noProof/>
        </w:rPr>
        <w:t>12</w:t>
      </w:r>
      <w:r w:rsidR="00DD155E">
        <w:rPr>
          <w:noProof/>
        </w:rPr>
        <w:fldChar w:fldCharType="end"/>
      </w:r>
      <w:bookmarkEnd w:id="218"/>
      <w:r w:rsidR="00724615">
        <w:tab/>
      </w:r>
      <w:r w:rsidR="00724615" w:rsidRPr="00462B62">
        <w:t xml:space="preserve">Derivation of </w:t>
      </w:r>
      <w:r w:rsidR="00724615">
        <w:t>Endeavour</w:t>
      </w:r>
      <w:r w:rsidR="00724615" w:rsidRPr="00462B62">
        <w:t xml:space="preserve"> Energy's opening RAB as at 1 July 2014 ($m, nominal)</w:t>
      </w:r>
    </w:p>
    <w:tbl>
      <w:tblPr>
        <w:tblStyle w:val="AERtable-numbers"/>
        <w:tblW w:w="9180" w:type="dxa"/>
        <w:tblLook w:val="04A0" w:firstRow="1" w:lastRow="0" w:firstColumn="1" w:lastColumn="0" w:noHBand="0" w:noVBand="1"/>
      </w:tblPr>
      <w:tblGrid>
        <w:gridCol w:w="3280"/>
        <w:gridCol w:w="1180"/>
        <w:gridCol w:w="1180"/>
        <w:gridCol w:w="1180"/>
        <w:gridCol w:w="1180"/>
        <w:gridCol w:w="1180"/>
      </w:tblGrid>
      <w:tr w:rsidR="00724615" w:rsidRPr="00462B62" w:rsidTr="00185BB3">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80" w:type="dxa"/>
            <w:hideMark/>
          </w:tcPr>
          <w:p w:rsidR="00724615" w:rsidRPr="00724615" w:rsidRDefault="00724615" w:rsidP="00724615">
            <w:pPr>
              <w:pStyle w:val="AERtabletextleft"/>
            </w:pPr>
            <w:r w:rsidRPr="00DD1199">
              <w:t xml:space="preserve">RAB </w:t>
            </w:r>
          </w:p>
        </w:tc>
        <w:tc>
          <w:tcPr>
            <w:tcW w:w="1180" w:type="dxa"/>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2009–10</w:t>
            </w:r>
          </w:p>
        </w:tc>
        <w:tc>
          <w:tcPr>
            <w:tcW w:w="1180" w:type="dxa"/>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2010–11</w:t>
            </w:r>
          </w:p>
        </w:tc>
        <w:tc>
          <w:tcPr>
            <w:tcW w:w="1180" w:type="dxa"/>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2011–12</w:t>
            </w:r>
          </w:p>
        </w:tc>
        <w:tc>
          <w:tcPr>
            <w:tcW w:w="1180" w:type="dxa"/>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2012–13</w:t>
            </w:r>
          </w:p>
        </w:tc>
        <w:tc>
          <w:tcPr>
            <w:tcW w:w="1180" w:type="dxa"/>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2013–14</w:t>
            </w:r>
          </w:p>
        </w:tc>
      </w:tr>
      <w:tr w:rsidR="00724615" w:rsidRPr="00462B62" w:rsidTr="00185BB3">
        <w:trPr>
          <w:trHeight w:val="255"/>
        </w:trPr>
        <w:tc>
          <w:tcPr>
            <w:cnfStyle w:val="001000000000" w:firstRow="0" w:lastRow="0" w:firstColumn="1" w:lastColumn="0" w:oddVBand="0" w:evenVBand="0" w:oddHBand="0" w:evenHBand="0" w:firstRowFirstColumn="0" w:firstRowLastColumn="0" w:lastRowFirstColumn="0" w:lastRowLastColumn="0"/>
            <w:tcW w:w="3280" w:type="dxa"/>
            <w:shd w:val="clear" w:color="auto" w:fill="auto"/>
            <w:hideMark/>
          </w:tcPr>
          <w:p w:rsidR="00724615" w:rsidRPr="00724615" w:rsidRDefault="00724615" w:rsidP="00724615">
            <w:pPr>
              <w:pStyle w:val="AERtabletextleft"/>
            </w:pPr>
            <w:r w:rsidRPr="00DD1199">
              <w:t>Opening RAB</w:t>
            </w:r>
          </w:p>
        </w:tc>
        <w:tc>
          <w:tcPr>
            <w:tcW w:w="118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3690 </w:t>
            </w:r>
          </w:p>
        </w:tc>
        <w:tc>
          <w:tcPr>
            <w:tcW w:w="118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3940 </w:t>
            </w:r>
          </w:p>
        </w:tc>
        <w:tc>
          <w:tcPr>
            <w:tcW w:w="118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4340 </w:t>
            </w:r>
          </w:p>
        </w:tc>
        <w:tc>
          <w:tcPr>
            <w:tcW w:w="118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4908 </w:t>
            </w:r>
          </w:p>
        </w:tc>
        <w:tc>
          <w:tcPr>
            <w:tcW w:w="118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5344 </w:t>
            </w:r>
          </w:p>
        </w:tc>
      </w:tr>
      <w:tr w:rsidR="00724615" w:rsidRPr="00462B62" w:rsidTr="00185BB3">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80" w:type="dxa"/>
            <w:hideMark/>
          </w:tcPr>
          <w:p w:rsidR="00724615" w:rsidRPr="00724615" w:rsidRDefault="00724615" w:rsidP="00724615">
            <w:pPr>
              <w:pStyle w:val="AERtabletextleft"/>
            </w:pPr>
            <w:r w:rsidRPr="00DD1199">
              <w:t>Net capital expenditure</w:t>
            </w:r>
          </w:p>
        </w:tc>
        <w:tc>
          <w:tcPr>
            <w:tcW w:w="1180"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423 </w:t>
            </w:r>
          </w:p>
        </w:tc>
        <w:tc>
          <w:tcPr>
            <w:tcW w:w="1180"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507 </w:t>
            </w:r>
          </w:p>
        </w:tc>
        <w:tc>
          <w:tcPr>
            <w:tcW w:w="1180"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647 </w:t>
            </w:r>
          </w:p>
        </w:tc>
        <w:tc>
          <w:tcPr>
            <w:tcW w:w="1180"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582 </w:t>
            </w:r>
          </w:p>
        </w:tc>
        <w:tc>
          <w:tcPr>
            <w:tcW w:w="1180"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564 </w:t>
            </w:r>
          </w:p>
        </w:tc>
      </w:tr>
      <w:tr w:rsidR="00724615" w:rsidRPr="00462B62" w:rsidTr="00185BB3">
        <w:trPr>
          <w:trHeight w:val="255"/>
        </w:trPr>
        <w:tc>
          <w:tcPr>
            <w:cnfStyle w:val="001000000000" w:firstRow="0" w:lastRow="0" w:firstColumn="1" w:lastColumn="0" w:oddVBand="0" w:evenVBand="0" w:oddHBand="0" w:evenHBand="0" w:firstRowFirstColumn="0" w:firstRowLastColumn="0" w:lastRowFirstColumn="0" w:lastRowLastColumn="0"/>
            <w:tcW w:w="3280" w:type="dxa"/>
            <w:shd w:val="clear" w:color="auto" w:fill="auto"/>
            <w:hideMark/>
          </w:tcPr>
          <w:p w:rsidR="00724615" w:rsidRPr="00724615" w:rsidRDefault="00724615" w:rsidP="00724615">
            <w:pPr>
              <w:pStyle w:val="AERtabletextleft"/>
            </w:pPr>
            <w:r w:rsidRPr="00DD1199">
              <w:t>Straight-line depreciation</w:t>
            </w:r>
          </w:p>
        </w:tc>
        <w:tc>
          <w:tcPr>
            <w:tcW w:w="118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-240 </w:t>
            </w:r>
          </w:p>
        </w:tc>
        <w:tc>
          <w:tcPr>
            <w:tcW w:w="118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-220 </w:t>
            </w:r>
          </w:p>
        </w:tc>
        <w:tc>
          <w:tcPr>
            <w:tcW w:w="118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-227 </w:t>
            </w:r>
          </w:p>
        </w:tc>
        <w:tc>
          <w:tcPr>
            <w:tcW w:w="118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-232 </w:t>
            </w:r>
          </w:p>
        </w:tc>
        <w:tc>
          <w:tcPr>
            <w:tcW w:w="118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-231 </w:t>
            </w:r>
          </w:p>
        </w:tc>
      </w:tr>
      <w:tr w:rsidR="00724615" w:rsidRPr="00462B62" w:rsidTr="00185BB3">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80" w:type="dxa"/>
            <w:hideMark/>
          </w:tcPr>
          <w:p w:rsidR="00724615" w:rsidRPr="00724615" w:rsidRDefault="00724615" w:rsidP="00724615">
            <w:pPr>
              <w:pStyle w:val="AERtabletextleft"/>
            </w:pPr>
            <w:r w:rsidRPr="00DD1199">
              <w:t>Inflation adjustment</w:t>
            </w:r>
          </w:p>
        </w:tc>
        <w:tc>
          <w:tcPr>
            <w:tcW w:w="1180"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67 </w:t>
            </w:r>
          </w:p>
        </w:tc>
        <w:tc>
          <w:tcPr>
            <w:tcW w:w="1180"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112 </w:t>
            </w:r>
          </w:p>
        </w:tc>
        <w:tc>
          <w:tcPr>
            <w:tcW w:w="1180"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147 </w:t>
            </w:r>
          </w:p>
        </w:tc>
        <w:tc>
          <w:tcPr>
            <w:tcW w:w="1180"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87 </w:t>
            </w:r>
          </w:p>
        </w:tc>
        <w:tc>
          <w:tcPr>
            <w:tcW w:w="1180"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132 </w:t>
            </w:r>
          </w:p>
        </w:tc>
      </w:tr>
      <w:tr w:rsidR="00724615" w:rsidRPr="00462B62" w:rsidTr="00185BB3">
        <w:trPr>
          <w:trHeight w:val="270"/>
        </w:trPr>
        <w:tc>
          <w:tcPr>
            <w:cnfStyle w:val="001000000000" w:firstRow="0" w:lastRow="0" w:firstColumn="1" w:lastColumn="0" w:oddVBand="0" w:evenVBand="0" w:oddHBand="0" w:evenHBand="0" w:firstRowFirstColumn="0" w:firstRowLastColumn="0" w:lastRowFirstColumn="0" w:lastRowLastColumn="0"/>
            <w:tcW w:w="3280" w:type="dxa"/>
            <w:shd w:val="clear" w:color="auto" w:fill="auto"/>
            <w:hideMark/>
          </w:tcPr>
          <w:p w:rsidR="00724615" w:rsidRPr="00724615" w:rsidRDefault="00724615" w:rsidP="00724615">
            <w:pPr>
              <w:pStyle w:val="AERtabletextleft"/>
              <w:rPr>
                <w:rStyle w:val="AERtextbold"/>
              </w:rPr>
            </w:pPr>
            <w:r w:rsidRPr="00A33E9D">
              <w:rPr>
                <w:rStyle w:val="AERtextbold"/>
              </w:rPr>
              <w:t xml:space="preserve">Closing RAB </w:t>
            </w:r>
          </w:p>
        </w:tc>
        <w:tc>
          <w:tcPr>
            <w:tcW w:w="118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3</w:t>
            </w:r>
            <w:r w:rsidRPr="00724615">
              <w:rPr>
                <w:rStyle w:val="AERtextbold"/>
              </w:rPr>
              <w:t xml:space="preserve">940 </w:t>
            </w:r>
          </w:p>
        </w:tc>
        <w:tc>
          <w:tcPr>
            <w:tcW w:w="118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4</w:t>
            </w:r>
            <w:r w:rsidRPr="00724615">
              <w:rPr>
                <w:rStyle w:val="AERtextbold"/>
              </w:rPr>
              <w:t xml:space="preserve">340 </w:t>
            </w:r>
          </w:p>
        </w:tc>
        <w:tc>
          <w:tcPr>
            <w:tcW w:w="118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4</w:t>
            </w:r>
            <w:r w:rsidRPr="00724615">
              <w:rPr>
                <w:rStyle w:val="AERtextbold"/>
              </w:rPr>
              <w:t xml:space="preserve">908 </w:t>
            </w:r>
          </w:p>
        </w:tc>
        <w:tc>
          <w:tcPr>
            <w:tcW w:w="118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5</w:t>
            </w:r>
            <w:r w:rsidRPr="00724615">
              <w:rPr>
                <w:rStyle w:val="AERtextbold"/>
              </w:rPr>
              <w:t xml:space="preserve">344 </w:t>
            </w:r>
          </w:p>
        </w:tc>
        <w:tc>
          <w:tcPr>
            <w:tcW w:w="118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5</w:t>
            </w:r>
            <w:r w:rsidRPr="00724615">
              <w:rPr>
                <w:rStyle w:val="AERtextbold"/>
              </w:rPr>
              <w:t xml:space="preserve">809 </w:t>
            </w:r>
          </w:p>
        </w:tc>
      </w:tr>
      <w:tr w:rsidR="00724615" w:rsidRPr="00462B62" w:rsidTr="00185BB3">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80" w:type="dxa"/>
            <w:hideMark/>
          </w:tcPr>
          <w:p w:rsidR="00724615" w:rsidRPr="00724615" w:rsidRDefault="00724615" w:rsidP="00724615">
            <w:pPr>
              <w:pStyle w:val="AERtabletextleft"/>
            </w:pPr>
            <w:r w:rsidRPr="00DD1199">
              <w:t>Net adjustments from 2008–09</w:t>
            </w:r>
          </w:p>
        </w:tc>
        <w:tc>
          <w:tcPr>
            <w:tcW w:w="1180"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w:t>
            </w:r>
          </w:p>
        </w:tc>
        <w:tc>
          <w:tcPr>
            <w:tcW w:w="1180"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w:t>
            </w:r>
          </w:p>
        </w:tc>
        <w:tc>
          <w:tcPr>
            <w:tcW w:w="1180"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w:t>
            </w:r>
          </w:p>
        </w:tc>
        <w:tc>
          <w:tcPr>
            <w:tcW w:w="1180"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w:t>
            </w:r>
          </w:p>
        </w:tc>
        <w:tc>
          <w:tcPr>
            <w:tcW w:w="1180"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-193 </w:t>
            </w:r>
          </w:p>
        </w:tc>
      </w:tr>
      <w:tr w:rsidR="00724615" w:rsidRPr="00462B62" w:rsidTr="00185BB3">
        <w:trPr>
          <w:trHeight w:val="270"/>
        </w:trPr>
        <w:tc>
          <w:tcPr>
            <w:cnfStyle w:val="001000000000" w:firstRow="0" w:lastRow="0" w:firstColumn="1" w:lastColumn="0" w:oddVBand="0" w:evenVBand="0" w:oddHBand="0" w:evenHBand="0" w:firstRowFirstColumn="0" w:firstRowLastColumn="0" w:lastRowFirstColumn="0" w:lastRowLastColumn="0"/>
            <w:tcW w:w="3280" w:type="dxa"/>
            <w:shd w:val="clear" w:color="auto" w:fill="auto"/>
            <w:hideMark/>
          </w:tcPr>
          <w:p w:rsidR="00724615" w:rsidRPr="00724615" w:rsidRDefault="00724615" w:rsidP="00724615">
            <w:pPr>
              <w:pStyle w:val="AERtabletextleft"/>
              <w:rPr>
                <w:rStyle w:val="AERtextbold"/>
              </w:rPr>
            </w:pPr>
            <w:r w:rsidRPr="00A33E9D">
              <w:rPr>
                <w:rStyle w:val="AERtextbold"/>
              </w:rPr>
              <w:t>Opening RAB as at 1 July 2014</w:t>
            </w:r>
          </w:p>
        </w:tc>
        <w:tc>
          <w:tcPr>
            <w:tcW w:w="118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Fonts w:hint="eastAsia"/>
              </w:rPr>
              <w:t> </w:t>
            </w:r>
          </w:p>
        </w:tc>
        <w:tc>
          <w:tcPr>
            <w:tcW w:w="118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Fonts w:hint="eastAsia"/>
              </w:rPr>
              <w:t> </w:t>
            </w:r>
          </w:p>
        </w:tc>
        <w:tc>
          <w:tcPr>
            <w:tcW w:w="118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Fonts w:hint="eastAsia"/>
              </w:rPr>
              <w:t> </w:t>
            </w:r>
          </w:p>
        </w:tc>
        <w:tc>
          <w:tcPr>
            <w:tcW w:w="118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Fonts w:hint="eastAsia"/>
              </w:rPr>
              <w:t> </w:t>
            </w:r>
          </w:p>
        </w:tc>
        <w:tc>
          <w:tcPr>
            <w:tcW w:w="118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5</w:t>
            </w:r>
            <w:r w:rsidRPr="00724615">
              <w:rPr>
                <w:rStyle w:val="AERtextbold"/>
              </w:rPr>
              <w:t xml:space="preserve">616 </w:t>
            </w:r>
          </w:p>
        </w:tc>
      </w:tr>
    </w:tbl>
    <w:p w:rsidR="00724615" w:rsidRDefault="00724615" w:rsidP="00724615">
      <w:pPr>
        <w:pStyle w:val="AERtablesource"/>
      </w:pPr>
      <w:r w:rsidRPr="00102D82">
        <w:t>Source:</w:t>
      </w:r>
      <w:r w:rsidRPr="00102D82">
        <w:tab/>
      </w:r>
      <w:r>
        <w:t xml:space="preserve">Endeavour Energy, </w:t>
      </w:r>
      <w:r w:rsidRPr="00DD1199">
        <w:rPr>
          <w:rStyle w:val="AERtextitalic"/>
        </w:rPr>
        <w:t>Transitional regulatory proposal</w:t>
      </w:r>
      <w:r>
        <w:t xml:space="preserve">, p. </w:t>
      </w:r>
      <w:r w:rsidRPr="00693A45">
        <w:t>1</w:t>
      </w:r>
      <w:r>
        <w:t>7</w:t>
      </w:r>
      <w:r w:rsidRPr="00693A45">
        <w:t>.</w:t>
      </w:r>
    </w:p>
    <w:p w:rsidR="00724615" w:rsidRDefault="00724615" w:rsidP="00724615">
      <w:pPr>
        <w:pStyle w:val="AERtablesource"/>
      </w:pPr>
      <w:r w:rsidRPr="00693A45">
        <w:t>Notes:</w:t>
      </w:r>
      <w:r w:rsidRPr="00693A45">
        <w:tab/>
        <w:t>Numbers may not sum due to rounding.</w:t>
      </w:r>
    </w:p>
    <w:p w:rsidR="00724615" w:rsidRPr="003A5277" w:rsidRDefault="00724615" w:rsidP="00724615">
      <w:pPr>
        <w:pStyle w:val="AERbodytext"/>
        <w:numPr>
          <w:ilvl w:val="0"/>
          <w:numId w:val="6"/>
        </w:numPr>
      </w:pPr>
      <w:r>
        <w:lastRenderedPageBreak/>
        <w:fldChar w:fldCharType="begin"/>
      </w:r>
      <w:r>
        <w:instrText xml:space="preserve"> REF _Ref382828437 \h </w:instrText>
      </w:r>
      <w:r>
        <w:fldChar w:fldCharType="separate"/>
      </w:r>
      <w:r w:rsidR="00E313D7">
        <w:t xml:space="preserve">Table </w:t>
      </w:r>
      <w:r w:rsidR="00E313D7">
        <w:rPr>
          <w:noProof/>
        </w:rPr>
        <w:t>B</w:t>
      </w:r>
      <w:r w:rsidR="00E313D7">
        <w:t>.</w:t>
      </w:r>
      <w:r w:rsidR="00E313D7">
        <w:rPr>
          <w:noProof/>
        </w:rPr>
        <w:t>12</w:t>
      </w:r>
      <w:r>
        <w:fldChar w:fldCharType="end"/>
      </w:r>
      <w:r w:rsidRPr="003A5277">
        <w:t xml:space="preserve"> also includes adjustments that relate to 2008–09. When the AER made its determination for the </w:t>
      </w:r>
      <w:r>
        <w:t>current</w:t>
      </w:r>
      <w:r w:rsidRPr="003A5277">
        <w:t xml:space="preserve"> regulatory control period, final figures for 2008–09 could not be obtained (since the year was not yet complete). Hence, </w:t>
      </w:r>
      <w:r>
        <w:t>Endeavour Energy</w:t>
      </w:r>
      <w:r w:rsidRPr="003A5277">
        <w:t>’s proposal adjusts for the difference between actual and estimated capex for the 2008–09 financial year.</w:t>
      </w:r>
    </w:p>
    <w:p w:rsidR="00724615" w:rsidRPr="006A5B03" w:rsidRDefault="00724615" w:rsidP="00724615">
      <w:pPr>
        <w:pStyle w:val="AERbodytext"/>
        <w:numPr>
          <w:ilvl w:val="0"/>
          <w:numId w:val="6"/>
        </w:numPr>
      </w:pPr>
      <w:r>
        <w:fldChar w:fldCharType="begin"/>
      </w:r>
      <w:r>
        <w:instrText xml:space="preserve"> REF _Ref382828499 \h </w:instrText>
      </w:r>
      <w:r>
        <w:fldChar w:fldCharType="separate"/>
      </w:r>
      <w:r w:rsidR="00E313D7">
        <w:t xml:space="preserve">Table </w:t>
      </w:r>
      <w:r w:rsidR="00E313D7">
        <w:rPr>
          <w:noProof/>
        </w:rPr>
        <w:t>B</w:t>
      </w:r>
      <w:r w:rsidR="00E313D7">
        <w:t>.</w:t>
      </w:r>
      <w:r w:rsidR="00E313D7">
        <w:rPr>
          <w:noProof/>
        </w:rPr>
        <w:t>13</w:t>
      </w:r>
      <w:r>
        <w:fldChar w:fldCharType="end"/>
      </w:r>
      <w:r w:rsidRPr="003A5277">
        <w:t xml:space="preserve"> shows </w:t>
      </w:r>
      <w:r>
        <w:t>Endeavour Energy</w:t>
      </w:r>
      <w:r w:rsidRPr="003A5277">
        <w:t xml:space="preserve">’s proposed roll forward of the </w:t>
      </w:r>
      <w:r>
        <w:t>RAB</w:t>
      </w:r>
      <w:r w:rsidRPr="003A5277">
        <w:t xml:space="preserve"> from 1 July 2014 to 30 June 2019. This roll forward builds on the proposed capex outlined above.</w:t>
      </w:r>
    </w:p>
    <w:p w:rsidR="00724615" w:rsidRPr="00752B52" w:rsidRDefault="002401A5" w:rsidP="00724615">
      <w:pPr>
        <w:pStyle w:val="Caption"/>
        <w:rPr>
          <w:rStyle w:val="AERbody"/>
        </w:rPr>
      </w:pPr>
      <w:bookmarkStart w:id="219" w:name="_Ref382828499"/>
      <w:r>
        <w:t>Table</w:t>
      </w:r>
      <w:r w:rsidR="00724615">
        <w:t xml:space="preserve"> </w:t>
      </w:r>
      <w:r w:rsidR="00DD155E">
        <w:fldChar w:fldCharType="begin"/>
      </w:r>
      <w:r w:rsidR="00DD155E">
        <w:instrText xml:space="preserve"> STYLEREF 7 \s </w:instrText>
      </w:r>
      <w:r w:rsidR="00DD155E">
        <w:fldChar w:fldCharType="separate"/>
      </w:r>
      <w:r w:rsidR="00E313D7">
        <w:rPr>
          <w:noProof/>
        </w:rPr>
        <w:t>B</w:t>
      </w:r>
      <w:r w:rsidR="00DD155E">
        <w:rPr>
          <w:noProof/>
        </w:rPr>
        <w:fldChar w:fldCharType="end"/>
      </w:r>
      <w:r>
        <w:t>.</w:t>
      </w:r>
      <w:r w:rsidR="00DD155E">
        <w:fldChar w:fldCharType="begin"/>
      </w:r>
      <w:r w:rsidR="00DD155E">
        <w:instrText xml:space="preserve"> SEQ Table_Apx \* ARABIC \s 7 </w:instrText>
      </w:r>
      <w:r w:rsidR="00DD155E">
        <w:fldChar w:fldCharType="separate"/>
      </w:r>
      <w:r w:rsidR="00E313D7">
        <w:rPr>
          <w:noProof/>
        </w:rPr>
        <w:t>13</w:t>
      </w:r>
      <w:r w:rsidR="00DD155E">
        <w:rPr>
          <w:noProof/>
        </w:rPr>
        <w:fldChar w:fldCharType="end"/>
      </w:r>
      <w:bookmarkEnd w:id="219"/>
      <w:r w:rsidR="00724615">
        <w:tab/>
        <w:t>Endeavour</w:t>
      </w:r>
      <w:r w:rsidR="00724615" w:rsidRPr="00462B62">
        <w:t xml:space="preserve"> Energy's proposed RAB 2014</w:t>
      </w:r>
      <w:r w:rsidR="00724615">
        <w:t>–</w:t>
      </w:r>
      <w:r w:rsidR="00724615" w:rsidRPr="00462B62">
        <w:t>19 ($m, nominal)</w:t>
      </w:r>
    </w:p>
    <w:tbl>
      <w:tblPr>
        <w:tblStyle w:val="AERtable-numbers"/>
        <w:tblW w:w="7900" w:type="dxa"/>
        <w:tblLook w:val="04A0" w:firstRow="1" w:lastRow="0" w:firstColumn="1" w:lastColumn="0" w:noHBand="0" w:noVBand="1"/>
      </w:tblPr>
      <w:tblGrid>
        <w:gridCol w:w="3100"/>
        <w:gridCol w:w="960"/>
        <w:gridCol w:w="960"/>
        <w:gridCol w:w="960"/>
        <w:gridCol w:w="960"/>
        <w:gridCol w:w="960"/>
      </w:tblGrid>
      <w:tr w:rsidR="00724615" w:rsidRPr="00462B62" w:rsidTr="00111EB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00" w:type="dxa"/>
            <w:hideMark/>
          </w:tcPr>
          <w:p w:rsidR="00724615" w:rsidRPr="00724615" w:rsidRDefault="00724615" w:rsidP="00724615">
            <w:pPr>
              <w:pStyle w:val="AERtabletextleft"/>
            </w:pPr>
            <w:r w:rsidRPr="00DD1199">
              <w:t xml:space="preserve">RAB </w:t>
            </w:r>
          </w:p>
        </w:tc>
        <w:tc>
          <w:tcPr>
            <w:tcW w:w="960" w:type="dxa"/>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 xml:space="preserve">2014–15 </w:t>
            </w:r>
          </w:p>
        </w:tc>
        <w:tc>
          <w:tcPr>
            <w:tcW w:w="960" w:type="dxa"/>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 xml:space="preserve">2015–16 </w:t>
            </w:r>
          </w:p>
        </w:tc>
        <w:tc>
          <w:tcPr>
            <w:tcW w:w="960" w:type="dxa"/>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 xml:space="preserve">2016–17 </w:t>
            </w:r>
          </w:p>
        </w:tc>
        <w:tc>
          <w:tcPr>
            <w:tcW w:w="960" w:type="dxa"/>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 xml:space="preserve">2017–18 </w:t>
            </w:r>
          </w:p>
        </w:tc>
        <w:tc>
          <w:tcPr>
            <w:tcW w:w="960" w:type="dxa"/>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 xml:space="preserve">2018–19 </w:t>
            </w:r>
          </w:p>
        </w:tc>
      </w:tr>
      <w:tr w:rsidR="00724615" w:rsidRPr="00462B62" w:rsidTr="00111EB1">
        <w:trPr>
          <w:trHeight w:val="255"/>
        </w:trPr>
        <w:tc>
          <w:tcPr>
            <w:cnfStyle w:val="001000000000" w:firstRow="0" w:lastRow="0" w:firstColumn="1" w:lastColumn="0" w:oddVBand="0" w:evenVBand="0" w:oddHBand="0" w:evenHBand="0" w:firstRowFirstColumn="0" w:firstRowLastColumn="0" w:lastRowFirstColumn="0" w:lastRowLastColumn="0"/>
            <w:tcW w:w="3100" w:type="dxa"/>
            <w:shd w:val="clear" w:color="auto" w:fill="auto"/>
            <w:hideMark/>
          </w:tcPr>
          <w:p w:rsidR="00724615" w:rsidRPr="00724615" w:rsidRDefault="00724615" w:rsidP="00724615">
            <w:pPr>
              <w:pStyle w:val="AERtabletextleft"/>
            </w:pPr>
            <w:r w:rsidRPr="00DD1199">
              <w:t>Opening RAB</w:t>
            </w:r>
          </w:p>
        </w:tc>
        <w:tc>
          <w:tcPr>
            <w:tcW w:w="96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5593 </w:t>
            </w:r>
          </w:p>
        </w:tc>
        <w:tc>
          <w:tcPr>
            <w:tcW w:w="96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5983 </w:t>
            </w:r>
          </w:p>
        </w:tc>
        <w:tc>
          <w:tcPr>
            <w:tcW w:w="96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6289 </w:t>
            </w:r>
          </w:p>
        </w:tc>
        <w:tc>
          <w:tcPr>
            <w:tcW w:w="96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6544 </w:t>
            </w:r>
          </w:p>
        </w:tc>
        <w:tc>
          <w:tcPr>
            <w:tcW w:w="96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6813 </w:t>
            </w:r>
          </w:p>
        </w:tc>
      </w:tr>
      <w:tr w:rsidR="00724615" w:rsidRPr="00462B62" w:rsidTr="00111EB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00" w:type="dxa"/>
            <w:hideMark/>
          </w:tcPr>
          <w:p w:rsidR="00724615" w:rsidRPr="00724615" w:rsidRDefault="00724615" w:rsidP="00724615">
            <w:pPr>
              <w:pStyle w:val="AERtabletextleft"/>
            </w:pPr>
            <w:r w:rsidRPr="00DD1199">
              <w:t xml:space="preserve">Net </w:t>
            </w:r>
            <w:r w:rsidRPr="00724615">
              <w:t>capital expenditure</w:t>
            </w:r>
          </w:p>
        </w:tc>
        <w:tc>
          <w:tcPr>
            <w:tcW w:w="960"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452 </w:t>
            </w:r>
          </w:p>
        </w:tc>
        <w:tc>
          <w:tcPr>
            <w:tcW w:w="960"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379 </w:t>
            </w:r>
          </w:p>
        </w:tc>
        <w:tc>
          <w:tcPr>
            <w:tcW w:w="960"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338 </w:t>
            </w:r>
          </w:p>
        </w:tc>
        <w:tc>
          <w:tcPr>
            <w:tcW w:w="960"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357 </w:t>
            </w:r>
          </w:p>
        </w:tc>
        <w:tc>
          <w:tcPr>
            <w:tcW w:w="960"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348 </w:t>
            </w:r>
          </w:p>
        </w:tc>
      </w:tr>
      <w:tr w:rsidR="00724615" w:rsidRPr="00462B62" w:rsidTr="00111EB1">
        <w:trPr>
          <w:trHeight w:val="255"/>
        </w:trPr>
        <w:tc>
          <w:tcPr>
            <w:cnfStyle w:val="001000000000" w:firstRow="0" w:lastRow="0" w:firstColumn="1" w:lastColumn="0" w:oddVBand="0" w:evenVBand="0" w:oddHBand="0" w:evenHBand="0" w:firstRowFirstColumn="0" w:firstRowLastColumn="0" w:lastRowFirstColumn="0" w:lastRowLastColumn="0"/>
            <w:tcW w:w="3100" w:type="dxa"/>
            <w:shd w:val="clear" w:color="auto" w:fill="auto"/>
            <w:hideMark/>
          </w:tcPr>
          <w:p w:rsidR="00724615" w:rsidRPr="00724615" w:rsidRDefault="00724615" w:rsidP="00724615">
            <w:pPr>
              <w:pStyle w:val="AERtabletextleft"/>
            </w:pPr>
            <w:r w:rsidRPr="00DD1199">
              <w:t>Straight-line depreciation</w:t>
            </w:r>
          </w:p>
        </w:tc>
        <w:tc>
          <w:tcPr>
            <w:tcW w:w="96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-202 </w:t>
            </w:r>
          </w:p>
        </w:tc>
        <w:tc>
          <w:tcPr>
            <w:tcW w:w="96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-222 </w:t>
            </w:r>
          </w:p>
        </w:tc>
        <w:tc>
          <w:tcPr>
            <w:tcW w:w="96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-240 </w:t>
            </w:r>
          </w:p>
        </w:tc>
        <w:tc>
          <w:tcPr>
            <w:tcW w:w="96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-252 </w:t>
            </w:r>
          </w:p>
        </w:tc>
        <w:tc>
          <w:tcPr>
            <w:tcW w:w="96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-264 </w:t>
            </w:r>
          </w:p>
        </w:tc>
      </w:tr>
      <w:tr w:rsidR="00724615" w:rsidRPr="00462B62" w:rsidTr="00111EB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00" w:type="dxa"/>
            <w:hideMark/>
          </w:tcPr>
          <w:p w:rsidR="00724615" w:rsidRPr="00724615" w:rsidRDefault="00724615" w:rsidP="00724615">
            <w:pPr>
              <w:pStyle w:val="AERtabletextleft"/>
              <w:rPr>
                <w:rStyle w:val="AERsuperscript"/>
              </w:rPr>
            </w:pPr>
            <w:r w:rsidRPr="00DD1199">
              <w:t>Inflation adjustment</w:t>
            </w:r>
            <w:r w:rsidRPr="00724615">
              <w:rPr>
                <w:rStyle w:val="AERsuperscript"/>
              </w:rPr>
              <w:t>a</w:t>
            </w:r>
          </w:p>
        </w:tc>
        <w:tc>
          <w:tcPr>
            <w:tcW w:w="960"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140 </w:t>
            </w:r>
          </w:p>
        </w:tc>
        <w:tc>
          <w:tcPr>
            <w:tcW w:w="960"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150 </w:t>
            </w:r>
          </w:p>
        </w:tc>
        <w:tc>
          <w:tcPr>
            <w:tcW w:w="960"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157 </w:t>
            </w:r>
          </w:p>
        </w:tc>
        <w:tc>
          <w:tcPr>
            <w:tcW w:w="960"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164 </w:t>
            </w:r>
          </w:p>
        </w:tc>
        <w:tc>
          <w:tcPr>
            <w:tcW w:w="960"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170 </w:t>
            </w:r>
          </w:p>
        </w:tc>
      </w:tr>
      <w:tr w:rsidR="00724615" w:rsidRPr="00DD65A5" w:rsidTr="00111EB1">
        <w:trPr>
          <w:trHeight w:val="270"/>
        </w:trPr>
        <w:tc>
          <w:tcPr>
            <w:cnfStyle w:val="001000000000" w:firstRow="0" w:lastRow="0" w:firstColumn="1" w:lastColumn="0" w:oddVBand="0" w:evenVBand="0" w:oddHBand="0" w:evenHBand="0" w:firstRowFirstColumn="0" w:firstRowLastColumn="0" w:lastRowFirstColumn="0" w:lastRowLastColumn="0"/>
            <w:tcW w:w="3100" w:type="dxa"/>
            <w:shd w:val="clear" w:color="auto" w:fill="auto"/>
            <w:hideMark/>
          </w:tcPr>
          <w:p w:rsidR="00724615" w:rsidRPr="00724615" w:rsidRDefault="00724615" w:rsidP="00724615">
            <w:pPr>
              <w:pStyle w:val="AERtabletextleft"/>
              <w:rPr>
                <w:rStyle w:val="AERtextbold"/>
              </w:rPr>
            </w:pPr>
            <w:r w:rsidRPr="00A33E9D">
              <w:rPr>
                <w:rStyle w:val="AERtextbold"/>
              </w:rPr>
              <w:t xml:space="preserve">Closing RAB </w:t>
            </w:r>
          </w:p>
        </w:tc>
        <w:tc>
          <w:tcPr>
            <w:tcW w:w="96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5</w:t>
            </w:r>
            <w:r w:rsidRPr="00724615">
              <w:rPr>
                <w:rStyle w:val="AERtextbold"/>
              </w:rPr>
              <w:t xml:space="preserve">983 </w:t>
            </w:r>
          </w:p>
        </w:tc>
        <w:tc>
          <w:tcPr>
            <w:tcW w:w="96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6</w:t>
            </w:r>
            <w:r w:rsidRPr="00724615">
              <w:rPr>
                <w:rStyle w:val="AERtextbold"/>
              </w:rPr>
              <w:t xml:space="preserve">289 </w:t>
            </w:r>
          </w:p>
        </w:tc>
        <w:tc>
          <w:tcPr>
            <w:tcW w:w="96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6</w:t>
            </w:r>
            <w:r w:rsidRPr="00724615">
              <w:rPr>
                <w:rStyle w:val="AERtextbold"/>
              </w:rPr>
              <w:t xml:space="preserve">544 </w:t>
            </w:r>
          </w:p>
        </w:tc>
        <w:tc>
          <w:tcPr>
            <w:tcW w:w="96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6</w:t>
            </w:r>
            <w:r w:rsidRPr="00724615">
              <w:rPr>
                <w:rStyle w:val="AERtextbold"/>
              </w:rPr>
              <w:t xml:space="preserve">813 </w:t>
            </w:r>
          </w:p>
        </w:tc>
        <w:tc>
          <w:tcPr>
            <w:tcW w:w="960"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7</w:t>
            </w:r>
            <w:r w:rsidRPr="00724615">
              <w:rPr>
                <w:rStyle w:val="AERtextbold"/>
              </w:rPr>
              <w:t xml:space="preserve">067 </w:t>
            </w:r>
          </w:p>
        </w:tc>
      </w:tr>
    </w:tbl>
    <w:p w:rsidR="00724615" w:rsidRPr="00102D82" w:rsidRDefault="00724615" w:rsidP="00724615">
      <w:pPr>
        <w:pStyle w:val="AERtablesource"/>
      </w:pPr>
      <w:r w:rsidRPr="00102D82">
        <w:t>Source:</w:t>
      </w:r>
      <w:r w:rsidRPr="00102D82">
        <w:tab/>
      </w:r>
      <w:r>
        <w:t xml:space="preserve">Endeavour Energy, </w:t>
      </w:r>
      <w:r w:rsidRPr="00DD1199">
        <w:rPr>
          <w:rStyle w:val="AERtextitalic"/>
        </w:rPr>
        <w:t>Transitional regulatory proposal</w:t>
      </w:r>
      <w:r>
        <w:t xml:space="preserve">, </w:t>
      </w:r>
      <w:r w:rsidRPr="00693A45">
        <w:t>January 2014</w:t>
      </w:r>
      <w:r>
        <w:t>. Endeavour Energy</w:t>
      </w:r>
      <w:r w:rsidRPr="00693A45">
        <w:t xml:space="preserve">, </w:t>
      </w:r>
      <w:r w:rsidRPr="00A9102F">
        <w:rPr>
          <w:rStyle w:val="AERtextitalic"/>
        </w:rPr>
        <w:t>Post-Tax Revenue Model</w:t>
      </w:r>
      <w:r>
        <w:t>, January 2014</w:t>
      </w:r>
      <w:r w:rsidRPr="00693A45">
        <w:t>.</w:t>
      </w:r>
    </w:p>
    <w:p w:rsidR="00724615" w:rsidRDefault="00724615" w:rsidP="00724615">
      <w:pPr>
        <w:pStyle w:val="AERtablesource"/>
      </w:pPr>
      <w:r w:rsidRPr="003D4734">
        <w:t>Notes:</w:t>
      </w:r>
      <w:r w:rsidRPr="003D4734">
        <w:tab/>
      </w:r>
      <w:r w:rsidRPr="00693A45">
        <w:t>Numbers may not sum due to rounding.</w:t>
      </w:r>
    </w:p>
    <w:p w:rsidR="00724615" w:rsidRDefault="001D00C7" w:rsidP="00724615">
      <w:pPr>
        <w:pStyle w:val="AERtablesource"/>
      </w:pPr>
      <w:r>
        <w:tab/>
      </w:r>
      <w:r w:rsidR="00724615">
        <w:t>a.</w:t>
      </w:r>
      <w:r w:rsidR="00724615">
        <w:tab/>
        <w:t xml:space="preserve">Based on a forecast inflation rate of 2.50 per cent per annum. </w:t>
      </w:r>
    </w:p>
    <w:p w:rsidR="00724615" w:rsidRPr="00985999" w:rsidRDefault="00724615" w:rsidP="00985999">
      <w:pPr>
        <w:pStyle w:val="Heading9"/>
        <w:rPr>
          <w:rStyle w:val="AERbody"/>
          <w:color w:val="E36C0A"/>
          <w:sz w:val="24"/>
        </w:rPr>
      </w:pPr>
      <w:r w:rsidRPr="00985999">
        <w:rPr>
          <w:rStyle w:val="AERbody"/>
          <w:color w:val="E36C0A"/>
          <w:sz w:val="24"/>
        </w:rPr>
        <w:t>Operating expenditure</w:t>
      </w:r>
    </w:p>
    <w:p w:rsidR="00724615" w:rsidRPr="008F3582" w:rsidRDefault="00724615" w:rsidP="00724615">
      <w:r w:rsidRPr="008F3582">
        <w:t>Endeavour Energy has used the actual opex of 2012</w:t>
      </w:r>
      <w:r w:rsidR="006B3F30">
        <w:t>–</w:t>
      </w:r>
      <w:r w:rsidRPr="008F3582">
        <w:t>13 as its base year. To derive forecast opex for 2014</w:t>
      </w:r>
      <w:r w:rsidRPr="008F3582">
        <w:noBreakHyphen/>
        <w:t>15 to 2018</w:t>
      </w:r>
      <w:r w:rsidRPr="008F3582">
        <w:noBreakHyphen/>
        <w:t>19 Endeavour Energy has added opex for the following factors:</w:t>
      </w:r>
    </w:p>
    <w:p w:rsidR="00724615" w:rsidRPr="008F3582" w:rsidRDefault="00724615" w:rsidP="00C23850">
      <w:pPr>
        <w:pStyle w:val="AERbulletlistfirststyle"/>
      </w:pPr>
      <w:r w:rsidRPr="008F3582">
        <w:t>Forecast changes in labour costs</w:t>
      </w:r>
      <w:r w:rsidRPr="008F3582">
        <w:rPr>
          <w:rStyle w:val="FootnoteReference"/>
        </w:rPr>
        <w:footnoteReference w:id="149"/>
      </w:r>
    </w:p>
    <w:p w:rsidR="00724615" w:rsidRPr="008F3582" w:rsidRDefault="00724615" w:rsidP="00C23850">
      <w:pPr>
        <w:pStyle w:val="AERbulletlistfirststyle"/>
      </w:pPr>
      <w:r w:rsidRPr="008F3582">
        <w:t>Loss of synergy from the sale of associated retail service providers</w:t>
      </w:r>
      <w:r w:rsidRPr="008F3582">
        <w:rPr>
          <w:rStyle w:val="FootnoteReference"/>
        </w:rPr>
        <w:footnoteReference w:id="150"/>
      </w:r>
    </w:p>
    <w:p w:rsidR="00724615" w:rsidRPr="008F3582" w:rsidRDefault="00724615" w:rsidP="00C23850">
      <w:pPr>
        <w:pStyle w:val="AERbulletlistfirststyle"/>
      </w:pPr>
      <w:r w:rsidRPr="008F3582">
        <w:t>The impact of reductions capex on opex requirements including the impact of a reduced capex program on its cost structures</w:t>
      </w:r>
      <w:r w:rsidRPr="008F3582">
        <w:rPr>
          <w:rStyle w:val="FootnoteReference"/>
        </w:rPr>
        <w:footnoteReference w:id="151"/>
      </w:r>
    </w:p>
    <w:p w:rsidR="00724615" w:rsidRPr="008F3582" w:rsidRDefault="00724615" w:rsidP="00C23850">
      <w:pPr>
        <w:pStyle w:val="AERbulletlistfirststyle"/>
      </w:pPr>
      <w:r w:rsidRPr="008F3582">
        <w:t>An increase in vegetation management costs due to observed improvements in contract performance from its market providers</w:t>
      </w:r>
      <w:r w:rsidR="00130B85">
        <w:t>.</w:t>
      </w:r>
      <w:r w:rsidRPr="008F3582">
        <w:rPr>
          <w:rStyle w:val="FootnoteReference"/>
        </w:rPr>
        <w:footnoteReference w:id="152"/>
      </w:r>
    </w:p>
    <w:p w:rsidR="00724615" w:rsidRPr="008F3582" w:rsidRDefault="00724615" w:rsidP="00724615">
      <w:r w:rsidRPr="008F3582">
        <w:t>Endeavour Energy has also forecast productivity improvements to offset some of the cost increases identified above.</w:t>
      </w:r>
    </w:p>
    <w:p w:rsidR="00724615" w:rsidRPr="008F3582" w:rsidRDefault="00724615" w:rsidP="00724615">
      <w:pPr>
        <w:pStyle w:val="Caption"/>
      </w:pPr>
      <w:r w:rsidRPr="008F3582">
        <w:rPr>
          <w:rStyle w:val="AERbody"/>
        </w:rPr>
        <w:lastRenderedPageBreak/>
        <w:t xml:space="preserve"> </w:t>
      </w:r>
      <w:r w:rsidR="001D00C7">
        <w:rPr>
          <w:rStyle w:val="AERbody"/>
        </w:rPr>
        <w:t>Figure</w:t>
      </w:r>
      <w:r w:rsidRPr="008F3582">
        <w:t xml:space="preserve"> </w:t>
      </w:r>
      <w:r w:rsidR="00DD155E">
        <w:fldChar w:fldCharType="begin"/>
      </w:r>
      <w:r w:rsidR="00DD155E">
        <w:instrText xml:space="preserve"> STYLEREF 7 \s </w:instrText>
      </w:r>
      <w:r w:rsidR="00DD155E">
        <w:fldChar w:fldCharType="separate"/>
      </w:r>
      <w:r w:rsidR="00E313D7">
        <w:rPr>
          <w:noProof/>
        </w:rPr>
        <w:t>B</w:t>
      </w:r>
      <w:r w:rsidR="00DD155E">
        <w:rPr>
          <w:noProof/>
        </w:rPr>
        <w:fldChar w:fldCharType="end"/>
      </w:r>
      <w:r w:rsidR="001D00C7">
        <w:t>.</w:t>
      </w:r>
      <w:r w:rsidR="00DD155E">
        <w:fldChar w:fldCharType="begin"/>
      </w:r>
      <w:r w:rsidR="00DD155E">
        <w:instrText xml:space="preserve"> SEQ </w:instrText>
      </w:r>
      <w:r w:rsidR="00DD155E">
        <w:instrText xml:space="preserve">Figure_Apx \* ARABIC \s 7 </w:instrText>
      </w:r>
      <w:r w:rsidR="00DD155E">
        <w:fldChar w:fldCharType="separate"/>
      </w:r>
      <w:r w:rsidR="00E313D7">
        <w:rPr>
          <w:noProof/>
        </w:rPr>
        <w:t>6</w:t>
      </w:r>
      <w:r w:rsidR="00DD155E">
        <w:rPr>
          <w:noProof/>
        </w:rPr>
        <w:fldChar w:fldCharType="end"/>
      </w:r>
      <w:r w:rsidRPr="008F3582">
        <w:tab/>
        <w:t xml:space="preserve">Comparison of Endeavour Energy’s forecast opex to its recent actual opex </w:t>
      </w:r>
    </w:p>
    <w:p w:rsidR="00724615" w:rsidRPr="008F3582" w:rsidRDefault="00724615" w:rsidP="00724615">
      <w:pPr>
        <w:pStyle w:val="AERbodytext"/>
        <w:numPr>
          <w:ilvl w:val="0"/>
          <w:numId w:val="6"/>
        </w:numPr>
      </w:pPr>
      <w:r w:rsidRPr="00724615">
        <w:rPr>
          <w:noProof/>
          <w:lang w:eastAsia="en-AU"/>
        </w:rPr>
        <w:drawing>
          <wp:inline distT="0" distB="0" distL="0" distR="0" wp14:anchorId="64EE839B" wp14:editId="2D3BBFD4">
            <wp:extent cx="5731510" cy="3734667"/>
            <wp:effectExtent l="0" t="0" r="254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724615" w:rsidRPr="008F3582" w:rsidRDefault="00724615" w:rsidP="00724615">
      <w:pPr>
        <w:pStyle w:val="AERtablesource"/>
      </w:pPr>
      <w:r w:rsidRPr="008F3582">
        <w:t>Source:</w:t>
      </w:r>
      <w:r w:rsidRPr="008F3582">
        <w:tab/>
      </w:r>
      <w:r w:rsidR="007129F8">
        <w:t>AER analysis.</w:t>
      </w:r>
    </w:p>
    <w:p w:rsidR="00724615" w:rsidRPr="00985999" w:rsidRDefault="00724615" w:rsidP="00985999">
      <w:pPr>
        <w:pStyle w:val="Heading9"/>
        <w:rPr>
          <w:rStyle w:val="AERbody"/>
          <w:rFonts w:eastAsia="Calibri"/>
          <w:color w:val="E36C0A"/>
          <w:sz w:val="24"/>
        </w:rPr>
      </w:pPr>
      <w:r w:rsidRPr="00985999">
        <w:rPr>
          <w:rStyle w:val="AERbody"/>
          <w:color w:val="E36C0A"/>
          <w:sz w:val="24"/>
        </w:rPr>
        <w:t>Capital expenditure</w:t>
      </w:r>
    </w:p>
    <w:p w:rsidR="00724615" w:rsidRPr="008F3582" w:rsidRDefault="00724615" w:rsidP="00724615">
      <w:pPr>
        <w:pStyle w:val="AERbodytext"/>
        <w:numPr>
          <w:ilvl w:val="0"/>
          <w:numId w:val="6"/>
        </w:numPr>
      </w:pPr>
      <w:r w:rsidRPr="008F3582">
        <w:t>Endeavour Energy’s actual total capex spend was around 9 per cent less than its forecast capex over the 2009–14 regulatory control period. It spent $2852 million ($2013</w:t>
      </w:r>
      <w:r w:rsidR="004B4456">
        <w:t>–</w:t>
      </w:r>
      <w:r w:rsidRPr="008F3582">
        <w:t>14) compared with a capex allowance of $3143 million ($2013</w:t>
      </w:r>
      <w:r w:rsidR="00185BB3">
        <w:t>–</w:t>
      </w:r>
      <w:r w:rsidRPr="008F3582">
        <w:t>14). This is an underspend of $291 million. As shown in</w:t>
      </w:r>
      <w:r w:rsidR="004B4456">
        <w:t xml:space="preserve"> </w:t>
      </w:r>
      <w:r w:rsidR="00B876E6">
        <w:br/>
      </w:r>
      <w:r w:rsidR="00B876E6">
        <w:fldChar w:fldCharType="begin"/>
      </w:r>
      <w:r w:rsidR="00B876E6">
        <w:instrText xml:space="preserve"> REF  _Ref379454833 \* Caps \h </w:instrText>
      </w:r>
      <w:r w:rsidR="00B876E6">
        <w:fldChar w:fldCharType="separate"/>
      </w:r>
      <w:r w:rsidR="00E313D7">
        <w:t xml:space="preserve">Figure </w:t>
      </w:r>
      <w:r w:rsidR="00E313D7">
        <w:rPr>
          <w:noProof/>
        </w:rPr>
        <w:t>B</w:t>
      </w:r>
      <w:r w:rsidR="00E313D7">
        <w:t>.</w:t>
      </w:r>
      <w:r w:rsidR="00E313D7">
        <w:rPr>
          <w:noProof/>
        </w:rPr>
        <w:t>7</w:t>
      </w:r>
      <w:r w:rsidR="00B876E6">
        <w:fldChar w:fldCharType="end"/>
      </w:r>
      <w:r w:rsidRPr="008F3582">
        <w:t>, the majority of this underspend was in the first 2 years of the regulatory control period where Endeavour Energy underspend by 30 per cent and 24 per cent respectively. Since 2011</w:t>
      </w:r>
      <w:r w:rsidR="004B4456">
        <w:t>–</w:t>
      </w:r>
      <w:r w:rsidRPr="008F3582">
        <w:t>12</w:t>
      </w:r>
      <w:r w:rsidR="004B4456">
        <w:t>,</w:t>
      </w:r>
      <w:r w:rsidRPr="008F3582">
        <w:t xml:space="preserve"> Endeavour Energy has marginally overspent its capex allowance.</w:t>
      </w:r>
      <w:r w:rsidR="000603C4" w:rsidRPr="000033D5">
        <w:rPr>
          <w:rStyle w:val="FootnoteReference"/>
        </w:rPr>
        <w:footnoteReference w:id="153"/>
      </w:r>
    </w:p>
    <w:p w:rsidR="00724615" w:rsidRPr="008F3582" w:rsidRDefault="00724615" w:rsidP="00724615">
      <w:pPr>
        <w:pStyle w:val="AERbodytext"/>
        <w:numPr>
          <w:ilvl w:val="0"/>
          <w:numId w:val="6"/>
        </w:numPr>
      </w:pPr>
      <w:r w:rsidRPr="008F3582">
        <w:t>Endeavour Energy’s indicative proposed total forecast capex for the 2014–19 period is $1776 million ($2013</w:t>
      </w:r>
      <w:r w:rsidR="004B4456">
        <w:t>–</w:t>
      </w:r>
      <w:r w:rsidRPr="008F3582">
        <w:t>14).</w:t>
      </w:r>
      <w:r w:rsidR="005224D5">
        <w:rPr>
          <w:rStyle w:val="FootnoteReference"/>
        </w:rPr>
        <w:footnoteReference w:id="154"/>
      </w:r>
      <w:r w:rsidRPr="008F3582">
        <w:t xml:space="preserve"> This is $1</w:t>
      </w:r>
      <w:r w:rsidR="004B4456">
        <w:t>367 million ($2013–</w:t>
      </w:r>
      <w:r w:rsidRPr="008F3582">
        <w:t>14), or 44 per cent, lower than its allowed capex for the 2009–14 regu</w:t>
      </w:r>
      <w:r w:rsidR="004B4456">
        <w:t>latory control period. It is $1</w:t>
      </w:r>
      <w:r w:rsidRPr="008F3582">
        <w:t>076 million ($2013</w:t>
      </w:r>
      <w:r w:rsidR="004B4456">
        <w:t>–</w:t>
      </w:r>
      <w:r w:rsidRPr="008F3582">
        <w:t xml:space="preserve">14), or 38 per cent less than Endeavour Energy’s actual total capex spend over the 2009–14 regulatory control period. </w:t>
      </w:r>
      <w:r w:rsidR="001D00C7">
        <w:fldChar w:fldCharType="begin"/>
      </w:r>
      <w:r w:rsidR="001D00C7">
        <w:instrText xml:space="preserve"> REF _Ref379454833 \h </w:instrText>
      </w:r>
      <w:r w:rsidR="001D00C7">
        <w:fldChar w:fldCharType="separate"/>
      </w:r>
      <w:r w:rsidR="00E313D7">
        <w:t xml:space="preserve">Figure </w:t>
      </w:r>
      <w:r w:rsidR="00E313D7">
        <w:rPr>
          <w:noProof/>
        </w:rPr>
        <w:t>B</w:t>
      </w:r>
      <w:r w:rsidR="00E313D7">
        <w:t>.</w:t>
      </w:r>
      <w:r w:rsidR="00E313D7">
        <w:rPr>
          <w:noProof/>
        </w:rPr>
        <w:t>7</w:t>
      </w:r>
      <w:r w:rsidR="001D00C7">
        <w:fldChar w:fldCharType="end"/>
      </w:r>
      <w:r w:rsidR="001D00C7">
        <w:t xml:space="preserve"> </w:t>
      </w:r>
      <w:r w:rsidRPr="008F3582">
        <w:t>shows Endeavour Energy’s indicative proposed forecast capex in each year of the 2014–19</w:t>
      </w:r>
      <w:r w:rsidR="00185BB3">
        <w:t xml:space="preserve"> regulatory control</w:t>
      </w:r>
      <w:r w:rsidRPr="008F3582">
        <w:t xml:space="preserve"> period.</w:t>
      </w:r>
    </w:p>
    <w:p w:rsidR="00724615" w:rsidRPr="008F3582" w:rsidRDefault="001D00C7" w:rsidP="004B4456">
      <w:pPr>
        <w:pStyle w:val="Caption"/>
      </w:pPr>
      <w:bookmarkStart w:id="220" w:name="_Ref379454833"/>
      <w:r>
        <w:lastRenderedPageBreak/>
        <w:t>Figure</w:t>
      </w:r>
      <w:r w:rsidR="004B4456">
        <w:t xml:space="preserve"> </w:t>
      </w:r>
      <w:r w:rsidR="00DD155E">
        <w:fldChar w:fldCharType="begin"/>
      </w:r>
      <w:r w:rsidR="00DD155E">
        <w:instrText xml:space="preserve"> STYLEREF 7 \s </w:instrText>
      </w:r>
      <w:r w:rsidR="00DD155E">
        <w:fldChar w:fldCharType="separate"/>
      </w:r>
      <w:r w:rsidR="00E313D7">
        <w:rPr>
          <w:noProof/>
        </w:rPr>
        <w:t>B</w:t>
      </w:r>
      <w:r w:rsidR="00DD155E">
        <w:rPr>
          <w:noProof/>
        </w:rPr>
        <w:fldChar w:fldCharType="end"/>
      </w:r>
      <w:r>
        <w:t>.</w:t>
      </w:r>
      <w:r w:rsidR="00DD155E">
        <w:fldChar w:fldCharType="begin"/>
      </w:r>
      <w:r w:rsidR="00DD155E">
        <w:instrText xml:space="preserve"> SEQ Figure_Apx \* ARABIC \s 7 </w:instrText>
      </w:r>
      <w:r w:rsidR="00DD155E">
        <w:fldChar w:fldCharType="separate"/>
      </w:r>
      <w:r w:rsidR="00E313D7">
        <w:rPr>
          <w:noProof/>
        </w:rPr>
        <w:t>7</w:t>
      </w:r>
      <w:r w:rsidR="00DD155E">
        <w:rPr>
          <w:noProof/>
        </w:rPr>
        <w:fldChar w:fldCharType="end"/>
      </w:r>
      <w:bookmarkEnd w:id="220"/>
      <w:r w:rsidR="004B4456">
        <w:tab/>
      </w:r>
      <w:r w:rsidR="00724615" w:rsidRPr="008F3582">
        <w:t xml:space="preserve">Endeavour Energy proposed and current period capex ($m, </w:t>
      </w:r>
      <w:r w:rsidR="008F3D66">
        <w:t>2013-14</w:t>
      </w:r>
      <w:r w:rsidR="00724615" w:rsidRPr="008F3582">
        <w:t>)</w:t>
      </w:r>
    </w:p>
    <w:p w:rsidR="00724615" w:rsidRPr="008F3582" w:rsidRDefault="008F3D66" w:rsidP="00724615">
      <w:pPr>
        <w:pStyle w:val="AERbodytext"/>
        <w:numPr>
          <w:ilvl w:val="0"/>
          <w:numId w:val="6"/>
        </w:numPr>
      </w:pPr>
      <w:r>
        <w:rPr>
          <w:noProof/>
          <w:lang w:eastAsia="en-AU"/>
        </w:rPr>
        <w:drawing>
          <wp:inline distT="0" distB="0" distL="0" distR="0" wp14:anchorId="683AFEC8" wp14:editId="3A4D2589">
            <wp:extent cx="5450205" cy="30607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50205" cy="3060700"/>
                    </a:xfrm>
                    <a:prstGeom prst="rect">
                      <a:avLst/>
                    </a:prstGeom>
                    <a:noFill/>
                  </pic:spPr>
                </pic:pic>
              </a:graphicData>
            </a:graphic>
          </wp:inline>
        </w:drawing>
      </w:r>
    </w:p>
    <w:p w:rsidR="00724615" w:rsidRPr="008F3582" w:rsidRDefault="00185BB3" w:rsidP="00724615">
      <w:pPr>
        <w:pStyle w:val="AERtablesource"/>
      </w:pPr>
      <w:r>
        <w:t>Source:</w:t>
      </w:r>
      <w:r>
        <w:tab/>
        <w:t>AER analysis.</w:t>
      </w:r>
    </w:p>
    <w:p w:rsidR="00724615" w:rsidRPr="00DD1199" w:rsidRDefault="00724615" w:rsidP="00724615">
      <w:pPr>
        <w:rPr>
          <w:rStyle w:val="AERtextbold"/>
        </w:rPr>
      </w:pPr>
    </w:p>
    <w:p w:rsidR="00724615" w:rsidRPr="00DD1199" w:rsidRDefault="00724615" w:rsidP="00724615">
      <w:pPr>
        <w:rPr>
          <w:rStyle w:val="AERtextbold"/>
        </w:rPr>
      </w:pPr>
      <w:r>
        <w:rPr>
          <w:rStyle w:val="AERtextbold"/>
        </w:rPr>
        <w:br w:type="page"/>
      </w:r>
    </w:p>
    <w:p w:rsidR="00724615" w:rsidRPr="00B7680B" w:rsidRDefault="00724615" w:rsidP="003F0974">
      <w:pPr>
        <w:pStyle w:val="Heading8"/>
        <w:rPr>
          <w:rStyle w:val="AERtextbold"/>
          <w:b/>
        </w:rPr>
      </w:pPr>
      <w:bookmarkStart w:id="221" w:name="_Toc385326331"/>
      <w:r w:rsidRPr="00B7680B">
        <w:rPr>
          <w:rStyle w:val="AERtextbold"/>
          <w:b/>
        </w:rPr>
        <w:lastRenderedPageBreak/>
        <w:t>ActewAGL</w:t>
      </w:r>
      <w:bookmarkEnd w:id="221"/>
    </w:p>
    <w:p w:rsidR="00724615" w:rsidRPr="00985999" w:rsidRDefault="00724615" w:rsidP="00985999">
      <w:pPr>
        <w:pStyle w:val="Heading9"/>
        <w:rPr>
          <w:rStyle w:val="AERbody"/>
          <w:color w:val="E36C0A"/>
          <w:sz w:val="24"/>
        </w:rPr>
      </w:pPr>
      <w:r w:rsidRPr="00985999">
        <w:rPr>
          <w:rStyle w:val="AERbody"/>
          <w:color w:val="E36C0A"/>
          <w:sz w:val="24"/>
        </w:rPr>
        <w:t>Total revenue</w:t>
      </w:r>
    </w:p>
    <w:p w:rsidR="00724615" w:rsidRDefault="00985999" w:rsidP="00724615">
      <w:pPr>
        <w:pStyle w:val="AERbodytext"/>
        <w:numPr>
          <w:ilvl w:val="0"/>
          <w:numId w:val="6"/>
        </w:numPr>
        <w:rPr>
          <w:rStyle w:val="AERbody"/>
        </w:rPr>
      </w:pPr>
      <w:r>
        <w:rPr>
          <w:rStyle w:val="AERbody"/>
          <w:b/>
          <w:bCs/>
          <w:szCs w:val="18"/>
        </w:rPr>
        <w:fldChar w:fldCharType="begin"/>
      </w:r>
      <w:r>
        <w:rPr>
          <w:rStyle w:val="AERbody"/>
        </w:rPr>
        <w:instrText xml:space="preserve"> REF _Ref382828574 \h </w:instrText>
      </w:r>
      <w:r>
        <w:rPr>
          <w:rStyle w:val="AERbody"/>
          <w:b/>
          <w:bCs/>
          <w:szCs w:val="18"/>
        </w:rPr>
      </w:r>
      <w:r>
        <w:rPr>
          <w:rStyle w:val="AERbody"/>
          <w:b/>
          <w:bCs/>
          <w:szCs w:val="18"/>
        </w:rPr>
        <w:fldChar w:fldCharType="separate"/>
      </w:r>
      <w:r w:rsidR="00E313D7">
        <w:t xml:space="preserve">Table </w:t>
      </w:r>
      <w:r w:rsidR="00E313D7">
        <w:rPr>
          <w:noProof/>
        </w:rPr>
        <w:t>B</w:t>
      </w:r>
      <w:r w:rsidR="00E313D7">
        <w:t>.</w:t>
      </w:r>
      <w:r w:rsidR="00E313D7">
        <w:rPr>
          <w:noProof/>
        </w:rPr>
        <w:t>14</w:t>
      </w:r>
      <w:r>
        <w:rPr>
          <w:rStyle w:val="AERbody"/>
          <w:b/>
          <w:bCs/>
          <w:szCs w:val="18"/>
        </w:rPr>
        <w:fldChar w:fldCharType="end"/>
      </w:r>
      <w:r>
        <w:rPr>
          <w:rStyle w:val="AERbody"/>
          <w:b/>
          <w:bCs/>
          <w:szCs w:val="18"/>
        </w:rPr>
        <w:t xml:space="preserve"> </w:t>
      </w:r>
      <w:r w:rsidRPr="00985999">
        <w:rPr>
          <w:rStyle w:val="AERbody"/>
          <w:bCs/>
          <w:szCs w:val="18"/>
        </w:rPr>
        <w:t xml:space="preserve">and </w:t>
      </w:r>
      <w:r>
        <w:rPr>
          <w:rStyle w:val="AERbody"/>
          <w:b/>
          <w:bCs/>
          <w:szCs w:val="18"/>
        </w:rPr>
        <w:fldChar w:fldCharType="begin"/>
      </w:r>
      <w:r>
        <w:rPr>
          <w:rStyle w:val="AERbody"/>
          <w:b/>
          <w:bCs/>
          <w:szCs w:val="18"/>
        </w:rPr>
        <w:instrText xml:space="preserve"> REF _Ref382828585 \h </w:instrText>
      </w:r>
      <w:r>
        <w:rPr>
          <w:rStyle w:val="AERbody"/>
          <w:b/>
          <w:bCs/>
          <w:szCs w:val="18"/>
        </w:rPr>
      </w:r>
      <w:r>
        <w:rPr>
          <w:rStyle w:val="AERbody"/>
          <w:b/>
          <w:bCs/>
          <w:szCs w:val="18"/>
        </w:rPr>
        <w:fldChar w:fldCharType="separate"/>
      </w:r>
      <w:r w:rsidR="00E313D7">
        <w:t xml:space="preserve">Table </w:t>
      </w:r>
      <w:r w:rsidR="00E313D7">
        <w:rPr>
          <w:noProof/>
        </w:rPr>
        <w:t>B</w:t>
      </w:r>
      <w:r w:rsidR="00E313D7">
        <w:t>.</w:t>
      </w:r>
      <w:r w:rsidR="00E313D7">
        <w:rPr>
          <w:noProof/>
        </w:rPr>
        <w:t>15</w:t>
      </w:r>
      <w:r>
        <w:rPr>
          <w:rStyle w:val="AERbody"/>
          <w:b/>
          <w:bCs/>
          <w:szCs w:val="18"/>
        </w:rPr>
        <w:fldChar w:fldCharType="end"/>
      </w:r>
      <w:r w:rsidR="00724615" w:rsidRPr="003A5277">
        <w:rPr>
          <w:rStyle w:val="AERbody"/>
        </w:rPr>
        <w:t xml:space="preserve"> show </w:t>
      </w:r>
      <w:r w:rsidR="00724615">
        <w:rPr>
          <w:rStyle w:val="AERbody"/>
        </w:rPr>
        <w:t>ActewAGL</w:t>
      </w:r>
      <w:r w:rsidR="00724615" w:rsidRPr="003A5277">
        <w:rPr>
          <w:rStyle w:val="AERbody"/>
        </w:rPr>
        <w:t xml:space="preserve">’s proposed total revenue for each year of the 2014–19 </w:t>
      </w:r>
      <w:r w:rsidR="00185BB3">
        <w:rPr>
          <w:rStyle w:val="AERbody"/>
        </w:rPr>
        <w:t xml:space="preserve">regulatory control </w:t>
      </w:r>
      <w:r w:rsidR="00724615" w:rsidRPr="003A5277">
        <w:rPr>
          <w:rStyle w:val="AERbody"/>
        </w:rPr>
        <w:t>period for its distribution and transmission networks respectively.</w:t>
      </w:r>
      <w:r w:rsidR="00724615">
        <w:rPr>
          <w:rStyle w:val="AERbody"/>
        </w:rPr>
        <w:t xml:space="preserve"> </w:t>
      </w:r>
      <w:r w:rsidR="00724615" w:rsidRPr="003A5277">
        <w:rPr>
          <w:rStyle w:val="AERbody"/>
        </w:rPr>
        <w:t xml:space="preserve">The total revenue is broken up by its constituent building blocks and </w:t>
      </w:r>
      <w:r w:rsidR="00724615">
        <w:rPr>
          <w:rStyle w:val="AERbody"/>
        </w:rPr>
        <w:t>shows ActewAGL</w:t>
      </w:r>
      <w:r w:rsidR="00724615" w:rsidRPr="003A5277">
        <w:rPr>
          <w:rStyle w:val="AERbody"/>
        </w:rPr>
        <w:t xml:space="preserve">’s proposed </w:t>
      </w:r>
      <w:r w:rsidR="00724615">
        <w:rPr>
          <w:rStyle w:val="AERbody"/>
        </w:rPr>
        <w:t xml:space="preserve">revenue </w:t>
      </w:r>
      <w:r w:rsidR="00724615" w:rsidRPr="003A5277">
        <w:rPr>
          <w:rStyle w:val="AERbody"/>
        </w:rPr>
        <w:t>smoothing.</w:t>
      </w:r>
      <w:r w:rsidR="00724615" w:rsidRPr="006A4ADA">
        <w:rPr>
          <w:rStyle w:val="AERbody"/>
        </w:rPr>
        <w:t xml:space="preserve"> </w:t>
      </w:r>
      <w:r w:rsidR="00724615">
        <w:rPr>
          <w:rStyle w:val="AERbody"/>
        </w:rPr>
        <w:t>In the current regulatory control period, the entire ActewAGL network (distribution and transmission) was regulated as one entity. To calculate the 2013–14 revenue shown in these tables, it is necessary to notionally allocate the revenue between the distribution and transmission networks.</w:t>
      </w:r>
      <w:r w:rsidR="00724615">
        <w:rPr>
          <w:rStyle w:val="FootnoteReference"/>
        </w:rPr>
        <w:footnoteReference w:id="155"/>
      </w:r>
    </w:p>
    <w:p w:rsidR="00724615" w:rsidRPr="00724615" w:rsidRDefault="002401A5" w:rsidP="001D00C7">
      <w:pPr>
        <w:pStyle w:val="Caption"/>
        <w:jc w:val="left"/>
        <w:rPr>
          <w:rStyle w:val="AERbody"/>
          <w:rFonts w:eastAsia="Calibri"/>
        </w:rPr>
      </w:pPr>
      <w:bookmarkStart w:id="222" w:name="_Ref382828574"/>
      <w:r>
        <w:t>Table</w:t>
      </w:r>
      <w:r w:rsidR="001D00C7">
        <w:t xml:space="preserve"> </w:t>
      </w:r>
      <w:r w:rsidR="00DD155E">
        <w:fldChar w:fldCharType="begin"/>
      </w:r>
      <w:r w:rsidR="00DD155E">
        <w:instrText xml:space="preserve"> STYLEREF 7 \s </w:instrText>
      </w:r>
      <w:r w:rsidR="00DD155E">
        <w:fldChar w:fldCharType="separate"/>
      </w:r>
      <w:r w:rsidR="00E313D7">
        <w:rPr>
          <w:noProof/>
        </w:rPr>
        <w:t>B</w:t>
      </w:r>
      <w:r w:rsidR="00DD155E">
        <w:rPr>
          <w:noProof/>
        </w:rPr>
        <w:fldChar w:fldCharType="end"/>
      </w:r>
      <w:r>
        <w:t>.</w:t>
      </w:r>
      <w:r w:rsidR="00DD155E">
        <w:fldChar w:fldCharType="begin"/>
      </w:r>
      <w:r w:rsidR="00DD155E">
        <w:instrText xml:space="preserve"> SEQ Table_Apx \* ARABIC \s 7 </w:instrText>
      </w:r>
      <w:r w:rsidR="00DD155E">
        <w:fldChar w:fldCharType="separate"/>
      </w:r>
      <w:r w:rsidR="00E313D7">
        <w:rPr>
          <w:noProof/>
        </w:rPr>
        <w:t>14</w:t>
      </w:r>
      <w:r w:rsidR="00DD155E">
        <w:rPr>
          <w:noProof/>
        </w:rPr>
        <w:fldChar w:fldCharType="end"/>
      </w:r>
      <w:bookmarkEnd w:id="222"/>
      <w:r w:rsidR="00724615">
        <w:tab/>
        <w:t>ActewAGL</w:t>
      </w:r>
      <w:r w:rsidR="00724615" w:rsidRPr="00E73B40">
        <w:t xml:space="preserve">'s proposed building blocks and total revenue </w:t>
      </w:r>
      <w:r w:rsidR="00724615">
        <w:t>–</w:t>
      </w:r>
      <w:r w:rsidR="00724615" w:rsidRPr="00E73B40">
        <w:t xml:space="preserve"> </w:t>
      </w:r>
      <w:r w:rsidR="00724615">
        <w:t>d</w:t>
      </w:r>
      <w:r w:rsidR="00724615" w:rsidRPr="00E73B40">
        <w:t>istribution ($m, nominal)</w:t>
      </w:r>
    </w:p>
    <w:tbl>
      <w:tblPr>
        <w:tblStyle w:val="AERtable-numbers"/>
        <w:tblW w:w="9180" w:type="dxa"/>
        <w:tblLayout w:type="fixed"/>
        <w:tblLook w:val="04A0" w:firstRow="1" w:lastRow="0" w:firstColumn="1" w:lastColumn="0" w:noHBand="0" w:noVBand="1"/>
      </w:tblPr>
      <w:tblGrid>
        <w:gridCol w:w="2802"/>
        <w:gridCol w:w="1063"/>
        <w:gridCol w:w="1063"/>
        <w:gridCol w:w="1063"/>
        <w:gridCol w:w="1063"/>
        <w:gridCol w:w="1063"/>
        <w:gridCol w:w="1063"/>
      </w:tblGrid>
      <w:tr w:rsidR="00724615" w:rsidRPr="00E73B40" w:rsidTr="001D00C7">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02" w:type="dxa"/>
            <w:noWrap/>
            <w:hideMark/>
          </w:tcPr>
          <w:p w:rsidR="00724615" w:rsidRPr="00724615" w:rsidRDefault="00724615" w:rsidP="00724615">
            <w:pPr>
              <w:pStyle w:val="AERtabletextleft"/>
            </w:pPr>
            <w:r w:rsidRPr="00DD1199">
              <w:t>Building blocks</w:t>
            </w:r>
          </w:p>
        </w:tc>
        <w:tc>
          <w:tcPr>
            <w:tcW w:w="1063" w:type="dxa"/>
            <w:noWrap/>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2013–14</w:t>
            </w:r>
          </w:p>
        </w:tc>
        <w:tc>
          <w:tcPr>
            <w:tcW w:w="1063" w:type="dxa"/>
            <w:noWrap/>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2014–15</w:t>
            </w:r>
          </w:p>
        </w:tc>
        <w:tc>
          <w:tcPr>
            <w:tcW w:w="1063" w:type="dxa"/>
            <w:noWrap/>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2015–16</w:t>
            </w:r>
          </w:p>
        </w:tc>
        <w:tc>
          <w:tcPr>
            <w:tcW w:w="1063" w:type="dxa"/>
            <w:noWrap/>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2016–17</w:t>
            </w:r>
          </w:p>
        </w:tc>
        <w:tc>
          <w:tcPr>
            <w:tcW w:w="1063" w:type="dxa"/>
            <w:noWrap/>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2017–18</w:t>
            </w:r>
          </w:p>
        </w:tc>
        <w:tc>
          <w:tcPr>
            <w:tcW w:w="1063" w:type="dxa"/>
            <w:noWrap/>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2018–19</w:t>
            </w:r>
          </w:p>
        </w:tc>
      </w:tr>
      <w:tr w:rsidR="00724615" w:rsidRPr="00E73B40" w:rsidTr="001D00C7">
        <w:trPr>
          <w:trHeight w:val="25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hideMark/>
          </w:tcPr>
          <w:p w:rsidR="00724615" w:rsidRPr="00724615" w:rsidRDefault="00724615" w:rsidP="00724615">
            <w:pPr>
              <w:pStyle w:val="AERtabletextleft"/>
            </w:pPr>
            <w:r w:rsidRPr="00DD1199">
              <w:t>Return on capital</w:t>
            </w:r>
          </w:p>
        </w:tc>
        <w:tc>
          <w:tcPr>
            <w:tcW w:w="1063" w:type="dxa"/>
            <w:shd w:val="clear" w:color="auto" w:fill="auto"/>
            <w:noWrap/>
            <w:hideMark/>
          </w:tcPr>
          <w:p w:rsidR="00724615" w:rsidRPr="00DD1199"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p>
        </w:tc>
        <w:tc>
          <w:tcPr>
            <w:tcW w:w="1063"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62</w:t>
            </w:r>
          </w:p>
        </w:tc>
        <w:tc>
          <w:tcPr>
            <w:tcW w:w="1063"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66</w:t>
            </w:r>
          </w:p>
        </w:tc>
        <w:tc>
          <w:tcPr>
            <w:tcW w:w="1063"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69</w:t>
            </w:r>
          </w:p>
        </w:tc>
        <w:tc>
          <w:tcPr>
            <w:tcW w:w="1063"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72</w:t>
            </w:r>
          </w:p>
        </w:tc>
        <w:tc>
          <w:tcPr>
            <w:tcW w:w="1063"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75</w:t>
            </w:r>
          </w:p>
        </w:tc>
      </w:tr>
      <w:tr w:rsidR="00724615" w:rsidRPr="00E73B40" w:rsidTr="001D00C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02" w:type="dxa"/>
            <w:noWrap/>
            <w:hideMark/>
          </w:tcPr>
          <w:p w:rsidR="00724615" w:rsidRPr="00724615" w:rsidRDefault="00724615" w:rsidP="00724615">
            <w:pPr>
              <w:pStyle w:val="AERtabletextleft"/>
            </w:pPr>
            <w:r w:rsidRPr="00DD1199">
              <w:t>Return of capital</w:t>
            </w:r>
          </w:p>
        </w:tc>
        <w:tc>
          <w:tcPr>
            <w:tcW w:w="1063"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w:t>
            </w:r>
          </w:p>
        </w:tc>
        <w:tc>
          <w:tcPr>
            <w:tcW w:w="1063"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28</w:t>
            </w:r>
          </w:p>
        </w:tc>
        <w:tc>
          <w:tcPr>
            <w:tcW w:w="1063"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31</w:t>
            </w:r>
          </w:p>
        </w:tc>
        <w:tc>
          <w:tcPr>
            <w:tcW w:w="1063"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31</w:t>
            </w:r>
          </w:p>
        </w:tc>
        <w:tc>
          <w:tcPr>
            <w:tcW w:w="1063"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33</w:t>
            </w:r>
          </w:p>
        </w:tc>
        <w:tc>
          <w:tcPr>
            <w:tcW w:w="1063"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33</w:t>
            </w:r>
          </w:p>
        </w:tc>
      </w:tr>
      <w:tr w:rsidR="00724615" w:rsidRPr="00E73B40" w:rsidTr="001D00C7">
        <w:trPr>
          <w:trHeight w:val="25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hideMark/>
          </w:tcPr>
          <w:p w:rsidR="00724615" w:rsidRPr="00724615" w:rsidRDefault="00724615" w:rsidP="00724615">
            <w:pPr>
              <w:pStyle w:val="AERtabletextleft"/>
            </w:pPr>
            <w:r w:rsidRPr="00DD1199">
              <w:t>Operating expenditure</w:t>
            </w:r>
          </w:p>
        </w:tc>
        <w:tc>
          <w:tcPr>
            <w:tcW w:w="1063" w:type="dxa"/>
            <w:shd w:val="clear" w:color="auto" w:fill="auto"/>
            <w:noWrap/>
            <w:hideMark/>
          </w:tcPr>
          <w:p w:rsidR="00724615" w:rsidRPr="00DD1199"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p>
        </w:tc>
        <w:tc>
          <w:tcPr>
            <w:tcW w:w="1063"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65</w:t>
            </w:r>
          </w:p>
        </w:tc>
        <w:tc>
          <w:tcPr>
            <w:tcW w:w="1063"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65</w:t>
            </w:r>
          </w:p>
        </w:tc>
        <w:tc>
          <w:tcPr>
            <w:tcW w:w="1063"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63</w:t>
            </w:r>
          </w:p>
        </w:tc>
        <w:tc>
          <w:tcPr>
            <w:tcW w:w="1063"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64</w:t>
            </w:r>
          </w:p>
        </w:tc>
        <w:tc>
          <w:tcPr>
            <w:tcW w:w="1063"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69</w:t>
            </w:r>
          </w:p>
        </w:tc>
      </w:tr>
      <w:tr w:rsidR="00724615" w:rsidRPr="00E73B40" w:rsidTr="001D00C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02" w:type="dxa"/>
            <w:noWrap/>
            <w:hideMark/>
          </w:tcPr>
          <w:p w:rsidR="00724615" w:rsidRPr="00724615" w:rsidRDefault="00724615" w:rsidP="00724615">
            <w:pPr>
              <w:pStyle w:val="AERtabletextleft"/>
            </w:pPr>
            <w:r w:rsidRPr="00DD1199">
              <w:t>Efficiency carryover</w:t>
            </w:r>
          </w:p>
        </w:tc>
        <w:tc>
          <w:tcPr>
            <w:tcW w:w="1063"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w:t>
            </w:r>
          </w:p>
        </w:tc>
        <w:tc>
          <w:tcPr>
            <w:tcW w:w="1063"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-13</w:t>
            </w:r>
          </w:p>
        </w:tc>
        <w:tc>
          <w:tcPr>
            <w:tcW w:w="1063"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-10</w:t>
            </w:r>
          </w:p>
        </w:tc>
        <w:tc>
          <w:tcPr>
            <w:tcW w:w="1063"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-2</w:t>
            </w:r>
          </w:p>
        </w:tc>
        <w:tc>
          <w:tcPr>
            <w:tcW w:w="1063"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-2</w:t>
            </w:r>
          </w:p>
        </w:tc>
        <w:tc>
          <w:tcPr>
            <w:tcW w:w="1063"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0</w:t>
            </w:r>
          </w:p>
        </w:tc>
      </w:tr>
      <w:tr w:rsidR="00724615" w:rsidRPr="00E73B40" w:rsidTr="001D00C7">
        <w:trPr>
          <w:trHeight w:val="270"/>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hideMark/>
          </w:tcPr>
          <w:p w:rsidR="00724615" w:rsidRPr="00724615" w:rsidRDefault="00724615" w:rsidP="00724615">
            <w:pPr>
              <w:pStyle w:val="AERtabletextleft"/>
            </w:pPr>
            <w:r w:rsidRPr="00DD1199">
              <w:t>Net tax allowance</w:t>
            </w:r>
          </w:p>
        </w:tc>
        <w:tc>
          <w:tcPr>
            <w:tcW w:w="1063" w:type="dxa"/>
            <w:shd w:val="clear" w:color="auto" w:fill="auto"/>
            <w:noWrap/>
            <w:hideMark/>
          </w:tcPr>
          <w:p w:rsidR="00724615" w:rsidRPr="00DD1199"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p>
        </w:tc>
        <w:tc>
          <w:tcPr>
            <w:tcW w:w="1063"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10</w:t>
            </w:r>
          </w:p>
        </w:tc>
        <w:tc>
          <w:tcPr>
            <w:tcW w:w="1063"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11</w:t>
            </w:r>
          </w:p>
        </w:tc>
        <w:tc>
          <w:tcPr>
            <w:tcW w:w="1063"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10</w:t>
            </w:r>
          </w:p>
        </w:tc>
        <w:tc>
          <w:tcPr>
            <w:tcW w:w="1063"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12</w:t>
            </w:r>
          </w:p>
        </w:tc>
        <w:tc>
          <w:tcPr>
            <w:tcW w:w="1063"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12</w:t>
            </w:r>
          </w:p>
        </w:tc>
      </w:tr>
      <w:tr w:rsidR="00724615" w:rsidRPr="00E73B40" w:rsidTr="001D00C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02" w:type="dxa"/>
            <w:noWrap/>
            <w:hideMark/>
          </w:tcPr>
          <w:p w:rsidR="00724615" w:rsidRPr="00724615" w:rsidRDefault="00724615" w:rsidP="00724615">
            <w:pPr>
              <w:pStyle w:val="AERtabletextleft"/>
            </w:pPr>
            <w:r w:rsidRPr="00DD1199">
              <w:t>Total revenue (unsmoothed)</w:t>
            </w:r>
          </w:p>
        </w:tc>
        <w:tc>
          <w:tcPr>
            <w:tcW w:w="1063"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w:t>
            </w:r>
          </w:p>
        </w:tc>
        <w:tc>
          <w:tcPr>
            <w:tcW w:w="1063"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151</w:t>
            </w:r>
          </w:p>
        </w:tc>
        <w:tc>
          <w:tcPr>
            <w:tcW w:w="1063"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164</w:t>
            </w:r>
          </w:p>
        </w:tc>
        <w:tc>
          <w:tcPr>
            <w:tcW w:w="1063"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172</w:t>
            </w:r>
          </w:p>
        </w:tc>
        <w:tc>
          <w:tcPr>
            <w:tcW w:w="1063"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179</w:t>
            </w:r>
          </w:p>
        </w:tc>
        <w:tc>
          <w:tcPr>
            <w:tcW w:w="1063"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189</w:t>
            </w:r>
          </w:p>
        </w:tc>
      </w:tr>
      <w:tr w:rsidR="00724615" w:rsidRPr="00E73B40" w:rsidTr="001D00C7">
        <w:trPr>
          <w:trHeight w:val="270"/>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hideMark/>
          </w:tcPr>
          <w:p w:rsidR="00724615" w:rsidRPr="00724615" w:rsidRDefault="00724615" w:rsidP="00724615">
            <w:pPr>
              <w:pStyle w:val="AERtabletextleft"/>
              <w:rPr>
                <w:rStyle w:val="AERtextbold"/>
              </w:rPr>
            </w:pPr>
            <w:r w:rsidRPr="00A33E9D">
              <w:rPr>
                <w:rStyle w:val="AERtextbold"/>
              </w:rPr>
              <w:t>Total revenue (smoothed)</w:t>
            </w:r>
          </w:p>
        </w:tc>
        <w:tc>
          <w:tcPr>
            <w:tcW w:w="1063"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152</w:t>
            </w:r>
            <w:r w:rsidRPr="00724615">
              <w:rPr>
                <w:rStyle w:val="AERsuperscript"/>
              </w:rPr>
              <w:t>a</w:t>
            </w:r>
          </w:p>
        </w:tc>
        <w:tc>
          <w:tcPr>
            <w:tcW w:w="1063"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156</w:t>
            </w:r>
          </w:p>
        </w:tc>
        <w:tc>
          <w:tcPr>
            <w:tcW w:w="1063"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162</w:t>
            </w:r>
          </w:p>
        </w:tc>
        <w:tc>
          <w:tcPr>
            <w:tcW w:w="1063"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170</w:t>
            </w:r>
          </w:p>
        </w:tc>
        <w:tc>
          <w:tcPr>
            <w:tcW w:w="1063"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179</w:t>
            </w:r>
          </w:p>
        </w:tc>
        <w:tc>
          <w:tcPr>
            <w:tcW w:w="1063" w:type="dxa"/>
            <w:shd w:val="clear" w:color="auto" w:fill="auto"/>
            <w:noWrap/>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187</w:t>
            </w:r>
          </w:p>
        </w:tc>
      </w:tr>
      <w:tr w:rsidR="00724615" w:rsidRPr="00E73B40" w:rsidTr="001D00C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724615" w:rsidRPr="00724615" w:rsidRDefault="00724615" w:rsidP="00724615">
            <w:pPr>
              <w:pStyle w:val="AERtabletextleft"/>
            </w:pPr>
            <w:r w:rsidRPr="00DD1199">
              <w:t>Change</w:t>
            </w:r>
            <w:r w:rsidRPr="00724615">
              <w:rPr>
                <w:rStyle w:val="AERsuperscript"/>
              </w:rPr>
              <w:t>b</w:t>
            </w:r>
            <w:r w:rsidRPr="00724615">
              <w:t xml:space="preserve"> (%)</w:t>
            </w:r>
          </w:p>
        </w:tc>
        <w:tc>
          <w:tcPr>
            <w:tcW w:w="1063"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w:t>
            </w:r>
          </w:p>
        </w:tc>
        <w:tc>
          <w:tcPr>
            <w:tcW w:w="1063"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2.3%</w:t>
            </w:r>
          </w:p>
        </w:tc>
        <w:tc>
          <w:tcPr>
            <w:tcW w:w="1063"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3.7%</w:t>
            </w:r>
          </w:p>
        </w:tc>
        <w:tc>
          <w:tcPr>
            <w:tcW w:w="1063"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5.2%</w:t>
            </w:r>
          </w:p>
        </w:tc>
        <w:tc>
          <w:tcPr>
            <w:tcW w:w="1063"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5.1%</w:t>
            </w:r>
          </w:p>
        </w:tc>
        <w:tc>
          <w:tcPr>
            <w:tcW w:w="1063" w:type="dxa"/>
            <w:noWrap/>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4.5%</w:t>
            </w:r>
          </w:p>
        </w:tc>
      </w:tr>
    </w:tbl>
    <w:p w:rsidR="00724615" w:rsidRPr="00102D82" w:rsidRDefault="00724615" w:rsidP="00724615">
      <w:pPr>
        <w:pStyle w:val="AERtablesource"/>
      </w:pPr>
      <w:r w:rsidRPr="00102D82">
        <w:t>Source:</w:t>
      </w:r>
      <w:r w:rsidRPr="00102D82">
        <w:tab/>
      </w:r>
      <w:r>
        <w:t xml:space="preserve">ActewAGL, </w:t>
      </w:r>
      <w:r w:rsidRPr="00A33E9D">
        <w:rPr>
          <w:rStyle w:val="AERtextitalic"/>
        </w:rPr>
        <w:t>Transitional regulatory proposal</w:t>
      </w:r>
      <w:r>
        <w:t>, January 2014, p. 23; AER calculations.</w:t>
      </w:r>
    </w:p>
    <w:p w:rsidR="00724615" w:rsidRPr="00102D82" w:rsidRDefault="00724615" w:rsidP="00724615">
      <w:pPr>
        <w:pStyle w:val="AERtablesource"/>
      </w:pPr>
      <w:r w:rsidRPr="00102D82">
        <w:t>Notes:</w:t>
      </w:r>
      <w:r w:rsidRPr="00102D82">
        <w:tab/>
      </w:r>
      <w:r w:rsidRPr="00693A45">
        <w:t>Numbers may not sum due to rounding.</w:t>
      </w:r>
    </w:p>
    <w:p w:rsidR="00724615" w:rsidRDefault="00B75E0D" w:rsidP="00724615">
      <w:pPr>
        <w:pStyle w:val="AERtablesource"/>
      </w:pPr>
      <w:r>
        <w:tab/>
      </w:r>
      <w:r w:rsidR="00724615" w:rsidRPr="00102D82">
        <w:t>a.</w:t>
      </w:r>
      <w:r w:rsidR="00724615" w:rsidRPr="00102D82">
        <w:tab/>
      </w:r>
      <w:r w:rsidR="00724615">
        <w:t>This figure has been adjusted to reflect only the (notional) distribution component of 2013–14 revenue.</w:t>
      </w:r>
    </w:p>
    <w:p w:rsidR="00724615" w:rsidRPr="00102D82" w:rsidRDefault="00B75E0D" w:rsidP="00724615">
      <w:pPr>
        <w:pStyle w:val="AERtablesource"/>
      </w:pPr>
      <w:r>
        <w:tab/>
      </w:r>
      <w:r w:rsidR="00724615">
        <w:t>b.</w:t>
      </w:r>
      <w:r w:rsidR="00724615">
        <w:tab/>
      </w:r>
      <w:r w:rsidR="00724615" w:rsidRPr="00102D82">
        <w:t>This row shows the year-on-year change in total nominal revenues. It should not be interpreted as the X-factor change from year to year.</w:t>
      </w:r>
    </w:p>
    <w:p w:rsidR="00724615" w:rsidRDefault="002401A5" w:rsidP="001D00C7">
      <w:pPr>
        <w:pStyle w:val="Caption"/>
        <w:jc w:val="left"/>
        <w:rPr>
          <w:rStyle w:val="AERbody"/>
        </w:rPr>
      </w:pPr>
      <w:bookmarkStart w:id="223" w:name="_Ref382828585"/>
      <w:r>
        <w:lastRenderedPageBreak/>
        <w:t>Table</w:t>
      </w:r>
      <w:r w:rsidR="00724615">
        <w:t xml:space="preserve"> </w:t>
      </w:r>
      <w:r w:rsidR="00DD155E">
        <w:fldChar w:fldCharType="begin"/>
      </w:r>
      <w:r w:rsidR="00DD155E">
        <w:instrText xml:space="preserve"> STYLEREF 7 \s </w:instrText>
      </w:r>
      <w:r w:rsidR="00DD155E">
        <w:fldChar w:fldCharType="separate"/>
      </w:r>
      <w:r w:rsidR="00E313D7">
        <w:rPr>
          <w:noProof/>
        </w:rPr>
        <w:t>B</w:t>
      </w:r>
      <w:r w:rsidR="00DD155E">
        <w:rPr>
          <w:noProof/>
        </w:rPr>
        <w:fldChar w:fldCharType="end"/>
      </w:r>
      <w:r>
        <w:t>.</w:t>
      </w:r>
      <w:r w:rsidR="00DD155E">
        <w:fldChar w:fldCharType="begin"/>
      </w:r>
      <w:r w:rsidR="00DD155E">
        <w:instrText xml:space="preserve"> SEQ Table_Apx \* ARABIC \s 7 </w:instrText>
      </w:r>
      <w:r w:rsidR="00DD155E">
        <w:fldChar w:fldCharType="separate"/>
      </w:r>
      <w:r w:rsidR="00E313D7">
        <w:rPr>
          <w:noProof/>
        </w:rPr>
        <w:t>15</w:t>
      </w:r>
      <w:r w:rsidR="00DD155E">
        <w:rPr>
          <w:noProof/>
        </w:rPr>
        <w:fldChar w:fldCharType="end"/>
      </w:r>
      <w:bookmarkEnd w:id="223"/>
      <w:r w:rsidR="00724615">
        <w:tab/>
      </w:r>
      <w:r w:rsidR="00724615" w:rsidRPr="00E73B40">
        <w:t xml:space="preserve">ActewAGL's proposed building blocks and total revenue </w:t>
      </w:r>
      <w:r w:rsidR="00724615">
        <w:t>–</w:t>
      </w:r>
      <w:r w:rsidR="00724615" w:rsidRPr="00E73B40">
        <w:t xml:space="preserve"> </w:t>
      </w:r>
      <w:r w:rsidR="00724615">
        <w:t>transmission</w:t>
      </w:r>
      <w:r w:rsidR="00724615" w:rsidRPr="00E73B40">
        <w:t xml:space="preserve"> ($m, nominal)</w:t>
      </w:r>
    </w:p>
    <w:tbl>
      <w:tblPr>
        <w:tblStyle w:val="AERtable-numbers"/>
        <w:tblW w:w="9242" w:type="dxa"/>
        <w:tblLayout w:type="fixed"/>
        <w:tblLook w:val="04A0" w:firstRow="1" w:lastRow="0" w:firstColumn="1" w:lastColumn="0" w:noHBand="0" w:noVBand="1"/>
      </w:tblPr>
      <w:tblGrid>
        <w:gridCol w:w="2500"/>
        <w:gridCol w:w="426"/>
        <w:gridCol w:w="697"/>
        <w:gridCol w:w="355"/>
        <w:gridCol w:w="769"/>
        <w:gridCol w:w="284"/>
        <w:gridCol w:w="840"/>
        <w:gridCol w:w="213"/>
        <w:gridCol w:w="910"/>
        <w:gridCol w:w="142"/>
        <w:gridCol w:w="982"/>
        <w:gridCol w:w="71"/>
        <w:gridCol w:w="1053"/>
      </w:tblGrid>
      <w:tr w:rsidR="00724615" w:rsidRPr="00E73B40" w:rsidTr="001D00C7">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26" w:type="dxa"/>
            <w:gridSpan w:val="2"/>
            <w:noWrap/>
            <w:hideMark/>
          </w:tcPr>
          <w:p w:rsidR="00724615" w:rsidRPr="00724615" w:rsidRDefault="00724615" w:rsidP="004B35E8">
            <w:pPr>
              <w:pStyle w:val="AERtabletextleft"/>
              <w:keepNext/>
              <w:keepLines/>
              <w:spacing w:before="120" w:line="240" w:lineRule="auto"/>
            </w:pPr>
            <w:r w:rsidRPr="00DD1199">
              <w:t>Building blocks</w:t>
            </w:r>
          </w:p>
        </w:tc>
        <w:tc>
          <w:tcPr>
            <w:tcW w:w="1052" w:type="dxa"/>
            <w:gridSpan w:val="2"/>
            <w:noWrap/>
            <w:hideMark/>
          </w:tcPr>
          <w:p w:rsidR="00724615" w:rsidRPr="00724615" w:rsidRDefault="00724615" w:rsidP="004B35E8">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DD1199">
              <w:t>2013–14</w:t>
            </w:r>
          </w:p>
        </w:tc>
        <w:tc>
          <w:tcPr>
            <w:tcW w:w="1053" w:type="dxa"/>
            <w:gridSpan w:val="2"/>
            <w:noWrap/>
            <w:hideMark/>
          </w:tcPr>
          <w:p w:rsidR="00724615" w:rsidRPr="00724615" w:rsidRDefault="00724615" w:rsidP="004B35E8">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DD1199">
              <w:t>2014–15</w:t>
            </w:r>
          </w:p>
        </w:tc>
        <w:tc>
          <w:tcPr>
            <w:tcW w:w="1053" w:type="dxa"/>
            <w:gridSpan w:val="2"/>
            <w:noWrap/>
            <w:hideMark/>
          </w:tcPr>
          <w:p w:rsidR="00724615" w:rsidRPr="00724615" w:rsidRDefault="00724615" w:rsidP="004B35E8">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DD1199">
              <w:t>2015–16</w:t>
            </w:r>
          </w:p>
        </w:tc>
        <w:tc>
          <w:tcPr>
            <w:tcW w:w="1052" w:type="dxa"/>
            <w:gridSpan w:val="2"/>
            <w:noWrap/>
            <w:hideMark/>
          </w:tcPr>
          <w:p w:rsidR="00724615" w:rsidRPr="00724615" w:rsidRDefault="00724615" w:rsidP="004B35E8">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DD1199">
              <w:t>2016–17</w:t>
            </w:r>
          </w:p>
        </w:tc>
        <w:tc>
          <w:tcPr>
            <w:tcW w:w="1053" w:type="dxa"/>
            <w:gridSpan w:val="2"/>
            <w:noWrap/>
            <w:hideMark/>
          </w:tcPr>
          <w:p w:rsidR="00724615" w:rsidRPr="00724615" w:rsidRDefault="00724615" w:rsidP="004B35E8">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DD1199">
              <w:t>2017–18</w:t>
            </w:r>
          </w:p>
        </w:tc>
        <w:tc>
          <w:tcPr>
            <w:tcW w:w="1053" w:type="dxa"/>
            <w:noWrap/>
            <w:hideMark/>
          </w:tcPr>
          <w:p w:rsidR="00724615" w:rsidRPr="00724615" w:rsidRDefault="00724615" w:rsidP="004B35E8">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DD1199">
              <w:t>2018–19</w:t>
            </w:r>
          </w:p>
        </w:tc>
      </w:tr>
      <w:tr w:rsidR="00724615" w:rsidRPr="00E73B40" w:rsidTr="001D00C7">
        <w:trPr>
          <w:trHeight w:val="255"/>
        </w:trPr>
        <w:tc>
          <w:tcPr>
            <w:cnfStyle w:val="001000000000" w:firstRow="0" w:lastRow="0" w:firstColumn="1" w:lastColumn="0" w:oddVBand="0" w:evenVBand="0" w:oddHBand="0" w:evenHBand="0" w:firstRowFirstColumn="0" w:firstRowLastColumn="0" w:lastRowFirstColumn="0" w:lastRowLastColumn="0"/>
            <w:tcW w:w="2926" w:type="dxa"/>
            <w:gridSpan w:val="2"/>
            <w:shd w:val="clear" w:color="auto" w:fill="auto"/>
            <w:noWrap/>
            <w:hideMark/>
          </w:tcPr>
          <w:p w:rsidR="00724615" w:rsidRPr="00724615" w:rsidRDefault="00724615" w:rsidP="004B35E8">
            <w:pPr>
              <w:pStyle w:val="AERtabletextleft"/>
              <w:keepNext/>
              <w:keepLines/>
              <w:spacing w:before="120" w:line="240" w:lineRule="auto"/>
            </w:pPr>
            <w:r w:rsidRPr="00DD1199">
              <w:t>Return on capital</w:t>
            </w:r>
          </w:p>
        </w:tc>
        <w:tc>
          <w:tcPr>
            <w:tcW w:w="1052" w:type="dxa"/>
            <w:gridSpan w:val="2"/>
            <w:shd w:val="clear" w:color="auto" w:fill="auto"/>
            <w:noWrap/>
            <w:hideMark/>
          </w:tcPr>
          <w:p w:rsidR="00724615" w:rsidRPr="00DD1199" w:rsidRDefault="00724615" w:rsidP="004B35E8">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p>
        </w:tc>
        <w:tc>
          <w:tcPr>
            <w:tcW w:w="1053" w:type="dxa"/>
            <w:gridSpan w:val="2"/>
            <w:shd w:val="clear" w:color="auto" w:fill="auto"/>
            <w:noWrap/>
            <w:hideMark/>
          </w:tcPr>
          <w:p w:rsidR="00724615" w:rsidRPr="00724615" w:rsidRDefault="00724615" w:rsidP="004B35E8">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14</w:t>
            </w:r>
          </w:p>
        </w:tc>
        <w:tc>
          <w:tcPr>
            <w:tcW w:w="1053" w:type="dxa"/>
            <w:gridSpan w:val="2"/>
            <w:shd w:val="clear" w:color="auto" w:fill="auto"/>
            <w:noWrap/>
            <w:hideMark/>
          </w:tcPr>
          <w:p w:rsidR="00724615" w:rsidRPr="00724615" w:rsidRDefault="00724615" w:rsidP="004B35E8">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14</w:t>
            </w:r>
          </w:p>
        </w:tc>
        <w:tc>
          <w:tcPr>
            <w:tcW w:w="1052" w:type="dxa"/>
            <w:gridSpan w:val="2"/>
            <w:shd w:val="clear" w:color="auto" w:fill="auto"/>
            <w:noWrap/>
            <w:hideMark/>
          </w:tcPr>
          <w:p w:rsidR="00724615" w:rsidRPr="00724615" w:rsidRDefault="00724615" w:rsidP="004B35E8">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15</w:t>
            </w:r>
          </w:p>
        </w:tc>
        <w:tc>
          <w:tcPr>
            <w:tcW w:w="1053" w:type="dxa"/>
            <w:gridSpan w:val="2"/>
            <w:shd w:val="clear" w:color="auto" w:fill="auto"/>
            <w:noWrap/>
            <w:hideMark/>
          </w:tcPr>
          <w:p w:rsidR="00724615" w:rsidRPr="00724615" w:rsidRDefault="00724615" w:rsidP="004B35E8">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18</w:t>
            </w:r>
          </w:p>
        </w:tc>
        <w:tc>
          <w:tcPr>
            <w:tcW w:w="1053" w:type="dxa"/>
            <w:shd w:val="clear" w:color="auto" w:fill="auto"/>
            <w:noWrap/>
            <w:hideMark/>
          </w:tcPr>
          <w:p w:rsidR="00724615" w:rsidRPr="00724615" w:rsidRDefault="00724615" w:rsidP="004B35E8">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19</w:t>
            </w:r>
          </w:p>
        </w:tc>
      </w:tr>
      <w:tr w:rsidR="00724615" w:rsidRPr="00E73B40" w:rsidTr="001D00C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26" w:type="dxa"/>
            <w:gridSpan w:val="2"/>
            <w:noWrap/>
            <w:hideMark/>
          </w:tcPr>
          <w:p w:rsidR="00724615" w:rsidRPr="00724615" w:rsidRDefault="00724615" w:rsidP="004B35E8">
            <w:pPr>
              <w:pStyle w:val="AERtabletextleft"/>
              <w:keepNext/>
              <w:keepLines/>
              <w:spacing w:before="120" w:line="240" w:lineRule="auto"/>
            </w:pPr>
            <w:r w:rsidRPr="00DD1199">
              <w:t>Return of capital</w:t>
            </w:r>
          </w:p>
        </w:tc>
        <w:tc>
          <w:tcPr>
            <w:tcW w:w="1052" w:type="dxa"/>
            <w:gridSpan w:val="2"/>
            <w:noWrap/>
            <w:hideMark/>
          </w:tcPr>
          <w:p w:rsidR="00724615" w:rsidRPr="00724615" w:rsidRDefault="00724615" w:rsidP="004B35E8">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 </w:t>
            </w:r>
          </w:p>
        </w:tc>
        <w:tc>
          <w:tcPr>
            <w:tcW w:w="1053" w:type="dxa"/>
            <w:gridSpan w:val="2"/>
            <w:noWrap/>
            <w:hideMark/>
          </w:tcPr>
          <w:p w:rsidR="00724615" w:rsidRPr="00724615" w:rsidRDefault="00724615" w:rsidP="004B35E8">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4</w:t>
            </w:r>
          </w:p>
        </w:tc>
        <w:tc>
          <w:tcPr>
            <w:tcW w:w="1053" w:type="dxa"/>
            <w:gridSpan w:val="2"/>
            <w:noWrap/>
            <w:hideMark/>
          </w:tcPr>
          <w:p w:rsidR="00724615" w:rsidRPr="00724615" w:rsidRDefault="00724615" w:rsidP="004B35E8">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5</w:t>
            </w:r>
          </w:p>
        </w:tc>
        <w:tc>
          <w:tcPr>
            <w:tcW w:w="1052" w:type="dxa"/>
            <w:gridSpan w:val="2"/>
            <w:noWrap/>
            <w:hideMark/>
          </w:tcPr>
          <w:p w:rsidR="00724615" w:rsidRPr="00724615" w:rsidRDefault="00724615" w:rsidP="004B35E8">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5</w:t>
            </w:r>
          </w:p>
        </w:tc>
        <w:tc>
          <w:tcPr>
            <w:tcW w:w="1053" w:type="dxa"/>
            <w:gridSpan w:val="2"/>
            <w:noWrap/>
            <w:hideMark/>
          </w:tcPr>
          <w:p w:rsidR="00724615" w:rsidRPr="00724615" w:rsidRDefault="00724615" w:rsidP="004B35E8">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6</w:t>
            </w:r>
          </w:p>
        </w:tc>
        <w:tc>
          <w:tcPr>
            <w:tcW w:w="1053" w:type="dxa"/>
            <w:noWrap/>
            <w:hideMark/>
          </w:tcPr>
          <w:p w:rsidR="00724615" w:rsidRPr="00724615" w:rsidRDefault="00724615" w:rsidP="004B35E8">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6</w:t>
            </w:r>
          </w:p>
        </w:tc>
      </w:tr>
      <w:tr w:rsidR="00724615" w:rsidRPr="00E73B40" w:rsidTr="001D00C7">
        <w:trPr>
          <w:trHeight w:val="255"/>
        </w:trPr>
        <w:tc>
          <w:tcPr>
            <w:cnfStyle w:val="001000000000" w:firstRow="0" w:lastRow="0" w:firstColumn="1" w:lastColumn="0" w:oddVBand="0" w:evenVBand="0" w:oddHBand="0" w:evenHBand="0" w:firstRowFirstColumn="0" w:firstRowLastColumn="0" w:lastRowFirstColumn="0" w:lastRowLastColumn="0"/>
            <w:tcW w:w="2926" w:type="dxa"/>
            <w:gridSpan w:val="2"/>
            <w:shd w:val="clear" w:color="auto" w:fill="auto"/>
            <w:noWrap/>
            <w:hideMark/>
          </w:tcPr>
          <w:p w:rsidR="00724615" w:rsidRPr="00724615" w:rsidRDefault="00724615" w:rsidP="004B35E8">
            <w:pPr>
              <w:pStyle w:val="AERtabletextleft"/>
              <w:keepNext/>
              <w:keepLines/>
              <w:spacing w:before="120" w:line="240" w:lineRule="auto"/>
            </w:pPr>
            <w:r w:rsidRPr="00DD1199">
              <w:t>Operating expenditure</w:t>
            </w:r>
          </w:p>
        </w:tc>
        <w:tc>
          <w:tcPr>
            <w:tcW w:w="1052" w:type="dxa"/>
            <w:gridSpan w:val="2"/>
            <w:shd w:val="clear" w:color="auto" w:fill="auto"/>
            <w:noWrap/>
            <w:hideMark/>
          </w:tcPr>
          <w:p w:rsidR="00724615" w:rsidRPr="00DD1199" w:rsidRDefault="00724615" w:rsidP="004B35E8">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p>
        </w:tc>
        <w:tc>
          <w:tcPr>
            <w:tcW w:w="1053" w:type="dxa"/>
            <w:gridSpan w:val="2"/>
            <w:shd w:val="clear" w:color="auto" w:fill="auto"/>
            <w:noWrap/>
            <w:hideMark/>
          </w:tcPr>
          <w:p w:rsidR="00724615" w:rsidRPr="00724615" w:rsidRDefault="00724615" w:rsidP="004B35E8">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13</w:t>
            </w:r>
          </w:p>
        </w:tc>
        <w:tc>
          <w:tcPr>
            <w:tcW w:w="1053" w:type="dxa"/>
            <w:gridSpan w:val="2"/>
            <w:shd w:val="clear" w:color="auto" w:fill="auto"/>
            <w:noWrap/>
            <w:hideMark/>
          </w:tcPr>
          <w:p w:rsidR="00724615" w:rsidRPr="00724615" w:rsidRDefault="00724615" w:rsidP="004B35E8">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13</w:t>
            </w:r>
          </w:p>
        </w:tc>
        <w:tc>
          <w:tcPr>
            <w:tcW w:w="1052" w:type="dxa"/>
            <w:gridSpan w:val="2"/>
            <w:shd w:val="clear" w:color="auto" w:fill="auto"/>
            <w:noWrap/>
            <w:hideMark/>
          </w:tcPr>
          <w:p w:rsidR="00724615" w:rsidRPr="00724615" w:rsidRDefault="00724615" w:rsidP="004B35E8">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13</w:t>
            </w:r>
          </w:p>
        </w:tc>
        <w:tc>
          <w:tcPr>
            <w:tcW w:w="1053" w:type="dxa"/>
            <w:gridSpan w:val="2"/>
            <w:shd w:val="clear" w:color="auto" w:fill="auto"/>
            <w:noWrap/>
            <w:hideMark/>
          </w:tcPr>
          <w:p w:rsidR="00724615" w:rsidRPr="00724615" w:rsidRDefault="00724615" w:rsidP="004B35E8">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13</w:t>
            </w:r>
          </w:p>
        </w:tc>
        <w:tc>
          <w:tcPr>
            <w:tcW w:w="1053" w:type="dxa"/>
            <w:shd w:val="clear" w:color="auto" w:fill="auto"/>
            <w:noWrap/>
            <w:hideMark/>
          </w:tcPr>
          <w:p w:rsidR="00724615" w:rsidRPr="00724615" w:rsidRDefault="00724615" w:rsidP="004B35E8">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14</w:t>
            </w:r>
          </w:p>
        </w:tc>
      </w:tr>
      <w:tr w:rsidR="00724615" w:rsidRPr="00E73B40" w:rsidTr="001D00C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26" w:type="dxa"/>
            <w:gridSpan w:val="2"/>
            <w:noWrap/>
            <w:hideMark/>
          </w:tcPr>
          <w:p w:rsidR="00724615" w:rsidRPr="00724615" w:rsidRDefault="00724615" w:rsidP="004B35E8">
            <w:pPr>
              <w:pStyle w:val="AERtabletextleft"/>
              <w:keepNext/>
              <w:keepLines/>
              <w:spacing w:before="120" w:line="240" w:lineRule="auto"/>
            </w:pPr>
            <w:r w:rsidRPr="00DD1199">
              <w:t>Efficiency carryover</w:t>
            </w:r>
          </w:p>
        </w:tc>
        <w:tc>
          <w:tcPr>
            <w:tcW w:w="1052" w:type="dxa"/>
            <w:gridSpan w:val="2"/>
            <w:noWrap/>
            <w:hideMark/>
          </w:tcPr>
          <w:p w:rsidR="00724615" w:rsidRPr="00724615" w:rsidRDefault="00724615" w:rsidP="004B35E8">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 </w:t>
            </w:r>
          </w:p>
        </w:tc>
        <w:tc>
          <w:tcPr>
            <w:tcW w:w="1053" w:type="dxa"/>
            <w:gridSpan w:val="2"/>
            <w:noWrap/>
            <w:hideMark/>
          </w:tcPr>
          <w:p w:rsidR="00724615" w:rsidRPr="00724615" w:rsidRDefault="00724615" w:rsidP="004B35E8">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-2</w:t>
            </w:r>
          </w:p>
        </w:tc>
        <w:tc>
          <w:tcPr>
            <w:tcW w:w="1053" w:type="dxa"/>
            <w:gridSpan w:val="2"/>
            <w:noWrap/>
            <w:hideMark/>
          </w:tcPr>
          <w:p w:rsidR="00724615" w:rsidRPr="00724615" w:rsidRDefault="00724615" w:rsidP="004B35E8">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-1</w:t>
            </w:r>
          </w:p>
        </w:tc>
        <w:tc>
          <w:tcPr>
            <w:tcW w:w="1052" w:type="dxa"/>
            <w:gridSpan w:val="2"/>
            <w:noWrap/>
            <w:hideMark/>
          </w:tcPr>
          <w:p w:rsidR="00724615" w:rsidRPr="00724615" w:rsidRDefault="00724615" w:rsidP="004B35E8">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0</w:t>
            </w:r>
          </w:p>
        </w:tc>
        <w:tc>
          <w:tcPr>
            <w:tcW w:w="1053" w:type="dxa"/>
            <w:gridSpan w:val="2"/>
            <w:noWrap/>
            <w:hideMark/>
          </w:tcPr>
          <w:p w:rsidR="00724615" w:rsidRPr="00724615" w:rsidRDefault="00724615" w:rsidP="004B35E8">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0</w:t>
            </w:r>
          </w:p>
        </w:tc>
        <w:tc>
          <w:tcPr>
            <w:tcW w:w="1053" w:type="dxa"/>
            <w:noWrap/>
            <w:hideMark/>
          </w:tcPr>
          <w:p w:rsidR="00724615" w:rsidRPr="00724615" w:rsidRDefault="00724615" w:rsidP="004B35E8">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0</w:t>
            </w:r>
          </w:p>
        </w:tc>
      </w:tr>
      <w:tr w:rsidR="00724615" w:rsidRPr="00E73B40" w:rsidTr="001D00C7">
        <w:trPr>
          <w:trHeight w:val="270"/>
        </w:trPr>
        <w:tc>
          <w:tcPr>
            <w:cnfStyle w:val="001000000000" w:firstRow="0" w:lastRow="0" w:firstColumn="1" w:lastColumn="0" w:oddVBand="0" w:evenVBand="0" w:oddHBand="0" w:evenHBand="0" w:firstRowFirstColumn="0" w:firstRowLastColumn="0" w:lastRowFirstColumn="0" w:lastRowLastColumn="0"/>
            <w:tcW w:w="2926" w:type="dxa"/>
            <w:gridSpan w:val="2"/>
            <w:shd w:val="clear" w:color="auto" w:fill="auto"/>
            <w:noWrap/>
            <w:hideMark/>
          </w:tcPr>
          <w:p w:rsidR="00724615" w:rsidRPr="00724615" w:rsidRDefault="00724615" w:rsidP="004B35E8">
            <w:pPr>
              <w:pStyle w:val="AERtabletextleft"/>
              <w:keepNext/>
              <w:keepLines/>
              <w:spacing w:before="120" w:line="240" w:lineRule="auto"/>
            </w:pPr>
            <w:r w:rsidRPr="00DD1199">
              <w:t>Net tax allowance</w:t>
            </w:r>
          </w:p>
        </w:tc>
        <w:tc>
          <w:tcPr>
            <w:tcW w:w="1052" w:type="dxa"/>
            <w:gridSpan w:val="2"/>
            <w:shd w:val="clear" w:color="auto" w:fill="auto"/>
            <w:noWrap/>
            <w:hideMark/>
          </w:tcPr>
          <w:p w:rsidR="00724615" w:rsidRPr="00DD1199" w:rsidRDefault="00724615" w:rsidP="004B35E8">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p>
        </w:tc>
        <w:tc>
          <w:tcPr>
            <w:tcW w:w="1053" w:type="dxa"/>
            <w:gridSpan w:val="2"/>
            <w:shd w:val="clear" w:color="auto" w:fill="auto"/>
            <w:noWrap/>
            <w:hideMark/>
          </w:tcPr>
          <w:p w:rsidR="00724615" w:rsidRPr="00724615" w:rsidRDefault="00724615" w:rsidP="004B35E8">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1</w:t>
            </w:r>
          </w:p>
        </w:tc>
        <w:tc>
          <w:tcPr>
            <w:tcW w:w="1053" w:type="dxa"/>
            <w:gridSpan w:val="2"/>
            <w:shd w:val="clear" w:color="auto" w:fill="auto"/>
            <w:noWrap/>
            <w:hideMark/>
          </w:tcPr>
          <w:p w:rsidR="00724615" w:rsidRPr="00724615" w:rsidRDefault="00724615" w:rsidP="004B35E8">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2</w:t>
            </w:r>
          </w:p>
        </w:tc>
        <w:tc>
          <w:tcPr>
            <w:tcW w:w="1052" w:type="dxa"/>
            <w:gridSpan w:val="2"/>
            <w:shd w:val="clear" w:color="auto" w:fill="auto"/>
            <w:noWrap/>
            <w:hideMark/>
          </w:tcPr>
          <w:p w:rsidR="00724615" w:rsidRPr="00724615" w:rsidRDefault="00724615" w:rsidP="004B35E8">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2</w:t>
            </w:r>
          </w:p>
        </w:tc>
        <w:tc>
          <w:tcPr>
            <w:tcW w:w="1053" w:type="dxa"/>
            <w:gridSpan w:val="2"/>
            <w:shd w:val="clear" w:color="auto" w:fill="auto"/>
            <w:noWrap/>
            <w:hideMark/>
          </w:tcPr>
          <w:p w:rsidR="00724615" w:rsidRPr="00724615" w:rsidRDefault="00724615" w:rsidP="004B35E8">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2</w:t>
            </w:r>
          </w:p>
        </w:tc>
        <w:tc>
          <w:tcPr>
            <w:tcW w:w="1053" w:type="dxa"/>
            <w:shd w:val="clear" w:color="auto" w:fill="auto"/>
            <w:noWrap/>
            <w:hideMark/>
          </w:tcPr>
          <w:p w:rsidR="00724615" w:rsidRPr="00724615" w:rsidRDefault="00724615" w:rsidP="004B35E8">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2</w:t>
            </w:r>
          </w:p>
        </w:tc>
      </w:tr>
      <w:tr w:rsidR="00724615" w:rsidRPr="00E73B40" w:rsidTr="001D00C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26" w:type="dxa"/>
            <w:gridSpan w:val="2"/>
            <w:noWrap/>
            <w:hideMark/>
          </w:tcPr>
          <w:p w:rsidR="00724615" w:rsidRPr="00724615" w:rsidRDefault="00724615" w:rsidP="004B35E8">
            <w:pPr>
              <w:pStyle w:val="AERtabletextleft"/>
              <w:keepNext/>
              <w:keepLines/>
              <w:spacing w:before="120" w:line="240" w:lineRule="auto"/>
            </w:pPr>
            <w:r w:rsidRPr="00DD1199">
              <w:t>Total revenue (unsmoothed)</w:t>
            </w:r>
          </w:p>
        </w:tc>
        <w:tc>
          <w:tcPr>
            <w:tcW w:w="1052" w:type="dxa"/>
            <w:gridSpan w:val="2"/>
            <w:noWrap/>
            <w:hideMark/>
          </w:tcPr>
          <w:p w:rsidR="00724615" w:rsidRPr="00724615" w:rsidRDefault="00724615" w:rsidP="004B35E8">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 </w:t>
            </w:r>
          </w:p>
        </w:tc>
        <w:tc>
          <w:tcPr>
            <w:tcW w:w="1053" w:type="dxa"/>
            <w:gridSpan w:val="2"/>
            <w:noWrap/>
            <w:hideMark/>
          </w:tcPr>
          <w:p w:rsidR="00724615" w:rsidRPr="00724615" w:rsidRDefault="00724615" w:rsidP="004B35E8">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30</w:t>
            </w:r>
          </w:p>
        </w:tc>
        <w:tc>
          <w:tcPr>
            <w:tcW w:w="1053" w:type="dxa"/>
            <w:gridSpan w:val="2"/>
            <w:noWrap/>
            <w:hideMark/>
          </w:tcPr>
          <w:p w:rsidR="00724615" w:rsidRPr="00724615" w:rsidRDefault="00724615" w:rsidP="004B35E8">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32</w:t>
            </w:r>
          </w:p>
        </w:tc>
        <w:tc>
          <w:tcPr>
            <w:tcW w:w="1052" w:type="dxa"/>
            <w:gridSpan w:val="2"/>
            <w:noWrap/>
            <w:hideMark/>
          </w:tcPr>
          <w:p w:rsidR="00724615" w:rsidRPr="00724615" w:rsidRDefault="00724615" w:rsidP="004B35E8">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34</w:t>
            </w:r>
          </w:p>
        </w:tc>
        <w:tc>
          <w:tcPr>
            <w:tcW w:w="1053" w:type="dxa"/>
            <w:gridSpan w:val="2"/>
            <w:noWrap/>
            <w:hideMark/>
          </w:tcPr>
          <w:p w:rsidR="00724615" w:rsidRPr="00724615" w:rsidRDefault="00724615" w:rsidP="004B35E8">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38</w:t>
            </w:r>
          </w:p>
        </w:tc>
        <w:tc>
          <w:tcPr>
            <w:tcW w:w="1053" w:type="dxa"/>
            <w:noWrap/>
            <w:hideMark/>
          </w:tcPr>
          <w:p w:rsidR="00724615" w:rsidRPr="00724615" w:rsidRDefault="00724615" w:rsidP="004B35E8">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41</w:t>
            </w:r>
          </w:p>
        </w:tc>
      </w:tr>
      <w:tr w:rsidR="00724615" w:rsidRPr="00E73B40" w:rsidTr="001D00C7">
        <w:trPr>
          <w:trHeight w:val="270"/>
        </w:trPr>
        <w:tc>
          <w:tcPr>
            <w:cnfStyle w:val="001000000000" w:firstRow="0" w:lastRow="0" w:firstColumn="1" w:lastColumn="0" w:oddVBand="0" w:evenVBand="0" w:oddHBand="0" w:evenHBand="0" w:firstRowFirstColumn="0" w:firstRowLastColumn="0" w:lastRowFirstColumn="0" w:lastRowLastColumn="0"/>
            <w:tcW w:w="2926" w:type="dxa"/>
            <w:gridSpan w:val="2"/>
            <w:shd w:val="clear" w:color="auto" w:fill="auto"/>
            <w:noWrap/>
            <w:hideMark/>
          </w:tcPr>
          <w:p w:rsidR="00724615" w:rsidRPr="00724615" w:rsidRDefault="00724615" w:rsidP="004B35E8">
            <w:pPr>
              <w:pStyle w:val="AERtabletextleft"/>
              <w:keepNext/>
              <w:keepLines/>
              <w:spacing w:before="120" w:line="240" w:lineRule="auto"/>
              <w:rPr>
                <w:rStyle w:val="AERtextbold"/>
              </w:rPr>
            </w:pPr>
            <w:r w:rsidRPr="00A33E9D">
              <w:rPr>
                <w:rStyle w:val="AERtextbold"/>
              </w:rPr>
              <w:t>Total revenue (smoothed)</w:t>
            </w:r>
          </w:p>
        </w:tc>
        <w:tc>
          <w:tcPr>
            <w:tcW w:w="1052" w:type="dxa"/>
            <w:gridSpan w:val="2"/>
            <w:shd w:val="clear" w:color="auto" w:fill="auto"/>
            <w:noWrap/>
            <w:hideMark/>
          </w:tcPr>
          <w:p w:rsidR="00724615" w:rsidRPr="00724615" w:rsidRDefault="00724615" w:rsidP="004B35E8">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28</w:t>
            </w:r>
            <w:r w:rsidRPr="00724615">
              <w:rPr>
                <w:rStyle w:val="AERsuperscript"/>
              </w:rPr>
              <w:t>a</w:t>
            </w:r>
          </w:p>
        </w:tc>
        <w:tc>
          <w:tcPr>
            <w:tcW w:w="1053" w:type="dxa"/>
            <w:gridSpan w:val="2"/>
            <w:shd w:val="clear" w:color="auto" w:fill="auto"/>
            <w:noWrap/>
            <w:hideMark/>
          </w:tcPr>
          <w:p w:rsidR="00724615" w:rsidRPr="00724615" w:rsidRDefault="00724615" w:rsidP="004B35E8">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30</w:t>
            </w:r>
          </w:p>
        </w:tc>
        <w:tc>
          <w:tcPr>
            <w:tcW w:w="1053" w:type="dxa"/>
            <w:gridSpan w:val="2"/>
            <w:shd w:val="clear" w:color="auto" w:fill="auto"/>
            <w:noWrap/>
            <w:hideMark/>
          </w:tcPr>
          <w:p w:rsidR="00724615" w:rsidRPr="00724615" w:rsidRDefault="00724615" w:rsidP="004B35E8">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33</w:t>
            </w:r>
          </w:p>
        </w:tc>
        <w:tc>
          <w:tcPr>
            <w:tcW w:w="1052" w:type="dxa"/>
            <w:gridSpan w:val="2"/>
            <w:shd w:val="clear" w:color="auto" w:fill="auto"/>
            <w:noWrap/>
            <w:hideMark/>
          </w:tcPr>
          <w:p w:rsidR="00724615" w:rsidRPr="00724615" w:rsidRDefault="00724615" w:rsidP="004B35E8">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35</w:t>
            </w:r>
          </w:p>
        </w:tc>
        <w:tc>
          <w:tcPr>
            <w:tcW w:w="1053" w:type="dxa"/>
            <w:gridSpan w:val="2"/>
            <w:shd w:val="clear" w:color="auto" w:fill="auto"/>
            <w:noWrap/>
            <w:hideMark/>
          </w:tcPr>
          <w:p w:rsidR="00724615" w:rsidRPr="00724615" w:rsidRDefault="00724615" w:rsidP="004B35E8">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38</w:t>
            </w:r>
          </w:p>
        </w:tc>
        <w:tc>
          <w:tcPr>
            <w:tcW w:w="1053" w:type="dxa"/>
            <w:shd w:val="clear" w:color="auto" w:fill="auto"/>
            <w:noWrap/>
            <w:hideMark/>
          </w:tcPr>
          <w:p w:rsidR="00724615" w:rsidRPr="00724615" w:rsidRDefault="00724615" w:rsidP="004B35E8">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41</w:t>
            </w:r>
          </w:p>
        </w:tc>
      </w:tr>
      <w:tr w:rsidR="00724615" w:rsidRPr="00E73B40" w:rsidTr="001D00C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dxa"/>
            <w:noWrap/>
            <w:hideMark/>
          </w:tcPr>
          <w:p w:rsidR="00724615" w:rsidRPr="00724615" w:rsidRDefault="00724615" w:rsidP="004B35E8">
            <w:pPr>
              <w:pStyle w:val="AERtabletextleft"/>
              <w:keepNext/>
              <w:keepLines/>
              <w:spacing w:before="120" w:line="240" w:lineRule="auto"/>
            </w:pPr>
            <w:r w:rsidRPr="00DD1199">
              <w:t>Change</w:t>
            </w:r>
            <w:r w:rsidRPr="00724615">
              <w:rPr>
                <w:rStyle w:val="AERsuperscript"/>
              </w:rPr>
              <w:t>b</w:t>
            </w:r>
            <w:r w:rsidRPr="00724615">
              <w:t xml:space="preserve"> (%)</w:t>
            </w:r>
          </w:p>
        </w:tc>
        <w:tc>
          <w:tcPr>
            <w:tcW w:w="1123" w:type="dxa"/>
            <w:gridSpan w:val="2"/>
            <w:noWrap/>
            <w:hideMark/>
          </w:tcPr>
          <w:p w:rsidR="00724615" w:rsidRPr="00724615" w:rsidRDefault="00724615" w:rsidP="004B35E8">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 </w:t>
            </w:r>
          </w:p>
        </w:tc>
        <w:tc>
          <w:tcPr>
            <w:tcW w:w="1124" w:type="dxa"/>
            <w:gridSpan w:val="2"/>
            <w:noWrap/>
            <w:hideMark/>
          </w:tcPr>
          <w:p w:rsidR="00724615" w:rsidRPr="00724615" w:rsidRDefault="00724615" w:rsidP="004B35E8">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7.8%</w:t>
            </w:r>
          </w:p>
        </w:tc>
        <w:tc>
          <w:tcPr>
            <w:tcW w:w="1124" w:type="dxa"/>
            <w:gridSpan w:val="2"/>
            <w:noWrap/>
            <w:hideMark/>
          </w:tcPr>
          <w:p w:rsidR="00724615" w:rsidRPr="00724615" w:rsidRDefault="00724615" w:rsidP="004B35E8">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7.8%</w:t>
            </w:r>
          </w:p>
        </w:tc>
        <w:tc>
          <w:tcPr>
            <w:tcW w:w="1123" w:type="dxa"/>
            <w:gridSpan w:val="2"/>
            <w:noWrap/>
            <w:hideMark/>
          </w:tcPr>
          <w:p w:rsidR="00724615" w:rsidRPr="00724615" w:rsidRDefault="00724615" w:rsidP="004B35E8">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7.8%</w:t>
            </w:r>
          </w:p>
        </w:tc>
        <w:tc>
          <w:tcPr>
            <w:tcW w:w="1124" w:type="dxa"/>
            <w:gridSpan w:val="2"/>
            <w:noWrap/>
            <w:hideMark/>
          </w:tcPr>
          <w:p w:rsidR="00724615" w:rsidRPr="00724615" w:rsidRDefault="00724615" w:rsidP="004B35E8">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7.8%</w:t>
            </w:r>
          </w:p>
        </w:tc>
        <w:tc>
          <w:tcPr>
            <w:tcW w:w="1124" w:type="dxa"/>
            <w:gridSpan w:val="2"/>
            <w:noWrap/>
            <w:hideMark/>
          </w:tcPr>
          <w:p w:rsidR="00724615" w:rsidRPr="00724615" w:rsidRDefault="00724615" w:rsidP="004B35E8">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7.8%</w:t>
            </w:r>
          </w:p>
        </w:tc>
      </w:tr>
    </w:tbl>
    <w:p w:rsidR="00724615" w:rsidRPr="00102D82" w:rsidRDefault="00724615" w:rsidP="00724615">
      <w:pPr>
        <w:pStyle w:val="AERtablesource"/>
      </w:pPr>
      <w:r w:rsidRPr="00102D82">
        <w:t>Source:</w:t>
      </w:r>
      <w:r w:rsidRPr="00102D82">
        <w:tab/>
      </w:r>
      <w:r>
        <w:t xml:space="preserve">ActewAGL, </w:t>
      </w:r>
      <w:r w:rsidRPr="00702356">
        <w:rPr>
          <w:rStyle w:val="AERtextitalic"/>
        </w:rPr>
        <w:t>Transitional regulatory proposal</w:t>
      </w:r>
      <w:r>
        <w:t>, January 2014, p. 23; AER calculations.</w:t>
      </w:r>
    </w:p>
    <w:p w:rsidR="00724615" w:rsidRPr="00102D82" w:rsidRDefault="00724615" w:rsidP="00724615">
      <w:pPr>
        <w:pStyle w:val="AERtablesource"/>
      </w:pPr>
      <w:r w:rsidRPr="00102D82">
        <w:t>Notes:</w:t>
      </w:r>
      <w:r w:rsidRPr="00102D82">
        <w:tab/>
      </w:r>
      <w:r w:rsidRPr="00693A45">
        <w:t>Numbers may not sum due to rounding.</w:t>
      </w:r>
    </w:p>
    <w:p w:rsidR="00724615" w:rsidRDefault="001D00C7" w:rsidP="001D00C7">
      <w:pPr>
        <w:pStyle w:val="AERtablesource"/>
        <w:tabs>
          <w:tab w:val="left" w:pos="1134"/>
        </w:tabs>
        <w:ind w:left="1134" w:hanging="1134"/>
      </w:pPr>
      <w:r>
        <w:tab/>
      </w:r>
      <w:r w:rsidR="00724615" w:rsidRPr="00102D82">
        <w:t>a.</w:t>
      </w:r>
      <w:r w:rsidR="00724615" w:rsidRPr="00102D82">
        <w:tab/>
      </w:r>
      <w:r w:rsidR="00724615">
        <w:t>This figure has been adjusted to reflect the (notional) transmission component of 2013–14 revenue.</w:t>
      </w:r>
    </w:p>
    <w:p w:rsidR="00724615" w:rsidRPr="00102D82" w:rsidRDefault="001D00C7" w:rsidP="001D00C7">
      <w:pPr>
        <w:pStyle w:val="AERtablesource"/>
        <w:tabs>
          <w:tab w:val="left" w:pos="1134"/>
        </w:tabs>
        <w:ind w:left="1134" w:hanging="1134"/>
      </w:pPr>
      <w:r>
        <w:tab/>
      </w:r>
      <w:r w:rsidR="00724615">
        <w:t>b.</w:t>
      </w:r>
      <w:r w:rsidR="00724615">
        <w:tab/>
      </w:r>
      <w:r w:rsidR="00724615" w:rsidRPr="00102D82">
        <w:t>This row shows the year-on-year change in total nominal revenues. It should not be interpreted as the X-factor change from year to year.</w:t>
      </w:r>
    </w:p>
    <w:p w:rsidR="00724615" w:rsidRPr="003A5277" w:rsidRDefault="00724615" w:rsidP="00724615">
      <w:pPr>
        <w:pStyle w:val="AERbodytext"/>
        <w:numPr>
          <w:ilvl w:val="0"/>
          <w:numId w:val="6"/>
        </w:numPr>
        <w:rPr>
          <w:rStyle w:val="AERbody"/>
        </w:rPr>
      </w:pPr>
      <w:r w:rsidRPr="003A5277">
        <w:rPr>
          <w:rStyle w:val="AERbody"/>
        </w:rPr>
        <w:t xml:space="preserve">The key determinants of the building blocks from </w:t>
      </w:r>
      <w:r>
        <w:rPr>
          <w:rStyle w:val="AERbody"/>
        </w:rPr>
        <w:t>ActewAGL</w:t>
      </w:r>
      <w:r w:rsidRPr="003A5277">
        <w:rPr>
          <w:rStyle w:val="AERbody"/>
        </w:rPr>
        <w:t xml:space="preserve">’s proposal (opex, capex, rate of return and RAB) are separately presented below. </w:t>
      </w:r>
      <w:r>
        <w:rPr>
          <w:rStyle w:val="AERbody"/>
        </w:rPr>
        <w:t>ActewAGL</w:t>
      </w:r>
      <w:r w:rsidRPr="003A5277">
        <w:rPr>
          <w:rStyle w:val="AERbody"/>
        </w:rPr>
        <w:t>’s proposal also included details on:</w:t>
      </w:r>
    </w:p>
    <w:p w:rsidR="00724615" w:rsidRPr="003A5277" w:rsidRDefault="00724615" w:rsidP="00C23850">
      <w:pPr>
        <w:pStyle w:val="AERbulletlistfirststyle"/>
        <w:rPr>
          <w:rStyle w:val="AERbody"/>
        </w:rPr>
      </w:pPr>
      <w:r w:rsidRPr="003A5277">
        <w:rPr>
          <w:rStyle w:val="AERbody"/>
        </w:rPr>
        <w:t>Regulatory depreciation—</w:t>
      </w:r>
      <w:r>
        <w:rPr>
          <w:rStyle w:val="AERbody"/>
        </w:rPr>
        <w:t>ActewAGL</w:t>
      </w:r>
      <w:r w:rsidRPr="003A5277">
        <w:rPr>
          <w:rStyle w:val="AERbody"/>
        </w:rPr>
        <w:t xml:space="preserve"> proposed to use straight-line depreciation as calculated in the PTRM, and put forward a schedule of asset lives. Its depreciation forecasts (including the net effect of indexation) are included in the RAB roll forward tables presented below.</w:t>
      </w:r>
    </w:p>
    <w:p w:rsidR="00724615" w:rsidRPr="003A5277" w:rsidRDefault="00724615" w:rsidP="00C23850">
      <w:pPr>
        <w:pStyle w:val="AERbulletlistfirststyle"/>
        <w:rPr>
          <w:rStyle w:val="AERbody"/>
        </w:rPr>
      </w:pPr>
      <w:r w:rsidRPr="003A5277">
        <w:rPr>
          <w:rStyle w:val="AERbody"/>
        </w:rPr>
        <w:t>Cost of corporate income tax—</w:t>
      </w:r>
      <w:r>
        <w:rPr>
          <w:rStyle w:val="AERbody"/>
        </w:rPr>
        <w:t>ActewAGL</w:t>
      </w:r>
      <w:r w:rsidRPr="003A5277">
        <w:rPr>
          <w:rStyle w:val="AERbody"/>
        </w:rPr>
        <w:t xml:space="preserve"> submitted taxation calculations using the PTRM, which involves calculating the indicative tax payable and then reducing its tax allowance with respect to the value of imputation credits. </w:t>
      </w:r>
      <w:r>
        <w:rPr>
          <w:rStyle w:val="AERbody"/>
        </w:rPr>
        <w:t>ActewAGL's</w:t>
      </w:r>
      <w:r w:rsidRPr="003A5277">
        <w:rPr>
          <w:rStyle w:val="AERbody"/>
        </w:rPr>
        <w:t xml:space="preserve"> proposed gamma figure (assumed value of imputation credits) is discussed below in the rate of return section.</w:t>
      </w:r>
    </w:p>
    <w:p w:rsidR="00724615" w:rsidRPr="003A5277" w:rsidRDefault="00724615" w:rsidP="00C23850">
      <w:pPr>
        <w:pStyle w:val="AERbulletlistfirststyle"/>
        <w:rPr>
          <w:rStyle w:val="AERbody"/>
        </w:rPr>
      </w:pPr>
      <w:r w:rsidRPr="003A5277">
        <w:rPr>
          <w:rStyle w:val="AERbody"/>
        </w:rPr>
        <w:t>Efficiency carryovers—</w:t>
      </w:r>
      <w:r>
        <w:rPr>
          <w:rStyle w:val="AERbody"/>
        </w:rPr>
        <w:t>ActewAGL</w:t>
      </w:r>
      <w:r w:rsidRPr="003A5277">
        <w:rPr>
          <w:rStyle w:val="AERbody"/>
        </w:rPr>
        <w:t xml:space="preserve"> proposed a </w:t>
      </w:r>
      <w:r>
        <w:rPr>
          <w:rStyle w:val="AERbody"/>
        </w:rPr>
        <w:t>negative</w:t>
      </w:r>
      <w:r w:rsidRPr="003A5277">
        <w:rPr>
          <w:rStyle w:val="AERbody"/>
        </w:rPr>
        <w:t xml:space="preserve"> carryover allowance </w:t>
      </w:r>
      <w:r>
        <w:rPr>
          <w:rStyle w:val="AERbody"/>
        </w:rPr>
        <w:t xml:space="preserve">for both its distribution and transmission networks. This </w:t>
      </w:r>
      <w:r w:rsidRPr="003A5277">
        <w:rPr>
          <w:rStyle w:val="AERbody"/>
        </w:rPr>
        <w:t>reflect</w:t>
      </w:r>
      <w:r>
        <w:rPr>
          <w:rStyle w:val="AERbody"/>
        </w:rPr>
        <w:t>s</w:t>
      </w:r>
      <w:r w:rsidRPr="003A5277">
        <w:rPr>
          <w:rStyle w:val="AERbody"/>
        </w:rPr>
        <w:t xml:space="preserve"> past efficiency </w:t>
      </w:r>
      <w:r>
        <w:rPr>
          <w:rStyle w:val="AERbody"/>
        </w:rPr>
        <w:t>losses</w:t>
      </w:r>
      <w:r w:rsidRPr="003A5277">
        <w:rPr>
          <w:rStyle w:val="AERbody"/>
        </w:rPr>
        <w:t xml:space="preserve"> associated with its opex (under the EBSS) over the </w:t>
      </w:r>
      <w:r>
        <w:rPr>
          <w:rStyle w:val="AERbody"/>
        </w:rPr>
        <w:t>current</w:t>
      </w:r>
      <w:r w:rsidRPr="003A5277">
        <w:rPr>
          <w:rStyle w:val="AERbody"/>
        </w:rPr>
        <w:t xml:space="preserve"> regulatory control period.</w:t>
      </w:r>
    </w:p>
    <w:p w:rsidR="00724615" w:rsidRPr="00985999" w:rsidRDefault="00724615" w:rsidP="00985999">
      <w:pPr>
        <w:pStyle w:val="Heading9"/>
        <w:rPr>
          <w:rStyle w:val="AERbody"/>
          <w:rFonts w:eastAsia="Calibri"/>
          <w:color w:val="E36C0A"/>
          <w:sz w:val="24"/>
        </w:rPr>
      </w:pPr>
      <w:r w:rsidRPr="00985999">
        <w:rPr>
          <w:rStyle w:val="AERbody"/>
          <w:color w:val="E36C0A"/>
          <w:sz w:val="24"/>
        </w:rPr>
        <w:t>Rate of return</w:t>
      </w:r>
    </w:p>
    <w:p w:rsidR="00724615" w:rsidRDefault="00724615" w:rsidP="00724615">
      <w:pPr>
        <w:pStyle w:val="AERbodytext"/>
        <w:numPr>
          <w:ilvl w:val="0"/>
          <w:numId w:val="6"/>
        </w:numPr>
        <w:rPr>
          <w:rStyle w:val="AERbody"/>
        </w:rPr>
      </w:pPr>
      <w:r w:rsidRPr="00DE234B">
        <w:rPr>
          <w:rStyle w:val="AERbody"/>
        </w:rPr>
        <w:t>ActewAGL proposed an indicative WACC range of 8.8</w:t>
      </w:r>
      <w:r w:rsidR="004B35E8">
        <w:rPr>
          <w:rStyle w:val="AERbody"/>
        </w:rPr>
        <w:t xml:space="preserve"> to </w:t>
      </w:r>
      <w:r w:rsidRPr="00DE234B">
        <w:rPr>
          <w:rStyle w:val="AERbody"/>
        </w:rPr>
        <w:t xml:space="preserve">9.5 per </w:t>
      </w:r>
      <w:r w:rsidRPr="007A7255">
        <w:rPr>
          <w:rStyle w:val="AERbody"/>
        </w:rPr>
        <w:t>cent for the transitional regulatory control period.</w:t>
      </w:r>
      <w:r>
        <w:rPr>
          <w:rStyle w:val="FootnoteReference"/>
        </w:rPr>
        <w:footnoteReference w:id="156"/>
      </w:r>
      <w:r>
        <w:rPr>
          <w:rStyle w:val="AERbody"/>
        </w:rPr>
        <w:t xml:space="preserve"> This</w:t>
      </w:r>
      <w:r w:rsidRPr="00DE234B">
        <w:rPr>
          <w:rStyle w:val="AERbody"/>
        </w:rPr>
        <w:t xml:space="preserve"> indicative WACC range reflec</w:t>
      </w:r>
      <w:r>
        <w:rPr>
          <w:rStyle w:val="AERbody"/>
        </w:rPr>
        <w:t>ts the parameters shown in</w:t>
      </w:r>
      <w:r w:rsidR="007A7255">
        <w:rPr>
          <w:rStyle w:val="AERbody"/>
        </w:rPr>
        <w:t xml:space="preserve"> </w:t>
      </w:r>
      <w:r w:rsidR="00985999">
        <w:rPr>
          <w:rStyle w:val="AERbody"/>
        </w:rPr>
        <w:fldChar w:fldCharType="begin"/>
      </w:r>
      <w:r w:rsidR="00985999">
        <w:rPr>
          <w:rStyle w:val="AERbody"/>
        </w:rPr>
        <w:instrText xml:space="preserve"> REF _Ref384723009 \h </w:instrText>
      </w:r>
      <w:r w:rsidR="00985999">
        <w:rPr>
          <w:rStyle w:val="AERbody"/>
        </w:rPr>
      </w:r>
      <w:r w:rsidR="00985999">
        <w:rPr>
          <w:rStyle w:val="AERbody"/>
        </w:rPr>
        <w:fldChar w:fldCharType="separate"/>
      </w:r>
      <w:r w:rsidR="00E313D7">
        <w:t xml:space="preserve">Table </w:t>
      </w:r>
      <w:r w:rsidR="00E313D7">
        <w:rPr>
          <w:noProof/>
        </w:rPr>
        <w:t>B</w:t>
      </w:r>
      <w:r w:rsidR="00E313D7">
        <w:t>.</w:t>
      </w:r>
      <w:r w:rsidR="00E313D7">
        <w:rPr>
          <w:noProof/>
        </w:rPr>
        <w:t>16</w:t>
      </w:r>
      <w:r w:rsidR="00985999">
        <w:rPr>
          <w:rStyle w:val="AERbody"/>
        </w:rPr>
        <w:fldChar w:fldCharType="end"/>
      </w:r>
      <w:r>
        <w:rPr>
          <w:rStyle w:val="AERbody"/>
        </w:rPr>
        <w:t>.</w:t>
      </w:r>
      <w:r w:rsidRPr="00DE234B">
        <w:rPr>
          <w:rStyle w:val="AERbody"/>
        </w:rPr>
        <w:t xml:space="preserve"> </w:t>
      </w:r>
    </w:p>
    <w:p w:rsidR="00724615" w:rsidRDefault="00724615" w:rsidP="00724615">
      <w:pPr>
        <w:pStyle w:val="AERbodytext"/>
        <w:numPr>
          <w:ilvl w:val="0"/>
          <w:numId w:val="6"/>
        </w:numPr>
        <w:rPr>
          <w:rStyle w:val="AERbody"/>
        </w:rPr>
      </w:pPr>
      <w:r w:rsidRPr="00DE234B">
        <w:rPr>
          <w:rStyle w:val="AERbody"/>
        </w:rPr>
        <w:t>ActewAGL adopted a similar approach to the NSW DNSPs in estimating the return on equity. It</w:t>
      </w:r>
      <w:r>
        <w:rPr>
          <w:rStyle w:val="AERbody"/>
        </w:rPr>
        <w:t xml:space="preserve"> </w:t>
      </w:r>
      <w:r w:rsidRPr="00DE234B">
        <w:rPr>
          <w:rStyle w:val="AERbody"/>
        </w:rPr>
        <w:t>considered multiple models and estimation methods before adopting the Wright approach to arrive at a point estima</w:t>
      </w:r>
      <w:r>
        <w:rPr>
          <w:rStyle w:val="AERbody"/>
        </w:rPr>
        <w:t>te.</w:t>
      </w:r>
      <w:r>
        <w:rPr>
          <w:rStyle w:val="FootnoteReference"/>
        </w:rPr>
        <w:footnoteReference w:id="157"/>
      </w:r>
      <w:r>
        <w:rPr>
          <w:rStyle w:val="AERbody"/>
        </w:rPr>
        <w:t xml:space="preserve"> ActewAGL </w:t>
      </w:r>
      <w:r w:rsidRPr="002D25A8">
        <w:rPr>
          <w:rStyle w:val="AERbody"/>
        </w:rPr>
        <w:t xml:space="preserve">submitted that their approach is consistent with the requirement to have regard to relevant estimation methods, financial models, market data and other evidence when </w:t>
      </w:r>
      <w:r w:rsidRPr="002D25A8">
        <w:rPr>
          <w:rStyle w:val="AERbody"/>
        </w:rPr>
        <w:lastRenderedPageBreak/>
        <w:t>determini</w:t>
      </w:r>
      <w:r>
        <w:rPr>
          <w:rStyle w:val="AERbody"/>
        </w:rPr>
        <w:t>ng the allowed rate of return.</w:t>
      </w:r>
      <w:r>
        <w:rPr>
          <w:rStyle w:val="FootnoteReference"/>
        </w:rPr>
        <w:footnoteReference w:id="158"/>
      </w:r>
      <w:r>
        <w:rPr>
          <w:rStyle w:val="AERbody"/>
        </w:rPr>
        <w:t xml:space="preserve"> </w:t>
      </w:r>
      <w:r w:rsidRPr="00DE234B">
        <w:rPr>
          <w:rStyle w:val="AERbody"/>
        </w:rPr>
        <w:t>ActewAGL’s return on equity estimates draw on</w:t>
      </w:r>
      <w:r>
        <w:rPr>
          <w:rStyle w:val="AERbody"/>
        </w:rPr>
        <w:t xml:space="preserve"> material presented during the g</w:t>
      </w:r>
      <w:r w:rsidRPr="00DE234B">
        <w:rPr>
          <w:rStyle w:val="AERbody"/>
        </w:rPr>
        <w:t>uideline consultation process by the ENA</w:t>
      </w:r>
      <w:r>
        <w:rPr>
          <w:rStyle w:val="AERbody"/>
        </w:rPr>
        <w:t>.</w:t>
      </w:r>
      <w:r>
        <w:rPr>
          <w:rStyle w:val="FootnoteReference"/>
        </w:rPr>
        <w:footnoteReference w:id="159"/>
      </w:r>
    </w:p>
    <w:p w:rsidR="00724615" w:rsidRDefault="00724615" w:rsidP="00724615">
      <w:pPr>
        <w:pStyle w:val="AERbodytext"/>
        <w:numPr>
          <w:ilvl w:val="0"/>
          <w:numId w:val="6"/>
        </w:numPr>
        <w:rPr>
          <w:rStyle w:val="AERbody"/>
        </w:rPr>
      </w:pPr>
      <w:r w:rsidRPr="00A66E4D">
        <w:rPr>
          <w:rStyle w:val="AERbody"/>
        </w:rPr>
        <w:t>ActewAGL adopted a similar approach to the NSW DNSPs in estimating the return on debt</w:t>
      </w:r>
      <w:r>
        <w:rPr>
          <w:rStyle w:val="AERbody"/>
        </w:rPr>
        <w:t>. It</w:t>
      </w:r>
      <w:r w:rsidRPr="002D25A8">
        <w:rPr>
          <w:rStyle w:val="AERbody"/>
        </w:rPr>
        <w:t xml:space="preserve"> submitted that historical rates would best match their actual debt financing practices (the immediate adoption of a trailing average debt portfolio)</w:t>
      </w:r>
      <w:r>
        <w:rPr>
          <w:rStyle w:val="AERbody"/>
        </w:rPr>
        <w:t>.</w:t>
      </w:r>
      <w:r>
        <w:rPr>
          <w:rStyle w:val="FootnoteReference"/>
        </w:rPr>
        <w:footnoteReference w:id="160"/>
      </w:r>
    </w:p>
    <w:p w:rsidR="00724615" w:rsidRDefault="00724615" w:rsidP="00724615">
      <w:pPr>
        <w:pStyle w:val="AERbodytext"/>
        <w:numPr>
          <w:ilvl w:val="0"/>
          <w:numId w:val="6"/>
        </w:numPr>
        <w:rPr>
          <w:rStyle w:val="AERbody"/>
        </w:rPr>
      </w:pPr>
      <w:r w:rsidRPr="00A66E4D">
        <w:rPr>
          <w:rStyle w:val="AERbody"/>
        </w:rPr>
        <w:t xml:space="preserve">ActewAGL adopted </w:t>
      </w:r>
      <w:r>
        <w:rPr>
          <w:rStyle w:val="AERbody"/>
        </w:rPr>
        <w:t>a</w:t>
      </w:r>
      <w:r w:rsidRPr="00A66E4D">
        <w:rPr>
          <w:rStyle w:val="AERbody"/>
        </w:rPr>
        <w:t xml:space="preserve"> value </w:t>
      </w:r>
      <w:r>
        <w:rPr>
          <w:rStyle w:val="AERbody"/>
        </w:rPr>
        <w:t xml:space="preserve">of 0.25 for imputation credits </w:t>
      </w:r>
      <w:r w:rsidRPr="002D25A8">
        <w:rPr>
          <w:rStyle w:val="AERbody"/>
        </w:rPr>
        <w:t>(gamma) calculated as the product of the payout ratio (0.7) and utilisation rate (0.3</w:t>
      </w:r>
      <w:r>
        <w:rPr>
          <w:rStyle w:val="AERbody"/>
        </w:rPr>
        <w:t>5).</w:t>
      </w:r>
      <w:r>
        <w:rPr>
          <w:rStyle w:val="FootnoteReference"/>
        </w:rPr>
        <w:footnoteReference w:id="161"/>
      </w:r>
      <w:r>
        <w:rPr>
          <w:rStyle w:val="AERbody"/>
        </w:rPr>
        <w:t xml:space="preserve"> It submitted that this value is consistent with the approach taken in the Australian Competition Tribunal's decision in 2011 and IPART's Review of WACC methodology.</w:t>
      </w:r>
      <w:r>
        <w:rPr>
          <w:rStyle w:val="FootnoteReference"/>
        </w:rPr>
        <w:footnoteReference w:id="162"/>
      </w:r>
    </w:p>
    <w:p w:rsidR="00724615" w:rsidRDefault="002401A5" w:rsidP="004B35E8">
      <w:pPr>
        <w:pStyle w:val="Caption"/>
        <w:jc w:val="left"/>
      </w:pPr>
      <w:bookmarkStart w:id="224" w:name="_Ref384723009"/>
      <w:r>
        <w:t>Table</w:t>
      </w:r>
      <w:r w:rsidR="00724615">
        <w:t xml:space="preserve"> </w:t>
      </w:r>
      <w:r w:rsidR="00DD155E">
        <w:fldChar w:fldCharType="begin"/>
      </w:r>
      <w:r w:rsidR="00DD155E">
        <w:instrText xml:space="preserve"> STYLEREF 7 \s </w:instrText>
      </w:r>
      <w:r w:rsidR="00DD155E">
        <w:fldChar w:fldCharType="separate"/>
      </w:r>
      <w:r w:rsidR="00E313D7">
        <w:rPr>
          <w:noProof/>
        </w:rPr>
        <w:t>B</w:t>
      </w:r>
      <w:r w:rsidR="00DD155E">
        <w:rPr>
          <w:noProof/>
        </w:rPr>
        <w:fldChar w:fldCharType="end"/>
      </w:r>
      <w:r>
        <w:t>.</w:t>
      </w:r>
      <w:r w:rsidR="00DD155E">
        <w:fldChar w:fldCharType="begin"/>
      </w:r>
      <w:r w:rsidR="00DD155E">
        <w:instrText xml:space="preserve"> SEQ Table_Apx \* ARABIC \s 7 </w:instrText>
      </w:r>
      <w:r w:rsidR="00DD155E">
        <w:fldChar w:fldCharType="separate"/>
      </w:r>
      <w:r w:rsidR="00E313D7">
        <w:rPr>
          <w:noProof/>
        </w:rPr>
        <w:t>16</w:t>
      </w:r>
      <w:r w:rsidR="00DD155E">
        <w:rPr>
          <w:noProof/>
        </w:rPr>
        <w:fldChar w:fldCharType="end"/>
      </w:r>
      <w:bookmarkEnd w:id="224"/>
      <w:r w:rsidR="00724615">
        <w:tab/>
        <w:t>ActewAGL's proposed WACC parameters for the transitional regulatory control period</w:t>
      </w:r>
    </w:p>
    <w:tbl>
      <w:tblPr>
        <w:tblStyle w:val="AERtable-text"/>
        <w:tblW w:w="0" w:type="auto"/>
        <w:tblLook w:val="04A0" w:firstRow="1" w:lastRow="0" w:firstColumn="1" w:lastColumn="0" w:noHBand="0" w:noVBand="1"/>
      </w:tblPr>
      <w:tblGrid>
        <w:gridCol w:w="4503"/>
        <w:gridCol w:w="4677"/>
      </w:tblGrid>
      <w:tr w:rsidR="00724615" w:rsidRPr="004B35E8" w:rsidTr="004B35E8">
        <w:trPr>
          <w:cnfStyle w:val="100000000000" w:firstRow="1" w:lastRow="0" w:firstColumn="0" w:lastColumn="0" w:oddVBand="0" w:evenVBand="0" w:oddHBand="0" w:evenHBand="0" w:firstRowFirstColumn="0" w:firstRowLastColumn="0" w:lastRowFirstColumn="0" w:lastRowLastColumn="0"/>
          <w:cantSplit/>
        </w:trPr>
        <w:tc>
          <w:tcPr>
            <w:tcW w:w="4503" w:type="dxa"/>
          </w:tcPr>
          <w:p w:rsidR="00724615" w:rsidRPr="004B35E8" w:rsidRDefault="00724615" w:rsidP="004B35E8">
            <w:pPr>
              <w:pStyle w:val="AERbodytext"/>
              <w:keepNext/>
              <w:keepLines/>
              <w:numPr>
                <w:ilvl w:val="0"/>
                <w:numId w:val="6"/>
              </w:numPr>
              <w:spacing w:after="120" w:line="240" w:lineRule="auto"/>
              <w:rPr>
                <w:rStyle w:val="AERbody"/>
                <w:sz w:val="18"/>
              </w:rPr>
            </w:pPr>
          </w:p>
        </w:tc>
        <w:tc>
          <w:tcPr>
            <w:tcW w:w="4677" w:type="dxa"/>
          </w:tcPr>
          <w:p w:rsidR="00724615" w:rsidRPr="004B35E8" w:rsidRDefault="00724615" w:rsidP="004B35E8">
            <w:pPr>
              <w:pStyle w:val="AERbodytext"/>
              <w:keepNext/>
              <w:keepLines/>
              <w:numPr>
                <w:ilvl w:val="0"/>
                <w:numId w:val="6"/>
              </w:numPr>
              <w:spacing w:after="120" w:line="240" w:lineRule="auto"/>
              <w:rPr>
                <w:rStyle w:val="AERbody"/>
                <w:color w:val="FFFFFF" w:themeColor="background1"/>
                <w:sz w:val="18"/>
              </w:rPr>
            </w:pPr>
            <w:r w:rsidRPr="004B35E8">
              <w:rPr>
                <w:rStyle w:val="AERbody"/>
                <w:color w:val="FFFFFF" w:themeColor="background1"/>
                <w:sz w:val="18"/>
              </w:rPr>
              <w:t>ActewAGL</w:t>
            </w:r>
          </w:p>
        </w:tc>
      </w:tr>
      <w:tr w:rsidR="00724615" w:rsidRPr="004B35E8" w:rsidTr="004B35E8">
        <w:trPr>
          <w:cantSplit/>
        </w:trPr>
        <w:tc>
          <w:tcPr>
            <w:tcW w:w="4503" w:type="dxa"/>
          </w:tcPr>
          <w:p w:rsidR="00724615" w:rsidRPr="004B35E8" w:rsidRDefault="00724615" w:rsidP="004B35E8">
            <w:pPr>
              <w:pStyle w:val="AERbodytext"/>
              <w:keepNext/>
              <w:keepLines/>
              <w:numPr>
                <w:ilvl w:val="0"/>
                <w:numId w:val="6"/>
              </w:numPr>
              <w:spacing w:after="120" w:line="240" w:lineRule="auto"/>
              <w:rPr>
                <w:rStyle w:val="AERbody"/>
                <w:sz w:val="18"/>
              </w:rPr>
            </w:pPr>
            <w:r w:rsidRPr="004B35E8">
              <w:rPr>
                <w:rStyle w:val="AERbody"/>
                <w:sz w:val="18"/>
              </w:rPr>
              <w:t>Risk free rate</w:t>
            </w:r>
          </w:p>
        </w:tc>
        <w:tc>
          <w:tcPr>
            <w:tcW w:w="4677" w:type="dxa"/>
          </w:tcPr>
          <w:p w:rsidR="00724615" w:rsidRPr="004B35E8" w:rsidRDefault="00724615" w:rsidP="004B35E8">
            <w:pPr>
              <w:pStyle w:val="AERbodytext"/>
              <w:keepNext/>
              <w:keepLines/>
              <w:numPr>
                <w:ilvl w:val="0"/>
                <w:numId w:val="6"/>
              </w:numPr>
              <w:spacing w:after="120" w:line="240" w:lineRule="auto"/>
              <w:rPr>
                <w:rStyle w:val="AERbody"/>
                <w:sz w:val="18"/>
              </w:rPr>
            </w:pPr>
            <w:r w:rsidRPr="004B35E8">
              <w:rPr>
                <w:rStyle w:val="AERbody"/>
                <w:sz w:val="18"/>
              </w:rPr>
              <w:t>4.3</w:t>
            </w:r>
          </w:p>
        </w:tc>
      </w:tr>
      <w:tr w:rsidR="00724615" w:rsidRPr="004B35E8" w:rsidTr="004B35E8">
        <w:trPr>
          <w:cnfStyle w:val="000000010000" w:firstRow="0" w:lastRow="0" w:firstColumn="0" w:lastColumn="0" w:oddVBand="0" w:evenVBand="0" w:oddHBand="0" w:evenHBand="1" w:firstRowFirstColumn="0" w:firstRowLastColumn="0" w:lastRowFirstColumn="0" w:lastRowLastColumn="0"/>
          <w:cantSplit/>
        </w:trPr>
        <w:tc>
          <w:tcPr>
            <w:tcW w:w="4503" w:type="dxa"/>
          </w:tcPr>
          <w:p w:rsidR="00724615" w:rsidRPr="004B35E8" w:rsidRDefault="00724615" w:rsidP="004B35E8">
            <w:pPr>
              <w:pStyle w:val="AERbodytext"/>
              <w:keepNext/>
              <w:keepLines/>
              <w:numPr>
                <w:ilvl w:val="0"/>
                <w:numId w:val="6"/>
              </w:numPr>
              <w:spacing w:after="120" w:line="240" w:lineRule="auto"/>
              <w:rPr>
                <w:rStyle w:val="AERbody"/>
                <w:sz w:val="18"/>
              </w:rPr>
            </w:pPr>
            <w:r w:rsidRPr="004B35E8">
              <w:rPr>
                <w:rStyle w:val="AERbody"/>
                <w:sz w:val="18"/>
              </w:rPr>
              <w:t>Market risk premium</w:t>
            </w:r>
          </w:p>
        </w:tc>
        <w:tc>
          <w:tcPr>
            <w:tcW w:w="4677" w:type="dxa"/>
          </w:tcPr>
          <w:p w:rsidR="00724615" w:rsidRPr="004B35E8" w:rsidRDefault="00724615" w:rsidP="004B35E8">
            <w:pPr>
              <w:pStyle w:val="AERbodytext"/>
              <w:keepNext/>
              <w:keepLines/>
              <w:numPr>
                <w:ilvl w:val="0"/>
                <w:numId w:val="6"/>
              </w:numPr>
              <w:spacing w:after="120" w:line="240" w:lineRule="auto"/>
              <w:rPr>
                <w:rStyle w:val="AERbody"/>
                <w:sz w:val="18"/>
              </w:rPr>
            </w:pPr>
            <w:r w:rsidRPr="004B35E8">
              <w:rPr>
                <w:rStyle w:val="AERbody"/>
                <w:sz w:val="18"/>
              </w:rPr>
              <w:t>6.5–7.2 (7.3)</w:t>
            </w:r>
          </w:p>
        </w:tc>
      </w:tr>
      <w:tr w:rsidR="00724615" w:rsidRPr="004B35E8" w:rsidTr="004B35E8">
        <w:trPr>
          <w:cantSplit/>
        </w:trPr>
        <w:tc>
          <w:tcPr>
            <w:tcW w:w="4503" w:type="dxa"/>
          </w:tcPr>
          <w:p w:rsidR="00724615" w:rsidRPr="004B35E8" w:rsidRDefault="00724615" w:rsidP="004B35E8">
            <w:pPr>
              <w:pStyle w:val="AERbodytext"/>
              <w:keepNext/>
              <w:keepLines/>
              <w:numPr>
                <w:ilvl w:val="0"/>
                <w:numId w:val="6"/>
              </w:numPr>
              <w:spacing w:after="120" w:line="240" w:lineRule="auto"/>
              <w:rPr>
                <w:rStyle w:val="AERbody"/>
                <w:sz w:val="18"/>
              </w:rPr>
            </w:pPr>
            <w:r w:rsidRPr="004B35E8">
              <w:rPr>
                <w:rStyle w:val="AERbody"/>
                <w:sz w:val="18"/>
              </w:rPr>
              <w:t>Equity beta</w:t>
            </w:r>
          </w:p>
        </w:tc>
        <w:tc>
          <w:tcPr>
            <w:tcW w:w="4677" w:type="dxa"/>
          </w:tcPr>
          <w:p w:rsidR="00724615" w:rsidRPr="004B35E8" w:rsidRDefault="00724615" w:rsidP="004B35E8">
            <w:pPr>
              <w:pStyle w:val="AERbodytext"/>
              <w:keepNext/>
              <w:keepLines/>
              <w:numPr>
                <w:ilvl w:val="0"/>
                <w:numId w:val="6"/>
              </w:numPr>
              <w:spacing w:after="120" w:line="240" w:lineRule="auto"/>
              <w:rPr>
                <w:rStyle w:val="AERbody"/>
                <w:sz w:val="18"/>
              </w:rPr>
            </w:pPr>
            <w:r w:rsidRPr="004B35E8">
              <w:rPr>
                <w:rStyle w:val="AERbody"/>
                <w:sz w:val="18"/>
              </w:rPr>
              <w:t>0.79–0.82 (0.82)</w:t>
            </w:r>
          </w:p>
        </w:tc>
      </w:tr>
      <w:tr w:rsidR="00724615" w:rsidRPr="004B35E8" w:rsidTr="004B35E8">
        <w:trPr>
          <w:cnfStyle w:val="000000010000" w:firstRow="0" w:lastRow="0" w:firstColumn="0" w:lastColumn="0" w:oddVBand="0" w:evenVBand="0" w:oddHBand="0" w:evenHBand="1" w:firstRowFirstColumn="0" w:firstRowLastColumn="0" w:lastRowFirstColumn="0" w:lastRowLastColumn="0"/>
          <w:cantSplit/>
        </w:trPr>
        <w:tc>
          <w:tcPr>
            <w:tcW w:w="4503" w:type="dxa"/>
          </w:tcPr>
          <w:p w:rsidR="00724615" w:rsidRPr="004B35E8" w:rsidRDefault="00724615" w:rsidP="004B35E8">
            <w:pPr>
              <w:pStyle w:val="AERbodytext"/>
              <w:keepNext/>
              <w:keepLines/>
              <w:numPr>
                <w:ilvl w:val="0"/>
                <w:numId w:val="6"/>
              </w:numPr>
              <w:spacing w:after="120" w:line="240" w:lineRule="auto"/>
              <w:rPr>
                <w:rStyle w:val="AERbody"/>
                <w:sz w:val="18"/>
              </w:rPr>
            </w:pPr>
            <w:r w:rsidRPr="004B35E8">
              <w:rPr>
                <w:rStyle w:val="AERbody"/>
                <w:sz w:val="18"/>
              </w:rPr>
              <w:t>Cost of equity</w:t>
            </w:r>
          </w:p>
        </w:tc>
        <w:tc>
          <w:tcPr>
            <w:tcW w:w="4677" w:type="dxa"/>
          </w:tcPr>
          <w:p w:rsidR="00724615" w:rsidRPr="004B35E8" w:rsidRDefault="00724615" w:rsidP="004B35E8">
            <w:pPr>
              <w:pStyle w:val="AERbodytext"/>
              <w:keepNext/>
              <w:keepLines/>
              <w:numPr>
                <w:ilvl w:val="0"/>
                <w:numId w:val="6"/>
              </w:numPr>
              <w:spacing w:after="120" w:line="240" w:lineRule="auto"/>
              <w:rPr>
                <w:rStyle w:val="AERbody"/>
                <w:sz w:val="18"/>
              </w:rPr>
            </w:pPr>
            <w:r w:rsidRPr="004B35E8">
              <w:rPr>
                <w:rStyle w:val="AERbody"/>
                <w:sz w:val="18"/>
              </w:rPr>
              <w:t>10.0–11.8 (10.3)</w:t>
            </w:r>
          </w:p>
        </w:tc>
      </w:tr>
      <w:tr w:rsidR="00724615" w:rsidRPr="004B35E8" w:rsidTr="004B35E8">
        <w:trPr>
          <w:cantSplit/>
        </w:trPr>
        <w:tc>
          <w:tcPr>
            <w:tcW w:w="4503" w:type="dxa"/>
          </w:tcPr>
          <w:p w:rsidR="00724615" w:rsidRPr="004B35E8" w:rsidRDefault="00724615" w:rsidP="004B35E8">
            <w:pPr>
              <w:pStyle w:val="AERbodytext"/>
              <w:keepNext/>
              <w:keepLines/>
              <w:numPr>
                <w:ilvl w:val="0"/>
                <w:numId w:val="6"/>
              </w:numPr>
              <w:spacing w:after="120" w:line="240" w:lineRule="auto"/>
              <w:rPr>
                <w:rStyle w:val="AERbody"/>
                <w:sz w:val="18"/>
              </w:rPr>
            </w:pPr>
            <w:r w:rsidRPr="004B35E8">
              <w:rPr>
                <w:rStyle w:val="AERbody"/>
                <w:sz w:val="18"/>
              </w:rPr>
              <w:t>Debt risk premium</w:t>
            </w:r>
          </w:p>
        </w:tc>
        <w:tc>
          <w:tcPr>
            <w:tcW w:w="4677" w:type="dxa"/>
          </w:tcPr>
          <w:p w:rsidR="00724615" w:rsidRPr="004B35E8" w:rsidRDefault="00724615" w:rsidP="004B35E8">
            <w:pPr>
              <w:pStyle w:val="AERbodytext"/>
              <w:keepNext/>
              <w:keepLines/>
              <w:numPr>
                <w:ilvl w:val="0"/>
                <w:numId w:val="6"/>
              </w:numPr>
              <w:spacing w:after="120" w:line="240" w:lineRule="auto"/>
              <w:rPr>
                <w:rStyle w:val="AERbody"/>
                <w:sz w:val="18"/>
              </w:rPr>
            </w:pPr>
            <w:r w:rsidRPr="004B35E8">
              <w:rPr>
                <w:rStyle w:val="AERbody"/>
                <w:sz w:val="18"/>
              </w:rPr>
              <w:t>3.7</w:t>
            </w:r>
          </w:p>
        </w:tc>
      </w:tr>
      <w:tr w:rsidR="00724615" w:rsidRPr="004B35E8" w:rsidTr="004B35E8">
        <w:trPr>
          <w:cnfStyle w:val="000000010000" w:firstRow="0" w:lastRow="0" w:firstColumn="0" w:lastColumn="0" w:oddVBand="0" w:evenVBand="0" w:oddHBand="0" w:evenHBand="1" w:firstRowFirstColumn="0" w:firstRowLastColumn="0" w:lastRowFirstColumn="0" w:lastRowLastColumn="0"/>
          <w:cantSplit/>
        </w:trPr>
        <w:tc>
          <w:tcPr>
            <w:tcW w:w="4503" w:type="dxa"/>
          </w:tcPr>
          <w:p w:rsidR="00724615" w:rsidRPr="004B35E8" w:rsidRDefault="00724615" w:rsidP="004B35E8">
            <w:pPr>
              <w:pStyle w:val="AERbodytext"/>
              <w:keepNext/>
              <w:keepLines/>
              <w:numPr>
                <w:ilvl w:val="0"/>
                <w:numId w:val="6"/>
              </w:numPr>
              <w:spacing w:after="120" w:line="240" w:lineRule="auto"/>
              <w:rPr>
                <w:rStyle w:val="AERbody"/>
                <w:sz w:val="18"/>
              </w:rPr>
            </w:pPr>
            <w:r w:rsidRPr="004B35E8">
              <w:rPr>
                <w:rStyle w:val="AERbody"/>
                <w:sz w:val="18"/>
              </w:rPr>
              <w:t>Cost of debt</w:t>
            </w:r>
          </w:p>
        </w:tc>
        <w:tc>
          <w:tcPr>
            <w:tcW w:w="4677" w:type="dxa"/>
          </w:tcPr>
          <w:p w:rsidR="00724615" w:rsidRPr="004B35E8" w:rsidRDefault="00724615" w:rsidP="004B35E8">
            <w:pPr>
              <w:pStyle w:val="AERbodytext"/>
              <w:keepNext/>
              <w:keepLines/>
              <w:numPr>
                <w:ilvl w:val="0"/>
                <w:numId w:val="6"/>
              </w:numPr>
              <w:spacing w:after="120" w:line="240" w:lineRule="auto"/>
              <w:rPr>
                <w:rStyle w:val="AERbody"/>
                <w:sz w:val="18"/>
              </w:rPr>
            </w:pPr>
            <w:r w:rsidRPr="004B35E8">
              <w:rPr>
                <w:rStyle w:val="AERbody"/>
                <w:sz w:val="18"/>
              </w:rPr>
              <w:t>8.0</w:t>
            </w:r>
          </w:p>
        </w:tc>
      </w:tr>
      <w:tr w:rsidR="00724615" w:rsidRPr="004B35E8" w:rsidTr="004B35E8">
        <w:trPr>
          <w:cantSplit/>
        </w:trPr>
        <w:tc>
          <w:tcPr>
            <w:tcW w:w="4503" w:type="dxa"/>
          </w:tcPr>
          <w:p w:rsidR="00724615" w:rsidRPr="004B35E8" w:rsidRDefault="00724615" w:rsidP="004B35E8">
            <w:pPr>
              <w:pStyle w:val="AERbodytext"/>
              <w:keepNext/>
              <w:keepLines/>
              <w:numPr>
                <w:ilvl w:val="0"/>
                <w:numId w:val="6"/>
              </w:numPr>
              <w:spacing w:after="120" w:line="240" w:lineRule="auto"/>
              <w:rPr>
                <w:rStyle w:val="AERbody"/>
                <w:sz w:val="18"/>
              </w:rPr>
            </w:pPr>
            <w:r w:rsidRPr="004B35E8">
              <w:rPr>
                <w:rStyle w:val="AERbody"/>
                <w:sz w:val="18"/>
              </w:rPr>
              <w:t>Gamma</w:t>
            </w:r>
          </w:p>
        </w:tc>
        <w:tc>
          <w:tcPr>
            <w:tcW w:w="4677" w:type="dxa"/>
          </w:tcPr>
          <w:p w:rsidR="00724615" w:rsidRPr="004B35E8" w:rsidRDefault="00724615" w:rsidP="004B35E8">
            <w:pPr>
              <w:pStyle w:val="AERbodytext"/>
              <w:keepNext/>
              <w:keepLines/>
              <w:numPr>
                <w:ilvl w:val="0"/>
                <w:numId w:val="6"/>
              </w:numPr>
              <w:spacing w:after="120" w:line="240" w:lineRule="auto"/>
              <w:rPr>
                <w:rStyle w:val="AERbody"/>
                <w:sz w:val="18"/>
              </w:rPr>
            </w:pPr>
            <w:r w:rsidRPr="004B35E8">
              <w:rPr>
                <w:rStyle w:val="AERbody"/>
                <w:sz w:val="18"/>
              </w:rPr>
              <w:t>0.25</w:t>
            </w:r>
          </w:p>
        </w:tc>
      </w:tr>
      <w:tr w:rsidR="00724615" w:rsidRPr="004B35E8" w:rsidTr="004B35E8">
        <w:trPr>
          <w:cnfStyle w:val="000000010000" w:firstRow="0" w:lastRow="0" w:firstColumn="0" w:lastColumn="0" w:oddVBand="0" w:evenVBand="0" w:oddHBand="0" w:evenHBand="1" w:firstRowFirstColumn="0" w:firstRowLastColumn="0" w:lastRowFirstColumn="0" w:lastRowLastColumn="0"/>
          <w:cantSplit/>
        </w:trPr>
        <w:tc>
          <w:tcPr>
            <w:tcW w:w="4503" w:type="dxa"/>
          </w:tcPr>
          <w:p w:rsidR="00724615" w:rsidRPr="004B35E8" w:rsidRDefault="00724615" w:rsidP="004B35E8">
            <w:pPr>
              <w:pStyle w:val="AERbodytext"/>
              <w:keepNext/>
              <w:keepLines/>
              <w:numPr>
                <w:ilvl w:val="0"/>
                <w:numId w:val="6"/>
              </w:numPr>
              <w:spacing w:after="120" w:line="240" w:lineRule="auto"/>
              <w:rPr>
                <w:rStyle w:val="AERbody"/>
                <w:sz w:val="18"/>
              </w:rPr>
            </w:pPr>
            <w:r w:rsidRPr="004B35E8">
              <w:rPr>
                <w:rStyle w:val="AERbody"/>
                <w:sz w:val="18"/>
              </w:rPr>
              <w:t>Nominal vanilla WACC</w:t>
            </w:r>
          </w:p>
        </w:tc>
        <w:tc>
          <w:tcPr>
            <w:tcW w:w="4677" w:type="dxa"/>
          </w:tcPr>
          <w:p w:rsidR="00724615" w:rsidRPr="004B35E8" w:rsidRDefault="00724615" w:rsidP="004B35E8">
            <w:pPr>
              <w:pStyle w:val="AERbodytext"/>
              <w:keepNext/>
              <w:keepLines/>
              <w:numPr>
                <w:ilvl w:val="0"/>
                <w:numId w:val="6"/>
              </w:numPr>
              <w:spacing w:after="120" w:line="240" w:lineRule="auto"/>
              <w:rPr>
                <w:rStyle w:val="AERbody"/>
                <w:sz w:val="18"/>
              </w:rPr>
            </w:pPr>
            <w:r w:rsidRPr="004B35E8">
              <w:rPr>
                <w:rStyle w:val="AERbody"/>
                <w:sz w:val="18"/>
              </w:rPr>
              <w:t>8.8–9.5 (8.9)</w:t>
            </w:r>
          </w:p>
        </w:tc>
      </w:tr>
    </w:tbl>
    <w:p w:rsidR="00724615" w:rsidRPr="00F166BA" w:rsidRDefault="00724615" w:rsidP="00724615">
      <w:pPr>
        <w:pStyle w:val="AERtablesource"/>
      </w:pPr>
      <w:r w:rsidRPr="00F166BA">
        <w:t>Source:</w:t>
      </w:r>
      <w:r w:rsidRPr="00F166BA">
        <w:tab/>
        <w:t>Aus</w:t>
      </w:r>
      <w:r w:rsidR="00D400D5">
        <w:t>g</w:t>
      </w:r>
      <w:r w:rsidRPr="00F166BA">
        <w:t xml:space="preserve">rid, </w:t>
      </w:r>
      <w:r w:rsidRPr="00D400D5">
        <w:rPr>
          <w:rStyle w:val="AERtextitalic"/>
        </w:rPr>
        <w:t>Transitional revenue proposal</w:t>
      </w:r>
      <w:r w:rsidRPr="00F166BA">
        <w:t xml:space="preserve">, January 2014. ActewAGL, </w:t>
      </w:r>
      <w:r w:rsidRPr="00D400D5">
        <w:rPr>
          <w:rStyle w:val="AERtextitalic"/>
        </w:rPr>
        <w:t>Transitional revenue proposal</w:t>
      </w:r>
      <w:r w:rsidRPr="00F166BA">
        <w:t>, January 2014. Aus</w:t>
      </w:r>
      <w:r w:rsidR="00D400D5">
        <w:t>g</w:t>
      </w:r>
      <w:r w:rsidRPr="00F166BA">
        <w:t xml:space="preserve">rid, </w:t>
      </w:r>
      <w:r w:rsidRPr="00D400D5">
        <w:rPr>
          <w:rStyle w:val="AERtextitalic"/>
        </w:rPr>
        <w:t>Post-tax revenue model</w:t>
      </w:r>
      <w:r w:rsidRPr="00F166BA">
        <w:t xml:space="preserve">, January 2014. ActewAGL, </w:t>
      </w:r>
      <w:r w:rsidRPr="00D400D5">
        <w:rPr>
          <w:rStyle w:val="AERtextitalic"/>
        </w:rPr>
        <w:t>Post-tax revenue model</w:t>
      </w:r>
      <w:r w:rsidRPr="00F166BA">
        <w:t>, January 2014.</w:t>
      </w:r>
    </w:p>
    <w:p w:rsidR="00724615" w:rsidRPr="00FF09AF" w:rsidRDefault="00724615" w:rsidP="00724615">
      <w:pPr>
        <w:pStyle w:val="AERtablesource"/>
        <w:rPr>
          <w:rStyle w:val="AERbody"/>
        </w:rPr>
      </w:pPr>
      <w:r w:rsidRPr="00F166BA">
        <w:t>Note:</w:t>
      </w:r>
      <w:r w:rsidRPr="00F166BA">
        <w:tab/>
        <w:t>Where the service provider submitted a range for a parameter, the table includes the range and the final proposed value (in parentheses).</w:t>
      </w:r>
    </w:p>
    <w:p w:rsidR="00724615" w:rsidRPr="00985999" w:rsidRDefault="00724615" w:rsidP="00985999">
      <w:pPr>
        <w:pStyle w:val="Heading9"/>
        <w:rPr>
          <w:rStyle w:val="AERbody"/>
          <w:rFonts w:eastAsia="Calibri"/>
          <w:color w:val="E36C0A"/>
          <w:sz w:val="24"/>
        </w:rPr>
      </w:pPr>
      <w:r w:rsidRPr="00985999">
        <w:rPr>
          <w:rStyle w:val="AERbody"/>
          <w:color w:val="E36C0A"/>
          <w:sz w:val="24"/>
        </w:rPr>
        <w:t>RAB</w:t>
      </w:r>
    </w:p>
    <w:p w:rsidR="00724615" w:rsidRPr="00A33E9D" w:rsidRDefault="00724615" w:rsidP="00724615">
      <w:pPr>
        <w:pStyle w:val="AERbodytext"/>
        <w:numPr>
          <w:ilvl w:val="0"/>
          <w:numId w:val="6"/>
        </w:numPr>
      </w:pPr>
      <w:r w:rsidRPr="00FD0EB8">
        <w:t xml:space="preserve">The opening RAB at 1 July 2014 is a key determinant of the allowed revenue for the </w:t>
      </w:r>
      <w:r>
        <w:t>transitional</w:t>
      </w:r>
      <w:r w:rsidRPr="00FD0EB8">
        <w:t xml:space="preserve"> regulatory control period. It directly influences the return on capital and return of capital building blocks. </w:t>
      </w:r>
      <w:r>
        <w:rPr>
          <w:rStyle w:val="AERbody"/>
        </w:rPr>
        <w:t>In the current regulatory control period, the entire ActewAGL network (distribution and transmission) was regulated as one entity. To calculate the RABs shown in the tables below, ActewAGL has divided the opening RAB at 1 July 2009 between the distribution and transmission networks with regard to the underlying assets. ActewAGL also allocated capex across the current regulatory control period between the distribution and transmission networks using a consistent cost allocation methodology.</w:t>
      </w:r>
      <w:r>
        <w:rPr>
          <w:rStyle w:val="FootnoteReference"/>
        </w:rPr>
        <w:footnoteReference w:id="163"/>
      </w:r>
      <w:r>
        <w:rPr>
          <w:rStyle w:val="AERbody"/>
        </w:rPr>
        <w:t xml:space="preserve"> </w:t>
      </w:r>
      <w:r>
        <w:fldChar w:fldCharType="begin"/>
      </w:r>
      <w:r>
        <w:instrText xml:space="preserve"> REF _Ref382829072 \h </w:instrText>
      </w:r>
      <w:r>
        <w:fldChar w:fldCharType="separate"/>
      </w:r>
      <w:r w:rsidR="00E313D7">
        <w:t xml:space="preserve">Table </w:t>
      </w:r>
      <w:r w:rsidR="00E313D7">
        <w:rPr>
          <w:noProof/>
        </w:rPr>
        <w:t>B</w:t>
      </w:r>
      <w:r w:rsidR="00E313D7">
        <w:t>.</w:t>
      </w:r>
      <w:r w:rsidR="00E313D7">
        <w:rPr>
          <w:noProof/>
        </w:rPr>
        <w:t>17</w:t>
      </w:r>
      <w:r>
        <w:fldChar w:fldCharType="end"/>
      </w:r>
      <w:r w:rsidR="00130B85">
        <w:t xml:space="preserve"> and</w:t>
      </w:r>
      <w:r w:rsidRPr="00FD0EB8">
        <w:t xml:space="preserve"> </w:t>
      </w:r>
      <w:r w:rsidR="00A8654A">
        <w:fldChar w:fldCharType="begin"/>
      </w:r>
      <w:r w:rsidR="00A8654A">
        <w:instrText xml:space="preserve"> REF  _Ref382829077 \* Caps \h </w:instrText>
      </w:r>
      <w:r w:rsidR="00A8654A">
        <w:fldChar w:fldCharType="separate"/>
      </w:r>
      <w:r w:rsidR="00E313D7">
        <w:t xml:space="preserve">Table </w:t>
      </w:r>
      <w:r w:rsidR="00E313D7">
        <w:rPr>
          <w:noProof/>
        </w:rPr>
        <w:t>B</w:t>
      </w:r>
      <w:r w:rsidR="00E313D7">
        <w:t>.</w:t>
      </w:r>
      <w:r w:rsidR="00E313D7">
        <w:rPr>
          <w:noProof/>
        </w:rPr>
        <w:t>18</w:t>
      </w:r>
      <w:r w:rsidR="00A8654A">
        <w:fldChar w:fldCharType="end"/>
      </w:r>
      <w:r>
        <w:t xml:space="preserve"> </w:t>
      </w:r>
      <w:r w:rsidRPr="00FD0EB8">
        <w:t xml:space="preserve">show </w:t>
      </w:r>
      <w:r>
        <w:t>ActewAGL</w:t>
      </w:r>
      <w:r w:rsidRPr="00FD0EB8">
        <w:t>’s proposed roll forward of its distribution and transmission RABs respectively across the 2009–14 regulatory control period in order to derive the opening RABs.</w:t>
      </w:r>
      <w:r>
        <w:t xml:space="preserve"> </w:t>
      </w:r>
    </w:p>
    <w:p w:rsidR="00724615" w:rsidRDefault="002401A5" w:rsidP="004B35E8">
      <w:pPr>
        <w:pStyle w:val="Caption"/>
        <w:jc w:val="left"/>
        <w:rPr>
          <w:rStyle w:val="AERbody"/>
        </w:rPr>
      </w:pPr>
      <w:bookmarkStart w:id="225" w:name="_Ref382829072"/>
      <w:r>
        <w:lastRenderedPageBreak/>
        <w:t>Table</w:t>
      </w:r>
      <w:r w:rsidR="00724615">
        <w:t xml:space="preserve"> </w:t>
      </w:r>
      <w:r w:rsidR="00DD155E">
        <w:fldChar w:fldCharType="begin"/>
      </w:r>
      <w:r w:rsidR="00DD155E">
        <w:instrText xml:space="preserve"> STYLEREF 7 \s </w:instrText>
      </w:r>
      <w:r w:rsidR="00DD155E">
        <w:fldChar w:fldCharType="separate"/>
      </w:r>
      <w:r w:rsidR="00E313D7">
        <w:rPr>
          <w:noProof/>
        </w:rPr>
        <w:t>B</w:t>
      </w:r>
      <w:r w:rsidR="00DD155E">
        <w:rPr>
          <w:noProof/>
        </w:rPr>
        <w:fldChar w:fldCharType="end"/>
      </w:r>
      <w:r>
        <w:t>.</w:t>
      </w:r>
      <w:r w:rsidR="00DD155E">
        <w:fldChar w:fldCharType="begin"/>
      </w:r>
      <w:r w:rsidR="00DD155E">
        <w:instrText xml:space="preserve"> SEQ Table_Apx \* ARABIC \s 7 </w:instrText>
      </w:r>
      <w:r w:rsidR="00DD155E">
        <w:fldChar w:fldCharType="separate"/>
      </w:r>
      <w:r w:rsidR="00E313D7">
        <w:rPr>
          <w:noProof/>
        </w:rPr>
        <w:t>17</w:t>
      </w:r>
      <w:r w:rsidR="00DD155E">
        <w:rPr>
          <w:noProof/>
        </w:rPr>
        <w:fldChar w:fldCharType="end"/>
      </w:r>
      <w:bookmarkEnd w:id="225"/>
      <w:r w:rsidR="00724615">
        <w:tab/>
      </w:r>
      <w:r w:rsidR="00724615" w:rsidRPr="00E73B40">
        <w:t xml:space="preserve">Derivation of </w:t>
      </w:r>
      <w:r w:rsidR="00724615">
        <w:t>ActewAGL</w:t>
      </w:r>
      <w:r w:rsidR="00724615" w:rsidRPr="00E73B40">
        <w:t xml:space="preserve">'s opening RAB as at 1 July 2014 </w:t>
      </w:r>
      <w:r w:rsidR="00724615">
        <w:t xml:space="preserve">- distribution </w:t>
      </w:r>
      <w:r w:rsidR="00724615" w:rsidRPr="00E73B40">
        <w:t>($m,</w:t>
      </w:r>
      <w:r w:rsidR="004B35E8">
        <w:t> </w:t>
      </w:r>
      <w:r w:rsidR="00724615" w:rsidRPr="00E73B40">
        <w:t>nominal)</w:t>
      </w:r>
    </w:p>
    <w:tbl>
      <w:tblPr>
        <w:tblStyle w:val="AERtable-numbers"/>
        <w:tblW w:w="9180" w:type="dxa"/>
        <w:tblLook w:val="04A0" w:firstRow="1" w:lastRow="0" w:firstColumn="1" w:lastColumn="0" w:noHBand="0" w:noVBand="1"/>
      </w:tblPr>
      <w:tblGrid>
        <w:gridCol w:w="3510"/>
        <w:gridCol w:w="1134"/>
        <w:gridCol w:w="1134"/>
        <w:gridCol w:w="1134"/>
        <w:gridCol w:w="1134"/>
        <w:gridCol w:w="1134"/>
      </w:tblGrid>
      <w:tr w:rsidR="00724615" w:rsidRPr="00E73B40" w:rsidTr="004B35E8">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10" w:type="dxa"/>
            <w:hideMark/>
          </w:tcPr>
          <w:p w:rsidR="00724615" w:rsidRPr="00724615" w:rsidRDefault="00724615" w:rsidP="00724615">
            <w:pPr>
              <w:pStyle w:val="AERtabletextleft"/>
            </w:pPr>
            <w:r w:rsidRPr="00DD1199">
              <w:t xml:space="preserve">RAB </w:t>
            </w:r>
          </w:p>
        </w:tc>
        <w:tc>
          <w:tcPr>
            <w:tcW w:w="1134" w:type="dxa"/>
            <w:hideMark/>
          </w:tcPr>
          <w:p w:rsidR="00724615" w:rsidRPr="00724615" w:rsidRDefault="00724615" w:rsidP="004B35E8">
            <w:pPr>
              <w:pStyle w:val="AERtabletextright"/>
              <w:spacing w:after="120" w:line="240" w:lineRule="auto"/>
              <w:cnfStyle w:val="100000000000" w:firstRow="1" w:lastRow="0" w:firstColumn="0" w:lastColumn="0" w:oddVBand="0" w:evenVBand="0" w:oddHBand="0" w:evenHBand="0" w:firstRowFirstColumn="0" w:firstRowLastColumn="0" w:lastRowFirstColumn="0" w:lastRowLastColumn="0"/>
            </w:pPr>
            <w:r w:rsidRPr="00DD1199">
              <w:t>2009–10</w:t>
            </w:r>
          </w:p>
        </w:tc>
        <w:tc>
          <w:tcPr>
            <w:tcW w:w="1134" w:type="dxa"/>
            <w:hideMark/>
          </w:tcPr>
          <w:p w:rsidR="00724615" w:rsidRPr="00724615" w:rsidRDefault="00724615" w:rsidP="004B35E8">
            <w:pPr>
              <w:pStyle w:val="AERtabletextright"/>
              <w:spacing w:after="120" w:line="240" w:lineRule="auto"/>
              <w:cnfStyle w:val="100000000000" w:firstRow="1" w:lastRow="0" w:firstColumn="0" w:lastColumn="0" w:oddVBand="0" w:evenVBand="0" w:oddHBand="0" w:evenHBand="0" w:firstRowFirstColumn="0" w:firstRowLastColumn="0" w:lastRowFirstColumn="0" w:lastRowLastColumn="0"/>
            </w:pPr>
            <w:r w:rsidRPr="00DD1199">
              <w:t>2010–11</w:t>
            </w:r>
          </w:p>
        </w:tc>
        <w:tc>
          <w:tcPr>
            <w:tcW w:w="1134" w:type="dxa"/>
            <w:hideMark/>
          </w:tcPr>
          <w:p w:rsidR="00724615" w:rsidRPr="00724615" w:rsidRDefault="00724615" w:rsidP="004B35E8">
            <w:pPr>
              <w:pStyle w:val="AERtabletextright"/>
              <w:spacing w:after="120" w:line="240" w:lineRule="auto"/>
              <w:cnfStyle w:val="100000000000" w:firstRow="1" w:lastRow="0" w:firstColumn="0" w:lastColumn="0" w:oddVBand="0" w:evenVBand="0" w:oddHBand="0" w:evenHBand="0" w:firstRowFirstColumn="0" w:firstRowLastColumn="0" w:lastRowFirstColumn="0" w:lastRowLastColumn="0"/>
            </w:pPr>
            <w:r w:rsidRPr="00DD1199">
              <w:t>2011–12</w:t>
            </w:r>
          </w:p>
        </w:tc>
        <w:tc>
          <w:tcPr>
            <w:tcW w:w="1134" w:type="dxa"/>
            <w:hideMark/>
          </w:tcPr>
          <w:p w:rsidR="00724615" w:rsidRPr="00724615" w:rsidRDefault="00724615" w:rsidP="004B35E8">
            <w:pPr>
              <w:pStyle w:val="AERtabletextright"/>
              <w:spacing w:after="120" w:line="240" w:lineRule="auto"/>
              <w:cnfStyle w:val="100000000000" w:firstRow="1" w:lastRow="0" w:firstColumn="0" w:lastColumn="0" w:oddVBand="0" w:evenVBand="0" w:oddHBand="0" w:evenHBand="0" w:firstRowFirstColumn="0" w:firstRowLastColumn="0" w:lastRowFirstColumn="0" w:lastRowLastColumn="0"/>
            </w:pPr>
            <w:r w:rsidRPr="00DD1199">
              <w:t>2012–13</w:t>
            </w:r>
          </w:p>
        </w:tc>
        <w:tc>
          <w:tcPr>
            <w:tcW w:w="1134" w:type="dxa"/>
            <w:hideMark/>
          </w:tcPr>
          <w:p w:rsidR="00724615" w:rsidRPr="00724615" w:rsidRDefault="00724615" w:rsidP="004B35E8">
            <w:pPr>
              <w:pStyle w:val="AERtabletextright"/>
              <w:spacing w:after="120" w:line="240" w:lineRule="auto"/>
              <w:cnfStyle w:val="100000000000" w:firstRow="1" w:lastRow="0" w:firstColumn="0" w:lastColumn="0" w:oddVBand="0" w:evenVBand="0" w:oddHBand="0" w:evenHBand="0" w:firstRowFirstColumn="0" w:firstRowLastColumn="0" w:lastRowFirstColumn="0" w:lastRowLastColumn="0"/>
            </w:pPr>
            <w:r w:rsidRPr="00DD1199">
              <w:t>2013–14</w:t>
            </w:r>
          </w:p>
        </w:tc>
      </w:tr>
      <w:tr w:rsidR="00724615" w:rsidRPr="00E73B40" w:rsidTr="004B35E8">
        <w:trPr>
          <w:trHeight w:val="255"/>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hideMark/>
          </w:tcPr>
          <w:p w:rsidR="00724615" w:rsidRPr="00724615" w:rsidRDefault="00724615" w:rsidP="00724615">
            <w:pPr>
              <w:pStyle w:val="AERtabletextleft"/>
            </w:pPr>
            <w:r w:rsidRPr="00DD1199">
              <w:t>Opening RAB</w:t>
            </w:r>
          </w:p>
        </w:tc>
        <w:tc>
          <w:tcPr>
            <w:tcW w:w="1134" w:type="dxa"/>
            <w:shd w:val="clear" w:color="auto" w:fill="auto"/>
            <w:hideMark/>
          </w:tcPr>
          <w:p w:rsidR="00724615" w:rsidRPr="00724615" w:rsidRDefault="00724615" w:rsidP="004B35E8">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523 </w:t>
            </w:r>
          </w:p>
        </w:tc>
        <w:tc>
          <w:tcPr>
            <w:tcW w:w="1134" w:type="dxa"/>
            <w:shd w:val="clear" w:color="auto" w:fill="auto"/>
            <w:hideMark/>
          </w:tcPr>
          <w:p w:rsidR="00724615" w:rsidRPr="00724615" w:rsidRDefault="00724615" w:rsidP="004B35E8">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560 </w:t>
            </w:r>
          </w:p>
        </w:tc>
        <w:tc>
          <w:tcPr>
            <w:tcW w:w="1134" w:type="dxa"/>
            <w:shd w:val="clear" w:color="auto" w:fill="auto"/>
            <w:hideMark/>
          </w:tcPr>
          <w:p w:rsidR="00724615" w:rsidRPr="00724615" w:rsidRDefault="00724615" w:rsidP="004B35E8">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604 </w:t>
            </w:r>
          </w:p>
        </w:tc>
        <w:tc>
          <w:tcPr>
            <w:tcW w:w="1134" w:type="dxa"/>
            <w:shd w:val="clear" w:color="auto" w:fill="auto"/>
            <w:hideMark/>
          </w:tcPr>
          <w:p w:rsidR="00724615" w:rsidRPr="00724615" w:rsidRDefault="00724615" w:rsidP="004B35E8">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641 </w:t>
            </w:r>
          </w:p>
        </w:tc>
        <w:tc>
          <w:tcPr>
            <w:tcW w:w="1134" w:type="dxa"/>
            <w:shd w:val="clear" w:color="auto" w:fill="auto"/>
            <w:hideMark/>
          </w:tcPr>
          <w:p w:rsidR="00724615" w:rsidRPr="00724615" w:rsidRDefault="00724615" w:rsidP="004B35E8">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662 </w:t>
            </w:r>
          </w:p>
        </w:tc>
      </w:tr>
      <w:tr w:rsidR="00724615" w:rsidRPr="00E73B40" w:rsidTr="004B35E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10" w:type="dxa"/>
            <w:hideMark/>
          </w:tcPr>
          <w:p w:rsidR="00724615" w:rsidRPr="00724615" w:rsidRDefault="00724615" w:rsidP="00724615">
            <w:pPr>
              <w:pStyle w:val="AERtabletextleft"/>
            </w:pPr>
            <w:r w:rsidRPr="00DD1199">
              <w:t>Net capital expenditure</w:t>
            </w:r>
          </w:p>
        </w:tc>
        <w:tc>
          <w:tcPr>
            <w:tcW w:w="1134" w:type="dxa"/>
            <w:hideMark/>
          </w:tcPr>
          <w:p w:rsidR="00724615" w:rsidRPr="00724615" w:rsidRDefault="00724615" w:rsidP="004B35E8">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54 </w:t>
            </w:r>
          </w:p>
        </w:tc>
        <w:tc>
          <w:tcPr>
            <w:tcW w:w="1134" w:type="dxa"/>
            <w:hideMark/>
          </w:tcPr>
          <w:p w:rsidR="00724615" w:rsidRPr="00724615" w:rsidRDefault="00724615" w:rsidP="004B35E8">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57 </w:t>
            </w:r>
          </w:p>
        </w:tc>
        <w:tc>
          <w:tcPr>
            <w:tcW w:w="1134" w:type="dxa"/>
            <w:hideMark/>
          </w:tcPr>
          <w:p w:rsidR="00724615" w:rsidRPr="00724615" w:rsidRDefault="00724615" w:rsidP="004B35E8">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49 </w:t>
            </w:r>
          </w:p>
        </w:tc>
        <w:tc>
          <w:tcPr>
            <w:tcW w:w="1134" w:type="dxa"/>
            <w:hideMark/>
          </w:tcPr>
          <w:p w:rsidR="00724615" w:rsidRPr="00724615" w:rsidRDefault="00724615" w:rsidP="004B35E8">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45 </w:t>
            </w:r>
          </w:p>
        </w:tc>
        <w:tc>
          <w:tcPr>
            <w:tcW w:w="1134" w:type="dxa"/>
            <w:hideMark/>
          </w:tcPr>
          <w:p w:rsidR="00724615" w:rsidRPr="00724615" w:rsidRDefault="00724615" w:rsidP="004B35E8">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70 </w:t>
            </w:r>
          </w:p>
        </w:tc>
      </w:tr>
      <w:tr w:rsidR="00724615" w:rsidRPr="00E73B40" w:rsidTr="004B35E8">
        <w:trPr>
          <w:trHeight w:val="255"/>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hideMark/>
          </w:tcPr>
          <w:p w:rsidR="00724615" w:rsidRPr="00724615" w:rsidRDefault="00724615" w:rsidP="00724615">
            <w:pPr>
              <w:pStyle w:val="AERtabletextleft"/>
            </w:pPr>
            <w:r w:rsidRPr="00DD1199">
              <w:t>Straight-line depreciation</w:t>
            </w:r>
          </w:p>
        </w:tc>
        <w:tc>
          <w:tcPr>
            <w:tcW w:w="1134" w:type="dxa"/>
            <w:shd w:val="clear" w:color="auto" w:fill="auto"/>
            <w:hideMark/>
          </w:tcPr>
          <w:p w:rsidR="00724615" w:rsidRPr="00724615" w:rsidRDefault="00724615" w:rsidP="004B35E8">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-27 </w:t>
            </w:r>
          </w:p>
        </w:tc>
        <w:tc>
          <w:tcPr>
            <w:tcW w:w="1134" w:type="dxa"/>
            <w:shd w:val="clear" w:color="auto" w:fill="auto"/>
            <w:hideMark/>
          </w:tcPr>
          <w:p w:rsidR="00724615" w:rsidRPr="00724615" w:rsidRDefault="00724615" w:rsidP="004B35E8">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-29 </w:t>
            </w:r>
          </w:p>
        </w:tc>
        <w:tc>
          <w:tcPr>
            <w:tcW w:w="1134" w:type="dxa"/>
            <w:shd w:val="clear" w:color="auto" w:fill="auto"/>
            <w:hideMark/>
          </w:tcPr>
          <w:p w:rsidR="00724615" w:rsidRPr="00724615" w:rsidRDefault="00724615" w:rsidP="004B35E8">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-32 </w:t>
            </w:r>
          </w:p>
        </w:tc>
        <w:tc>
          <w:tcPr>
            <w:tcW w:w="1134" w:type="dxa"/>
            <w:shd w:val="clear" w:color="auto" w:fill="auto"/>
            <w:hideMark/>
          </w:tcPr>
          <w:p w:rsidR="00724615" w:rsidRPr="00724615" w:rsidRDefault="00724615" w:rsidP="004B35E8">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-35 </w:t>
            </w:r>
          </w:p>
        </w:tc>
        <w:tc>
          <w:tcPr>
            <w:tcW w:w="1134" w:type="dxa"/>
            <w:shd w:val="clear" w:color="auto" w:fill="auto"/>
            <w:hideMark/>
          </w:tcPr>
          <w:p w:rsidR="00724615" w:rsidRPr="00724615" w:rsidRDefault="00724615" w:rsidP="004B35E8">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-38 </w:t>
            </w:r>
          </w:p>
        </w:tc>
      </w:tr>
      <w:tr w:rsidR="00724615" w:rsidRPr="00E73B40" w:rsidTr="004B35E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10" w:type="dxa"/>
            <w:hideMark/>
          </w:tcPr>
          <w:p w:rsidR="00724615" w:rsidRPr="00724615" w:rsidRDefault="00724615" w:rsidP="00724615">
            <w:pPr>
              <w:pStyle w:val="AERtabletextleft"/>
            </w:pPr>
            <w:r w:rsidRPr="00DD1199">
              <w:t>Inflation adjustment</w:t>
            </w:r>
          </w:p>
        </w:tc>
        <w:tc>
          <w:tcPr>
            <w:tcW w:w="1134" w:type="dxa"/>
            <w:hideMark/>
          </w:tcPr>
          <w:p w:rsidR="00724615" w:rsidRPr="00724615" w:rsidRDefault="00724615" w:rsidP="004B35E8">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10 </w:t>
            </w:r>
          </w:p>
        </w:tc>
        <w:tc>
          <w:tcPr>
            <w:tcW w:w="1134" w:type="dxa"/>
            <w:hideMark/>
          </w:tcPr>
          <w:p w:rsidR="00724615" w:rsidRPr="00724615" w:rsidRDefault="00724615" w:rsidP="004B35E8">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16 </w:t>
            </w:r>
          </w:p>
        </w:tc>
        <w:tc>
          <w:tcPr>
            <w:tcW w:w="1134" w:type="dxa"/>
            <w:hideMark/>
          </w:tcPr>
          <w:p w:rsidR="00724615" w:rsidRPr="00724615" w:rsidRDefault="00724615" w:rsidP="004B35E8">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20 </w:t>
            </w:r>
          </w:p>
        </w:tc>
        <w:tc>
          <w:tcPr>
            <w:tcW w:w="1134" w:type="dxa"/>
            <w:hideMark/>
          </w:tcPr>
          <w:p w:rsidR="00724615" w:rsidRPr="00724615" w:rsidRDefault="00724615" w:rsidP="004B35E8">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11 </w:t>
            </w:r>
          </w:p>
        </w:tc>
        <w:tc>
          <w:tcPr>
            <w:tcW w:w="1134" w:type="dxa"/>
            <w:hideMark/>
          </w:tcPr>
          <w:p w:rsidR="00724615" w:rsidRPr="00724615" w:rsidRDefault="00724615" w:rsidP="004B35E8">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16 </w:t>
            </w:r>
          </w:p>
        </w:tc>
      </w:tr>
      <w:tr w:rsidR="00724615" w:rsidRPr="00E73B40" w:rsidTr="004B35E8">
        <w:trPr>
          <w:trHeight w:val="27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hideMark/>
          </w:tcPr>
          <w:p w:rsidR="00724615" w:rsidRPr="00724615" w:rsidRDefault="00724615" w:rsidP="00724615">
            <w:pPr>
              <w:pStyle w:val="AERtabletextleft"/>
              <w:rPr>
                <w:rStyle w:val="AERtextbold"/>
              </w:rPr>
            </w:pPr>
            <w:r w:rsidRPr="00A33E9D">
              <w:rPr>
                <w:rStyle w:val="AERtextbold"/>
              </w:rPr>
              <w:t xml:space="preserve">Closing RAB </w:t>
            </w:r>
          </w:p>
        </w:tc>
        <w:tc>
          <w:tcPr>
            <w:tcW w:w="1134" w:type="dxa"/>
            <w:shd w:val="clear" w:color="auto" w:fill="auto"/>
            <w:hideMark/>
          </w:tcPr>
          <w:p w:rsidR="00724615" w:rsidRPr="00724615" w:rsidRDefault="00724615" w:rsidP="004B35E8">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 xml:space="preserve">560 </w:t>
            </w:r>
          </w:p>
        </w:tc>
        <w:tc>
          <w:tcPr>
            <w:tcW w:w="1134" w:type="dxa"/>
            <w:shd w:val="clear" w:color="auto" w:fill="auto"/>
            <w:hideMark/>
          </w:tcPr>
          <w:p w:rsidR="00724615" w:rsidRPr="00724615" w:rsidRDefault="00724615" w:rsidP="004B35E8">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 xml:space="preserve">604 </w:t>
            </w:r>
          </w:p>
        </w:tc>
        <w:tc>
          <w:tcPr>
            <w:tcW w:w="1134" w:type="dxa"/>
            <w:shd w:val="clear" w:color="auto" w:fill="auto"/>
            <w:hideMark/>
          </w:tcPr>
          <w:p w:rsidR="00724615" w:rsidRPr="00724615" w:rsidRDefault="00724615" w:rsidP="004B35E8">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 xml:space="preserve">641 </w:t>
            </w:r>
          </w:p>
        </w:tc>
        <w:tc>
          <w:tcPr>
            <w:tcW w:w="1134" w:type="dxa"/>
            <w:shd w:val="clear" w:color="auto" w:fill="auto"/>
            <w:hideMark/>
          </w:tcPr>
          <w:p w:rsidR="00724615" w:rsidRPr="00724615" w:rsidRDefault="00724615" w:rsidP="004B35E8">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 xml:space="preserve">662 </w:t>
            </w:r>
          </w:p>
        </w:tc>
        <w:tc>
          <w:tcPr>
            <w:tcW w:w="1134" w:type="dxa"/>
            <w:shd w:val="clear" w:color="auto" w:fill="auto"/>
            <w:hideMark/>
          </w:tcPr>
          <w:p w:rsidR="00724615" w:rsidRPr="00724615" w:rsidRDefault="00724615" w:rsidP="004B35E8">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 xml:space="preserve">710 </w:t>
            </w:r>
          </w:p>
        </w:tc>
      </w:tr>
      <w:tr w:rsidR="00724615" w:rsidRPr="00E73B40" w:rsidTr="004B35E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10" w:type="dxa"/>
            <w:hideMark/>
          </w:tcPr>
          <w:p w:rsidR="00724615" w:rsidRPr="00724615" w:rsidRDefault="00724615" w:rsidP="00724615">
            <w:pPr>
              <w:pStyle w:val="AERtabletextleft"/>
            </w:pPr>
            <w:r w:rsidRPr="00DD1199">
              <w:t>Net adjustments from 2008–09</w:t>
            </w:r>
          </w:p>
        </w:tc>
        <w:tc>
          <w:tcPr>
            <w:tcW w:w="1134" w:type="dxa"/>
            <w:hideMark/>
          </w:tcPr>
          <w:p w:rsidR="00724615" w:rsidRPr="00724615" w:rsidRDefault="00724615" w:rsidP="004B35E8">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DD1199">
              <w:t> </w:t>
            </w:r>
          </w:p>
        </w:tc>
        <w:tc>
          <w:tcPr>
            <w:tcW w:w="1134" w:type="dxa"/>
            <w:hideMark/>
          </w:tcPr>
          <w:p w:rsidR="00724615" w:rsidRPr="00724615" w:rsidRDefault="00724615" w:rsidP="004B35E8">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DD1199">
              <w:t> </w:t>
            </w:r>
          </w:p>
        </w:tc>
        <w:tc>
          <w:tcPr>
            <w:tcW w:w="1134" w:type="dxa"/>
            <w:hideMark/>
          </w:tcPr>
          <w:p w:rsidR="00724615" w:rsidRPr="00724615" w:rsidRDefault="00724615" w:rsidP="004B35E8">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DD1199">
              <w:t> </w:t>
            </w:r>
          </w:p>
        </w:tc>
        <w:tc>
          <w:tcPr>
            <w:tcW w:w="1134" w:type="dxa"/>
            <w:hideMark/>
          </w:tcPr>
          <w:p w:rsidR="00724615" w:rsidRPr="00724615" w:rsidRDefault="00724615" w:rsidP="004B35E8">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DD1199">
              <w:t> </w:t>
            </w:r>
          </w:p>
        </w:tc>
        <w:tc>
          <w:tcPr>
            <w:tcW w:w="1134" w:type="dxa"/>
            <w:hideMark/>
          </w:tcPr>
          <w:p w:rsidR="00724615" w:rsidRPr="00724615" w:rsidRDefault="00724615" w:rsidP="004B35E8">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-10 </w:t>
            </w:r>
          </w:p>
        </w:tc>
      </w:tr>
      <w:tr w:rsidR="00724615" w:rsidRPr="00E73B40" w:rsidTr="004B35E8">
        <w:trPr>
          <w:trHeight w:val="27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hideMark/>
          </w:tcPr>
          <w:p w:rsidR="00724615" w:rsidRPr="00724615" w:rsidRDefault="00724615" w:rsidP="00724615">
            <w:pPr>
              <w:pStyle w:val="AERtabletextleft"/>
              <w:rPr>
                <w:rStyle w:val="AERtextbold"/>
              </w:rPr>
            </w:pPr>
            <w:r w:rsidRPr="00A33E9D">
              <w:rPr>
                <w:rStyle w:val="AERtextbold"/>
              </w:rPr>
              <w:t>Opening RAB as at 1 July 2014</w:t>
            </w:r>
          </w:p>
        </w:tc>
        <w:tc>
          <w:tcPr>
            <w:tcW w:w="1134" w:type="dxa"/>
            <w:shd w:val="clear" w:color="auto" w:fill="auto"/>
            <w:hideMark/>
          </w:tcPr>
          <w:p w:rsidR="00724615" w:rsidRPr="00724615" w:rsidRDefault="00724615" w:rsidP="004B35E8">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Fonts w:hint="eastAsia"/>
              </w:rPr>
              <w:t> </w:t>
            </w:r>
          </w:p>
        </w:tc>
        <w:tc>
          <w:tcPr>
            <w:tcW w:w="1134" w:type="dxa"/>
            <w:shd w:val="clear" w:color="auto" w:fill="auto"/>
            <w:hideMark/>
          </w:tcPr>
          <w:p w:rsidR="00724615" w:rsidRPr="00724615" w:rsidRDefault="00724615" w:rsidP="004B35E8">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Fonts w:hint="eastAsia"/>
              </w:rPr>
              <w:t> </w:t>
            </w:r>
          </w:p>
        </w:tc>
        <w:tc>
          <w:tcPr>
            <w:tcW w:w="1134" w:type="dxa"/>
            <w:shd w:val="clear" w:color="auto" w:fill="auto"/>
            <w:hideMark/>
          </w:tcPr>
          <w:p w:rsidR="00724615" w:rsidRPr="00724615" w:rsidRDefault="00724615" w:rsidP="004B35E8">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Fonts w:hint="eastAsia"/>
              </w:rPr>
              <w:t> </w:t>
            </w:r>
          </w:p>
        </w:tc>
        <w:tc>
          <w:tcPr>
            <w:tcW w:w="1134" w:type="dxa"/>
            <w:shd w:val="clear" w:color="auto" w:fill="auto"/>
            <w:hideMark/>
          </w:tcPr>
          <w:p w:rsidR="00724615" w:rsidRPr="00724615" w:rsidRDefault="00724615" w:rsidP="004B35E8">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Fonts w:hint="eastAsia"/>
              </w:rPr>
              <w:t> </w:t>
            </w:r>
          </w:p>
        </w:tc>
        <w:tc>
          <w:tcPr>
            <w:tcW w:w="1134" w:type="dxa"/>
            <w:shd w:val="clear" w:color="auto" w:fill="auto"/>
            <w:hideMark/>
          </w:tcPr>
          <w:p w:rsidR="00724615" w:rsidRPr="00724615" w:rsidRDefault="00724615" w:rsidP="004B35E8">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 xml:space="preserve">701 </w:t>
            </w:r>
          </w:p>
        </w:tc>
      </w:tr>
    </w:tbl>
    <w:p w:rsidR="00724615" w:rsidRDefault="00724615" w:rsidP="00724615">
      <w:pPr>
        <w:pStyle w:val="AERtablesource"/>
      </w:pPr>
      <w:r w:rsidRPr="00102D82">
        <w:t>Source:</w:t>
      </w:r>
      <w:r w:rsidRPr="00102D82">
        <w:tab/>
      </w:r>
      <w:r>
        <w:t xml:space="preserve">ActewAGL, </w:t>
      </w:r>
      <w:r w:rsidRPr="00702356">
        <w:rPr>
          <w:rStyle w:val="AERtextitalic"/>
        </w:rPr>
        <w:t>Transitional regulatory proposal</w:t>
      </w:r>
      <w:r>
        <w:t>, January 2014, p. 14.</w:t>
      </w:r>
      <w:r w:rsidRPr="006702DF">
        <w:t xml:space="preserve"> </w:t>
      </w:r>
    </w:p>
    <w:p w:rsidR="00724615" w:rsidRDefault="00724615" w:rsidP="00724615">
      <w:pPr>
        <w:pStyle w:val="AERtablesource"/>
        <w:rPr>
          <w:rStyle w:val="AERbody"/>
        </w:rPr>
      </w:pPr>
      <w:r w:rsidRPr="003D4734">
        <w:t>Notes:</w:t>
      </w:r>
      <w:r w:rsidRPr="003D4734">
        <w:tab/>
      </w:r>
      <w:r w:rsidRPr="00693A45">
        <w:t>Numbers may not sum due to rounding</w:t>
      </w:r>
      <w:r>
        <w:t>.</w:t>
      </w:r>
    </w:p>
    <w:p w:rsidR="00724615" w:rsidRDefault="002401A5" w:rsidP="00216F8A">
      <w:pPr>
        <w:pStyle w:val="Caption"/>
        <w:jc w:val="left"/>
        <w:rPr>
          <w:rStyle w:val="AERbody"/>
        </w:rPr>
      </w:pPr>
      <w:bookmarkStart w:id="226" w:name="_Ref382829077"/>
      <w:r>
        <w:t>Table</w:t>
      </w:r>
      <w:r w:rsidR="00724615">
        <w:t xml:space="preserve"> </w:t>
      </w:r>
      <w:r w:rsidR="00DD155E">
        <w:fldChar w:fldCharType="begin"/>
      </w:r>
      <w:r w:rsidR="00DD155E">
        <w:instrText xml:space="preserve"> STYLEREF 7 \s </w:instrText>
      </w:r>
      <w:r w:rsidR="00DD155E">
        <w:fldChar w:fldCharType="separate"/>
      </w:r>
      <w:r w:rsidR="00E313D7">
        <w:rPr>
          <w:noProof/>
        </w:rPr>
        <w:t>B</w:t>
      </w:r>
      <w:r w:rsidR="00DD155E">
        <w:rPr>
          <w:noProof/>
        </w:rPr>
        <w:fldChar w:fldCharType="end"/>
      </w:r>
      <w:r>
        <w:t>.</w:t>
      </w:r>
      <w:r w:rsidR="00DD155E">
        <w:fldChar w:fldCharType="begin"/>
      </w:r>
      <w:r w:rsidR="00DD155E">
        <w:instrText xml:space="preserve"> SEQ Table_Apx \* ARABIC \s 7 </w:instrText>
      </w:r>
      <w:r w:rsidR="00DD155E">
        <w:fldChar w:fldCharType="separate"/>
      </w:r>
      <w:r w:rsidR="00E313D7">
        <w:rPr>
          <w:noProof/>
        </w:rPr>
        <w:t>18</w:t>
      </w:r>
      <w:r w:rsidR="00DD155E">
        <w:rPr>
          <w:noProof/>
        </w:rPr>
        <w:fldChar w:fldCharType="end"/>
      </w:r>
      <w:bookmarkEnd w:id="226"/>
      <w:r w:rsidR="00724615">
        <w:tab/>
      </w:r>
      <w:r w:rsidR="00724615" w:rsidRPr="0019652A">
        <w:t xml:space="preserve">Derivation of ActewAGL's opening RAB as at 1 July 2014 </w:t>
      </w:r>
      <w:r w:rsidR="00724615">
        <w:t>–</w:t>
      </w:r>
      <w:r w:rsidR="00724615" w:rsidRPr="0019652A">
        <w:t xml:space="preserve"> </w:t>
      </w:r>
      <w:r w:rsidR="00724615">
        <w:t>transmission</w:t>
      </w:r>
      <w:r w:rsidR="00724615" w:rsidRPr="0019652A">
        <w:t xml:space="preserve"> ($m, nominal)</w:t>
      </w:r>
    </w:p>
    <w:tbl>
      <w:tblPr>
        <w:tblStyle w:val="AERtable-numbers"/>
        <w:tblW w:w="9180" w:type="dxa"/>
        <w:tblLook w:val="04A0" w:firstRow="1" w:lastRow="0" w:firstColumn="1" w:lastColumn="0" w:noHBand="0" w:noVBand="1"/>
      </w:tblPr>
      <w:tblGrid>
        <w:gridCol w:w="3510"/>
        <w:gridCol w:w="1134"/>
        <w:gridCol w:w="1134"/>
        <w:gridCol w:w="1134"/>
        <w:gridCol w:w="1134"/>
        <w:gridCol w:w="1134"/>
      </w:tblGrid>
      <w:tr w:rsidR="00724615" w:rsidRPr="0019652A" w:rsidTr="00216F8A">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10" w:type="dxa"/>
            <w:hideMark/>
          </w:tcPr>
          <w:p w:rsidR="00724615" w:rsidRPr="00724615" w:rsidRDefault="00724615" w:rsidP="00216F8A">
            <w:pPr>
              <w:pStyle w:val="AERtabletextleft"/>
              <w:spacing w:before="120" w:line="240" w:lineRule="auto"/>
            </w:pPr>
            <w:r w:rsidRPr="00FD0EB8">
              <w:t xml:space="preserve">RAB </w:t>
            </w:r>
          </w:p>
        </w:tc>
        <w:tc>
          <w:tcPr>
            <w:tcW w:w="1134" w:type="dxa"/>
            <w:hideMark/>
          </w:tcPr>
          <w:p w:rsidR="00724615" w:rsidRPr="00724615" w:rsidRDefault="00724615" w:rsidP="00216F8A">
            <w:pPr>
              <w:pStyle w:val="AERtabletextright"/>
              <w:spacing w:after="120" w:line="240" w:lineRule="auto"/>
              <w:cnfStyle w:val="100000000000" w:firstRow="1" w:lastRow="0" w:firstColumn="0" w:lastColumn="0" w:oddVBand="0" w:evenVBand="0" w:oddHBand="0" w:evenHBand="0" w:firstRowFirstColumn="0" w:firstRowLastColumn="0" w:lastRowFirstColumn="0" w:lastRowLastColumn="0"/>
            </w:pPr>
            <w:r w:rsidRPr="00FD0EB8">
              <w:t>2009–10</w:t>
            </w:r>
          </w:p>
        </w:tc>
        <w:tc>
          <w:tcPr>
            <w:tcW w:w="1134" w:type="dxa"/>
            <w:hideMark/>
          </w:tcPr>
          <w:p w:rsidR="00724615" w:rsidRPr="00724615" w:rsidRDefault="00724615" w:rsidP="00216F8A">
            <w:pPr>
              <w:pStyle w:val="AERtabletextright"/>
              <w:spacing w:after="120" w:line="240" w:lineRule="auto"/>
              <w:cnfStyle w:val="100000000000" w:firstRow="1" w:lastRow="0" w:firstColumn="0" w:lastColumn="0" w:oddVBand="0" w:evenVBand="0" w:oddHBand="0" w:evenHBand="0" w:firstRowFirstColumn="0" w:firstRowLastColumn="0" w:lastRowFirstColumn="0" w:lastRowLastColumn="0"/>
            </w:pPr>
            <w:r w:rsidRPr="00FD0EB8">
              <w:t>2010–11</w:t>
            </w:r>
          </w:p>
        </w:tc>
        <w:tc>
          <w:tcPr>
            <w:tcW w:w="1134" w:type="dxa"/>
            <w:hideMark/>
          </w:tcPr>
          <w:p w:rsidR="00724615" w:rsidRPr="00724615" w:rsidRDefault="00724615" w:rsidP="00216F8A">
            <w:pPr>
              <w:pStyle w:val="AERtabletextright"/>
              <w:spacing w:after="120" w:line="240" w:lineRule="auto"/>
              <w:cnfStyle w:val="100000000000" w:firstRow="1" w:lastRow="0" w:firstColumn="0" w:lastColumn="0" w:oddVBand="0" w:evenVBand="0" w:oddHBand="0" w:evenHBand="0" w:firstRowFirstColumn="0" w:firstRowLastColumn="0" w:lastRowFirstColumn="0" w:lastRowLastColumn="0"/>
            </w:pPr>
            <w:r w:rsidRPr="00FD0EB8">
              <w:t>2011–12</w:t>
            </w:r>
          </w:p>
        </w:tc>
        <w:tc>
          <w:tcPr>
            <w:tcW w:w="1134" w:type="dxa"/>
            <w:hideMark/>
          </w:tcPr>
          <w:p w:rsidR="00724615" w:rsidRPr="00724615" w:rsidRDefault="00724615" w:rsidP="00216F8A">
            <w:pPr>
              <w:pStyle w:val="AERtabletextright"/>
              <w:spacing w:after="120" w:line="240" w:lineRule="auto"/>
              <w:cnfStyle w:val="100000000000" w:firstRow="1" w:lastRow="0" w:firstColumn="0" w:lastColumn="0" w:oddVBand="0" w:evenVBand="0" w:oddHBand="0" w:evenHBand="0" w:firstRowFirstColumn="0" w:firstRowLastColumn="0" w:lastRowFirstColumn="0" w:lastRowLastColumn="0"/>
            </w:pPr>
            <w:r w:rsidRPr="00FD0EB8">
              <w:t>2012–13</w:t>
            </w:r>
          </w:p>
        </w:tc>
        <w:tc>
          <w:tcPr>
            <w:tcW w:w="1134" w:type="dxa"/>
            <w:hideMark/>
          </w:tcPr>
          <w:p w:rsidR="00724615" w:rsidRPr="00724615" w:rsidRDefault="00724615" w:rsidP="00216F8A">
            <w:pPr>
              <w:pStyle w:val="AERtabletextright"/>
              <w:spacing w:after="120" w:line="240" w:lineRule="auto"/>
              <w:cnfStyle w:val="100000000000" w:firstRow="1" w:lastRow="0" w:firstColumn="0" w:lastColumn="0" w:oddVBand="0" w:evenVBand="0" w:oddHBand="0" w:evenHBand="0" w:firstRowFirstColumn="0" w:firstRowLastColumn="0" w:lastRowFirstColumn="0" w:lastRowLastColumn="0"/>
            </w:pPr>
            <w:r w:rsidRPr="00FD0EB8">
              <w:t>2013–14</w:t>
            </w:r>
          </w:p>
        </w:tc>
      </w:tr>
      <w:tr w:rsidR="00724615" w:rsidRPr="0019652A" w:rsidTr="00216F8A">
        <w:trPr>
          <w:trHeight w:val="255"/>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hideMark/>
          </w:tcPr>
          <w:p w:rsidR="00724615" w:rsidRPr="00724615" w:rsidRDefault="00724615" w:rsidP="00216F8A">
            <w:pPr>
              <w:pStyle w:val="AERtabletextleft"/>
              <w:spacing w:before="120" w:line="240" w:lineRule="auto"/>
            </w:pPr>
            <w:r w:rsidRPr="00FD0EB8">
              <w:t>Opening RAB</w:t>
            </w:r>
          </w:p>
        </w:tc>
        <w:tc>
          <w:tcPr>
            <w:tcW w:w="1134" w:type="dxa"/>
            <w:shd w:val="clear" w:color="auto" w:fill="auto"/>
            <w:hideMark/>
          </w:tcPr>
          <w:p w:rsidR="00724615" w:rsidRPr="00724615" w:rsidRDefault="00724615" w:rsidP="00216F8A">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FD0EB8">
              <w:t xml:space="preserve">75 </w:t>
            </w:r>
          </w:p>
        </w:tc>
        <w:tc>
          <w:tcPr>
            <w:tcW w:w="1134" w:type="dxa"/>
            <w:shd w:val="clear" w:color="auto" w:fill="auto"/>
            <w:hideMark/>
          </w:tcPr>
          <w:p w:rsidR="00724615" w:rsidRPr="00724615" w:rsidRDefault="00724615" w:rsidP="00216F8A">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FD0EB8">
              <w:t xml:space="preserve">86 </w:t>
            </w:r>
          </w:p>
        </w:tc>
        <w:tc>
          <w:tcPr>
            <w:tcW w:w="1134" w:type="dxa"/>
            <w:shd w:val="clear" w:color="auto" w:fill="auto"/>
            <w:hideMark/>
          </w:tcPr>
          <w:p w:rsidR="00724615" w:rsidRPr="00724615" w:rsidRDefault="00724615" w:rsidP="00216F8A">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FD0EB8">
              <w:t xml:space="preserve">99 </w:t>
            </w:r>
          </w:p>
        </w:tc>
        <w:tc>
          <w:tcPr>
            <w:tcW w:w="1134" w:type="dxa"/>
            <w:shd w:val="clear" w:color="auto" w:fill="auto"/>
            <w:hideMark/>
          </w:tcPr>
          <w:p w:rsidR="00724615" w:rsidRPr="00724615" w:rsidRDefault="00724615" w:rsidP="00216F8A">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FD0EB8">
              <w:t xml:space="preserve">117 </w:t>
            </w:r>
          </w:p>
        </w:tc>
        <w:tc>
          <w:tcPr>
            <w:tcW w:w="1134" w:type="dxa"/>
            <w:shd w:val="clear" w:color="auto" w:fill="auto"/>
            <w:hideMark/>
          </w:tcPr>
          <w:p w:rsidR="00724615" w:rsidRPr="00724615" w:rsidRDefault="00724615" w:rsidP="00216F8A">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FD0EB8">
              <w:t xml:space="preserve">136 </w:t>
            </w:r>
          </w:p>
        </w:tc>
      </w:tr>
      <w:tr w:rsidR="00724615" w:rsidRPr="0019652A" w:rsidTr="00216F8A">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10" w:type="dxa"/>
            <w:hideMark/>
          </w:tcPr>
          <w:p w:rsidR="00724615" w:rsidRPr="00724615" w:rsidRDefault="00724615" w:rsidP="00216F8A">
            <w:pPr>
              <w:pStyle w:val="AERtabletextleft"/>
              <w:spacing w:before="120" w:line="240" w:lineRule="auto"/>
            </w:pPr>
            <w:r w:rsidRPr="00FD0EB8">
              <w:t xml:space="preserve">Net </w:t>
            </w:r>
            <w:r w:rsidRPr="00724615">
              <w:t>capital expenditure</w:t>
            </w:r>
          </w:p>
        </w:tc>
        <w:tc>
          <w:tcPr>
            <w:tcW w:w="1134" w:type="dxa"/>
            <w:hideMark/>
          </w:tcPr>
          <w:p w:rsidR="00724615" w:rsidRPr="00724615" w:rsidRDefault="00724615" w:rsidP="00216F8A">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FD0EB8">
              <w:t xml:space="preserve">13 </w:t>
            </w:r>
          </w:p>
        </w:tc>
        <w:tc>
          <w:tcPr>
            <w:tcW w:w="1134" w:type="dxa"/>
            <w:hideMark/>
          </w:tcPr>
          <w:p w:rsidR="00724615" w:rsidRPr="00724615" w:rsidRDefault="00724615" w:rsidP="00216F8A">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FD0EB8">
              <w:t xml:space="preserve">15 </w:t>
            </w:r>
          </w:p>
        </w:tc>
        <w:tc>
          <w:tcPr>
            <w:tcW w:w="1134" w:type="dxa"/>
            <w:hideMark/>
          </w:tcPr>
          <w:p w:rsidR="00724615" w:rsidRPr="00724615" w:rsidRDefault="00724615" w:rsidP="00216F8A">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FD0EB8">
              <w:t xml:space="preserve">20 </w:t>
            </w:r>
          </w:p>
        </w:tc>
        <w:tc>
          <w:tcPr>
            <w:tcW w:w="1134" w:type="dxa"/>
            <w:hideMark/>
          </w:tcPr>
          <w:p w:rsidR="00724615" w:rsidRPr="00724615" w:rsidRDefault="00724615" w:rsidP="00216F8A">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FD0EB8">
              <w:t xml:space="preserve">23 </w:t>
            </w:r>
          </w:p>
        </w:tc>
        <w:tc>
          <w:tcPr>
            <w:tcW w:w="1134" w:type="dxa"/>
            <w:hideMark/>
          </w:tcPr>
          <w:p w:rsidR="00724615" w:rsidRPr="00724615" w:rsidRDefault="00724615" w:rsidP="00216F8A">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FD0EB8">
              <w:t xml:space="preserve">20 </w:t>
            </w:r>
          </w:p>
        </w:tc>
      </w:tr>
      <w:tr w:rsidR="00724615" w:rsidRPr="0019652A" w:rsidTr="00216F8A">
        <w:trPr>
          <w:trHeight w:val="255"/>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hideMark/>
          </w:tcPr>
          <w:p w:rsidR="00724615" w:rsidRPr="00724615" w:rsidRDefault="00724615" w:rsidP="00216F8A">
            <w:pPr>
              <w:pStyle w:val="AERtabletextleft"/>
              <w:spacing w:before="120" w:line="240" w:lineRule="auto"/>
            </w:pPr>
            <w:r w:rsidRPr="00FD0EB8">
              <w:t xml:space="preserve">Straight-line </w:t>
            </w:r>
            <w:r w:rsidRPr="00724615">
              <w:t>depreciation</w:t>
            </w:r>
          </w:p>
        </w:tc>
        <w:tc>
          <w:tcPr>
            <w:tcW w:w="1134" w:type="dxa"/>
            <w:shd w:val="clear" w:color="auto" w:fill="auto"/>
            <w:hideMark/>
          </w:tcPr>
          <w:p w:rsidR="00724615" w:rsidRPr="00724615" w:rsidRDefault="00724615" w:rsidP="00216F8A">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FD0EB8">
              <w:t xml:space="preserve">-4 </w:t>
            </w:r>
          </w:p>
        </w:tc>
        <w:tc>
          <w:tcPr>
            <w:tcW w:w="1134" w:type="dxa"/>
            <w:shd w:val="clear" w:color="auto" w:fill="auto"/>
            <w:hideMark/>
          </w:tcPr>
          <w:p w:rsidR="00724615" w:rsidRPr="00724615" w:rsidRDefault="00724615" w:rsidP="00216F8A">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FD0EB8">
              <w:t xml:space="preserve">-4 </w:t>
            </w:r>
          </w:p>
        </w:tc>
        <w:tc>
          <w:tcPr>
            <w:tcW w:w="1134" w:type="dxa"/>
            <w:shd w:val="clear" w:color="auto" w:fill="auto"/>
            <w:hideMark/>
          </w:tcPr>
          <w:p w:rsidR="00724615" w:rsidRPr="00724615" w:rsidRDefault="00724615" w:rsidP="00216F8A">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FD0EB8">
              <w:t xml:space="preserve">-5 </w:t>
            </w:r>
          </w:p>
        </w:tc>
        <w:tc>
          <w:tcPr>
            <w:tcW w:w="1134" w:type="dxa"/>
            <w:shd w:val="clear" w:color="auto" w:fill="auto"/>
            <w:hideMark/>
          </w:tcPr>
          <w:p w:rsidR="00724615" w:rsidRPr="00724615" w:rsidRDefault="00724615" w:rsidP="00216F8A">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FD0EB8">
              <w:t xml:space="preserve">-6 </w:t>
            </w:r>
          </w:p>
        </w:tc>
        <w:tc>
          <w:tcPr>
            <w:tcW w:w="1134" w:type="dxa"/>
            <w:shd w:val="clear" w:color="auto" w:fill="auto"/>
            <w:hideMark/>
          </w:tcPr>
          <w:p w:rsidR="00724615" w:rsidRPr="00724615" w:rsidRDefault="00724615" w:rsidP="00216F8A">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pPr>
            <w:r w:rsidRPr="00FD0EB8">
              <w:t xml:space="preserve">-7 </w:t>
            </w:r>
          </w:p>
        </w:tc>
      </w:tr>
      <w:tr w:rsidR="00724615" w:rsidRPr="0019652A" w:rsidTr="00216F8A">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10" w:type="dxa"/>
            <w:hideMark/>
          </w:tcPr>
          <w:p w:rsidR="00724615" w:rsidRPr="00724615" w:rsidRDefault="00724615" w:rsidP="00216F8A">
            <w:pPr>
              <w:pStyle w:val="AERtabletextleft"/>
              <w:spacing w:before="120" w:line="240" w:lineRule="auto"/>
            </w:pPr>
            <w:r w:rsidRPr="00FD0EB8">
              <w:t xml:space="preserve">Inflation </w:t>
            </w:r>
            <w:r w:rsidRPr="00724615">
              <w:t>adjustment</w:t>
            </w:r>
          </w:p>
        </w:tc>
        <w:tc>
          <w:tcPr>
            <w:tcW w:w="1134" w:type="dxa"/>
            <w:hideMark/>
          </w:tcPr>
          <w:p w:rsidR="00724615" w:rsidRPr="00724615" w:rsidRDefault="00724615" w:rsidP="00216F8A">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FD0EB8">
              <w:t xml:space="preserve">1 </w:t>
            </w:r>
          </w:p>
        </w:tc>
        <w:tc>
          <w:tcPr>
            <w:tcW w:w="1134" w:type="dxa"/>
            <w:hideMark/>
          </w:tcPr>
          <w:p w:rsidR="00724615" w:rsidRPr="00724615" w:rsidRDefault="00724615" w:rsidP="00216F8A">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FD0EB8">
              <w:t xml:space="preserve">2 </w:t>
            </w:r>
          </w:p>
        </w:tc>
        <w:tc>
          <w:tcPr>
            <w:tcW w:w="1134" w:type="dxa"/>
            <w:hideMark/>
          </w:tcPr>
          <w:p w:rsidR="00724615" w:rsidRPr="00724615" w:rsidRDefault="00724615" w:rsidP="00216F8A">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FD0EB8">
              <w:t xml:space="preserve">3 </w:t>
            </w:r>
          </w:p>
        </w:tc>
        <w:tc>
          <w:tcPr>
            <w:tcW w:w="1134" w:type="dxa"/>
            <w:hideMark/>
          </w:tcPr>
          <w:p w:rsidR="00724615" w:rsidRPr="00724615" w:rsidRDefault="00724615" w:rsidP="00216F8A">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FD0EB8">
              <w:t xml:space="preserve">2 </w:t>
            </w:r>
          </w:p>
        </w:tc>
        <w:tc>
          <w:tcPr>
            <w:tcW w:w="1134" w:type="dxa"/>
            <w:hideMark/>
          </w:tcPr>
          <w:p w:rsidR="00724615" w:rsidRPr="00724615" w:rsidRDefault="00724615" w:rsidP="00216F8A">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FD0EB8">
              <w:t xml:space="preserve">3 </w:t>
            </w:r>
          </w:p>
        </w:tc>
      </w:tr>
      <w:tr w:rsidR="00724615" w:rsidRPr="0019652A" w:rsidTr="00216F8A">
        <w:trPr>
          <w:trHeight w:val="27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hideMark/>
          </w:tcPr>
          <w:p w:rsidR="00724615" w:rsidRPr="00724615" w:rsidRDefault="00724615" w:rsidP="00216F8A">
            <w:pPr>
              <w:pStyle w:val="AERtabletextleft"/>
              <w:spacing w:before="120" w:line="240" w:lineRule="auto"/>
              <w:rPr>
                <w:rStyle w:val="AERtextbold"/>
              </w:rPr>
            </w:pPr>
            <w:r w:rsidRPr="00196F41">
              <w:rPr>
                <w:rStyle w:val="AERtextbold"/>
              </w:rPr>
              <w:t xml:space="preserve">Closing RAB </w:t>
            </w:r>
          </w:p>
        </w:tc>
        <w:tc>
          <w:tcPr>
            <w:tcW w:w="1134" w:type="dxa"/>
            <w:shd w:val="clear" w:color="auto" w:fill="auto"/>
            <w:hideMark/>
          </w:tcPr>
          <w:p w:rsidR="00724615" w:rsidRPr="00724615" w:rsidRDefault="00724615" w:rsidP="00216F8A">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196F41">
              <w:rPr>
                <w:rStyle w:val="AERtextbold"/>
              </w:rPr>
              <w:t xml:space="preserve">86 </w:t>
            </w:r>
          </w:p>
        </w:tc>
        <w:tc>
          <w:tcPr>
            <w:tcW w:w="1134" w:type="dxa"/>
            <w:shd w:val="clear" w:color="auto" w:fill="auto"/>
            <w:hideMark/>
          </w:tcPr>
          <w:p w:rsidR="00724615" w:rsidRPr="00724615" w:rsidRDefault="00724615" w:rsidP="00216F8A">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196F41">
              <w:rPr>
                <w:rStyle w:val="AERtextbold"/>
              </w:rPr>
              <w:t xml:space="preserve">99 </w:t>
            </w:r>
          </w:p>
        </w:tc>
        <w:tc>
          <w:tcPr>
            <w:tcW w:w="1134" w:type="dxa"/>
            <w:shd w:val="clear" w:color="auto" w:fill="auto"/>
            <w:hideMark/>
          </w:tcPr>
          <w:p w:rsidR="00724615" w:rsidRPr="00724615" w:rsidRDefault="00724615" w:rsidP="00216F8A">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196F41">
              <w:rPr>
                <w:rStyle w:val="AERtextbold"/>
              </w:rPr>
              <w:t xml:space="preserve">117 </w:t>
            </w:r>
          </w:p>
        </w:tc>
        <w:tc>
          <w:tcPr>
            <w:tcW w:w="1134" w:type="dxa"/>
            <w:shd w:val="clear" w:color="auto" w:fill="auto"/>
            <w:hideMark/>
          </w:tcPr>
          <w:p w:rsidR="00724615" w:rsidRPr="00724615" w:rsidRDefault="00724615" w:rsidP="00216F8A">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196F41">
              <w:rPr>
                <w:rStyle w:val="AERtextbold"/>
              </w:rPr>
              <w:t xml:space="preserve">136 </w:t>
            </w:r>
          </w:p>
        </w:tc>
        <w:tc>
          <w:tcPr>
            <w:tcW w:w="1134" w:type="dxa"/>
            <w:shd w:val="clear" w:color="auto" w:fill="auto"/>
            <w:hideMark/>
          </w:tcPr>
          <w:p w:rsidR="00724615" w:rsidRPr="00724615" w:rsidRDefault="00724615" w:rsidP="00216F8A">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196F41">
              <w:rPr>
                <w:rStyle w:val="AERtextbold"/>
              </w:rPr>
              <w:t xml:space="preserve">153 </w:t>
            </w:r>
          </w:p>
        </w:tc>
      </w:tr>
      <w:tr w:rsidR="00724615" w:rsidRPr="0019652A" w:rsidTr="00216F8A">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10" w:type="dxa"/>
            <w:hideMark/>
          </w:tcPr>
          <w:p w:rsidR="00724615" w:rsidRPr="00724615" w:rsidRDefault="00724615" w:rsidP="00216F8A">
            <w:pPr>
              <w:pStyle w:val="AERtabletextleft"/>
              <w:spacing w:before="120" w:line="240" w:lineRule="auto"/>
            </w:pPr>
            <w:r w:rsidRPr="00FD0EB8">
              <w:t>Net adjustments from 2008–09</w:t>
            </w:r>
          </w:p>
        </w:tc>
        <w:tc>
          <w:tcPr>
            <w:tcW w:w="1134" w:type="dxa"/>
            <w:hideMark/>
          </w:tcPr>
          <w:p w:rsidR="00724615" w:rsidRPr="00724615" w:rsidRDefault="00724615" w:rsidP="00216F8A">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FD0EB8">
              <w:t> </w:t>
            </w:r>
          </w:p>
        </w:tc>
        <w:tc>
          <w:tcPr>
            <w:tcW w:w="1134" w:type="dxa"/>
            <w:hideMark/>
          </w:tcPr>
          <w:p w:rsidR="00724615" w:rsidRPr="00724615" w:rsidRDefault="00724615" w:rsidP="00216F8A">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FD0EB8">
              <w:t> </w:t>
            </w:r>
          </w:p>
        </w:tc>
        <w:tc>
          <w:tcPr>
            <w:tcW w:w="1134" w:type="dxa"/>
            <w:hideMark/>
          </w:tcPr>
          <w:p w:rsidR="00724615" w:rsidRPr="00724615" w:rsidRDefault="00724615" w:rsidP="00216F8A">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FD0EB8">
              <w:t> </w:t>
            </w:r>
          </w:p>
        </w:tc>
        <w:tc>
          <w:tcPr>
            <w:tcW w:w="1134" w:type="dxa"/>
            <w:hideMark/>
          </w:tcPr>
          <w:p w:rsidR="00724615" w:rsidRPr="00724615" w:rsidRDefault="00724615" w:rsidP="00216F8A">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FD0EB8">
              <w:t> </w:t>
            </w:r>
          </w:p>
        </w:tc>
        <w:tc>
          <w:tcPr>
            <w:tcW w:w="1134" w:type="dxa"/>
            <w:hideMark/>
          </w:tcPr>
          <w:p w:rsidR="00724615" w:rsidRPr="00724615" w:rsidRDefault="00724615" w:rsidP="00216F8A">
            <w:pPr>
              <w:pStyle w:val="AERtabletextright"/>
              <w:spacing w:after="120" w:line="240" w:lineRule="auto"/>
              <w:cnfStyle w:val="000000010000" w:firstRow="0" w:lastRow="0" w:firstColumn="0" w:lastColumn="0" w:oddVBand="0" w:evenVBand="0" w:oddHBand="0" w:evenHBand="1" w:firstRowFirstColumn="0" w:firstRowLastColumn="0" w:lastRowFirstColumn="0" w:lastRowLastColumn="0"/>
            </w:pPr>
            <w:r w:rsidRPr="00FD0EB8">
              <w:t xml:space="preserve">1 </w:t>
            </w:r>
          </w:p>
        </w:tc>
      </w:tr>
      <w:tr w:rsidR="00724615" w:rsidRPr="0019652A" w:rsidTr="00216F8A">
        <w:trPr>
          <w:trHeight w:val="27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hideMark/>
          </w:tcPr>
          <w:p w:rsidR="00724615" w:rsidRPr="00724615" w:rsidRDefault="00724615" w:rsidP="00216F8A">
            <w:pPr>
              <w:pStyle w:val="AERtabletextleft"/>
              <w:spacing w:before="120" w:line="240" w:lineRule="auto"/>
              <w:rPr>
                <w:rStyle w:val="AERtextbold"/>
              </w:rPr>
            </w:pPr>
            <w:r w:rsidRPr="00196F41">
              <w:rPr>
                <w:rStyle w:val="AERtextbold"/>
              </w:rPr>
              <w:t>Opening RAB as at 1 July 2014</w:t>
            </w:r>
          </w:p>
        </w:tc>
        <w:tc>
          <w:tcPr>
            <w:tcW w:w="1134" w:type="dxa"/>
            <w:shd w:val="clear" w:color="auto" w:fill="auto"/>
            <w:hideMark/>
          </w:tcPr>
          <w:p w:rsidR="00724615" w:rsidRPr="00724615" w:rsidRDefault="00724615" w:rsidP="00216F8A">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196F41">
              <w:rPr>
                <w:rStyle w:val="AERtextbold"/>
                <w:rFonts w:hint="eastAsia"/>
              </w:rPr>
              <w:t> </w:t>
            </w:r>
          </w:p>
        </w:tc>
        <w:tc>
          <w:tcPr>
            <w:tcW w:w="1134" w:type="dxa"/>
            <w:shd w:val="clear" w:color="auto" w:fill="auto"/>
            <w:hideMark/>
          </w:tcPr>
          <w:p w:rsidR="00724615" w:rsidRPr="00724615" w:rsidRDefault="00724615" w:rsidP="00216F8A">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196F41">
              <w:rPr>
                <w:rStyle w:val="AERtextbold"/>
                <w:rFonts w:hint="eastAsia"/>
              </w:rPr>
              <w:t> </w:t>
            </w:r>
          </w:p>
        </w:tc>
        <w:tc>
          <w:tcPr>
            <w:tcW w:w="1134" w:type="dxa"/>
            <w:shd w:val="clear" w:color="auto" w:fill="auto"/>
            <w:hideMark/>
          </w:tcPr>
          <w:p w:rsidR="00724615" w:rsidRPr="00724615" w:rsidRDefault="00724615" w:rsidP="00216F8A">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196F41">
              <w:rPr>
                <w:rStyle w:val="AERtextbold"/>
                <w:rFonts w:hint="eastAsia"/>
              </w:rPr>
              <w:t> </w:t>
            </w:r>
          </w:p>
        </w:tc>
        <w:tc>
          <w:tcPr>
            <w:tcW w:w="1134" w:type="dxa"/>
            <w:shd w:val="clear" w:color="auto" w:fill="auto"/>
            <w:hideMark/>
          </w:tcPr>
          <w:p w:rsidR="00724615" w:rsidRPr="00724615" w:rsidRDefault="00724615" w:rsidP="00216F8A">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196F41">
              <w:rPr>
                <w:rStyle w:val="AERtextbold"/>
                <w:rFonts w:hint="eastAsia"/>
              </w:rPr>
              <w:t> </w:t>
            </w:r>
          </w:p>
        </w:tc>
        <w:tc>
          <w:tcPr>
            <w:tcW w:w="1134" w:type="dxa"/>
            <w:shd w:val="clear" w:color="auto" w:fill="auto"/>
            <w:hideMark/>
          </w:tcPr>
          <w:p w:rsidR="00724615" w:rsidRPr="00724615" w:rsidRDefault="00724615" w:rsidP="00216F8A">
            <w:pPr>
              <w:pStyle w:val="AERtabletextright"/>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196F41">
              <w:rPr>
                <w:rStyle w:val="AERtextbold"/>
              </w:rPr>
              <w:t xml:space="preserve">154 </w:t>
            </w:r>
          </w:p>
        </w:tc>
      </w:tr>
    </w:tbl>
    <w:p w:rsidR="00724615" w:rsidRDefault="00724615" w:rsidP="00724615">
      <w:pPr>
        <w:pStyle w:val="AERtablesource"/>
      </w:pPr>
      <w:r w:rsidRPr="00102D82">
        <w:t>Source:</w:t>
      </w:r>
      <w:r w:rsidRPr="00102D82">
        <w:tab/>
      </w:r>
      <w:r>
        <w:t xml:space="preserve">ActewAGL, </w:t>
      </w:r>
      <w:r w:rsidRPr="00702356">
        <w:rPr>
          <w:rStyle w:val="AERtextitalic"/>
        </w:rPr>
        <w:t>Transitional regulatory proposal</w:t>
      </w:r>
      <w:r>
        <w:t>, January 2014, p. 14.</w:t>
      </w:r>
      <w:r w:rsidRPr="006702DF">
        <w:t xml:space="preserve"> </w:t>
      </w:r>
    </w:p>
    <w:p w:rsidR="00724615" w:rsidRDefault="00724615" w:rsidP="00724615">
      <w:pPr>
        <w:pStyle w:val="AERtablesource"/>
      </w:pPr>
      <w:r w:rsidRPr="003D4734">
        <w:t>Notes:</w:t>
      </w:r>
      <w:r w:rsidRPr="003D4734">
        <w:tab/>
      </w:r>
      <w:r w:rsidRPr="00693A45">
        <w:t>Numbers may not sum due to rounding</w:t>
      </w:r>
      <w:r w:rsidR="00130B85">
        <w:t>.</w:t>
      </w:r>
    </w:p>
    <w:p w:rsidR="00724615" w:rsidRPr="00FD0EB8" w:rsidRDefault="00724615" w:rsidP="00724615">
      <w:pPr>
        <w:pStyle w:val="AERbodytext"/>
        <w:numPr>
          <w:ilvl w:val="0"/>
          <w:numId w:val="6"/>
        </w:numPr>
      </w:pPr>
      <w:r>
        <w:fldChar w:fldCharType="begin"/>
      </w:r>
      <w:r>
        <w:instrText xml:space="preserve"> REF _Ref382829072 \h </w:instrText>
      </w:r>
      <w:r>
        <w:fldChar w:fldCharType="separate"/>
      </w:r>
      <w:r w:rsidR="00E313D7">
        <w:t xml:space="preserve">Table </w:t>
      </w:r>
      <w:r w:rsidR="00E313D7">
        <w:rPr>
          <w:noProof/>
        </w:rPr>
        <w:t>B</w:t>
      </w:r>
      <w:r w:rsidR="00E313D7">
        <w:t>.</w:t>
      </w:r>
      <w:r w:rsidR="00E313D7">
        <w:rPr>
          <w:noProof/>
        </w:rPr>
        <w:t>17</w:t>
      </w:r>
      <w:r>
        <w:fldChar w:fldCharType="end"/>
      </w:r>
      <w:r w:rsidRPr="00FD0EB8">
        <w:t xml:space="preserve"> and </w:t>
      </w:r>
      <w:r w:rsidR="00216F8A">
        <w:fldChar w:fldCharType="begin"/>
      </w:r>
      <w:r w:rsidR="00216F8A">
        <w:instrText xml:space="preserve"> REF _Ref382829077 \h </w:instrText>
      </w:r>
      <w:r w:rsidR="00216F8A">
        <w:fldChar w:fldCharType="separate"/>
      </w:r>
      <w:r w:rsidR="00E313D7">
        <w:t xml:space="preserve">Table </w:t>
      </w:r>
      <w:r w:rsidR="00E313D7">
        <w:rPr>
          <w:noProof/>
        </w:rPr>
        <w:t>B</w:t>
      </w:r>
      <w:r w:rsidR="00E313D7">
        <w:t>.</w:t>
      </w:r>
      <w:r w:rsidR="00E313D7">
        <w:rPr>
          <w:noProof/>
        </w:rPr>
        <w:t>18</w:t>
      </w:r>
      <w:r w:rsidR="00216F8A">
        <w:fldChar w:fldCharType="end"/>
      </w:r>
      <w:r w:rsidRPr="00FD0EB8">
        <w:t xml:space="preserve"> also include adjustments that relate to 2008–09. When the AER made its determination for the </w:t>
      </w:r>
      <w:r>
        <w:t>current</w:t>
      </w:r>
      <w:r w:rsidRPr="00FD0EB8">
        <w:t xml:space="preserve"> regulatory control period, final figures for 2008–09 could not be obtained (since the year was not yet complete). Hence, </w:t>
      </w:r>
      <w:r>
        <w:t>ActewAGL</w:t>
      </w:r>
      <w:r w:rsidRPr="00FD0EB8">
        <w:t>’s proposal adjusts for the difference between actual and estimated capex for the 2008–09 financial year.</w:t>
      </w:r>
    </w:p>
    <w:p w:rsidR="00724615" w:rsidRPr="006A5B03" w:rsidRDefault="00724615" w:rsidP="00724615">
      <w:pPr>
        <w:pStyle w:val="AERbodytext"/>
        <w:numPr>
          <w:ilvl w:val="0"/>
          <w:numId w:val="6"/>
        </w:numPr>
      </w:pPr>
      <w:r>
        <w:fldChar w:fldCharType="begin"/>
      </w:r>
      <w:r>
        <w:instrText xml:space="preserve"> REF _Ref382829206 \h </w:instrText>
      </w:r>
      <w:r>
        <w:fldChar w:fldCharType="separate"/>
      </w:r>
      <w:r w:rsidR="00E313D7">
        <w:t>Table</w:t>
      </w:r>
      <w:r w:rsidR="00E313D7" w:rsidRPr="00DD1199">
        <w:t xml:space="preserve"> </w:t>
      </w:r>
      <w:r w:rsidR="00E313D7">
        <w:rPr>
          <w:noProof/>
        </w:rPr>
        <w:t>B</w:t>
      </w:r>
      <w:r w:rsidR="00E313D7">
        <w:t>.</w:t>
      </w:r>
      <w:r w:rsidR="00E313D7">
        <w:rPr>
          <w:noProof/>
        </w:rPr>
        <w:t>19</w:t>
      </w:r>
      <w:r>
        <w:fldChar w:fldCharType="end"/>
      </w:r>
      <w:r w:rsidRPr="00FD0EB8">
        <w:t xml:space="preserve"> and </w:t>
      </w:r>
      <w:r w:rsidR="00A8654A">
        <w:fldChar w:fldCharType="begin"/>
      </w:r>
      <w:r w:rsidR="00A8654A">
        <w:instrText xml:space="preserve"> REF  _Ref382829212 \* Caps \h </w:instrText>
      </w:r>
      <w:r w:rsidR="00A8654A">
        <w:fldChar w:fldCharType="separate"/>
      </w:r>
      <w:r w:rsidR="00E313D7">
        <w:t xml:space="preserve">Table </w:t>
      </w:r>
      <w:r w:rsidR="00E313D7">
        <w:rPr>
          <w:noProof/>
        </w:rPr>
        <w:t>B</w:t>
      </w:r>
      <w:r w:rsidR="00E313D7">
        <w:t>.</w:t>
      </w:r>
      <w:r w:rsidR="00E313D7">
        <w:rPr>
          <w:noProof/>
        </w:rPr>
        <w:t>20</w:t>
      </w:r>
      <w:r w:rsidR="00A8654A">
        <w:fldChar w:fldCharType="end"/>
      </w:r>
      <w:r w:rsidRPr="00FD0EB8">
        <w:t xml:space="preserve"> show </w:t>
      </w:r>
      <w:r>
        <w:t>ActewAGL</w:t>
      </w:r>
      <w:r w:rsidRPr="00FD0EB8">
        <w:t xml:space="preserve">’s proposed roll forward of the </w:t>
      </w:r>
      <w:r>
        <w:t>RABs</w:t>
      </w:r>
      <w:r w:rsidRPr="00FD0EB8">
        <w:t xml:space="preserve"> from 1 July 2014 to 30 June 2019 for its distribution and transmission networks respectively. This builds on the proposed capex outlined above.</w:t>
      </w:r>
    </w:p>
    <w:p w:rsidR="00724615" w:rsidRPr="00DD1199" w:rsidRDefault="002401A5" w:rsidP="00216F8A">
      <w:pPr>
        <w:pStyle w:val="Caption"/>
        <w:jc w:val="left"/>
        <w:rPr>
          <w:rStyle w:val="AERbody"/>
        </w:rPr>
      </w:pPr>
      <w:bookmarkStart w:id="227" w:name="_Ref382829206"/>
      <w:r>
        <w:lastRenderedPageBreak/>
        <w:t>Table</w:t>
      </w:r>
      <w:r w:rsidR="00724615" w:rsidRPr="00DD1199">
        <w:t xml:space="preserve"> </w:t>
      </w:r>
      <w:r w:rsidR="00DD155E">
        <w:fldChar w:fldCharType="begin"/>
      </w:r>
      <w:r w:rsidR="00DD155E">
        <w:instrText xml:space="preserve"> STYLEREF 7 \s </w:instrText>
      </w:r>
      <w:r w:rsidR="00DD155E">
        <w:fldChar w:fldCharType="separate"/>
      </w:r>
      <w:r w:rsidR="00E313D7">
        <w:rPr>
          <w:noProof/>
        </w:rPr>
        <w:t>B</w:t>
      </w:r>
      <w:r w:rsidR="00DD155E">
        <w:rPr>
          <w:noProof/>
        </w:rPr>
        <w:fldChar w:fldCharType="end"/>
      </w:r>
      <w:r>
        <w:t>.</w:t>
      </w:r>
      <w:r w:rsidR="00DD155E">
        <w:fldChar w:fldCharType="begin"/>
      </w:r>
      <w:r w:rsidR="00DD155E">
        <w:instrText xml:space="preserve"> SEQ Table_Apx \* ARABIC \s 7 </w:instrText>
      </w:r>
      <w:r w:rsidR="00DD155E">
        <w:fldChar w:fldCharType="separate"/>
      </w:r>
      <w:r w:rsidR="00E313D7">
        <w:rPr>
          <w:noProof/>
        </w:rPr>
        <w:t>19</w:t>
      </w:r>
      <w:r w:rsidR="00DD155E">
        <w:rPr>
          <w:noProof/>
        </w:rPr>
        <w:fldChar w:fldCharType="end"/>
      </w:r>
      <w:bookmarkEnd w:id="227"/>
      <w:r w:rsidR="00724615" w:rsidRPr="00DD1199">
        <w:tab/>
        <w:t>ActewAGL's proposed RAB 2014–19 – distribution ($m, nominal)</w:t>
      </w:r>
    </w:p>
    <w:tbl>
      <w:tblPr>
        <w:tblStyle w:val="AERtable-numbers"/>
        <w:tblW w:w="9180" w:type="dxa"/>
        <w:tblLook w:val="04A0" w:firstRow="1" w:lastRow="0" w:firstColumn="1" w:lastColumn="0" w:noHBand="0" w:noVBand="1"/>
      </w:tblPr>
      <w:tblGrid>
        <w:gridCol w:w="3369"/>
        <w:gridCol w:w="1162"/>
        <w:gridCol w:w="1162"/>
        <w:gridCol w:w="1162"/>
        <w:gridCol w:w="1162"/>
        <w:gridCol w:w="1163"/>
      </w:tblGrid>
      <w:tr w:rsidR="00724615" w:rsidRPr="00E73B40" w:rsidTr="00216F8A">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69" w:type="dxa"/>
            <w:hideMark/>
          </w:tcPr>
          <w:p w:rsidR="00724615" w:rsidRPr="00724615" w:rsidRDefault="00724615" w:rsidP="00216F8A">
            <w:pPr>
              <w:pStyle w:val="AERtabletextleft"/>
              <w:keepNext/>
              <w:keepLines/>
              <w:spacing w:before="120" w:line="240" w:lineRule="auto"/>
            </w:pPr>
            <w:r w:rsidRPr="00DD1199">
              <w:t xml:space="preserve">RAB </w:t>
            </w:r>
          </w:p>
        </w:tc>
        <w:tc>
          <w:tcPr>
            <w:tcW w:w="1162" w:type="dxa"/>
            <w:hideMark/>
          </w:tcPr>
          <w:p w:rsidR="00724615" w:rsidRPr="00724615" w:rsidRDefault="00724615" w:rsidP="00216F8A">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DD1199">
              <w:t xml:space="preserve">2014–15 </w:t>
            </w:r>
          </w:p>
        </w:tc>
        <w:tc>
          <w:tcPr>
            <w:tcW w:w="1162" w:type="dxa"/>
            <w:hideMark/>
          </w:tcPr>
          <w:p w:rsidR="00724615" w:rsidRPr="00724615" w:rsidRDefault="00724615" w:rsidP="00216F8A">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DD1199">
              <w:t xml:space="preserve">2015–16 </w:t>
            </w:r>
          </w:p>
        </w:tc>
        <w:tc>
          <w:tcPr>
            <w:tcW w:w="1162" w:type="dxa"/>
            <w:hideMark/>
          </w:tcPr>
          <w:p w:rsidR="00724615" w:rsidRPr="00724615" w:rsidRDefault="00724615" w:rsidP="00216F8A">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DD1199">
              <w:t xml:space="preserve">2016–17 </w:t>
            </w:r>
          </w:p>
        </w:tc>
        <w:tc>
          <w:tcPr>
            <w:tcW w:w="1162" w:type="dxa"/>
            <w:hideMark/>
          </w:tcPr>
          <w:p w:rsidR="00724615" w:rsidRPr="00724615" w:rsidRDefault="00724615" w:rsidP="00216F8A">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DD1199">
              <w:t xml:space="preserve">2017–18 </w:t>
            </w:r>
          </w:p>
        </w:tc>
        <w:tc>
          <w:tcPr>
            <w:tcW w:w="1163" w:type="dxa"/>
            <w:hideMark/>
          </w:tcPr>
          <w:p w:rsidR="00724615" w:rsidRPr="00724615" w:rsidRDefault="00724615" w:rsidP="00216F8A">
            <w:pPr>
              <w:pStyle w:val="AERtabletextright"/>
              <w:keepNext/>
              <w:keepLines/>
              <w:spacing w:after="120" w:line="240" w:lineRule="auto"/>
              <w:cnfStyle w:val="100000000000" w:firstRow="1" w:lastRow="0" w:firstColumn="0" w:lastColumn="0" w:oddVBand="0" w:evenVBand="0" w:oddHBand="0" w:evenHBand="0" w:firstRowFirstColumn="0" w:firstRowLastColumn="0" w:lastRowFirstColumn="0" w:lastRowLastColumn="0"/>
            </w:pPr>
            <w:r w:rsidRPr="00DD1199">
              <w:t xml:space="preserve">2018–19 </w:t>
            </w:r>
          </w:p>
        </w:tc>
      </w:tr>
      <w:tr w:rsidR="00724615" w:rsidRPr="00E73B40" w:rsidTr="00216F8A">
        <w:trPr>
          <w:trHeight w:val="255"/>
        </w:trPr>
        <w:tc>
          <w:tcPr>
            <w:cnfStyle w:val="001000000000" w:firstRow="0" w:lastRow="0" w:firstColumn="1" w:lastColumn="0" w:oddVBand="0" w:evenVBand="0" w:oddHBand="0" w:evenHBand="0" w:firstRowFirstColumn="0" w:firstRowLastColumn="0" w:lastRowFirstColumn="0" w:lastRowLastColumn="0"/>
            <w:tcW w:w="3369" w:type="dxa"/>
            <w:shd w:val="clear" w:color="auto" w:fill="auto"/>
            <w:hideMark/>
          </w:tcPr>
          <w:p w:rsidR="00724615" w:rsidRPr="00724615" w:rsidRDefault="00724615" w:rsidP="00216F8A">
            <w:pPr>
              <w:pStyle w:val="AERtabletextleft"/>
              <w:keepNext/>
              <w:keepLines/>
              <w:spacing w:before="120" w:line="240" w:lineRule="auto"/>
            </w:pPr>
            <w:r w:rsidRPr="00DD1199">
              <w:t>Opening RAB</w:t>
            </w:r>
          </w:p>
        </w:tc>
        <w:tc>
          <w:tcPr>
            <w:tcW w:w="1162" w:type="dxa"/>
            <w:shd w:val="clear" w:color="auto" w:fill="auto"/>
            <w:hideMark/>
          </w:tcPr>
          <w:p w:rsidR="00724615" w:rsidRPr="00724615" w:rsidRDefault="00724615" w:rsidP="00216F8A">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701 </w:t>
            </w:r>
          </w:p>
        </w:tc>
        <w:tc>
          <w:tcPr>
            <w:tcW w:w="1162" w:type="dxa"/>
            <w:shd w:val="clear" w:color="auto" w:fill="auto"/>
            <w:hideMark/>
          </w:tcPr>
          <w:p w:rsidR="00724615" w:rsidRPr="00724615" w:rsidRDefault="00724615" w:rsidP="00216F8A">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746 </w:t>
            </w:r>
          </w:p>
        </w:tc>
        <w:tc>
          <w:tcPr>
            <w:tcW w:w="1162" w:type="dxa"/>
            <w:shd w:val="clear" w:color="auto" w:fill="auto"/>
            <w:hideMark/>
          </w:tcPr>
          <w:p w:rsidR="00724615" w:rsidRPr="00724615" w:rsidRDefault="00724615" w:rsidP="00216F8A">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778 </w:t>
            </w:r>
          </w:p>
        </w:tc>
        <w:tc>
          <w:tcPr>
            <w:tcW w:w="1162" w:type="dxa"/>
            <w:shd w:val="clear" w:color="auto" w:fill="auto"/>
            <w:hideMark/>
          </w:tcPr>
          <w:p w:rsidR="00724615" w:rsidRPr="00724615" w:rsidRDefault="00724615" w:rsidP="00216F8A">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812 </w:t>
            </w:r>
          </w:p>
        </w:tc>
        <w:tc>
          <w:tcPr>
            <w:tcW w:w="1163" w:type="dxa"/>
            <w:shd w:val="clear" w:color="auto" w:fill="auto"/>
            <w:hideMark/>
          </w:tcPr>
          <w:p w:rsidR="00724615" w:rsidRPr="00724615" w:rsidRDefault="00724615" w:rsidP="00216F8A">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844 </w:t>
            </w:r>
          </w:p>
        </w:tc>
      </w:tr>
      <w:tr w:rsidR="00724615" w:rsidRPr="00E73B40" w:rsidTr="00216F8A">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69" w:type="dxa"/>
            <w:hideMark/>
          </w:tcPr>
          <w:p w:rsidR="00724615" w:rsidRPr="00724615" w:rsidRDefault="00724615" w:rsidP="00216F8A">
            <w:pPr>
              <w:pStyle w:val="AERtabletextleft"/>
              <w:keepNext/>
              <w:keepLines/>
              <w:spacing w:before="120" w:line="240" w:lineRule="auto"/>
            </w:pPr>
            <w:r w:rsidRPr="00DD1199">
              <w:t>Net capital expenditure</w:t>
            </w:r>
          </w:p>
        </w:tc>
        <w:tc>
          <w:tcPr>
            <w:tcW w:w="1162" w:type="dxa"/>
            <w:hideMark/>
          </w:tcPr>
          <w:p w:rsidR="00724615" w:rsidRPr="00724615" w:rsidRDefault="00724615" w:rsidP="00216F8A">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72 </w:t>
            </w:r>
          </w:p>
        </w:tc>
        <w:tc>
          <w:tcPr>
            <w:tcW w:w="1162" w:type="dxa"/>
            <w:hideMark/>
          </w:tcPr>
          <w:p w:rsidR="00724615" w:rsidRPr="00724615" w:rsidRDefault="00724615" w:rsidP="00216F8A">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63 </w:t>
            </w:r>
          </w:p>
        </w:tc>
        <w:tc>
          <w:tcPr>
            <w:tcW w:w="1162" w:type="dxa"/>
            <w:hideMark/>
          </w:tcPr>
          <w:p w:rsidR="00724615" w:rsidRPr="00724615" w:rsidRDefault="00724615" w:rsidP="00216F8A">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66 </w:t>
            </w:r>
          </w:p>
        </w:tc>
        <w:tc>
          <w:tcPr>
            <w:tcW w:w="1162" w:type="dxa"/>
            <w:hideMark/>
          </w:tcPr>
          <w:p w:rsidR="00724615" w:rsidRPr="00724615" w:rsidRDefault="00724615" w:rsidP="00216F8A">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65 </w:t>
            </w:r>
          </w:p>
        </w:tc>
        <w:tc>
          <w:tcPr>
            <w:tcW w:w="1163" w:type="dxa"/>
            <w:hideMark/>
          </w:tcPr>
          <w:p w:rsidR="00724615" w:rsidRPr="00724615" w:rsidRDefault="00724615" w:rsidP="00216F8A">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69 </w:t>
            </w:r>
          </w:p>
        </w:tc>
      </w:tr>
      <w:tr w:rsidR="00724615" w:rsidRPr="00E73B40" w:rsidTr="00216F8A">
        <w:trPr>
          <w:trHeight w:val="255"/>
        </w:trPr>
        <w:tc>
          <w:tcPr>
            <w:cnfStyle w:val="001000000000" w:firstRow="0" w:lastRow="0" w:firstColumn="1" w:lastColumn="0" w:oddVBand="0" w:evenVBand="0" w:oddHBand="0" w:evenHBand="0" w:firstRowFirstColumn="0" w:firstRowLastColumn="0" w:lastRowFirstColumn="0" w:lastRowLastColumn="0"/>
            <w:tcW w:w="3369" w:type="dxa"/>
            <w:shd w:val="clear" w:color="auto" w:fill="auto"/>
            <w:hideMark/>
          </w:tcPr>
          <w:p w:rsidR="00724615" w:rsidRPr="00724615" w:rsidRDefault="00724615" w:rsidP="00216F8A">
            <w:pPr>
              <w:pStyle w:val="AERtabletextleft"/>
              <w:keepNext/>
              <w:keepLines/>
              <w:spacing w:before="120" w:line="240" w:lineRule="auto"/>
            </w:pPr>
            <w:r w:rsidRPr="00DD1199">
              <w:t>Straight-line depreciation</w:t>
            </w:r>
          </w:p>
        </w:tc>
        <w:tc>
          <w:tcPr>
            <w:tcW w:w="1162" w:type="dxa"/>
            <w:shd w:val="clear" w:color="auto" w:fill="auto"/>
            <w:hideMark/>
          </w:tcPr>
          <w:p w:rsidR="00724615" w:rsidRPr="00724615" w:rsidRDefault="00724615" w:rsidP="00216F8A">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-44 </w:t>
            </w:r>
          </w:p>
        </w:tc>
        <w:tc>
          <w:tcPr>
            <w:tcW w:w="1162" w:type="dxa"/>
            <w:shd w:val="clear" w:color="auto" w:fill="auto"/>
            <w:hideMark/>
          </w:tcPr>
          <w:p w:rsidR="00724615" w:rsidRPr="00724615" w:rsidRDefault="00724615" w:rsidP="00216F8A">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-47 </w:t>
            </w:r>
          </w:p>
        </w:tc>
        <w:tc>
          <w:tcPr>
            <w:tcW w:w="1162" w:type="dxa"/>
            <w:shd w:val="clear" w:color="auto" w:fill="auto"/>
            <w:hideMark/>
          </w:tcPr>
          <w:p w:rsidR="00724615" w:rsidRPr="00724615" w:rsidRDefault="00724615" w:rsidP="00216F8A">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-47 </w:t>
            </w:r>
          </w:p>
        </w:tc>
        <w:tc>
          <w:tcPr>
            <w:tcW w:w="1162" w:type="dxa"/>
            <w:shd w:val="clear" w:color="auto" w:fill="auto"/>
            <w:hideMark/>
          </w:tcPr>
          <w:p w:rsidR="00724615" w:rsidRPr="00724615" w:rsidRDefault="00724615" w:rsidP="00216F8A">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-48 </w:t>
            </w:r>
          </w:p>
        </w:tc>
        <w:tc>
          <w:tcPr>
            <w:tcW w:w="1163" w:type="dxa"/>
            <w:shd w:val="clear" w:color="auto" w:fill="auto"/>
            <w:hideMark/>
          </w:tcPr>
          <w:p w:rsidR="00724615" w:rsidRPr="00724615" w:rsidRDefault="00724615" w:rsidP="00216F8A">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pPr>
            <w:r w:rsidRPr="00DD1199">
              <w:t xml:space="preserve">-48 </w:t>
            </w:r>
          </w:p>
        </w:tc>
      </w:tr>
      <w:tr w:rsidR="00724615" w:rsidRPr="00E73B40" w:rsidTr="00216F8A">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69" w:type="dxa"/>
            <w:hideMark/>
          </w:tcPr>
          <w:p w:rsidR="00724615" w:rsidRPr="00724615" w:rsidRDefault="00724615" w:rsidP="00216F8A">
            <w:pPr>
              <w:pStyle w:val="AERtabletextleft"/>
              <w:keepNext/>
              <w:keepLines/>
              <w:spacing w:before="120" w:line="240" w:lineRule="auto"/>
              <w:rPr>
                <w:rStyle w:val="AERsuperscript"/>
              </w:rPr>
            </w:pPr>
            <w:r w:rsidRPr="00DD1199">
              <w:t>Inflation adjustment</w:t>
            </w:r>
            <w:r w:rsidR="00216F8A">
              <w:t xml:space="preserve"> </w:t>
            </w:r>
            <w:r w:rsidRPr="00724615">
              <w:rPr>
                <w:rStyle w:val="AERsuperscript"/>
              </w:rPr>
              <w:t>a</w:t>
            </w:r>
          </w:p>
        </w:tc>
        <w:tc>
          <w:tcPr>
            <w:tcW w:w="1162" w:type="dxa"/>
            <w:hideMark/>
          </w:tcPr>
          <w:p w:rsidR="00724615" w:rsidRPr="00724615" w:rsidRDefault="00724615" w:rsidP="00216F8A">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17 </w:t>
            </w:r>
          </w:p>
        </w:tc>
        <w:tc>
          <w:tcPr>
            <w:tcW w:w="1162" w:type="dxa"/>
            <w:hideMark/>
          </w:tcPr>
          <w:p w:rsidR="00724615" w:rsidRPr="00724615" w:rsidRDefault="00724615" w:rsidP="00216F8A">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18 </w:t>
            </w:r>
          </w:p>
        </w:tc>
        <w:tc>
          <w:tcPr>
            <w:tcW w:w="1162" w:type="dxa"/>
            <w:hideMark/>
          </w:tcPr>
          <w:p w:rsidR="00724615" w:rsidRPr="00724615" w:rsidRDefault="00724615" w:rsidP="00216F8A">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19 </w:t>
            </w:r>
          </w:p>
        </w:tc>
        <w:tc>
          <w:tcPr>
            <w:tcW w:w="1162" w:type="dxa"/>
            <w:hideMark/>
          </w:tcPr>
          <w:p w:rsidR="00724615" w:rsidRPr="00724615" w:rsidRDefault="00724615" w:rsidP="00216F8A">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20 </w:t>
            </w:r>
          </w:p>
        </w:tc>
        <w:tc>
          <w:tcPr>
            <w:tcW w:w="1163" w:type="dxa"/>
            <w:hideMark/>
          </w:tcPr>
          <w:p w:rsidR="00724615" w:rsidRPr="00724615" w:rsidRDefault="00724615" w:rsidP="00216F8A">
            <w:pPr>
              <w:pStyle w:val="AERtabletextright"/>
              <w:keepNext/>
              <w:keepLines/>
              <w:spacing w:after="120" w:line="240" w:lineRule="auto"/>
              <w:cnfStyle w:val="000000010000" w:firstRow="0" w:lastRow="0" w:firstColumn="0" w:lastColumn="0" w:oddVBand="0" w:evenVBand="0" w:oddHBand="0" w:evenHBand="1" w:firstRowFirstColumn="0" w:firstRowLastColumn="0" w:lastRowFirstColumn="0" w:lastRowLastColumn="0"/>
            </w:pPr>
            <w:r w:rsidRPr="00DD1199">
              <w:t xml:space="preserve">21 </w:t>
            </w:r>
          </w:p>
        </w:tc>
      </w:tr>
      <w:tr w:rsidR="00724615" w:rsidRPr="0019652A" w:rsidTr="00216F8A">
        <w:trPr>
          <w:trHeight w:val="270"/>
        </w:trPr>
        <w:tc>
          <w:tcPr>
            <w:cnfStyle w:val="001000000000" w:firstRow="0" w:lastRow="0" w:firstColumn="1" w:lastColumn="0" w:oddVBand="0" w:evenVBand="0" w:oddHBand="0" w:evenHBand="0" w:firstRowFirstColumn="0" w:firstRowLastColumn="0" w:lastRowFirstColumn="0" w:lastRowLastColumn="0"/>
            <w:tcW w:w="3369" w:type="dxa"/>
            <w:shd w:val="clear" w:color="auto" w:fill="auto"/>
            <w:hideMark/>
          </w:tcPr>
          <w:p w:rsidR="00724615" w:rsidRPr="00724615" w:rsidRDefault="00724615" w:rsidP="00216F8A">
            <w:pPr>
              <w:pStyle w:val="AERtabletextleft"/>
              <w:keepNext/>
              <w:keepLines/>
              <w:spacing w:before="120" w:line="240" w:lineRule="auto"/>
              <w:rPr>
                <w:rStyle w:val="AERtextbold"/>
              </w:rPr>
            </w:pPr>
            <w:r w:rsidRPr="00A33E9D">
              <w:rPr>
                <w:rStyle w:val="AERtextbold"/>
              </w:rPr>
              <w:t xml:space="preserve">Closing RAB </w:t>
            </w:r>
          </w:p>
        </w:tc>
        <w:tc>
          <w:tcPr>
            <w:tcW w:w="1162" w:type="dxa"/>
            <w:shd w:val="clear" w:color="auto" w:fill="auto"/>
            <w:hideMark/>
          </w:tcPr>
          <w:p w:rsidR="00724615" w:rsidRPr="00724615" w:rsidRDefault="00724615" w:rsidP="00216F8A">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 xml:space="preserve">746 </w:t>
            </w:r>
          </w:p>
        </w:tc>
        <w:tc>
          <w:tcPr>
            <w:tcW w:w="1162" w:type="dxa"/>
            <w:shd w:val="clear" w:color="auto" w:fill="auto"/>
            <w:hideMark/>
          </w:tcPr>
          <w:p w:rsidR="00724615" w:rsidRPr="00724615" w:rsidRDefault="00724615" w:rsidP="00216F8A">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 xml:space="preserve">778 </w:t>
            </w:r>
          </w:p>
        </w:tc>
        <w:tc>
          <w:tcPr>
            <w:tcW w:w="1162" w:type="dxa"/>
            <w:shd w:val="clear" w:color="auto" w:fill="auto"/>
            <w:hideMark/>
          </w:tcPr>
          <w:p w:rsidR="00724615" w:rsidRPr="00724615" w:rsidRDefault="00724615" w:rsidP="00216F8A">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 xml:space="preserve">812 </w:t>
            </w:r>
          </w:p>
        </w:tc>
        <w:tc>
          <w:tcPr>
            <w:tcW w:w="1162" w:type="dxa"/>
            <w:shd w:val="clear" w:color="auto" w:fill="auto"/>
            <w:hideMark/>
          </w:tcPr>
          <w:p w:rsidR="00724615" w:rsidRPr="00724615" w:rsidRDefault="00724615" w:rsidP="00216F8A">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 xml:space="preserve">844 </w:t>
            </w:r>
          </w:p>
        </w:tc>
        <w:tc>
          <w:tcPr>
            <w:tcW w:w="1163" w:type="dxa"/>
            <w:shd w:val="clear" w:color="auto" w:fill="auto"/>
            <w:hideMark/>
          </w:tcPr>
          <w:p w:rsidR="00724615" w:rsidRPr="00724615" w:rsidRDefault="00724615" w:rsidP="00216F8A">
            <w:pPr>
              <w:pStyle w:val="AERtabletextright"/>
              <w:keepNext/>
              <w:keepLines/>
              <w:spacing w:after="120" w:line="240" w:lineRule="auto"/>
              <w:cnfStyle w:val="000000000000" w:firstRow="0" w:lastRow="0" w:firstColumn="0" w:lastColumn="0" w:oddVBand="0" w:evenVBand="0" w:oddHBand="0" w:evenHBand="0" w:firstRowFirstColumn="0" w:firstRowLastColumn="0" w:lastRowFirstColumn="0" w:lastRowLastColumn="0"/>
              <w:rPr>
                <w:rStyle w:val="AERtextbold"/>
              </w:rPr>
            </w:pPr>
            <w:r w:rsidRPr="00A33E9D">
              <w:rPr>
                <w:rStyle w:val="AERtextbold"/>
              </w:rPr>
              <w:t xml:space="preserve">881 </w:t>
            </w:r>
          </w:p>
        </w:tc>
      </w:tr>
    </w:tbl>
    <w:p w:rsidR="00724615" w:rsidRDefault="00724615" w:rsidP="00724615">
      <w:pPr>
        <w:pStyle w:val="AERtablesource"/>
      </w:pPr>
      <w:r>
        <w:t>Source:</w:t>
      </w:r>
      <w:r>
        <w:tab/>
        <w:t xml:space="preserve">ActewAGL, </w:t>
      </w:r>
      <w:r w:rsidRPr="002868DE">
        <w:rPr>
          <w:rStyle w:val="AERtextitalic"/>
        </w:rPr>
        <w:t>Transitional regulatory proposal</w:t>
      </w:r>
      <w:r w:rsidRPr="002868DE">
        <w:t>, January 2014, p. 14.</w:t>
      </w:r>
      <w:r w:rsidRPr="006702DF">
        <w:t xml:space="preserve"> </w:t>
      </w:r>
    </w:p>
    <w:p w:rsidR="00724615" w:rsidRDefault="00724615" w:rsidP="00724615">
      <w:pPr>
        <w:pStyle w:val="AERtablesource"/>
      </w:pPr>
      <w:r w:rsidRPr="003D4734">
        <w:t>Notes:</w:t>
      </w:r>
      <w:r w:rsidRPr="003D4734">
        <w:tab/>
      </w:r>
      <w:r w:rsidRPr="00693A45">
        <w:t>Numbers may not sum due to rounding.</w:t>
      </w:r>
    </w:p>
    <w:p w:rsidR="00724615" w:rsidRPr="00216F8A" w:rsidRDefault="00216F8A" w:rsidP="00216F8A">
      <w:pPr>
        <w:pStyle w:val="AERtablesource"/>
        <w:tabs>
          <w:tab w:val="left" w:pos="924"/>
        </w:tabs>
        <w:ind w:left="993" w:hanging="993"/>
      </w:pPr>
      <w:r>
        <w:tab/>
      </w:r>
      <w:r w:rsidR="00B75E0D">
        <w:t>a.</w:t>
      </w:r>
      <w:r w:rsidR="00B75E0D">
        <w:tab/>
      </w:r>
      <w:r w:rsidR="00B75E0D">
        <w:tab/>
      </w:r>
      <w:r w:rsidR="00724615">
        <w:t>Based on a forecast inflation rate of 2.45 per cent per annum.</w:t>
      </w:r>
    </w:p>
    <w:p w:rsidR="00724615" w:rsidRDefault="002401A5" w:rsidP="00216F8A">
      <w:pPr>
        <w:pStyle w:val="Caption"/>
        <w:jc w:val="left"/>
        <w:rPr>
          <w:rStyle w:val="AERbody"/>
        </w:rPr>
      </w:pPr>
      <w:bookmarkStart w:id="228" w:name="_Ref382829212"/>
      <w:r>
        <w:t>Table</w:t>
      </w:r>
      <w:r w:rsidR="00724615">
        <w:t xml:space="preserve"> </w:t>
      </w:r>
      <w:r w:rsidR="00DD155E">
        <w:fldChar w:fldCharType="begin"/>
      </w:r>
      <w:r w:rsidR="00DD155E">
        <w:instrText xml:space="preserve"> STYLEREF 7 \s </w:instrText>
      </w:r>
      <w:r w:rsidR="00DD155E">
        <w:fldChar w:fldCharType="separate"/>
      </w:r>
      <w:r w:rsidR="00E313D7">
        <w:rPr>
          <w:noProof/>
        </w:rPr>
        <w:t>B</w:t>
      </w:r>
      <w:r w:rsidR="00DD155E">
        <w:rPr>
          <w:noProof/>
        </w:rPr>
        <w:fldChar w:fldCharType="end"/>
      </w:r>
      <w:r>
        <w:t>.</w:t>
      </w:r>
      <w:r w:rsidR="00DD155E">
        <w:fldChar w:fldCharType="begin"/>
      </w:r>
      <w:r w:rsidR="00DD155E">
        <w:instrText xml:space="preserve"> SE</w:instrText>
      </w:r>
      <w:r w:rsidR="00DD155E">
        <w:instrText xml:space="preserve">Q Table_Apx \* ARABIC \s 7 </w:instrText>
      </w:r>
      <w:r w:rsidR="00DD155E">
        <w:fldChar w:fldCharType="separate"/>
      </w:r>
      <w:r w:rsidR="00E313D7">
        <w:rPr>
          <w:noProof/>
        </w:rPr>
        <w:t>20</w:t>
      </w:r>
      <w:r w:rsidR="00DD155E">
        <w:rPr>
          <w:noProof/>
        </w:rPr>
        <w:fldChar w:fldCharType="end"/>
      </w:r>
      <w:bookmarkEnd w:id="228"/>
      <w:r w:rsidR="00724615">
        <w:tab/>
      </w:r>
      <w:r w:rsidR="00724615" w:rsidRPr="0019652A">
        <w:t>ActewAGL's proposed RAB 2014</w:t>
      </w:r>
      <w:r w:rsidR="00724615">
        <w:t>–</w:t>
      </w:r>
      <w:r w:rsidR="00724615" w:rsidRPr="0019652A">
        <w:t xml:space="preserve">19 </w:t>
      </w:r>
      <w:r w:rsidR="00724615">
        <w:t>–</w:t>
      </w:r>
      <w:r w:rsidR="00724615" w:rsidRPr="0019652A">
        <w:t xml:space="preserve"> </w:t>
      </w:r>
      <w:r w:rsidR="00724615">
        <w:t>transmission</w:t>
      </w:r>
      <w:r w:rsidR="00724615" w:rsidRPr="0019652A">
        <w:t xml:space="preserve"> ($m, nominal)</w:t>
      </w:r>
    </w:p>
    <w:tbl>
      <w:tblPr>
        <w:tblStyle w:val="AERtable-numbers"/>
        <w:tblW w:w="9180" w:type="dxa"/>
        <w:tblLook w:val="04A0" w:firstRow="1" w:lastRow="0" w:firstColumn="1" w:lastColumn="0" w:noHBand="0" w:noVBand="1"/>
      </w:tblPr>
      <w:tblGrid>
        <w:gridCol w:w="3369"/>
        <w:gridCol w:w="1162"/>
        <w:gridCol w:w="1162"/>
        <w:gridCol w:w="1162"/>
        <w:gridCol w:w="1162"/>
        <w:gridCol w:w="1163"/>
      </w:tblGrid>
      <w:tr w:rsidR="00724615" w:rsidRPr="0019652A" w:rsidTr="00216F8A">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69" w:type="dxa"/>
            <w:hideMark/>
          </w:tcPr>
          <w:p w:rsidR="00724615" w:rsidRPr="00724615" w:rsidRDefault="00724615" w:rsidP="00724615">
            <w:pPr>
              <w:pStyle w:val="AERtabletextleft"/>
            </w:pPr>
            <w:r w:rsidRPr="00DD1199">
              <w:t xml:space="preserve">RAB </w:t>
            </w:r>
          </w:p>
        </w:tc>
        <w:tc>
          <w:tcPr>
            <w:tcW w:w="1162" w:type="dxa"/>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 xml:space="preserve">2014–15 </w:t>
            </w:r>
          </w:p>
        </w:tc>
        <w:tc>
          <w:tcPr>
            <w:tcW w:w="1162" w:type="dxa"/>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 xml:space="preserve">2015–16 </w:t>
            </w:r>
          </w:p>
        </w:tc>
        <w:tc>
          <w:tcPr>
            <w:tcW w:w="1162" w:type="dxa"/>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 xml:space="preserve">2016–17 </w:t>
            </w:r>
          </w:p>
        </w:tc>
        <w:tc>
          <w:tcPr>
            <w:tcW w:w="1162" w:type="dxa"/>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 xml:space="preserve">2017–18 </w:t>
            </w:r>
          </w:p>
        </w:tc>
        <w:tc>
          <w:tcPr>
            <w:tcW w:w="1163" w:type="dxa"/>
            <w:hideMark/>
          </w:tcPr>
          <w:p w:rsidR="00724615" w:rsidRPr="00724615" w:rsidRDefault="00724615" w:rsidP="00724615">
            <w:pPr>
              <w:pStyle w:val="AERtabletextright"/>
              <w:cnfStyle w:val="100000000000" w:firstRow="1" w:lastRow="0" w:firstColumn="0" w:lastColumn="0" w:oddVBand="0" w:evenVBand="0" w:oddHBand="0" w:evenHBand="0" w:firstRowFirstColumn="0" w:firstRowLastColumn="0" w:lastRowFirstColumn="0" w:lastRowLastColumn="0"/>
            </w:pPr>
            <w:r w:rsidRPr="00DD1199">
              <w:t xml:space="preserve">2018–19 </w:t>
            </w:r>
          </w:p>
        </w:tc>
      </w:tr>
      <w:tr w:rsidR="00724615" w:rsidRPr="0019652A" w:rsidTr="00216F8A">
        <w:trPr>
          <w:trHeight w:val="255"/>
        </w:trPr>
        <w:tc>
          <w:tcPr>
            <w:cnfStyle w:val="001000000000" w:firstRow="0" w:lastRow="0" w:firstColumn="1" w:lastColumn="0" w:oddVBand="0" w:evenVBand="0" w:oddHBand="0" w:evenHBand="0" w:firstRowFirstColumn="0" w:firstRowLastColumn="0" w:lastRowFirstColumn="0" w:lastRowLastColumn="0"/>
            <w:tcW w:w="3369" w:type="dxa"/>
            <w:shd w:val="clear" w:color="auto" w:fill="auto"/>
            <w:hideMark/>
          </w:tcPr>
          <w:p w:rsidR="00724615" w:rsidRPr="00724615" w:rsidRDefault="00724615" w:rsidP="00724615">
            <w:pPr>
              <w:pStyle w:val="AERtabletextleft"/>
            </w:pPr>
            <w:r w:rsidRPr="00DD1199">
              <w:t>Opening RAB</w:t>
            </w:r>
          </w:p>
        </w:tc>
        <w:tc>
          <w:tcPr>
            <w:tcW w:w="1162"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154 </w:t>
            </w:r>
          </w:p>
        </w:tc>
        <w:tc>
          <w:tcPr>
            <w:tcW w:w="1162"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160 </w:t>
            </w:r>
          </w:p>
        </w:tc>
        <w:tc>
          <w:tcPr>
            <w:tcW w:w="1162"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169 </w:t>
            </w:r>
          </w:p>
        </w:tc>
        <w:tc>
          <w:tcPr>
            <w:tcW w:w="1162"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197 </w:t>
            </w:r>
          </w:p>
        </w:tc>
        <w:tc>
          <w:tcPr>
            <w:tcW w:w="1163"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215 </w:t>
            </w:r>
          </w:p>
        </w:tc>
      </w:tr>
      <w:tr w:rsidR="00724615" w:rsidRPr="0019652A" w:rsidTr="00216F8A">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69" w:type="dxa"/>
            <w:hideMark/>
          </w:tcPr>
          <w:p w:rsidR="00724615" w:rsidRPr="00724615" w:rsidRDefault="00724615" w:rsidP="00724615">
            <w:pPr>
              <w:pStyle w:val="AERtabletextleft"/>
            </w:pPr>
            <w:r w:rsidRPr="00DD1199">
              <w:t>Net capital expenditure</w:t>
            </w:r>
          </w:p>
        </w:tc>
        <w:tc>
          <w:tcPr>
            <w:tcW w:w="1162"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10 </w:t>
            </w:r>
          </w:p>
        </w:tc>
        <w:tc>
          <w:tcPr>
            <w:tcW w:w="1162"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15 </w:t>
            </w:r>
          </w:p>
        </w:tc>
        <w:tc>
          <w:tcPr>
            <w:tcW w:w="1162"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33 </w:t>
            </w:r>
          </w:p>
        </w:tc>
        <w:tc>
          <w:tcPr>
            <w:tcW w:w="1162"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23 </w:t>
            </w:r>
          </w:p>
        </w:tc>
        <w:tc>
          <w:tcPr>
            <w:tcW w:w="1163"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13 </w:t>
            </w:r>
          </w:p>
        </w:tc>
      </w:tr>
      <w:tr w:rsidR="00724615" w:rsidRPr="0019652A" w:rsidTr="00216F8A">
        <w:trPr>
          <w:trHeight w:val="255"/>
        </w:trPr>
        <w:tc>
          <w:tcPr>
            <w:cnfStyle w:val="001000000000" w:firstRow="0" w:lastRow="0" w:firstColumn="1" w:lastColumn="0" w:oddVBand="0" w:evenVBand="0" w:oddHBand="0" w:evenHBand="0" w:firstRowFirstColumn="0" w:firstRowLastColumn="0" w:lastRowFirstColumn="0" w:lastRowLastColumn="0"/>
            <w:tcW w:w="3369" w:type="dxa"/>
            <w:shd w:val="clear" w:color="auto" w:fill="auto"/>
            <w:hideMark/>
          </w:tcPr>
          <w:p w:rsidR="00724615" w:rsidRPr="00724615" w:rsidRDefault="00724615" w:rsidP="00724615">
            <w:pPr>
              <w:pStyle w:val="AERtabletextleft"/>
            </w:pPr>
            <w:r w:rsidRPr="00DD1199">
              <w:t>Straight-line depreciation</w:t>
            </w:r>
          </w:p>
        </w:tc>
        <w:tc>
          <w:tcPr>
            <w:tcW w:w="1162"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-8 </w:t>
            </w:r>
          </w:p>
        </w:tc>
        <w:tc>
          <w:tcPr>
            <w:tcW w:w="1162"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-9 </w:t>
            </w:r>
          </w:p>
        </w:tc>
        <w:tc>
          <w:tcPr>
            <w:tcW w:w="1162"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-9 </w:t>
            </w:r>
          </w:p>
        </w:tc>
        <w:tc>
          <w:tcPr>
            <w:tcW w:w="1162"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-11 </w:t>
            </w:r>
          </w:p>
        </w:tc>
        <w:tc>
          <w:tcPr>
            <w:tcW w:w="1163"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-11 </w:t>
            </w:r>
          </w:p>
        </w:tc>
      </w:tr>
      <w:tr w:rsidR="00724615" w:rsidRPr="0019652A" w:rsidTr="00216F8A">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69" w:type="dxa"/>
            <w:hideMark/>
          </w:tcPr>
          <w:p w:rsidR="00724615" w:rsidRPr="00724615" w:rsidRDefault="00724615" w:rsidP="00724615">
            <w:pPr>
              <w:pStyle w:val="AERtabletextleft"/>
              <w:rPr>
                <w:rStyle w:val="AERsuperscript"/>
              </w:rPr>
            </w:pPr>
            <w:r w:rsidRPr="00DD1199">
              <w:t>Inflation adjustment</w:t>
            </w:r>
            <w:r w:rsidR="00216F8A">
              <w:t xml:space="preserve"> </w:t>
            </w:r>
            <w:r w:rsidRPr="00724615">
              <w:rPr>
                <w:rStyle w:val="AERsuperscript"/>
              </w:rPr>
              <w:t>a</w:t>
            </w:r>
          </w:p>
        </w:tc>
        <w:tc>
          <w:tcPr>
            <w:tcW w:w="1162"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4 </w:t>
            </w:r>
          </w:p>
        </w:tc>
        <w:tc>
          <w:tcPr>
            <w:tcW w:w="1162"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4 </w:t>
            </w:r>
          </w:p>
        </w:tc>
        <w:tc>
          <w:tcPr>
            <w:tcW w:w="1162"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4 </w:t>
            </w:r>
          </w:p>
        </w:tc>
        <w:tc>
          <w:tcPr>
            <w:tcW w:w="1162"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5 </w:t>
            </w:r>
          </w:p>
        </w:tc>
        <w:tc>
          <w:tcPr>
            <w:tcW w:w="1163" w:type="dxa"/>
            <w:hideMark/>
          </w:tcPr>
          <w:p w:rsidR="00724615" w:rsidRPr="00724615" w:rsidRDefault="00724615" w:rsidP="00724615">
            <w:pPr>
              <w:pStyle w:val="AERtabletextright"/>
              <w:cnfStyle w:val="000000010000" w:firstRow="0" w:lastRow="0" w:firstColumn="0" w:lastColumn="0" w:oddVBand="0" w:evenVBand="0" w:oddHBand="0" w:evenHBand="1" w:firstRowFirstColumn="0" w:firstRowLastColumn="0" w:lastRowFirstColumn="0" w:lastRowLastColumn="0"/>
            </w:pPr>
            <w:r w:rsidRPr="00DD1199">
              <w:t xml:space="preserve">5 </w:t>
            </w:r>
          </w:p>
        </w:tc>
      </w:tr>
      <w:tr w:rsidR="00724615" w:rsidRPr="0019652A" w:rsidTr="00216F8A">
        <w:trPr>
          <w:trHeight w:val="270"/>
        </w:trPr>
        <w:tc>
          <w:tcPr>
            <w:cnfStyle w:val="001000000000" w:firstRow="0" w:lastRow="0" w:firstColumn="1" w:lastColumn="0" w:oddVBand="0" w:evenVBand="0" w:oddHBand="0" w:evenHBand="0" w:firstRowFirstColumn="0" w:firstRowLastColumn="0" w:lastRowFirstColumn="0" w:lastRowLastColumn="0"/>
            <w:tcW w:w="3369" w:type="dxa"/>
            <w:shd w:val="clear" w:color="auto" w:fill="auto"/>
            <w:hideMark/>
          </w:tcPr>
          <w:p w:rsidR="00724615" w:rsidRPr="00724615" w:rsidRDefault="00724615" w:rsidP="00724615">
            <w:pPr>
              <w:pStyle w:val="AERtabletextleft"/>
            </w:pPr>
            <w:r w:rsidRPr="00DD1199">
              <w:t xml:space="preserve">Closing RAB </w:t>
            </w:r>
          </w:p>
        </w:tc>
        <w:tc>
          <w:tcPr>
            <w:tcW w:w="1162"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160 </w:t>
            </w:r>
          </w:p>
        </w:tc>
        <w:tc>
          <w:tcPr>
            <w:tcW w:w="1162"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169 </w:t>
            </w:r>
          </w:p>
        </w:tc>
        <w:tc>
          <w:tcPr>
            <w:tcW w:w="1162"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197 </w:t>
            </w:r>
          </w:p>
        </w:tc>
        <w:tc>
          <w:tcPr>
            <w:tcW w:w="1162"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215 </w:t>
            </w:r>
          </w:p>
        </w:tc>
        <w:tc>
          <w:tcPr>
            <w:tcW w:w="1163" w:type="dxa"/>
            <w:shd w:val="clear" w:color="auto" w:fill="auto"/>
            <w:hideMark/>
          </w:tcPr>
          <w:p w:rsidR="00724615" w:rsidRPr="00724615" w:rsidRDefault="00724615" w:rsidP="00724615">
            <w:pPr>
              <w:pStyle w:val="AERtabletextright"/>
              <w:cnfStyle w:val="000000000000" w:firstRow="0" w:lastRow="0" w:firstColumn="0" w:lastColumn="0" w:oddVBand="0" w:evenVBand="0" w:oddHBand="0" w:evenHBand="0" w:firstRowFirstColumn="0" w:firstRowLastColumn="0" w:lastRowFirstColumn="0" w:lastRowLastColumn="0"/>
            </w:pPr>
            <w:r w:rsidRPr="00DD1199">
              <w:t xml:space="preserve">221 </w:t>
            </w:r>
          </w:p>
        </w:tc>
      </w:tr>
    </w:tbl>
    <w:p w:rsidR="00724615" w:rsidRDefault="00724615" w:rsidP="00724615">
      <w:pPr>
        <w:pStyle w:val="AERtablesource"/>
      </w:pPr>
      <w:r w:rsidRPr="00102D82">
        <w:t>Source:</w:t>
      </w:r>
      <w:r w:rsidRPr="00102D82">
        <w:tab/>
      </w:r>
      <w:r>
        <w:t xml:space="preserve">ActewAGL, </w:t>
      </w:r>
      <w:r w:rsidRPr="00702356">
        <w:rPr>
          <w:rStyle w:val="AERtextitalic"/>
        </w:rPr>
        <w:t>Transitional regulatory proposal</w:t>
      </w:r>
      <w:r>
        <w:t>, January 2014, p. 14.</w:t>
      </w:r>
      <w:r w:rsidRPr="006702DF">
        <w:t xml:space="preserve"> </w:t>
      </w:r>
    </w:p>
    <w:p w:rsidR="00724615" w:rsidRDefault="00724615" w:rsidP="00724615">
      <w:pPr>
        <w:pStyle w:val="AERtablesource"/>
      </w:pPr>
      <w:r w:rsidRPr="003D4734">
        <w:t>Notes:</w:t>
      </w:r>
      <w:r w:rsidRPr="003D4734">
        <w:tab/>
      </w:r>
      <w:r w:rsidRPr="00693A45">
        <w:t>Numbers may not sum due to rounding.</w:t>
      </w:r>
    </w:p>
    <w:p w:rsidR="00724615" w:rsidRPr="007129F8" w:rsidRDefault="00216F8A" w:rsidP="007129F8">
      <w:pPr>
        <w:pStyle w:val="AERtablesource"/>
      </w:pPr>
      <w:r w:rsidRPr="007129F8">
        <w:tab/>
      </w:r>
      <w:r w:rsidR="00B75E0D">
        <w:t>a.</w:t>
      </w:r>
      <w:r w:rsidR="00B75E0D">
        <w:tab/>
      </w:r>
      <w:r w:rsidR="00724615" w:rsidRPr="007129F8">
        <w:t>Based on a forecast inflation rate of 2.45 per cent per annum.</w:t>
      </w:r>
    </w:p>
    <w:p w:rsidR="00724615" w:rsidRPr="006A1E04" w:rsidRDefault="00724615" w:rsidP="00985999">
      <w:pPr>
        <w:pStyle w:val="Heading9"/>
        <w:rPr>
          <w:rStyle w:val="AERtextbold"/>
          <w:b/>
        </w:rPr>
      </w:pPr>
      <w:r w:rsidRPr="006A1E04">
        <w:rPr>
          <w:rStyle w:val="AERtextbold"/>
          <w:b/>
        </w:rPr>
        <w:t>Operating expenditure</w:t>
      </w:r>
    </w:p>
    <w:p w:rsidR="00724615" w:rsidRPr="008F3582" w:rsidRDefault="00724615" w:rsidP="00724615">
      <w:pPr>
        <w:pStyle w:val="AERbodytext"/>
        <w:numPr>
          <w:ilvl w:val="0"/>
          <w:numId w:val="6"/>
        </w:numPr>
      </w:pPr>
      <w:r w:rsidRPr="008F3582">
        <w:t>ActewAGL has used a mixture of zero based and base year approaches to forecast its opex. Some of the cost increases ActewAGL has forecast include new regulatory reporting and environmental health safety and quality costs. Forecast cost decreases include a reduced intake of new apprenticeships as a result of a recent review of ActewAGL’s program of work, employee turnover and future work requirements.</w:t>
      </w:r>
      <w:r w:rsidRPr="008F3582">
        <w:rPr>
          <w:rStyle w:val="FootnoteReference"/>
        </w:rPr>
        <w:footnoteReference w:id="164"/>
      </w:r>
    </w:p>
    <w:p w:rsidR="00724615" w:rsidRPr="008F3582" w:rsidRDefault="001D00C7" w:rsidP="002B11C4">
      <w:pPr>
        <w:pStyle w:val="Caption"/>
        <w:jc w:val="left"/>
      </w:pPr>
      <w:bookmarkStart w:id="229" w:name="_Ref383427487"/>
      <w:r>
        <w:lastRenderedPageBreak/>
        <w:t>Figure</w:t>
      </w:r>
      <w:r w:rsidR="00724615" w:rsidRPr="008F3582">
        <w:t xml:space="preserve"> </w:t>
      </w:r>
      <w:r w:rsidR="00DD155E">
        <w:fldChar w:fldCharType="begin"/>
      </w:r>
      <w:r w:rsidR="00DD155E">
        <w:instrText xml:space="preserve"> STYLEREF 7 \s </w:instrText>
      </w:r>
      <w:r w:rsidR="00DD155E">
        <w:fldChar w:fldCharType="separate"/>
      </w:r>
      <w:r w:rsidR="00E313D7">
        <w:rPr>
          <w:noProof/>
        </w:rPr>
        <w:t>B</w:t>
      </w:r>
      <w:r w:rsidR="00DD155E">
        <w:rPr>
          <w:noProof/>
        </w:rPr>
        <w:fldChar w:fldCharType="end"/>
      </w:r>
      <w:r>
        <w:t>.</w:t>
      </w:r>
      <w:r w:rsidR="00DD155E">
        <w:fldChar w:fldCharType="begin"/>
      </w:r>
      <w:r w:rsidR="00DD155E">
        <w:instrText xml:space="preserve"> SEQ Figure_Apx \* ARABIC \s</w:instrText>
      </w:r>
      <w:r w:rsidR="00DD155E">
        <w:instrText xml:space="preserve"> 7 </w:instrText>
      </w:r>
      <w:r w:rsidR="00DD155E">
        <w:fldChar w:fldCharType="separate"/>
      </w:r>
      <w:r w:rsidR="00E313D7">
        <w:rPr>
          <w:noProof/>
        </w:rPr>
        <w:t>8</w:t>
      </w:r>
      <w:r w:rsidR="00DD155E">
        <w:rPr>
          <w:noProof/>
        </w:rPr>
        <w:fldChar w:fldCharType="end"/>
      </w:r>
      <w:bookmarkEnd w:id="229"/>
      <w:r w:rsidR="00724615" w:rsidRPr="008F3582">
        <w:tab/>
        <w:t>Comparison of ActewAGL’s forecast opex to its recent actual opex</w:t>
      </w:r>
    </w:p>
    <w:p w:rsidR="00724615" w:rsidRPr="008F3582" w:rsidRDefault="00724615" w:rsidP="00724615">
      <w:r w:rsidRPr="00724615">
        <w:rPr>
          <w:noProof/>
          <w:lang w:eastAsia="en-AU"/>
        </w:rPr>
        <w:drawing>
          <wp:inline distT="0" distB="0" distL="0" distR="0" wp14:anchorId="3CA5BB4E" wp14:editId="3D0F8491">
            <wp:extent cx="5731510" cy="3734667"/>
            <wp:effectExtent l="0" t="0" r="254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724615" w:rsidRPr="008F3582" w:rsidRDefault="00724615" w:rsidP="00724615">
      <w:pPr>
        <w:pStyle w:val="AERtablesource"/>
      </w:pPr>
      <w:r w:rsidRPr="008F3582">
        <w:t>Source:</w:t>
      </w:r>
      <w:r w:rsidRPr="008F3582">
        <w:tab/>
        <w:t xml:space="preserve">ActewAGL, </w:t>
      </w:r>
      <w:r w:rsidRPr="008F3582">
        <w:rPr>
          <w:rStyle w:val="AERtextitalic"/>
        </w:rPr>
        <w:t>Transitional regulatory proposal</w:t>
      </w:r>
      <w:r w:rsidRPr="008F3582">
        <w:t>, January 2014, p. 23; AER calculations.</w:t>
      </w:r>
    </w:p>
    <w:p w:rsidR="00724615" w:rsidRPr="006A1E04" w:rsidRDefault="00724615" w:rsidP="002401A5">
      <w:pPr>
        <w:pStyle w:val="HeadingBoldBlue"/>
        <w:rPr>
          <w:rStyle w:val="AERtextbold"/>
          <w:b/>
        </w:rPr>
      </w:pPr>
      <w:r w:rsidRPr="006A1E04">
        <w:rPr>
          <w:rStyle w:val="AERtextbold"/>
          <w:b/>
        </w:rPr>
        <w:t>Capital expenditure</w:t>
      </w:r>
    </w:p>
    <w:p w:rsidR="00724615" w:rsidRPr="008F3582" w:rsidRDefault="00724615" w:rsidP="00724615">
      <w:pPr>
        <w:pStyle w:val="AERbodytext"/>
        <w:numPr>
          <w:ilvl w:val="0"/>
          <w:numId w:val="6"/>
        </w:numPr>
      </w:pPr>
      <w:r w:rsidRPr="008F3582">
        <w:t>The information below relates to ActewAGL’s whole of business (distribution and transmission) capex.</w:t>
      </w:r>
    </w:p>
    <w:p w:rsidR="00724615" w:rsidRPr="008F3582" w:rsidRDefault="00724615" w:rsidP="00724615">
      <w:pPr>
        <w:pStyle w:val="AERbodytext"/>
        <w:numPr>
          <w:ilvl w:val="0"/>
          <w:numId w:val="6"/>
        </w:numPr>
      </w:pPr>
      <w:r w:rsidRPr="008F3582">
        <w:t>ActewAGL’s actual total capex spend was around 20 per cent higher than its forecast capex over the 2009–14 regulatory control period</w:t>
      </w:r>
      <w:r w:rsidR="004B4456">
        <w:t>. It spent $384 million ($2013–</w:t>
      </w:r>
      <w:r w:rsidRPr="008F3582">
        <w:t>14) compared with a capex a</w:t>
      </w:r>
      <w:r w:rsidR="004B4456">
        <w:t>llowance of $321 million ($2013–</w:t>
      </w:r>
      <w:r w:rsidRPr="008F3582">
        <w:t>14). This is an overspend of $63 million. As shown in</w:t>
      </w:r>
      <w:r w:rsidR="00A56497">
        <w:t xml:space="preserve"> </w:t>
      </w:r>
      <w:r w:rsidR="002B11C4">
        <w:fldChar w:fldCharType="begin"/>
      </w:r>
      <w:r w:rsidR="002B11C4">
        <w:instrText xml:space="preserve"> REF _Ref379457769 \h </w:instrText>
      </w:r>
      <w:r w:rsidR="002B11C4">
        <w:fldChar w:fldCharType="separate"/>
      </w:r>
      <w:r w:rsidR="00E313D7">
        <w:t xml:space="preserve">Figure </w:t>
      </w:r>
      <w:r w:rsidR="00E313D7">
        <w:rPr>
          <w:noProof/>
        </w:rPr>
        <w:t>B</w:t>
      </w:r>
      <w:r w:rsidR="00E313D7">
        <w:t>.</w:t>
      </w:r>
      <w:r w:rsidR="00E313D7">
        <w:rPr>
          <w:noProof/>
        </w:rPr>
        <w:t>9</w:t>
      </w:r>
      <w:r w:rsidR="002B11C4">
        <w:fldChar w:fldCharType="end"/>
      </w:r>
      <w:r w:rsidR="002B11C4">
        <w:t xml:space="preserve"> </w:t>
      </w:r>
      <w:r w:rsidRPr="008F3582">
        <w:t>ActewAGL overspent its capex allowance by more than 10</w:t>
      </w:r>
      <w:r w:rsidR="00ED2F78">
        <w:t> per cent</w:t>
      </w:r>
      <w:r w:rsidRPr="008F3582">
        <w:t xml:space="preserve"> in every year except the first year of the regulatory control period.</w:t>
      </w:r>
      <w:r w:rsidR="000603C4" w:rsidRPr="000033D5">
        <w:rPr>
          <w:rStyle w:val="FootnoteReference"/>
        </w:rPr>
        <w:footnoteReference w:id="165"/>
      </w:r>
    </w:p>
    <w:p w:rsidR="00724615" w:rsidRPr="008F3582" w:rsidRDefault="00724615" w:rsidP="00724615">
      <w:pPr>
        <w:pStyle w:val="AERbodytext"/>
        <w:numPr>
          <w:ilvl w:val="0"/>
          <w:numId w:val="6"/>
        </w:numPr>
      </w:pPr>
      <w:r w:rsidRPr="008F3582">
        <w:t>ActewAGL’s indicative proposed total forecast capex for the 2014–19 period is $</w:t>
      </w:r>
      <w:r w:rsidR="00F21DA0">
        <w:t>400 </w:t>
      </w:r>
      <w:r w:rsidRPr="008F3582">
        <w:t>million ($2013</w:t>
      </w:r>
      <w:r w:rsidR="00ED2F78">
        <w:t>–</w:t>
      </w:r>
      <w:r w:rsidRPr="008F3582">
        <w:t>14).</w:t>
      </w:r>
      <w:r w:rsidR="00F21DA0">
        <w:rPr>
          <w:rStyle w:val="FootnoteReference"/>
        </w:rPr>
        <w:footnoteReference w:id="166"/>
      </w:r>
      <w:r w:rsidRPr="008F3582">
        <w:t xml:space="preserve"> This is $</w:t>
      </w:r>
      <w:r w:rsidR="00F21DA0">
        <w:t>79 </w:t>
      </w:r>
      <w:r w:rsidRPr="008F3582">
        <w:t>million ($2013</w:t>
      </w:r>
      <w:r w:rsidR="00ED2F78">
        <w:t>–</w:t>
      </w:r>
      <w:r w:rsidRPr="008F3582">
        <w:t>14), or 25 per cent, higher than its allowed capex for the 2009–14 regulatory control period. It is $</w:t>
      </w:r>
      <w:r w:rsidR="00F21DA0">
        <w:t>16 </w:t>
      </w:r>
      <w:r w:rsidRPr="008F3582">
        <w:t>million ($2013</w:t>
      </w:r>
      <w:r w:rsidR="00ED2F78">
        <w:t>–</w:t>
      </w:r>
      <w:r w:rsidRPr="008F3582">
        <w:t xml:space="preserve">14), or 4 per cent more than ActewAGL’s actual total capex spend over the 2009–14 regulatory control period. </w:t>
      </w:r>
      <w:r w:rsidR="00ED2F78">
        <w:fldChar w:fldCharType="begin"/>
      </w:r>
      <w:r w:rsidR="00ED2F78">
        <w:instrText xml:space="preserve"> REF _Ref379457769 \h </w:instrText>
      </w:r>
      <w:r w:rsidR="00ED2F78">
        <w:fldChar w:fldCharType="separate"/>
      </w:r>
      <w:r w:rsidR="00E313D7">
        <w:t xml:space="preserve">Figure </w:t>
      </w:r>
      <w:r w:rsidR="00E313D7">
        <w:rPr>
          <w:noProof/>
        </w:rPr>
        <w:t>B</w:t>
      </w:r>
      <w:r w:rsidR="00E313D7">
        <w:t>.</w:t>
      </w:r>
      <w:r w:rsidR="00E313D7">
        <w:rPr>
          <w:noProof/>
        </w:rPr>
        <w:t>9</w:t>
      </w:r>
      <w:r w:rsidR="00ED2F78">
        <w:fldChar w:fldCharType="end"/>
      </w:r>
      <w:r w:rsidRPr="008F3582">
        <w:t xml:space="preserve"> shows ActewAGL’s indicative proposed forecast capex in each year of the 2014–19 period.</w:t>
      </w:r>
    </w:p>
    <w:p w:rsidR="00724615" w:rsidRPr="008F3582" w:rsidRDefault="001D00C7" w:rsidP="00ED2F78">
      <w:pPr>
        <w:pStyle w:val="Caption"/>
      </w:pPr>
      <w:bookmarkStart w:id="230" w:name="_Ref379457769"/>
      <w:r>
        <w:lastRenderedPageBreak/>
        <w:t>Figure</w:t>
      </w:r>
      <w:r w:rsidR="006B3F30">
        <w:t xml:space="preserve"> </w:t>
      </w:r>
      <w:r w:rsidR="00DD155E">
        <w:fldChar w:fldCharType="begin"/>
      </w:r>
      <w:r w:rsidR="00DD155E">
        <w:instrText xml:space="preserve"> STYLEREF 7 \s </w:instrText>
      </w:r>
      <w:r w:rsidR="00DD155E">
        <w:fldChar w:fldCharType="separate"/>
      </w:r>
      <w:r w:rsidR="00E313D7">
        <w:rPr>
          <w:noProof/>
        </w:rPr>
        <w:t>B</w:t>
      </w:r>
      <w:r w:rsidR="00DD155E">
        <w:rPr>
          <w:noProof/>
        </w:rPr>
        <w:fldChar w:fldCharType="end"/>
      </w:r>
      <w:r>
        <w:t>.</w:t>
      </w:r>
      <w:r w:rsidR="00DD155E">
        <w:fldChar w:fldCharType="begin"/>
      </w:r>
      <w:r w:rsidR="00DD155E">
        <w:instrText xml:space="preserve"> SEQ Figure_Apx \* ARABIC \s 7 </w:instrText>
      </w:r>
      <w:r w:rsidR="00DD155E">
        <w:fldChar w:fldCharType="separate"/>
      </w:r>
      <w:r w:rsidR="00E313D7">
        <w:rPr>
          <w:noProof/>
        </w:rPr>
        <w:t>9</w:t>
      </w:r>
      <w:r w:rsidR="00DD155E">
        <w:rPr>
          <w:noProof/>
        </w:rPr>
        <w:fldChar w:fldCharType="end"/>
      </w:r>
      <w:bookmarkEnd w:id="230"/>
      <w:r w:rsidR="006B3F30">
        <w:tab/>
      </w:r>
      <w:r w:rsidR="00724615" w:rsidRPr="008F3582">
        <w:t>ActewAGL (whole of business) proposed and cur</w:t>
      </w:r>
      <w:r w:rsidR="00ED2F78">
        <w:t>rent period capex ($m, nominal)</w:t>
      </w:r>
    </w:p>
    <w:p w:rsidR="00724615" w:rsidRPr="008F3582" w:rsidRDefault="008F3D66" w:rsidP="00724615">
      <w:pPr>
        <w:pStyle w:val="AERbodytext"/>
        <w:numPr>
          <w:ilvl w:val="0"/>
          <w:numId w:val="6"/>
        </w:numPr>
      </w:pPr>
      <w:r>
        <w:rPr>
          <w:noProof/>
          <w:lang w:eastAsia="en-AU"/>
        </w:rPr>
        <w:drawing>
          <wp:inline distT="0" distB="0" distL="0" distR="0" wp14:anchorId="175D715D" wp14:editId="76D2C995">
            <wp:extent cx="5456555" cy="30607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456555" cy="3060700"/>
                    </a:xfrm>
                    <a:prstGeom prst="rect">
                      <a:avLst/>
                    </a:prstGeom>
                    <a:noFill/>
                  </pic:spPr>
                </pic:pic>
              </a:graphicData>
            </a:graphic>
          </wp:inline>
        </w:drawing>
      </w:r>
    </w:p>
    <w:p w:rsidR="00724615" w:rsidRPr="00D400D5" w:rsidRDefault="007129F8" w:rsidP="00D400D5">
      <w:pPr>
        <w:pStyle w:val="AERtablesource"/>
      </w:pPr>
      <w:r>
        <w:t>Source:</w:t>
      </w:r>
      <w:r>
        <w:tab/>
      </w:r>
      <w:r w:rsidR="00D400D5" w:rsidRPr="00D400D5">
        <w:t>AER analysis</w:t>
      </w:r>
      <w:r w:rsidR="00130B85">
        <w:t>.</w:t>
      </w:r>
    </w:p>
    <w:sectPr w:rsidR="00724615" w:rsidRPr="00D400D5" w:rsidSect="00E75F8E">
      <w:headerReference w:type="even" r:id="rId56"/>
      <w:headerReference w:type="default" r:id="rId57"/>
      <w:footerReference w:type="even" r:id="rId58"/>
      <w:footerReference w:type="default" r:id="rId5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73C" w:rsidRPr="00AB4345" w:rsidRDefault="0023073C" w:rsidP="00AB4345">
      <w:r>
        <w:separator/>
      </w:r>
    </w:p>
  </w:endnote>
  <w:endnote w:type="continuationSeparator" w:id="0">
    <w:p w:rsidR="0023073C" w:rsidRPr="00AB4345" w:rsidRDefault="0023073C"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S PGothic">
    <w:panose1 w:val="020B0600070205080204"/>
    <w:charset w:val="80"/>
    <w:family w:val="swiss"/>
    <w:pitch w:val="variable"/>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3C" w:rsidRDefault="0023073C" w:rsidP="00A42D4E">
    <w:pPr>
      <w:pStyle w:val="Footer"/>
      <w:tabs>
        <w:tab w:val="clear" w:pos="4513"/>
      </w:tabs>
    </w:pPr>
    <w:r>
      <w:rPr>
        <w:rStyle w:val="AERtextorange"/>
      </w:rPr>
      <w:t xml:space="preserve">AER transitional decision </w:t>
    </w:r>
    <w:r w:rsidRPr="00A42D4E">
      <w:rPr>
        <w:rStyle w:val="AERtextblue"/>
      </w:rPr>
      <w:t>|</w:t>
    </w:r>
    <w:r>
      <w:rPr>
        <w:rStyle w:val="AERbody"/>
      </w:rPr>
      <w:t xml:space="preserve"> </w:t>
    </w:r>
    <w:r>
      <w:rPr>
        <w:rStyle w:val="AERtextorange"/>
      </w:rPr>
      <w:t>NSW/ACT DNSPs 2014–15</w:t>
    </w:r>
    <w:r>
      <w:rPr>
        <w:rStyle w:val="AERbody"/>
      </w:rPr>
      <w:t xml:space="preserve"> </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DD155E">
      <w:rPr>
        <w:rStyle w:val="AERbody"/>
        <w:noProof/>
      </w:rPr>
      <w:t>2</w:t>
    </w:r>
    <w:r w:rsidRPr="00824CC8">
      <w:rPr>
        <w:rStyle w:val="AERbody"/>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3C" w:rsidRDefault="0023073C" w:rsidP="00A42D4E">
    <w:pPr>
      <w:pStyle w:val="Footer"/>
      <w:tabs>
        <w:tab w:val="clear" w:pos="4513"/>
      </w:tabs>
    </w:pPr>
    <w:r>
      <w:rPr>
        <w:rStyle w:val="AERtextorange"/>
      </w:rPr>
      <w:t xml:space="preserve">AER transitional decision </w:t>
    </w:r>
    <w:r w:rsidRPr="00A42D4E">
      <w:rPr>
        <w:rStyle w:val="AERtextblue"/>
      </w:rPr>
      <w:t>|</w:t>
    </w:r>
    <w:r>
      <w:rPr>
        <w:rStyle w:val="AERbody"/>
      </w:rPr>
      <w:t xml:space="preserve"> </w:t>
    </w:r>
    <w:r>
      <w:rPr>
        <w:rStyle w:val="AERtextorange"/>
      </w:rPr>
      <w:t>NSW/ACT DNSPs 2014–15</w:t>
    </w:r>
    <w:r>
      <w:rPr>
        <w:rStyle w:val="AERbody"/>
      </w:rPr>
      <w:t xml:space="preserve"> </w:t>
    </w:r>
    <w:r w:rsidRPr="00210880">
      <w:rPr>
        <w:rStyle w:val="AERbody"/>
      </w:rPr>
      <w:t>|</w:t>
    </w:r>
    <w:r>
      <w:rPr>
        <w:rStyle w:val="AERbody"/>
      </w:rPr>
      <w:t xml:space="preserve"> </w:t>
    </w:r>
    <w:r>
      <w:rPr>
        <w:rStyle w:val="AERtextblue"/>
      </w:rPr>
      <w:t>AER’s approach</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2A24A8">
      <w:rPr>
        <w:rStyle w:val="AERbody"/>
        <w:noProof/>
      </w:rPr>
      <w:t>15</w:t>
    </w:r>
    <w:r w:rsidRPr="00824CC8">
      <w:rPr>
        <w:rStyle w:val="AERbody"/>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408888"/>
      <w:docPartObj>
        <w:docPartGallery w:val="Page Numbers (Bottom of Page)"/>
        <w:docPartUnique/>
      </w:docPartObj>
    </w:sdtPr>
    <w:sdtEndPr>
      <w:rPr>
        <w:rStyle w:val="AERtextblue"/>
        <w:color w:val="365F91"/>
      </w:rPr>
    </w:sdtEndPr>
    <w:sdtContent>
      <w:p w:rsidR="0023073C" w:rsidRPr="00824CC8" w:rsidRDefault="0023073C" w:rsidP="000422DF">
        <w:pPr>
          <w:pStyle w:val="Footer"/>
          <w:tabs>
            <w:tab w:val="clear" w:pos="4513"/>
            <w:tab w:val="left" w:pos="0"/>
          </w:tabs>
        </w:pP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Pr>
            <w:rStyle w:val="AERbody"/>
            <w:noProof/>
          </w:rPr>
          <w:t>54</w:t>
        </w:r>
        <w:r w:rsidRPr="00824CC8">
          <w:rPr>
            <w:rStyle w:val="AERbody"/>
          </w:rPr>
          <w:fldChar w:fldCharType="end"/>
        </w:r>
        <w:r>
          <w:rPr>
            <w:rStyle w:val="AERbody"/>
          </w:rPr>
          <w:tab/>
        </w:r>
        <w:r>
          <w:rPr>
            <w:rStyle w:val="AERtextblue"/>
          </w:rPr>
          <w:t>Other constituent decisions</w:t>
        </w:r>
        <w:r>
          <w:t xml:space="preserve"> | </w:t>
        </w:r>
        <w:r>
          <w:rPr>
            <w:rStyle w:val="AERtextorange"/>
          </w:rPr>
          <w:t xml:space="preserve">AER transitional decision </w:t>
        </w:r>
        <w:r w:rsidRPr="00A42D4E">
          <w:rPr>
            <w:rStyle w:val="AERtextblue"/>
          </w:rPr>
          <w:t>|</w:t>
        </w:r>
        <w:r>
          <w:rPr>
            <w:rStyle w:val="AERbody"/>
          </w:rPr>
          <w:t xml:space="preserve"> </w:t>
        </w:r>
        <w:r>
          <w:rPr>
            <w:rStyle w:val="AERtextorange"/>
          </w:rPr>
          <w:t>NSW/ACT DNSPs 2014–15</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3C" w:rsidRDefault="0023073C" w:rsidP="00A42D4E">
    <w:pPr>
      <w:pStyle w:val="Footer"/>
      <w:tabs>
        <w:tab w:val="clear" w:pos="4513"/>
      </w:tabs>
    </w:pPr>
    <w:r>
      <w:rPr>
        <w:rStyle w:val="AERtextorange"/>
      </w:rPr>
      <w:t xml:space="preserve">AER transitional decision </w:t>
    </w:r>
    <w:r w:rsidRPr="00A42D4E">
      <w:rPr>
        <w:rStyle w:val="AERtextblue"/>
      </w:rPr>
      <w:t>|</w:t>
    </w:r>
    <w:r>
      <w:rPr>
        <w:rStyle w:val="AERbody"/>
      </w:rPr>
      <w:t xml:space="preserve"> </w:t>
    </w:r>
    <w:r>
      <w:rPr>
        <w:rStyle w:val="AERtextorange"/>
      </w:rPr>
      <w:t>NSW/ACT DNSPs 2014–15</w:t>
    </w:r>
    <w:r>
      <w:rPr>
        <w:rStyle w:val="AERbody"/>
      </w:rPr>
      <w:t xml:space="preserve"> </w:t>
    </w:r>
    <w:r w:rsidRPr="00210880">
      <w:rPr>
        <w:rStyle w:val="AERbody"/>
      </w:rPr>
      <w:t>|</w:t>
    </w:r>
    <w:r>
      <w:rPr>
        <w:rStyle w:val="AERbody"/>
      </w:rPr>
      <w:t xml:space="preserve"> </w:t>
    </w:r>
    <w:r>
      <w:rPr>
        <w:rStyle w:val="AERtextblue"/>
      </w:rPr>
      <w:t>Other constituent decisions</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Pr>
        <w:rStyle w:val="AERbody"/>
        <w:noProof/>
      </w:rPr>
      <w:t>14</w:t>
    </w:r>
    <w:r w:rsidRPr="00824CC8">
      <w:rPr>
        <w:rStyle w:val="AERbody"/>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3C" w:rsidRDefault="0023073C" w:rsidP="00A42D4E">
    <w:pPr>
      <w:pStyle w:val="Footer"/>
      <w:tabs>
        <w:tab w:val="clear" w:pos="4513"/>
      </w:tabs>
    </w:pPr>
    <w:r>
      <w:rPr>
        <w:rStyle w:val="AERtextorange"/>
      </w:rPr>
      <w:t xml:space="preserve">AER transitional decision </w:t>
    </w:r>
    <w:r w:rsidRPr="00A42D4E">
      <w:rPr>
        <w:rStyle w:val="AERtextblue"/>
      </w:rPr>
      <w:t>|</w:t>
    </w:r>
    <w:r>
      <w:rPr>
        <w:rStyle w:val="AERbody"/>
      </w:rPr>
      <w:t xml:space="preserve"> </w:t>
    </w:r>
    <w:r>
      <w:rPr>
        <w:rStyle w:val="AERtextorange"/>
      </w:rPr>
      <w:t>NSW/ACT DNSPs 2014–15</w:t>
    </w:r>
    <w:r>
      <w:rPr>
        <w:rStyle w:val="AERbody"/>
      </w:rPr>
      <w:t xml:space="preserve"> </w:t>
    </w:r>
    <w:r w:rsidRPr="00210880">
      <w:rPr>
        <w:rStyle w:val="AERbody"/>
      </w:rPr>
      <w:t>|</w:t>
    </w:r>
    <w:r>
      <w:rPr>
        <w:rStyle w:val="AERbody"/>
      </w:rPr>
      <w:t xml:space="preserve"> </w:t>
    </w:r>
    <w:r>
      <w:rPr>
        <w:rStyle w:val="AERtextblue"/>
      </w:rPr>
      <w:t>Revenues for the transitional year</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DD155E">
      <w:rPr>
        <w:rStyle w:val="AERbody"/>
        <w:noProof/>
      </w:rPr>
      <w:t>39</w:t>
    </w:r>
    <w:r w:rsidRPr="00824CC8">
      <w:rPr>
        <w:rStyle w:val="AERbody"/>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3C" w:rsidRDefault="0023073C" w:rsidP="00A42D4E">
    <w:pPr>
      <w:pStyle w:val="Footer"/>
      <w:tabs>
        <w:tab w:val="clear" w:pos="4513"/>
      </w:tabs>
    </w:pPr>
    <w:r>
      <w:rPr>
        <w:rStyle w:val="AERtextorange"/>
      </w:rPr>
      <w:t xml:space="preserve">AER transitional decision </w:t>
    </w:r>
    <w:r w:rsidRPr="00A42D4E">
      <w:rPr>
        <w:rStyle w:val="AERtextblue"/>
      </w:rPr>
      <w:t>|</w:t>
    </w:r>
    <w:r>
      <w:rPr>
        <w:rStyle w:val="AERbody"/>
      </w:rPr>
      <w:t xml:space="preserve"> </w:t>
    </w:r>
    <w:r>
      <w:rPr>
        <w:rStyle w:val="AERtextorange"/>
      </w:rPr>
      <w:t>NSW/ACT DNSPs 2014–15</w:t>
    </w:r>
    <w:r>
      <w:rPr>
        <w:rStyle w:val="AERbody"/>
      </w:rPr>
      <w:t xml:space="preserve"> </w:t>
    </w:r>
    <w:r w:rsidRPr="00210880">
      <w:rPr>
        <w:rStyle w:val="AERbody"/>
      </w:rPr>
      <w:t>|</w:t>
    </w:r>
    <w:r>
      <w:rPr>
        <w:rStyle w:val="AERbody"/>
      </w:rPr>
      <w:t xml:space="preserve"> </w:t>
    </w:r>
    <w:r>
      <w:rPr>
        <w:rStyle w:val="AERtextblue"/>
      </w:rPr>
      <w:t>Other constituent decisions</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2A24A8">
      <w:rPr>
        <w:rStyle w:val="AERbody"/>
        <w:noProof/>
      </w:rPr>
      <w:t>55</w:t>
    </w:r>
    <w:r w:rsidRPr="00824CC8">
      <w:rPr>
        <w:rStyle w:val="AERbody"/>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3C" w:rsidRDefault="0023073C" w:rsidP="00A42D4E">
    <w:pPr>
      <w:pStyle w:val="Footer"/>
      <w:tabs>
        <w:tab w:val="clear" w:pos="4513"/>
      </w:tabs>
    </w:pPr>
    <w:r>
      <w:rPr>
        <w:rStyle w:val="AERtextorange"/>
      </w:rPr>
      <w:t xml:space="preserve">AER transitional decision </w:t>
    </w:r>
    <w:r w:rsidRPr="00A42D4E">
      <w:rPr>
        <w:rStyle w:val="AERtextblue"/>
      </w:rPr>
      <w:t>|</w:t>
    </w:r>
    <w:r>
      <w:rPr>
        <w:rStyle w:val="AERbody"/>
      </w:rPr>
      <w:t xml:space="preserve"> </w:t>
    </w:r>
    <w:r>
      <w:rPr>
        <w:rStyle w:val="AERtextorange"/>
      </w:rPr>
      <w:t>NSW/ACT DNSPs 2014–15</w:t>
    </w:r>
    <w:r>
      <w:rPr>
        <w:rStyle w:val="AERbody"/>
      </w:rPr>
      <w:t xml:space="preserve"> </w:t>
    </w:r>
    <w:r w:rsidRPr="00210880">
      <w:rPr>
        <w:rStyle w:val="AERbody"/>
      </w:rPr>
      <w:t>|</w:t>
    </w:r>
    <w:r>
      <w:rPr>
        <w:rStyle w:val="AERbody"/>
      </w:rPr>
      <w:t xml:space="preserve"> </w:t>
    </w:r>
    <w:r>
      <w:rPr>
        <w:rStyle w:val="AERtextblue"/>
      </w:rPr>
      <w:t>Part 2 — Appendices</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2A24A8">
      <w:rPr>
        <w:rStyle w:val="AERbody"/>
        <w:noProof/>
      </w:rPr>
      <w:t>58</w:t>
    </w:r>
    <w:r w:rsidRPr="00824CC8">
      <w:rPr>
        <w:rStyle w:val="AERbody"/>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547348"/>
      <w:docPartObj>
        <w:docPartGallery w:val="Page Numbers (Bottom of Page)"/>
        <w:docPartUnique/>
      </w:docPartObj>
    </w:sdtPr>
    <w:sdtEndPr>
      <w:rPr>
        <w:rStyle w:val="AERtextblue"/>
        <w:color w:val="365F91"/>
      </w:rPr>
    </w:sdtEndPr>
    <w:sdtContent>
      <w:p w:rsidR="0023073C" w:rsidRPr="00824CC8" w:rsidRDefault="0023073C" w:rsidP="000422DF">
        <w:pPr>
          <w:pStyle w:val="Footer"/>
          <w:tabs>
            <w:tab w:val="clear" w:pos="4513"/>
            <w:tab w:val="left" w:pos="0"/>
          </w:tabs>
        </w:pP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Pr>
            <w:rStyle w:val="AERbody"/>
            <w:noProof/>
          </w:rPr>
          <w:t>56</w:t>
        </w:r>
        <w:r w:rsidRPr="00824CC8">
          <w:rPr>
            <w:rStyle w:val="AERbody"/>
          </w:rPr>
          <w:fldChar w:fldCharType="end"/>
        </w:r>
        <w:r>
          <w:rPr>
            <w:rStyle w:val="AERbody"/>
          </w:rPr>
          <w:tab/>
        </w:r>
        <w:r>
          <w:rPr>
            <w:rStyle w:val="AERtextblue"/>
          </w:rPr>
          <w:t>Submissions</w:t>
        </w:r>
        <w:r>
          <w:t xml:space="preserve"> | </w:t>
        </w:r>
        <w:r>
          <w:rPr>
            <w:rStyle w:val="AERtextorange"/>
          </w:rPr>
          <w:t xml:space="preserve">AER transitional decision </w:t>
        </w:r>
        <w:r w:rsidRPr="00A42D4E">
          <w:rPr>
            <w:rStyle w:val="AERtextblue"/>
          </w:rPr>
          <w:t>|</w:t>
        </w:r>
        <w:r>
          <w:rPr>
            <w:rStyle w:val="AERbody"/>
          </w:rPr>
          <w:t xml:space="preserve"> </w:t>
        </w:r>
        <w:r>
          <w:rPr>
            <w:rStyle w:val="AERtextorange"/>
          </w:rPr>
          <w:t>NSW/ACT DNSPs 2014–15</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3C" w:rsidRDefault="0023073C" w:rsidP="00A42D4E">
    <w:pPr>
      <w:pStyle w:val="Footer"/>
      <w:tabs>
        <w:tab w:val="clear" w:pos="4513"/>
      </w:tabs>
    </w:pPr>
    <w:r>
      <w:rPr>
        <w:rStyle w:val="AERtextorange"/>
      </w:rPr>
      <w:t xml:space="preserve">AER transitional decision </w:t>
    </w:r>
    <w:r w:rsidRPr="00A42D4E">
      <w:rPr>
        <w:rStyle w:val="AERtextblue"/>
      </w:rPr>
      <w:t>|</w:t>
    </w:r>
    <w:r>
      <w:rPr>
        <w:rStyle w:val="AERbody"/>
      </w:rPr>
      <w:t xml:space="preserve"> </w:t>
    </w:r>
    <w:r>
      <w:rPr>
        <w:rStyle w:val="AERtextorange"/>
      </w:rPr>
      <w:t>NSW/ACT DNSPs 2014–15</w:t>
    </w:r>
    <w:r>
      <w:rPr>
        <w:rStyle w:val="AERbody"/>
      </w:rPr>
      <w:t xml:space="preserve"> </w:t>
    </w:r>
    <w:r w:rsidRPr="00210880">
      <w:rPr>
        <w:rStyle w:val="AERbody"/>
      </w:rPr>
      <w:t>|</w:t>
    </w:r>
    <w:r>
      <w:rPr>
        <w:rStyle w:val="AERbody"/>
      </w:rPr>
      <w:t xml:space="preserve"> </w:t>
    </w:r>
    <w:r>
      <w:rPr>
        <w:rStyle w:val="AERtextblue"/>
      </w:rPr>
      <w:t>Submissions</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DD155E">
      <w:rPr>
        <w:rStyle w:val="AERbody"/>
        <w:noProof/>
      </w:rPr>
      <w:t>60</w:t>
    </w:r>
    <w:r w:rsidRPr="00824CC8">
      <w:rPr>
        <w:rStyle w:val="AERbody"/>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982619"/>
      <w:docPartObj>
        <w:docPartGallery w:val="Page Numbers (Bottom of Page)"/>
        <w:docPartUnique/>
      </w:docPartObj>
    </w:sdtPr>
    <w:sdtEndPr>
      <w:rPr>
        <w:rStyle w:val="AERtextblue"/>
        <w:color w:val="365F91"/>
      </w:rPr>
    </w:sdtEndPr>
    <w:sdtContent>
      <w:p w:rsidR="0023073C" w:rsidRPr="00824CC8" w:rsidRDefault="0023073C" w:rsidP="000422DF">
        <w:pPr>
          <w:pStyle w:val="Footer"/>
          <w:tabs>
            <w:tab w:val="clear" w:pos="4513"/>
            <w:tab w:val="left" w:pos="0"/>
          </w:tabs>
        </w:pP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Pr>
            <w:rStyle w:val="AERbody"/>
            <w:noProof/>
          </w:rPr>
          <w:t>58</w:t>
        </w:r>
        <w:r w:rsidRPr="00824CC8">
          <w:rPr>
            <w:rStyle w:val="AERbody"/>
          </w:rPr>
          <w:fldChar w:fldCharType="end"/>
        </w:r>
        <w:r>
          <w:rPr>
            <w:rStyle w:val="AERbody"/>
          </w:rPr>
          <w:tab/>
        </w:r>
        <w:r>
          <w:rPr>
            <w:rStyle w:val="AERtextblue"/>
          </w:rPr>
          <w:t>Submissions</w:t>
        </w:r>
        <w:r>
          <w:t xml:space="preserve"> | </w:t>
        </w:r>
        <w:r>
          <w:rPr>
            <w:rStyle w:val="AERtextorange"/>
          </w:rPr>
          <w:t xml:space="preserve">AER transitional decision </w:t>
        </w:r>
        <w:r w:rsidRPr="00A42D4E">
          <w:rPr>
            <w:rStyle w:val="AERtextblue"/>
          </w:rPr>
          <w:t>|</w:t>
        </w:r>
        <w:r>
          <w:rPr>
            <w:rStyle w:val="AERbody"/>
          </w:rPr>
          <w:t xml:space="preserve"> </w:t>
        </w:r>
        <w:r>
          <w:rPr>
            <w:rStyle w:val="AERtextorange"/>
          </w:rPr>
          <w:t>NSW/ACT DNSPs 2014–15</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3C" w:rsidRDefault="0023073C" w:rsidP="00A42D4E">
    <w:pPr>
      <w:pStyle w:val="Footer"/>
      <w:tabs>
        <w:tab w:val="clear" w:pos="4513"/>
      </w:tabs>
    </w:pPr>
    <w:r>
      <w:rPr>
        <w:rStyle w:val="AERtextorange"/>
      </w:rPr>
      <w:t xml:space="preserve">AER transitional decision </w:t>
    </w:r>
    <w:r w:rsidRPr="00A42D4E">
      <w:rPr>
        <w:rStyle w:val="AERtextblue"/>
      </w:rPr>
      <w:t>|</w:t>
    </w:r>
    <w:r>
      <w:rPr>
        <w:rStyle w:val="AERbody"/>
      </w:rPr>
      <w:t xml:space="preserve"> </w:t>
    </w:r>
    <w:r>
      <w:rPr>
        <w:rStyle w:val="AERtextorange"/>
      </w:rPr>
      <w:t>NSW/ACT DNSPs 2014–15</w:t>
    </w:r>
    <w:r>
      <w:rPr>
        <w:rStyle w:val="AERbody"/>
      </w:rPr>
      <w:t xml:space="preserve"> </w:t>
    </w:r>
    <w:r w:rsidRPr="00210880">
      <w:rPr>
        <w:rStyle w:val="AERbody"/>
      </w:rPr>
      <w:t>|</w:t>
    </w:r>
    <w:r>
      <w:rPr>
        <w:rStyle w:val="AERbody"/>
      </w:rPr>
      <w:t xml:space="preserve"> </w:t>
    </w:r>
    <w:r>
      <w:rPr>
        <w:rStyle w:val="AERtextblue"/>
      </w:rPr>
      <w:t>Summary</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2A24A8">
      <w:rPr>
        <w:rStyle w:val="AERbody"/>
        <w:noProof/>
      </w:rPr>
      <w:t>61</w:t>
    </w:r>
    <w:r w:rsidRPr="00824CC8">
      <w:rPr>
        <w:rStyle w:val="AERbod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3C" w:rsidRPr="002401A5" w:rsidRDefault="0023073C" w:rsidP="002401A5">
    <w:pPr>
      <w:pStyle w:val="Footer"/>
    </w:pPr>
    <w:r>
      <w:rPr>
        <w:rStyle w:val="AERtextorange"/>
      </w:rPr>
      <w:t xml:space="preserve">AER transitional decision </w:t>
    </w:r>
    <w:r w:rsidRPr="00A42D4E">
      <w:rPr>
        <w:rStyle w:val="AERtextblue"/>
      </w:rPr>
      <w:t>|</w:t>
    </w:r>
    <w:r>
      <w:rPr>
        <w:rStyle w:val="AERbody"/>
      </w:rPr>
      <w:t xml:space="preserve"> </w:t>
    </w:r>
    <w:r>
      <w:rPr>
        <w:rStyle w:val="AERtextorange"/>
      </w:rPr>
      <w:t xml:space="preserve">NSW/ACT DNSPs 2014–15 </w:t>
    </w:r>
    <w:r w:rsidRPr="00A42D4E">
      <w:rPr>
        <w:rStyle w:val="AERtextblue"/>
      </w:rPr>
      <w:t>|</w:t>
    </w:r>
    <w:r>
      <w:rPr>
        <w:rStyle w:val="AERbody"/>
      </w:rPr>
      <w:t xml:space="preserve"> </w:t>
    </w:r>
    <w:r>
      <w:rPr>
        <w:rStyle w:val="AERtextblue"/>
      </w:rPr>
      <w:t>Contents</w:t>
    </w:r>
    <w:r>
      <w:rPr>
        <w:rStyle w:val="AERtextblue"/>
      </w:rPr>
      <w:tab/>
    </w:r>
    <w:r w:rsidRPr="000B70D8">
      <w:rPr>
        <w:rStyle w:val="AERtextblue"/>
      </w:rPr>
      <w:fldChar w:fldCharType="begin"/>
    </w:r>
    <w:r w:rsidRPr="000B70D8">
      <w:rPr>
        <w:rStyle w:val="AERtextblue"/>
      </w:rPr>
      <w:instrText xml:space="preserve"> PAGE   \* MERGEFORMAT </w:instrText>
    </w:r>
    <w:r w:rsidRPr="000B70D8">
      <w:rPr>
        <w:rStyle w:val="AERtextblue"/>
      </w:rPr>
      <w:fldChar w:fldCharType="separate"/>
    </w:r>
    <w:r w:rsidR="00DD155E">
      <w:rPr>
        <w:rStyle w:val="AERtextblue"/>
        <w:noProof/>
      </w:rPr>
      <w:t>ii</w:t>
    </w:r>
    <w:r w:rsidRPr="000B70D8">
      <w:rPr>
        <w:rStyle w:val="AERtextblue"/>
        <w:noProof/>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913702"/>
      <w:docPartObj>
        <w:docPartGallery w:val="Page Numbers (Bottom of Page)"/>
        <w:docPartUnique/>
      </w:docPartObj>
    </w:sdtPr>
    <w:sdtEndPr>
      <w:rPr>
        <w:rStyle w:val="AERtextblue"/>
        <w:color w:val="365F91"/>
      </w:rPr>
    </w:sdtEndPr>
    <w:sdtContent>
      <w:p w:rsidR="0023073C" w:rsidRPr="00824CC8" w:rsidRDefault="0023073C" w:rsidP="000422DF">
        <w:pPr>
          <w:pStyle w:val="Footer"/>
          <w:tabs>
            <w:tab w:val="clear" w:pos="4513"/>
            <w:tab w:val="left" w:pos="0"/>
          </w:tabs>
        </w:pP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Pr>
            <w:rStyle w:val="AERbody"/>
            <w:noProof/>
          </w:rPr>
          <w:t>82</w:t>
        </w:r>
        <w:r w:rsidRPr="00824CC8">
          <w:rPr>
            <w:rStyle w:val="AERbody"/>
          </w:rPr>
          <w:fldChar w:fldCharType="end"/>
        </w:r>
        <w:r>
          <w:rPr>
            <w:rStyle w:val="AERbody"/>
          </w:rPr>
          <w:tab/>
        </w:r>
        <w:r>
          <w:rPr>
            <w:rStyle w:val="AERtextblue"/>
          </w:rPr>
          <w:t>Submissions</w:t>
        </w:r>
        <w:r>
          <w:t xml:space="preserve"> | </w:t>
        </w:r>
        <w:r>
          <w:rPr>
            <w:rStyle w:val="AERtextorange"/>
          </w:rPr>
          <w:t xml:space="preserve">AER transitional decision </w:t>
        </w:r>
        <w:r w:rsidRPr="00A42D4E">
          <w:rPr>
            <w:rStyle w:val="AERtextblue"/>
          </w:rPr>
          <w:t>|</w:t>
        </w:r>
        <w:r>
          <w:rPr>
            <w:rStyle w:val="AERbody"/>
          </w:rPr>
          <w:t xml:space="preserve"> </w:t>
        </w:r>
        <w:r>
          <w:rPr>
            <w:rStyle w:val="AERtextorange"/>
          </w:rPr>
          <w:t>NSW/ACT DNSPs 2014–15</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3C" w:rsidRDefault="0023073C" w:rsidP="00A42D4E">
    <w:pPr>
      <w:pStyle w:val="Footer"/>
      <w:tabs>
        <w:tab w:val="clear" w:pos="4513"/>
      </w:tabs>
    </w:pPr>
    <w:r>
      <w:rPr>
        <w:rStyle w:val="AERtextorange"/>
      </w:rPr>
      <w:t xml:space="preserve">AER transitional decision </w:t>
    </w:r>
    <w:r w:rsidRPr="00A42D4E">
      <w:rPr>
        <w:rStyle w:val="AERtextblue"/>
      </w:rPr>
      <w:t>|</w:t>
    </w:r>
    <w:r>
      <w:rPr>
        <w:rStyle w:val="AERbody"/>
      </w:rPr>
      <w:t xml:space="preserve"> </w:t>
    </w:r>
    <w:r>
      <w:rPr>
        <w:rStyle w:val="AERtextorange"/>
      </w:rPr>
      <w:t>NSW/ACT DNSPs 2014–15</w:t>
    </w:r>
    <w:r>
      <w:rPr>
        <w:rStyle w:val="AERbody"/>
      </w:rPr>
      <w:t xml:space="preserve"> </w:t>
    </w:r>
    <w:r w:rsidRPr="00210880">
      <w:rPr>
        <w:rStyle w:val="AERbody"/>
      </w:rPr>
      <w:t>|</w:t>
    </w:r>
    <w:r>
      <w:rPr>
        <w:rStyle w:val="AERbody"/>
      </w:rPr>
      <w:t xml:space="preserve"> </w:t>
    </w:r>
    <w:r>
      <w:rPr>
        <w:rStyle w:val="AERtextblue"/>
      </w:rPr>
      <w:t>Summary</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DD155E">
      <w:rPr>
        <w:rStyle w:val="AERbody"/>
        <w:noProof/>
      </w:rPr>
      <w:t>84</w:t>
    </w:r>
    <w:r w:rsidRPr="00824CC8">
      <w:rPr>
        <w:rStyle w:val="AERbod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3C" w:rsidRPr="002401A5" w:rsidRDefault="0023073C" w:rsidP="002401A5">
    <w:pPr>
      <w:pStyle w:val="Footer"/>
    </w:pPr>
    <w:r>
      <w:rPr>
        <w:rStyle w:val="AERtextorange"/>
      </w:rPr>
      <w:t xml:space="preserve">AER transitional decision </w:t>
    </w:r>
    <w:r w:rsidRPr="00A42D4E">
      <w:rPr>
        <w:rStyle w:val="AERtextblue"/>
      </w:rPr>
      <w:t>|</w:t>
    </w:r>
    <w:r>
      <w:rPr>
        <w:rStyle w:val="AERbody"/>
      </w:rPr>
      <w:t xml:space="preserve"> </w:t>
    </w:r>
    <w:r>
      <w:rPr>
        <w:rStyle w:val="AERtextorange"/>
      </w:rPr>
      <w:t xml:space="preserve">NSW/ACT DNSPs 2014–15 </w:t>
    </w:r>
    <w:r w:rsidRPr="00A42D4E">
      <w:rPr>
        <w:rStyle w:val="AERtextblue"/>
      </w:rPr>
      <w:t>|</w:t>
    </w:r>
    <w:r>
      <w:rPr>
        <w:rStyle w:val="AERbody"/>
      </w:rPr>
      <w:t xml:space="preserve"> </w:t>
    </w:r>
    <w:r>
      <w:rPr>
        <w:rStyle w:val="AERtextblue"/>
      </w:rPr>
      <w:t>Shortened forms</w:t>
    </w:r>
    <w:r>
      <w:rPr>
        <w:rStyle w:val="AERtextblue"/>
      </w:rPr>
      <w:tab/>
    </w:r>
    <w:r w:rsidRPr="000B70D8">
      <w:rPr>
        <w:rStyle w:val="AERtextblue"/>
      </w:rPr>
      <w:fldChar w:fldCharType="begin"/>
    </w:r>
    <w:r w:rsidRPr="000B70D8">
      <w:rPr>
        <w:rStyle w:val="AERtextblue"/>
      </w:rPr>
      <w:instrText xml:space="preserve"> PAGE   \* MERGEFORMAT </w:instrText>
    </w:r>
    <w:r w:rsidRPr="000B70D8">
      <w:rPr>
        <w:rStyle w:val="AERtextblue"/>
      </w:rPr>
      <w:fldChar w:fldCharType="separate"/>
    </w:r>
    <w:r w:rsidR="00DD155E">
      <w:rPr>
        <w:rStyle w:val="AERtextblue"/>
        <w:noProof/>
      </w:rPr>
      <w:t>iii</w:t>
    </w:r>
    <w:r w:rsidRPr="000B70D8">
      <w:rPr>
        <w:rStyle w:val="AERtextblue"/>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3C" w:rsidRPr="002401A5" w:rsidRDefault="0023073C" w:rsidP="002401A5">
    <w:pPr>
      <w:pStyle w:val="Footer"/>
    </w:pPr>
    <w:r>
      <w:rPr>
        <w:rStyle w:val="AERtextorange"/>
      </w:rPr>
      <w:t xml:space="preserve">AER transitional decision </w:t>
    </w:r>
    <w:r w:rsidRPr="00A42D4E">
      <w:rPr>
        <w:rStyle w:val="AERtextblue"/>
      </w:rPr>
      <w:t>|</w:t>
    </w:r>
    <w:r>
      <w:rPr>
        <w:rStyle w:val="AERbody"/>
      </w:rPr>
      <w:t xml:space="preserve"> </w:t>
    </w:r>
    <w:r>
      <w:rPr>
        <w:rStyle w:val="AERtextorange"/>
      </w:rPr>
      <w:t xml:space="preserve">NSW/ACT DNSPs 2014–15 </w:t>
    </w:r>
    <w:r w:rsidRPr="00A42D4E">
      <w:rPr>
        <w:rStyle w:val="AERtextblue"/>
      </w:rPr>
      <w:t>|</w:t>
    </w:r>
    <w:r>
      <w:rPr>
        <w:rStyle w:val="AERbody"/>
      </w:rPr>
      <w:t xml:space="preserve"> </w:t>
    </w:r>
    <w:r>
      <w:rPr>
        <w:rStyle w:val="AERtextblue"/>
      </w:rPr>
      <w:t>Part 1 — AER’s decision</w:t>
    </w:r>
    <w:r>
      <w:rPr>
        <w:rStyle w:val="AERtextblue"/>
      </w:rPr>
      <w:tab/>
    </w:r>
    <w:r w:rsidRPr="000B70D8">
      <w:rPr>
        <w:rStyle w:val="AERtextblue"/>
      </w:rPr>
      <w:fldChar w:fldCharType="begin"/>
    </w:r>
    <w:r w:rsidRPr="000B70D8">
      <w:rPr>
        <w:rStyle w:val="AERtextblue"/>
      </w:rPr>
      <w:instrText xml:space="preserve"> PAGE   \* MERGEFORMAT </w:instrText>
    </w:r>
    <w:r w:rsidRPr="000B70D8">
      <w:rPr>
        <w:rStyle w:val="AERtextblue"/>
      </w:rPr>
      <w:fldChar w:fldCharType="separate"/>
    </w:r>
    <w:r w:rsidR="00DD155E">
      <w:rPr>
        <w:rStyle w:val="AERtextblue"/>
        <w:noProof/>
      </w:rPr>
      <w:t>1</w:t>
    </w:r>
    <w:r w:rsidRPr="000B70D8">
      <w:rPr>
        <w:rStyle w:val="AERtextblue"/>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3C" w:rsidRPr="00824CC8" w:rsidRDefault="00DD155E" w:rsidP="000422DF">
    <w:pPr>
      <w:pStyle w:val="Footer"/>
      <w:tabs>
        <w:tab w:val="clear" w:pos="4513"/>
        <w:tab w:val="left" w:pos="0"/>
      </w:tabs>
    </w:pPr>
    <w:sdt>
      <w:sdtPr>
        <w:id w:val="-2036885079"/>
        <w:docPartObj>
          <w:docPartGallery w:val="Page Numbers (Bottom of Page)"/>
          <w:docPartUnique/>
        </w:docPartObj>
      </w:sdtPr>
      <w:sdtEndPr>
        <w:rPr>
          <w:rStyle w:val="AERtextblue"/>
          <w:color w:val="365F91"/>
        </w:rPr>
      </w:sdtEndPr>
      <w:sdtContent>
        <w:r w:rsidR="0023073C" w:rsidRPr="00824CC8">
          <w:rPr>
            <w:rStyle w:val="AERbody"/>
          </w:rPr>
          <w:fldChar w:fldCharType="begin"/>
        </w:r>
        <w:r w:rsidR="0023073C" w:rsidRPr="00824CC8">
          <w:rPr>
            <w:rStyle w:val="AERbody"/>
          </w:rPr>
          <w:instrText xml:space="preserve"> PAGE   \* MERGEFORMAT </w:instrText>
        </w:r>
        <w:r w:rsidR="0023073C" w:rsidRPr="00824CC8">
          <w:rPr>
            <w:rStyle w:val="AERbody"/>
          </w:rPr>
          <w:fldChar w:fldCharType="separate"/>
        </w:r>
        <w:r w:rsidR="0023073C">
          <w:rPr>
            <w:rStyle w:val="AERbody"/>
            <w:noProof/>
          </w:rPr>
          <w:t>8</w:t>
        </w:r>
        <w:r w:rsidR="0023073C" w:rsidRPr="00824CC8">
          <w:rPr>
            <w:rStyle w:val="AERbody"/>
          </w:rPr>
          <w:fldChar w:fldCharType="end"/>
        </w:r>
        <w:r w:rsidR="0023073C">
          <w:rPr>
            <w:rStyle w:val="AERbody"/>
          </w:rPr>
          <w:tab/>
        </w:r>
        <w:r w:rsidR="0023073C">
          <w:rPr>
            <w:rStyle w:val="AERtextblue"/>
          </w:rPr>
          <w:t>Overview</w:t>
        </w:r>
        <w:r w:rsidR="0023073C">
          <w:t xml:space="preserve"> | </w:t>
        </w:r>
        <w:r w:rsidR="0023073C">
          <w:rPr>
            <w:rStyle w:val="AERtextorange"/>
          </w:rPr>
          <w:t xml:space="preserve">AER transitional decision </w:t>
        </w:r>
        <w:r w:rsidR="0023073C" w:rsidRPr="00A42D4E">
          <w:rPr>
            <w:rStyle w:val="AERtextblue"/>
          </w:rPr>
          <w:t>|</w:t>
        </w:r>
        <w:r w:rsidR="0023073C">
          <w:rPr>
            <w:rStyle w:val="AERbody"/>
          </w:rPr>
          <w:t xml:space="preserve"> </w:t>
        </w:r>
        <w:r w:rsidR="0023073C">
          <w:rPr>
            <w:rStyle w:val="AERtextorange"/>
          </w:rPr>
          <w:t>NSW/ACT DNSPs 2014–15</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3C" w:rsidRDefault="0023073C" w:rsidP="00A42D4E">
    <w:pPr>
      <w:pStyle w:val="Footer"/>
      <w:tabs>
        <w:tab w:val="clear" w:pos="4513"/>
      </w:tabs>
    </w:pPr>
    <w:r>
      <w:rPr>
        <w:rStyle w:val="AERtextorange"/>
      </w:rPr>
      <w:t xml:space="preserve">AER transitional decision </w:t>
    </w:r>
    <w:r w:rsidRPr="00A42D4E">
      <w:rPr>
        <w:rStyle w:val="AERtextblue"/>
      </w:rPr>
      <w:t>|</w:t>
    </w:r>
    <w:r>
      <w:rPr>
        <w:rStyle w:val="AERbody"/>
      </w:rPr>
      <w:t xml:space="preserve"> </w:t>
    </w:r>
    <w:r>
      <w:rPr>
        <w:rStyle w:val="AERtextorange"/>
      </w:rPr>
      <w:t>NSW/ACT DNSPs 2014–15</w:t>
    </w:r>
    <w:r>
      <w:rPr>
        <w:rStyle w:val="AERbody"/>
      </w:rPr>
      <w:t xml:space="preserve"> </w:t>
    </w:r>
    <w:r w:rsidRPr="00210880">
      <w:rPr>
        <w:rStyle w:val="AERbody"/>
      </w:rPr>
      <w:t>|</w:t>
    </w:r>
    <w:r>
      <w:rPr>
        <w:rStyle w:val="AERbody"/>
      </w:rPr>
      <w:t xml:space="preserve"> </w:t>
    </w:r>
    <w:r>
      <w:rPr>
        <w:rStyle w:val="AERtextblue"/>
      </w:rPr>
      <w:t xml:space="preserve">Overview </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DD155E">
      <w:rPr>
        <w:rStyle w:val="AERbody"/>
        <w:noProof/>
      </w:rPr>
      <w:t>4</w:t>
    </w:r>
    <w:r w:rsidRPr="00824CC8">
      <w:rPr>
        <w:rStyle w:val="AERbody"/>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3C" w:rsidRPr="00824CC8" w:rsidRDefault="00DD155E" w:rsidP="000422DF">
    <w:pPr>
      <w:pStyle w:val="Footer"/>
      <w:tabs>
        <w:tab w:val="clear" w:pos="4513"/>
        <w:tab w:val="left" w:pos="0"/>
      </w:tabs>
    </w:pPr>
    <w:sdt>
      <w:sdtPr>
        <w:id w:val="1085276831"/>
        <w:docPartObj>
          <w:docPartGallery w:val="Page Numbers (Bottom of Page)"/>
          <w:docPartUnique/>
        </w:docPartObj>
      </w:sdtPr>
      <w:sdtEndPr>
        <w:rPr>
          <w:rStyle w:val="AERtextblue"/>
          <w:color w:val="365F91"/>
        </w:rPr>
      </w:sdtEndPr>
      <w:sdtContent>
        <w:r w:rsidR="0023073C" w:rsidRPr="00824CC8">
          <w:rPr>
            <w:rStyle w:val="AERbody"/>
          </w:rPr>
          <w:fldChar w:fldCharType="begin"/>
        </w:r>
        <w:r w:rsidR="0023073C" w:rsidRPr="00824CC8">
          <w:rPr>
            <w:rStyle w:val="AERbody"/>
          </w:rPr>
          <w:instrText xml:space="preserve"> PAGE   \* MERGEFORMAT </w:instrText>
        </w:r>
        <w:r w:rsidR="0023073C" w:rsidRPr="00824CC8">
          <w:rPr>
            <w:rStyle w:val="AERbody"/>
          </w:rPr>
          <w:fldChar w:fldCharType="separate"/>
        </w:r>
        <w:r w:rsidR="0023073C">
          <w:rPr>
            <w:rStyle w:val="AERbody"/>
            <w:noProof/>
          </w:rPr>
          <w:t>10</w:t>
        </w:r>
        <w:r w:rsidR="0023073C" w:rsidRPr="00824CC8">
          <w:rPr>
            <w:rStyle w:val="AERbody"/>
          </w:rPr>
          <w:fldChar w:fldCharType="end"/>
        </w:r>
        <w:r w:rsidR="0023073C">
          <w:rPr>
            <w:rStyle w:val="AERbody"/>
          </w:rPr>
          <w:tab/>
        </w:r>
        <w:r w:rsidR="0023073C">
          <w:rPr>
            <w:rStyle w:val="AERtextblue"/>
          </w:rPr>
          <w:t>About this review</w:t>
        </w:r>
        <w:r w:rsidR="0023073C">
          <w:t xml:space="preserve"> | </w:t>
        </w:r>
        <w:r w:rsidR="0023073C">
          <w:rPr>
            <w:rStyle w:val="AERtextorange"/>
          </w:rPr>
          <w:t xml:space="preserve">AER transitional decision </w:t>
        </w:r>
        <w:r w:rsidR="0023073C" w:rsidRPr="00A42D4E">
          <w:rPr>
            <w:rStyle w:val="AERtextblue"/>
          </w:rPr>
          <w:t>|</w:t>
        </w:r>
        <w:r w:rsidR="0023073C">
          <w:rPr>
            <w:rStyle w:val="AERbody"/>
          </w:rPr>
          <w:t xml:space="preserve"> </w:t>
        </w:r>
        <w:r w:rsidR="0023073C">
          <w:rPr>
            <w:rStyle w:val="AERtextorange"/>
          </w:rPr>
          <w:t>NSW/ACT DNSPs 2014–15</w:t>
        </w: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3C" w:rsidRDefault="0023073C" w:rsidP="00A42D4E">
    <w:pPr>
      <w:pStyle w:val="Footer"/>
      <w:tabs>
        <w:tab w:val="clear" w:pos="4513"/>
      </w:tabs>
    </w:pPr>
    <w:r>
      <w:rPr>
        <w:rStyle w:val="AERtextorange"/>
      </w:rPr>
      <w:t xml:space="preserve">AER transitional decision </w:t>
    </w:r>
    <w:r w:rsidRPr="00A42D4E">
      <w:rPr>
        <w:rStyle w:val="AERtextblue"/>
      </w:rPr>
      <w:t>|</w:t>
    </w:r>
    <w:r>
      <w:rPr>
        <w:rStyle w:val="AERbody"/>
      </w:rPr>
      <w:t xml:space="preserve"> </w:t>
    </w:r>
    <w:r>
      <w:rPr>
        <w:rStyle w:val="AERtextorange"/>
      </w:rPr>
      <w:t>NSW/ACT DNSPs 2014–15</w:t>
    </w:r>
    <w:r>
      <w:rPr>
        <w:rStyle w:val="AERbody"/>
      </w:rPr>
      <w:t xml:space="preserve"> </w:t>
    </w:r>
    <w:r w:rsidRPr="00210880">
      <w:rPr>
        <w:rStyle w:val="AERbody"/>
      </w:rPr>
      <w:t>|</w:t>
    </w:r>
    <w:r>
      <w:rPr>
        <w:rStyle w:val="AERbody"/>
      </w:rPr>
      <w:t xml:space="preserve"> </w:t>
    </w:r>
    <w:r>
      <w:rPr>
        <w:rStyle w:val="AERtextblue"/>
      </w:rPr>
      <w:t>About this review</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DD155E">
      <w:rPr>
        <w:rStyle w:val="AERbody"/>
        <w:noProof/>
      </w:rPr>
      <w:t>11</w:t>
    </w:r>
    <w:r w:rsidRPr="00824CC8">
      <w:rPr>
        <w:rStyle w:val="AERbody"/>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560115"/>
      <w:docPartObj>
        <w:docPartGallery w:val="Page Numbers (Bottom of Page)"/>
        <w:docPartUnique/>
      </w:docPartObj>
    </w:sdtPr>
    <w:sdtEndPr>
      <w:rPr>
        <w:rStyle w:val="AERtextblue"/>
        <w:color w:val="365F91"/>
      </w:rPr>
    </w:sdtEndPr>
    <w:sdtContent>
      <w:p w:rsidR="0023073C" w:rsidRPr="00824CC8" w:rsidRDefault="0023073C" w:rsidP="000422DF">
        <w:pPr>
          <w:pStyle w:val="Footer"/>
          <w:tabs>
            <w:tab w:val="clear" w:pos="4513"/>
            <w:tab w:val="left" w:pos="0"/>
          </w:tabs>
        </w:pP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Pr>
            <w:rStyle w:val="AERbody"/>
            <w:noProof/>
          </w:rPr>
          <w:t>12</w:t>
        </w:r>
        <w:r w:rsidRPr="00824CC8">
          <w:rPr>
            <w:rStyle w:val="AERbody"/>
          </w:rPr>
          <w:fldChar w:fldCharType="end"/>
        </w:r>
        <w:r>
          <w:rPr>
            <w:rStyle w:val="AERbody"/>
          </w:rPr>
          <w:tab/>
        </w:r>
        <w:r>
          <w:rPr>
            <w:rStyle w:val="AERtextblue"/>
          </w:rPr>
          <w:t>AER’S approach</w:t>
        </w:r>
        <w:r>
          <w:t xml:space="preserve"> | </w:t>
        </w:r>
        <w:r>
          <w:rPr>
            <w:rStyle w:val="AERtextorange"/>
          </w:rPr>
          <w:t xml:space="preserve">AER transitional decision </w:t>
        </w:r>
        <w:r w:rsidRPr="00A42D4E">
          <w:rPr>
            <w:rStyle w:val="AERtextblue"/>
          </w:rPr>
          <w:t>|</w:t>
        </w:r>
        <w:r>
          <w:rPr>
            <w:rStyle w:val="AERbody"/>
          </w:rPr>
          <w:t xml:space="preserve"> </w:t>
        </w:r>
        <w:r>
          <w:rPr>
            <w:rStyle w:val="AERtextorange"/>
          </w:rPr>
          <w:t>NSW/ACT DNSPs 2014–15</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73C" w:rsidRPr="00AB4345" w:rsidRDefault="0023073C" w:rsidP="00AB4345">
      <w:r>
        <w:separator/>
      </w:r>
    </w:p>
  </w:footnote>
  <w:footnote w:type="continuationSeparator" w:id="0">
    <w:p w:rsidR="0023073C" w:rsidRPr="00AB4345" w:rsidRDefault="0023073C" w:rsidP="00AB4345">
      <w:r>
        <w:continuationSeparator/>
      </w:r>
    </w:p>
  </w:footnote>
  <w:footnote w:id="1">
    <w:p w:rsidR="0023073C" w:rsidRDefault="0023073C" w:rsidP="009916C7">
      <w:pPr>
        <w:pStyle w:val="FootnoteText"/>
      </w:pPr>
      <w:r>
        <w:rPr>
          <w:rStyle w:val="FootnoteReference"/>
        </w:rPr>
        <w:footnoteRef/>
      </w:r>
      <w:r>
        <w:t xml:space="preserve"> </w:t>
      </w:r>
      <w:r>
        <w:tab/>
        <w:t>NEL, s 16(1)(a) and (2)(a).</w:t>
      </w:r>
    </w:p>
  </w:footnote>
  <w:footnote w:id="2">
    <w:p w:rsidR="0023073C" w:rsidRDefault="0023073C" w:rsidP="009916C7">
      <w:pPr>
        <w:pStyle w:val="FootnoteText"/>
      </w:pPr>
      <w:r>
        <w:rPr>
          <w:rStyle w:val="FootnoteReference"/>
        </w:rPr>
        <w:footnoteRef/>
      </w:r>
      <w:r>
        <w:t xml:space="preserve"> </w:t>
      </w:r>
      <w:r>
        <w:tab/>
      </w:r>
      <w:r w:rsidRPr="00F04E3B">
        <w:t xml:space="preserve">AEMC Final Rule Determination, </w:t>
      </w:r>
      <w:r w:rsidRPr="007C6DB3">
        <w:rPr>
          <w:rStyle w:val="AERtextitalic"/>
        </w:rPr>
        <w:t>National Electricity Amendment (Economic Regulation of Network Service Providers) Rule 2012</w:t>
      </w:r>
      <w:r w:rsidRPr="00F04E3B">
        <w:t>, 29 November 2012 (AEMC Final Rule Determination)</w:t>
      </w:r>
      <w:r>
        <w:t>.</w:t>
      </w:r>
    </w:p>
  </w:footnote>
  <w:footnote w:id="3">
    <w:p w:rsidR="0023073C" w:rsidRDefault="0023073C" w:rsidP="009916C7">
      <w:pPr>
        <w:pStyle w:val="FootnoteText"/>
      </w:pPr>
      <w:r>
        <w:rPr>
          <w:rStyle w:val="FootnoteReference"/>
        </w:rPr>
        <w:footnoteRef/>
      </w:r>
      <w:r>
        <w:t xml:space="preserve"> </w:t>
      </w:r>
      <w:r>
        <w:tab/>
      </w:r>
      <w:r w:rsidRPr="00F04E3B">
        <w:t>NER, Chapter 11, Savings and Transitional Rules, Part ZW Economic Regulation of Network Service Providers (2012 amendments)</w:t>
      </w:r>
      <w:r>
        <w:t>.</w:t>
      </w:r>
    </w:p>
  </w:footnote>
  <w:footnote w:id="4">
    <w:p w:rsidR="0023073C" w:rsidRDefault="0023073C" w:rsidP="009916C7">
      <w:pPr>
        <w:pStyle w:val="FootnoteText"/>
      </w:pPr>
      <w:r>
        <w:rPr>
          <w:rStyle w:val="FootnoteReference"/>
        </w:rPr>
        <w:footnoteRef/>
      </w:r>
      <w:r>
        <w:t xml:space="preserve"> </w:t>
      </w:r>
      <w:r>
        <w:tab/>
        <w:t>NER, cl 11.56.3(b).</w:t>
      </w:r>
    </w:p>
  </w:footnote>
  <w:footnote w:id="5">
    <w:p w:rsidR="0023073C" w:rsidRDefault="0023073C" w:rsidP="009916C7">
      <w:pPr>
        <w:pStyle w:val="FootnoteText"/>
      </w:pPr>
      <w:r>
        <w:rPr>
          <w:rStyle w:val="FootnoteReference"/>
        </w:rPr>
        <w:footnoteRef/>
      </w:r>
      <w:r>
        <w:t xml:space="preserve"> </w:t>
      </w:r>
      <w:r>
        <w:tab/>
        <w:t>NEL, s 16(1)(a) and (2)(a).</w:t>
      </w:r>
    </w:p>
  </w:footnote>
  <w:footnote w:id="6">
    <w:p w:rsidR="0023073C" w:rsidRDefault="0023073C" w:rsidP="009916C7">
      <w:pPr>
        <w:pStyle w:val="FootnoteText"/>
      </w:pPr>
      <w:r>
        <w:rPr>
          <w:rStyle w:val="FootnoteReference"/>
        </w:rPr>
        <w:footnoteRef/>
      </w:r>
      <w:r>
        <w:t xml:space="preserve"> </w:t>
      </w:r>
      <w:r>
        <w:tab/>
        <w:t xml:space="preserve">NEL, s 16. </w:t>
      </w:r>
      <w:r w:rsidRPr="00D2227C">
        <w:t xml:space="preserve">Section 16 provides that the AER must perform or exercise its function or power in a manner that will or is likely to contribute to the achievement of the NEO and further, if the function or power relates to the making of, relevantly, a </w:t>
      </w:r>
      <w:r>
        <w:t>distribution</w:t>
      </w:r>
      <w:r w:rsidRPr="00D2227C">
        <w:t xml:space="preserve"> determination, ensure, amongst other matters, that where there are two or more possible reviewable regulatory decisions that will or are likely to contribute to the achievement of the NEO, make the decision that the AER is satisfied will or is likely to do so to the greatest degree (the preferable reviewable regulatory decision).</w:t>
      </w:r>
    </w:p>
  </w:footnote>
  <w:footnote w:id="7">
    <w:p w:rsidR="0023073C" w:rsidRDefault="0023073C" w:rsidP="009916C7">
      <w:pPr>
        <w:pStyle w:val="FootnoteText"/>
      </w:pPr>
      <w:r>
        <w:rPr>
          <w:rStyle w:val="FootnoteReference"/>
        </w:rPr>
        <w:footnoteRef/>
      </w:r>
      <w:r>
        <w:t xml:space="preserve"> </w:t>
      </w:r>
      <w:r>
        <w:tab/>
        <w:t>NER, clause 11.56.2(b).</w:t>
      </w:r>
    </w:p>
  </w:footnote>
  <w:footnote w:id="8">
    <w:p w:rsidR="0023073C" w:rsidRDefault="0023073C" w:rsidP="009916C7">
      <w:pPr>
        <w:pStyle w:val="FootnoteText"/>
      </w:pPr>
      <w:r>
        <w:rPr>
          <w:rStyle w:val="FootnoteReference"/>
        </w:rPr>
        <w:footnoteRef/>
      </w:r>
      <w:r>
        <w:t xml:space="preserve"> </w:t>
      </w:r>
      <w:r>
        <w:tab/>
        <w:t>The gamma value impacts upon the cost of corporate income tax.</w:t>
      </w:r>
    </w:p>
  </w:footnote>
  <w:footnote w:id="9">
    <w:p w:rsidR="0023073C" w:rsidRDefault="0023073C" w:rsidP="007331B6">
      <w:pPr>
        <w:pStyle w:val="FootnoteText"/>
      </w:pPr>
      <w:r>
        <w:rPr>
          <w:rStyle w:val="FootnoteReference"/>
        </w:rPr>
        <w:footnoteRef/>
      </w:r>
      <w:r>
        <w:t xml:space="preserve"> </w:t>
      </w:r>
      <w:r>
        <w:tab/>
        <w:t>NER, cl 11.56.2(b)(2).</w:t>
      </w:r>
    </w:p>
  </w:footnote>
  <w:footnote w:id="10">
    <w:p w:rsidR="0023073C" w:rsidRDefault="0023073C" w:rsidP="007129F8">
      <w:pPr>
        <w:pStyle w:val="FootnoteText"/>
      </w:pPr>
      <w:r>
        <w:rPr>
          <w:rStyle w:val="FootnoteReference"/>
        </w:rPr>
        <w:footnoteRef/>
      </w:r>
      <w:r>
        <w:t xml:space="preserve"> </w:t>
      </w:r>
      <w:r>
        <w:tab/>
        <w:t xml:space="preserve">AER, </w:t>
      </w:r>
      <w:r w:rsidRPr="00A00775">
        <w:rPr>
          <w:i/>
        </w:rPr>
        <w:t>Rate of Return Guideline</w:t>
      </w:r>
      <w:r>
        <w:t>, December 2013.</w:t>
      </w:r>
    </w:p>
  </w:footnote>
  <w:footnote w:id="11">
    <w:p w:rsidR="0023073C" w:rsidRDefault="0023073C">
      <w:pPr>
        <w:pStyle w:val="FootnoteText"/>
      </w:pPr>
      <w:r>
        <w:rPr>
          <w:rStyle w:val="FootnoteReference"/>
        </w:rPr>
        <w:footnoteRef/>
      </w:r>
      <w:r>
        <w:t xml:space="preserve"> </w:t>
      </w:r>
      <w:r>
        <w:tab/>
      </w:r>
      <w:r w:rsidRPr="00267720">
        <w:t>The</w:t>
      </w:r>
      <w:r>
        <w:t xml:space="preserve"> AER established the</w:t>
      </w:r>
      <w:r w:rsidRPr="00267720">
        <w:t xml:space="preserve"> Consumer Reference Group (CRG) to facilitate consumer input into the ‘Better regulation’ project.</w:t>
      </w:r>
      <w:r>
        <w:t xml:space="preserve"> The CRG</w:t>
      </w:r>
      <w:r w:rsidRPr="00267720">
        <w:t xml:space="preserve"> provide</w:t>
      </w:r>
      <w:r>
        <w:t>d</w:t>
      </w:r>
      <w:r w:rsidRPr="00267720">
        <w:t xml:space="preserve"> a mechanism for coordinated and informed input from a cross-section of consumer groups.</w:t>
      </w:r>
      <w:r>
        <w:t xml:space="preserve"> See also, AER, </w:t>
      </w:r>
      <w:r w:rsidRPr="00267720">
        <w:rPr>
          <w:rStyle w:val="AERtextitalic"/>
        </w:rPr>
        <w:t>Assessment of the Consumer Reference Group</w:t>
      </w:r>
      <w:r>
        <w:t>, March 2014.</w:t>
      </w:r>
    </w:p>
  </w:footnote>
  <w:footnote w:id="12">
    <w:p w:rsidR="0023073C" w:rsidRDefault="0023073C" w:rsidP="009916C7">
      <w:pPr>
        <w:pStyle w:val="FootnoteText"/>
      </w:pPr>
      <w:r>
        <w:rPr>
          <w:rStyle w:val="FootnoteReference"/>
        </w:rPr>
        <w:footnoteRef/>
      </w:r>
      <w:r>
        <w:t xml:space="preserve"> </w:t>
      </w:r>
      <w:r>
        <w:tab/>
        <w:t>NER, cl 11.56.3(b); NEL, ss 7, 7A, 16(1)(a) and (d), and 16(2).</w:t>
      </w:r>
    </w:p>
  </w:footnote>
  <w:footnote w:id="13">
    <w:p w:rsidR="0023073C" w:rsidRDefault="0023073C" w:rsidP="009916C7">
      <w:pPr>
        <w:pStyle w:val="FootnoteText"/>
      </w:pPr>
      <w:r>
        <w:rPr>
          <w:rStyle w:val="FootnoteReference"/>
        </w:rPr>
        <w:footnoteRef/>
      </w:r>
      <w:r>
        <w:t xml:space="preserve"> </w:t>
      </w:r>
      <w:r>
        <w:tab/>
        <w:t>NEL, s 7A(2).</w:t>
      </w:r>
    </w:p>
  </w:footnote>
  <w:footnote w:id="14">
    <w:p w:rsidR="0023073C" w:rsidRDefault="0023073C" w:rsidP="009916C7">
      <w:pPr>
        <w:pStyle w:val="FootnoteText"/>
      </w:pPr>
      <w:r>
        <w:rPr>
          <w:rStyle w:val="FootnoteReference"/>
        </w:rPr>
        <w:footnoteRef/>
      </w:r>
      <w:r>
        <w:t xml:space="preserve"> </w:t>
      </w:r>
      <w:r>
        <w:tab/>
        <w:t>NEL, Part 3, division 6.</w:t>
      </w:r>
    </w:p>
  </w:footnote>
  <w:footnote w:id="15">
    <w:p w:rsidR="0023073C" w:rsidRPr="00D0328B" w:rsidRDefault="0023073C" w:rsidP="009916C7">
      <w:pPr>
        <w:pStyle w:val="FootnoteText"/>
      </w:pPr>
      <w:r>
        <w:rPr>
          <w:rStyle w:val="FootnoteReference"/>
        </w:rPr>
        <w:footnoteRef/>
      </w:r>
      <w:r>
        <w:t xml:space="preserve"> </w:t>
      </w:r>
      <w:r>
        <w:tab/>
      </w:r>
      <w:r w:rsidRPr="00D0328B">
        <w:t>NER, cl 11.55.2(b); 11.56.2(a).</w:t>
      </w:r>
    </w:p>
  </w:footnote>
  <w:footnote w:id="16">
    <w:p w:rsidR="0023073C" w:rsidRPr="00A9102F" w:rsidRDefault="0023073C" w:rsidP="009916C7">
      <w:pPr>
        <w:pStyle w:val="FootnoteText"/>
      </w:pPr>
      <w:r w:rsidRPr="00815F2C">
        <w:rPr>
          <w:rStyle w:val="FootnoteReference"/>
          <w:rFonts w:ascii="Times New Roman" w:hAnsi="Times New Roman"/>
        </w:rPr>
        <w:footnoteRef/>
      </w:r>
      <w:r w:rsidRPr="00815F2C">
        <w:t xml:space="preserve"> </w:t>
      </w:r>
      <w:r>
        <w:tab/>
      </w:r>
      <w:r w:rsidRPr="00A9102F">
        <w:t>AEMC Final Rule Determination, p. 237.</w:t>
      </w:r>
    </w:p>
  </w:footnote>
  <w:footnote w:id="17">
    <w:p w:rsidR="0023073C" w:rsidRPr="00D0328B" w:rsidRDefault="0023073C" w:rsidP="00711465">
      <w:pPr>
        <w:pStyle w:val="FootnoteText"/>
      </w:pPr>
      <w:r w:rsidRPr="00815F2C">
        <w:rPr>
          <w:rStyle w:val="FootnoteReference"/>
          <w:rFonts w:ascii="Times New Roman" w:hAnsi="Times New Roman"/>
        </w:rPr>
        <w:footnoteRef/>
      </w:r>
      <w:r w:rsidRPr="00815F2C">
        <w:t xml:space="preserve"> </w:t>
      </w:r>
      <w:r>
        <w:tab/>
      </w:r>
      <w:r w:rsidRPr="00711465">
        <w:t>NER, cl 11.56.3(b). A “regulatory year” is “[e]ach consecutive period of 12 calendar months in a regulatory control period, the first such 12 month period commencing at the beginning of a regulatory control period and the final 12 month period ending at the end of the regulatory control period”: Chapter 10 NER.</w:t>
      </w:r>
    </w:p>
  </w:footnote>
  <w:footnote w:id="18">
    <w:p w:rsidR="0023073C" w:rsidRDefault="0023073C" w:rsidP="009916C7">
      <w:pPr>
        <w:pStyle w:val="FootnoteText"/>
      </w:pPr>
      <w:r>
        <w:rPr>
          <w:rStyle w:val="FootnoteReference"/>
        </w:rPr>
        <w:footnoteRef/>
      </w:r>
      <w:r>
        <w:t xml:space="preserve"> </w:t>
      </w:r>
      <w:r>
        <w:tab/>
        <w:t>AEMC Final Rule Determination, p.15.</w:t>
      </w:r>
    </w:p>
  </w:footnote>
  <w:footnote w:id="19">
    <w:p w:rsidR="0023073C" w:rsidRPr="00A9102F" w:rsidRDefault="0023073C" w:rsidP="009916C7">
      <w:pPr>
        <w:pStyle w:val="FootnoteText"/>
        <w:rPr>
          <w:rStyle w:val="FootnoteReference"/>
          <w:vertAlign w:val="baseline"/>
        </w:rPr>
      </w:pPr>
      <w:r w:rsidRPr="00815F2C">
        <w:rPr>
          <w:rStyle w:val="FootnoteReference"/>
          <w:rFonts w:ascii="Times New Roman" w:hAnsi="Times New Roman"/>
        </w:rPr>
        <w:footnoteRef/>
      </w:r>
      <w:r w:rsidRPr="00815F2C">
        <w:rPr>
          <w:rFonts w:ascii="Times New Roman" w:hAnsi="Times New Roman"/>
        </w:rPr>
        <w:t xml:space="preserve"> </w:t>
      </w:r>
      <w:r>
        <w:rPr>
          <w:rFonts w:ascii="Times New Roman" w:hAnsi="Times New Roman"/>
        </w:rPr>
        <w:tab/>
      </w:r>
      <w:r>
        <w:t xml:space="preserve">NEL, </w:t>
      </w:r>
      <w:r w:rsidRPr="00A9102F">
        <w:rPr>
          <w:rStyle w:val="FootnoteReference"/>
          <w:vertAlign w:val="baseline"/>
        </w:rPr>
        <w:t xml:space="preserve">s 16; AEMC </w:t>
      </w:r>
      <w:r>
        <w:t>F</w:t>
      </w:r>
      <w:r w:rsidRPr="00A9102F">
        <w:rPr>
          <w:rStyle w:val="FootnoteReference"/>
          <w:vertAlign w:val="baseline"/>
        </w:rPr>
        <w:t xml:space="preserve">inal </w:t>
      </w:r>
      <w:r>
        <w:t>R</w:t>
      </w:r>
      <w:r w:rsidRPr="00A9102F">
        <w:rPr>
          <w:rStyle w:val="FootnoteReference"/>
          <w:vertAlign w:val="baseline"/>
        </w:rPr>
        <w:t xml:space="preserve">ule </w:t>
      </w:r>
      <w:r>
        <w:t>D</w:t>
      </w:r>
      <w:r w:rsidRPr="00A9102F">
        <w:rPr>
          <w:rStyle w:val="FootnoteReference"/>
          <w:vertAlign w:val="baseline"/>
        </w:rPr>
        <w:t>etermination, p. 238.</w:t>
      </w:r>
    </w:p>
  </w:footnote>
  <w:footnote w:id="20">
    <w:p w:rsidR="0023073C" w:rsidRPr="00A9102F" w:rsidRDefault="0023073C" w:rsidP="009916C7">
      <w:pPr>
        <w:pStyle w:val="FootnoteText"/>
      </w:pPr>
      <w:r w:rsidRPr="004C4A2E">
        <w:rPr>
          <w:rStyle w:val="FootnoteReference"/>
          <w:rFonts w:ascii="Times New Roman" w:hAnsi="Times New Roman"/>
        </w:rPr>
        <w:footnoteRef/>
      </w:r>
      <w:r w:rsidRPr="004C4A2E">
        <w:t xml:space="preserve"> </w:t>
      </w:r>
      <w:r>
        <w:tab/>
      </w:r>
      <w:r w:rsidRPr="00D0328B">
        <w:t>NER, cl</w:t>
      </w:r>
      <w:r w:rsidRPr="00A9102F">
        <w:t xml:space="preserve"> 11.56.3(b).</w:t>
      </w:r>
    </w:p>
  </w:footnote>
  <w:footnote w:id="21">
    <w:p w:rsidR="0023073C" w:rsidRPr="00A9102F" w:rsidRDefault="0023073C" w:rsidP="009916C7">
      <w:pPr>
        <w:pStyle w:val="FootnoteText"/>
      </w:pPr>
      <w:r w:rsidRPr="00815F2C">
        <w:rPr>
          <w:rStyle w:val="FootnoteReference"/>
          <w:rFonts w:ascii="Times New Roman" w:hAnsi="Times New Roman"/>
        </w:rPr>
        <w:footnoteRef/>
      </w:r>
      <w:r>
        <w:t xml:space="preserve"> </w:t>
      </w:r>
      <w:r>
        <w:tab/>
      </w:r>
      <w:r w:rsidRPr="00D0328B">
        <w:t>NER, cl</w:t>
      </w:r>
      <w:r w:rsidRPr="00A9102F">
        <w:t xml:space="preserve"> 11.58.3(d).</w:t>
      </w:r>
    </w:p>
  </w:footnote>
  <w:footnote w:id="22">
    <w:p w:rsidR="0023073C" w:rsidRDefault="0023073C" w:rsidP="009916C7">
      <w:pPr>
        <w:pStyle w:val="FootnoteText"/>
      </w:pPr>
      <w:r>
        <w:rPr>
          <w:rStyle w:val="FootnoteReference"/>
        </w:rPr>
        <w:footnoteRef/>
      </w:r>
      <w:r>
        <w:t xml:space="preserve"> </w:t>
      </w:r>
      <w:r>
        <w:tab/>
        <w:t>NER, cl 11.56.3(b).</w:t>
      </w:r>
    </w:p>
  </w:footnote>
  <w:footnote w:id="23">
    <w:p w:rsidR="0023073C" w:rsidRDefault="0023073C" w:rsidP="009916C7">
      <w:pPr>
        <w:pStyle w:val="FootnoteText"/>
      </w:pPr>
      <w:r>
        <w:rPr>
          <w:rStyle w:val="FootnoteReference"/>
        </w:rPr>
        <w:footnoteRef/>
      </w:r>
      <w:r>
        <w:t xml:space="preserve"> </w:t>
      </w:r>
      <w:r>
        <w:tab/>
        <w:t>NER, cl 11.56.3(d).</w:t>
      </w:r>
    </w:p>
  </w:footnote>
  <w:footnote w:id="24">
    <w:p w:rsidR="0023073C" w:rsidRDefault="0023073C" w:rsidP="009916C7">
      <w:pPr>
        <w:pStyle w:val="FootnoteText"/>
      </w:pPr>
      <w:r>
        <w:rPr>
          <w:rStyle w:val="FootnoteReference"/>
        </w:rPr>
        <w:footnoteRef/>
      </w:r>
      <w:r>
        <w:t xml:space="preserve"> </w:t>
      </w:r>
      <w:r>
        <w:tab/>
        <w:t>Changing the demand forecast would change the prices that result from a given total revenue figure, but we have adopted the DNSPs' demand forecasts for the purposes of this placeholder determination.</w:t>
      </w:r>
    </w:p>
  </w:footnote>
  <w:footnote w:id="25">
    <w:p w:rsidR="0023073C" w:rsidRDefault="0023073C" w:rsidP="002D3831">
      <w:pPr>
        <w:pStyle w:val="FootnoteText"/>
      </w:pPr>
      <w:r>
        <w:rPr>
          <w:rStyle w:val="FootnoteReference"/>
        </w:rPr>
        <w:footnoteRef/>
      </w:r>
      <w:r>
        <w:t xml:space="preserve"> </w:t>
      </w:r>
      <w:r>
        <w:tab/>
        <w:t xml:space="preserve">For ActewAGL’s distribution business the KWh used were those forecast by ActewAGL. However, for both ActewAGL’s and Ausgrid’s transmission networks we used KWh as forecast by TransGrid which were based on AEMO’s forecast for NSW. This approach is further discussed in the AER’s placeholder determination for TransGrid, see AER, </w:t>
      </w:r>
      <w:r w:rsidRPr="00DA1375">
        <w:rPr>
          <w:rStyle w:val="AERtextitalic"/>
        </w:rPr>
        <w:t>TransGrid Transend, Transitional transmission determinations 2014</w:t>
      </w:r>
      <w:r w:rsidRPr="00DA1375">
        <w:rPr>
          <w:rStyle w:val="AERtextitalic"/>
          <w:rFonts w:hint="eastAsia"/>
        </w:rPr>
        <w:t>–</w:t>
      </w:r>
      <w:r w:rsidRPr="00DA1375">
        <w:rPr>
          <w:rStyle w:val="AERtextitalic"/>
        </w:rPr>
        <w:t>14</w:t>
      </w:r>
      <w:r>
        <w:t>, March 2014.</w:t>
      </w:r>
    </w:p>
  </w:footnote>
  <w:footnote w:id="26">
    <w:p w:rsidR="0023073C" w:rsidRDefault="0023073C" w:rsidP="009916C7">
      <w:pPr>
        <w:pStyle w:val="FootnoteText"/>
      </w:pPr>
      <w:r>
        <w:rPr>
          <w:rStyle w:val="FootnoteReference"/>
        </w:rPr>
        <w:footnoteRef/>
      </w:r>
      <w:r>
        <w:t xml:space="preserve"> </w:t>
      </w:r>
      <w:r>
        <w:tab/>
        <w:t>The different techniques used to construct the index for each particular network are explained separately.</w:t>
      </w:r>
    </w:p>
  </w:footnote>
  <w:footnote w:id="27">
    <w:p w:rsidR="0023073C" w:rsidRDefault="0023073C" w:rsidP="004533BA">
      <w:pPr>
        <w:pStyle w:val="FootnoteText"/>
      </w:pPr>
      <w:r>
        <w:rPr>
          <w:rStyle w:val="FootnoteReference"/>
        </w:rPr>
        <w:footnoteRef/>
      </w:r>
      <w:r>
        <w:t xml:space="preserve"> </w:t>
      </w:r>
      <w:r>
        <w:tab/>
        <w:t>It would also include a further increase reflecting the time value of money.</w:t>
      </w:r>
    </w:p>
  </w:footnote>
  <w:footnote w:id="28">
    <w:p w:rsidR="0023073C" w:rsidRDefault="0023073C" w:rsidP="004533BA">
      <w:pPr>
        <w:pStyle w:val="FootnoteText"/>
      </w:pPr>
      <w:r>
        <w:rPr>
          <w:rStyle w:val="FootnoteReference"/>
        </w:rPr>
        <w:footnoteRef/>
      </w:r>
      <w:r>
        <w:t xml:space="preserve"> </w:t>
      </w:r>
      <w:r>
        <w:tab/>
        <w:t>NER, clause 11.56.3(b); NEL, s 7, 7A; s 16(1)(a), s 16 (2).</w:t>
      </w:r>
    </w:p>
  </w:footnote>
  <w:footnote w:id="29">
    <w:p w:rsidR="0023073C" w:rsidRDefault="0023073C" w:rsidP="00006A42">
      <w:pPr>
        <w:pStyle w:val="FootnoteText"/>
      </w:pPr>
      <w:r>
        <w:rPr>
          <w:rStyle w:val="FootnoteReference"/>
        </w:rPr>
        <w:footnoteRef/>
      </w:r>
      <w:r>
        <w:t xml:space="preserve"> </w:t>
      </w:r>
      <w:r>
        <w:tab/>
      </w:r>
      <w:r w:rsidRPr="00CD4453">
        <w:t>Major Energy Users, NSW electricity distribution revenue reset: Ausgrid application for transition year 2014/15—A response, February 2010, p. 11; Major Energy Users, NSW electricity distribution revenue reset: Essential Energy application for transition year 2014/15—A response, February 2010, p. 11; Major Energy Users, NSW electricity distribution revenue reset: Essential Energy application for transition year 2014/15—A response, February 2010, p. 11.</w:t>
      </w:r>
      <w:r>
        <w:t xml:space="preserve"> </w:t>
      </w:r>
    </w:p>
  </w:footnote>
  <w:footnote w:id="30">
    <w:p w:rsidR="0023073C" w:rsidRDefault="0023073C" w:rsidP="00006A42">
      <w:pPr>
        <w:pStyle w:val="FootnoteText"/>
      </w:pPr>
      <w:r>
        <w:rPr>
          <w:rStyle w:val="FootnoteReference"/>
        </w:rPr>
        <w:footnoteRef/>
      </w:r>
      <w:r>
        <w:t xml:space="preserve"> </w:t>
      </w:r>
      <w:r>
        <w:tab/>
        <w:t>More specifically, in our analysis we retained the X-factors for years 2 to 5 (that is, the subsequent regulatory control period) proposed by the DNSPs for each network. However, see below for details on applying this principle to ActewAGL's transmission network.</w:t>
      </w:r>
    </w:p>
  </w:footnote>
  <w:footnote w:id="31">
    <w:p w:rsidR="0023073C" w:rsidRDefault="0023073C" w:rsidP="00280960">
      <w:pPr>
        <w:pStyle w:val="FootnoteText"/>
      </w:pPr>
      <w:r>
        <w:rPr>
          <w:rStyle w:val="FootnoteReference"/>
        </w:rPr>
        <w:footnoteRef/>
      </w:r>
      <w:r>
        <w:t xml:space="preserve"> </w:t>
      </w:r>
      <w:r>
        <w:tab/>
        <w:t>ANS include items that were previously referred to as monopoly services, miscellaneous services and/ or ancillary services. They are services for which separate fees are charged.</w:t>
      </w:r>
    </w:p>
  </w:footnote>
  <w:footnote w:id="32">
    <w:p w:rsidR="0023073C" w:rsidRDefault="0023073C" w:rsidP="00280960">
      <w:pPr>
        <w:pStyle w:val="FootnoteText"/>
      </w:pPr>
      <w:r>
        <w:rPr>
          <w:rStyle w:val="FootnoteReference"/>
        </w:rPr>
        <w:footnoteRef/>
      </w:r>
      <w:r>
        <w:t xml:space="preserve"> </w:t>
      </w:r>
      <w:r>
        <w:tab/>
        <w:t>That is, the ANS fees are below cost, and not all emergency works can be allocated to a responsible party for charging.</w:t>
      </w:r>
    </w:p>
  </w:footnote>
  <w:footnote w:id="33">
    <w:p w:rsidR="0023073C" w:rsidRDefault="0023073C" w:rsidP="00280960">
      <w:pPr>
        <w:pStyle w:val="FootnoteText"/>
      </w:pPr>
      <w:r>
        <w:rPr>
          <w:rStyle w:val="FootnoteReference"/>
        </w:rPr>
        <w:footnoteRef/>
      </w:r>
      <w:r>
        <w:t xml:space="preserve"> </w:t>
      </w:r>
      <w:r>
        <w:tab/>
        <w:t>ActewAGL has cost reflective tariffs for ANS. These costs are recovered separately and therefore they do not enter the building block costs and DUOS charges.</w:t>
      </w:r>
    </w:p>
  </w:footnote>
  <w:footnote w:id="34">
    <w:p w:rsidR="0023073C" w:rsidRDefault="0023073C" w:rsidP="00280960">
      <w:pPr>
        <w:pStyle w:val="FootnoteText"/>
      </w:pPr>
      <w:r>
        <w:rPr>
          <w:rStyle w:val="FootnoteReference"/>
        </w:rPr>
        <w:footnoteRef/>
      </w:r>
      <w:r>
        <w:t xml:space="preserve"> </w:t>
      </w:r>
      <w:r>
        <w:tab/>
        <w:t xml:space="preserve">Ausgrid advised that it did not have time to separately identify the relevant assets in the RAB used for ANS. Ausgrid, </w:t>
      </w:r>
      <w:r w:rsidRPr="00B7680B">
        <w:rPr>
          <w:rStyle w:val="AERtextitalic"/>
        </w:rPr>
        <w:t>Email: Confirmation of high level numbers</w:t>
      </w:r>
      <w:r>
        <w:t>, 4 April 2014.</w:t>
      </w:r>
    </w:p>
  </w:footnote>
  <w:footnote w:id="35">
    <w:p w:rsidR="0023073C" w:rsidRDefault="0023073C" w:rsidP="0011046B">
      <w:pPr>
        <w:pStyle w:val="FootnoteText"/>
      </w:pPr>
      <w:r>
        <w:rPr>
          <w:rStyle w:val="FootnoteReference"/>
        </w:rPr>
        <w:footnoteRef/>
      </w:r>
      <w:r>
        <w:t xml:space="preserve"> </w:t>
      </w:r>
      <w:r>
        <w:tab/>
      </w:r>
      <w:r w:rsidRPr="00350E1B">
        <w:t>NER, cl. 6.24.2(a).</w:t>
      </w:r>
    </w:p>
  </w:footnote>
  <w:footnote w:id="36">
    <w:p w:rsidR="0023073C" w:rsidRDefault="0023073C" w:rsidP="0011046B">
      <w:pPr>
        <w:pStyle w:val="FootnoteText"/>
      </w:pPr>
      <w:r>
        <w:rPr>
          <w:rStyle w:val="FootnoteReference"/>
        </w:rPr>
        <w:footnoteRef/>
      </w:r>
      <w:r>
        <w:t xml:space="preserve"> </w:t>
      </w:r>
      <w:r>
        <w:tab/>
      </w:r>
      <w:r w:rsidRPr="00350E1B">
        <w:t xml:space="preserve">For Ausgrid, under the transitional rules, our determination to apply transmission pricing in the current period means transmission pricing will also apply in the transitional period. For ActewAGL, to apply transmission pricing to its dual function assets, which are new, we were required to make a determination. We set this out in our </w:t>
      </w:r>
      <w:r w:rsidRPr="00A9102F">
        <w:rPr>
          <w:rStyle w:val="AERtextitalic"/>
        </w:rPr>
        <w:t>Stage 2 framework and approach for ActewAGL</w:t>
      </w:r>
      <w:r w:rsidRPr="00350E1B">
        <w:t>, published in January 2014.</w:t>
      </w:r>
    </w:p>
  </w:footnote>
  <w:footnote w:id="37">
    <w:p w:rsidR="0023073C" w:rsidRDefault="0023073C" w:rsidP="009916C7">
      <w:pPr>
        <w:pStyle w:val="FootnoteText"/>
      </w:pPr>
      <w:r>
        <w:rPr>
          <w:rStyle w:val="FootnoteReference"/>
        </w:rPr>
        <w:footnoteRef/>
      </w:r>
      <w:r>
        <w:t xml:space="preserve"> </w:t>
      </w:r>
      <w:r>
        <w:tab/>
        <w:t>The amount of $1938 million ($ nominal) represents total DUOS revenue. Adjustments of $19 million have been made to account for expected ANS and ERW revenues recovered through separate charges.</w:t>
      </w:r>
    </w:p>
  </w:footnote>
  <w:footnote w:id="38">
    <w:p w:rsidR="0023073C" w:rsidRDefault="0023073C">
      <w:pPr>
        <w:pStyle w:val="FootnoteText"/>
      </w:pPr>
      <w:r>
        <w:rPr>
          <w:rStyle w:val="FootnoteReference"/>
        </w:rPr>
        <w:footnoteRef/>
      </w:r>
      <w:r>
        <w:t xml:space="preserve"> </w:t>
      </w:r>
      <w:r>
        <w:tab/>
        <w:t>For the distribution network, this calculation is relative to Ausgrid’s proposed annual revenue requirement after adjustment for the $19 million attributable to ANS and ERW charges (i.e. $2057 million).</w:t>
      </w:r>
    </w:p>
  </w:footnote>
  <w:footnote w:id="39">
    <w:p w:rsidR="0023073C" w:rsidRDefault="0023073C" w:rsidP="00337830">
      <w:pPr>
        <w:pStyle w:val="FootnoteText"/>
      </w:pPr>
      <w:r>
        <w:rPr>
          <w:rStyle w:val="FootnoteReference"/>
        </w:rPr>
        <w:footnoteRef/>
      </w:r>
      <w:r>
        <w:t xml:space="preserve"> </w:t>
      </w:r>
      <w:r>
        <w:tab/>
        <w:t xml:space="preserve">Ausgrid, </w:t>
      </w:r>
      <w:r w:rsidRPr="00D40F87">
        <w:rPr>
          <w:rStyle w:val="AERtextitalic"/>
        </w:rPr>
        <w:t>Transitional regulatory proposal</w:t>
      </w:r>
      <w:r>
        <w:t>, January 2014, p. 26.</w:t>
      </w:r>
    </w:p>
  </w:footnote>
  <w:footnote w:id="40">
    <w:p w:rsidR="0023073C" w:rsidRDefault="0023073C" w:rsidP="00337830">
      <w:pPr>
        <w:pStyle w:val="FootnoteText"/>
      </w:pPr>
      <w:r>
        <w:rPr>
          <w:rStyle w:val="FootnoteReference"/>
        </w:rPr>
        <w:footnoteRef/>
      </w:r>
      <w:r>
        <w:t xml:space="preserve"> </w:t>
      </w:r>
      <w:r>
        <w:tab/>
        <w:t>Ausgrid's distribution network does not operate under a revenue cap, so the issue does not arise there.</w:t>
      </w:r>
    </w:p>
  </w:footnote>
  <w:footnote w:id="41">
    <w:p w:rsidR="0023073C" w:rsidRDefault="0023073C">
      <w:pPr>
        <w:pStyle w:val="FootnoteText"/>
      </w:pPr>
      <w:r>
        <w:rPr>
          <w:rStyle w:val="FootnoteReference"/>
        </w:rPr>
        <w:footnoteRef/>
      </w:r>
      <w:r>
        <w:t xml:space="preserve"> </w:t>
      </w:r>
      <w:r>
        <w:tab/>
      </w:r>
      <w:r w:rsidRPr="00026336">
        <w:t xml:space="preserve">The </w:t>
      </w:r>
      <w:r>
        <w:t xml:space="preserve">price paths show the indicative weighted average change in distribution or transmission prices across Ausgrid's network, scaled so that the price index begins at 1.0 in 2013–14. For Ausgrid's distribution network, the </w:t>
      </w:r>
      <w:r w:rsidRPr="00026336">
        <w:t xml:space="preserve">nominal price index is </w:t>
      </w:r>
      <w:r>
        <w:t>calculated by the AER</w:t>
      </w:r>
      <w:r w:rsidRPr="00026336">
        <w:t xml:space="preserve"> </w:t>
      </w:r>
      <w:r>
        <w:t xml:space="preserve">based on the indicative weighted average price changes submitted by Ausgrid in its TRP, and (where relevant) adjusting for the change in overall revenue substituted by the AER. See Ausgrid, </w:t>
      </w:r>
      <w:r w:rsidRPr="00D40F87">
        <w:rPr>
          <w:rStyle w:val="AERtextitalic"/>
        </w:rPr>
        <w:t>Transitional regulatory proposal</w:t>
      </w:r>
      <w:r>
        <w:t xml:space="preserve">, January 2014, p. 24 (table 16). For Ausgrid's transmission network, the nominal price index is </w:t>
      </w:r>
    </w:p>
  </w:footnote>
  <w:footnote w:id="42">
    <w:p w:rsidR="0023073C" w:rsidRDefault="0023073C">
      <w:pPr>
        <w:pStyle w:val="FootnoteText"/>
      </w:pPr>
      <w:r>
        <w:rPr>
          <w:rStyle w:val="FootnoteReference"/>
        </w:rPr>
        <w:footnoteRef/>
      </w:r>
      <w:r>
        <w:t xml:space="preserve"> </w:t>
      </w:r>
      <w:r>
        <w:tab/>
        <w:t xml:space="preserve">The price paths show the indicative weighted average change in distribution prices across Essential Energy's network, scaled so that the price index begins at 1.0 in 2013–14. </w:t>
      </w:r>
      <w:r w:rsidRPr="00B71866">
        <w:t xml:space="preserve">The nominal price index is </w:t>
      </w:r>
      <w:r>
        <w:t xml:space="preserve">calculated by the AER </w:t>
      </w:r>
      <w:r w:rsidRPr="00B71866">
        <w:t xml:space="preserve">based on </w:t>
      </w:r>
      <w:r>
        <w:t xml:space="preserve">the indicative weighted average price changes and the demand forecasts submitted by Essential Energy in its TRP, and (where relevant) adjusting for the change in </w:t>
      </w:r>
      <w:r w:rsidRPr="00B71866">
        <w:t xml:space="preserve">overall revenue </w:t>
      </w:r>
      <w:r>
        <w:t>substituted by the AER.</w:t>
      </w:r>
    </w:p>
  </w:footnote>
  <w:footnote w:id="43">
    <w:p w:rsidR="0023073C" w:rsidRDefault="0023073C" w:rsidP="009916C7">
      <w:pPr>
        <w:pStyle w:val="FootnoteText"/>
      </w:pPr>
      <w:r>
        <w:rPr>
          <w:rStyle w:val="FootnoteReference"/>
        </w:rPr>
        <w:footnoteRef/>
      </w:r>
      <w:r>
        <w:t xml:space="preserve"> </w:t>
      </w:r>
      <w:r>
        <w:tab/>
        <w:t xml:space="preserve">The amount of </w:t>
      </w:r>
      <w:r w:rsidRPr="00EA2A32">
        <w:t>$</w:t>
      </w:r>
      <w:r>
        <w:t>940</w:t>
      </w:r>
      <w:r w:rsidRPr="00EA2A32">
        <w:t xml:space="preserve"> million represents total DUOS revenue. Adjustments of $</w:t>
      </w:r>
      <w:r>
        <w:t>10</w:t>
      </w:r>
      <w:r w:rsidRPr="00EA2A32">
        <w:t xml:space="preserve"> million have been made to account for expected ANS and ERW revenues recovered through separate charges.</w:t>
      </w:r>
    </w:p>
  </w:footnote>
  <w:footnote w:id="44">
    <w:p w:rsidR="0023073C" w:rsidRDefault="0023073C">
      <w:pPr>
        <w:pStyle w:val="FootnoteText"/>
      </w:pPr>
      <w:r>
        <w:rPr>
          <w:rStyle w:val="FootnoteReference"/>
        </w:rPr>
        <w:footnoteRef/>
      </w:r>
      <w:r>
        <w:t xml:space="preserve"> </w:t>
      </w:r>
      <w:r>
        <w:tab/>
        <w:t>This calculation is relative to Endeavour Energy’s proposed annual revenue requirement, after adjusting for the ANS and ERW attributable charges (that is, $998 million).</w:t>
      </w:r>
    </w:p>
  </w:footnote>
  <w:footnote w:id="45">
    <w:p w:rsidR="0023073C" w:rsidRDefault="0023073C">
      <w:pPr>
        <w:pStyle w:val="FootnoteText"/>
      </w:pPr>
      <w:r>
        <w:rPr>
          <w:rStyle w:val="FootnoteReference"/>
        </w:rPr>
        <w:footnoteRef/>
      </w:r>
      <w:r>
        <w:t xml:space="preserve"> </w:t>
      </w:r>
      <w:r>
        <w:tab/>
        <w:t xml:space="preserve">The price paths show the indicative weighted average change in distribution prices across Endeavour Energy's network, scaled so that the price index begins at 1.0 in 2013–14. </w:t>
      </w:r>
      <w:r w:rsidRPr="00B71866">
        <w:t xml:space="preserve">The nominal price index is </w:t>
      </w:r>
      <w:r>
        <w:t xml:space="preserve">calculated by the AER </w:t>
      </w:r>
      <w:r w:rsidRPr="00B71866">
        <w:t xml:space="preserve">based on </w:t>
      </w:r>
      <w:r>
        <w:t xml:space="preserve">the indicative weighted average price changes and the demand forecasts submitted by Endeavour Energy in its TRP, and (where relevant) adjusting for the change in </w:t>
      </w:r>
      <w:r w:rsidRPr="00B71866">
        <w:t xml:space="preserve">overall revenue </w:t>
      </w:r>
      <w:r>
        <w:t>substituted by the AER.</w:t>
      </w:r>
    </w:p>
  </w:footnote>
  <w:footnote w:id="46">
    <w:p w:rsidR="0023073C" w:rsidRDefault="0023073C" w:rsidP="00034C4F">
      <w:pPr>
        <w:pStyle w:val="FootnoteText"/>
      </w:pPr>
      <w:r>
        <w:rPr>
          <w:rStyle w:val="FootnoteReference"/>
        </w:rPr>
        <w:footnoteRef/>
      </w:r>
      <w:r>
        <w:t xml:space="preserve"> </w:t>
      </w:r>
      <w:r>
        <w:tab/>
      </w:r>
      <w:r w:rsidRPr="00026336">
        <w:t xml:space="preserve">The </w:t>
      </w:r>
      <w:r>
        <w:t>price paths show the indicative weighted average change in distribution or transmission prices across ActewAGL's network, scaled so that the price index begins at 1.0 in 2013–14. For ActewAGL's distribution network, the nominal price index is calculated by the AER based on the revenue yield calculations submitted by ActewAGL in its distribution PTRM, and (where relevant) adjusting for the change in overall revenue substituted by the AER. For ActewAGL's transmission network, the nominal price index is calculated by the AER based on overall revenue and the (state wide) transmission network energy forecasts proposed by TransGrid (the NSW/ACT transmission network service provider).</w:t>
      </w:r>
    </w:p>
    <w:p w:rsidR="0023073C" w:rsidRDefault="0023073C" w:rsidP="00034C4F">
      <w:pPr>
        <w:pStyle w:val="FootnoteText"/>
      </w:pPr>
      <w:r>
        <w:tab/>
        <w:t>When calculating our price path (and revenue), we retained the X-factors for years 2 to 5 (that is, the subsequent regulatory control period) proposed by ActewAGL. This was straight forward for ActewAGL's distribution network. However, for its transmission network, ActewAGL derived the X-factors for these years by setting them to equal the P</w:t>
      </w:r>
      <w:r w:rsidRPr="00AE1CC9">
        <w:rPr>
          <w:rStyle w:val="AERsubscript"/>
        </w:rPr>
        <w:t>0</w:t>
      </w:r>
      <w:r>
        <w:t xml:space="preserve"> change from the transitional regulatory control period. We retained the X-factor values proposed by ActewAGL (–5.22 per cent for each year), rather than adjusting these when we recalculated the P</w:t>
      </w:r>
      <w:r w:rsidRPr="00AE1CC9">
        <w:rPr>
          <w:rStyle w:val="AERsubscript"/>
        </w:rPr>
        <w:t>0</w:t>
      </w:r>
      <w:r>
        <w:t xml:space="preserve"> change.</w:t>
      </w:r>
    </w:p>
  </w:footnote>
  <w:footnote w:id="47">
    <w:p w:rsidR="0023073C" w:rsidRDefault="0023073C" w:rsidP="009916C7">
      <w:pPr>
        <w:pStyle w:val="FootnoteText"/>
      </w:pPr>
      <w:r>
        <w:rPr>
          <w:rStyle w:val="FootnoteReference"/>
        </w:rPr>
        <w:footnoteRef/>
      </w:r>
      <w:r>
        <w:t xml:space="preserve"> </w:t>
      </w:r>
      <w:r>
        <w:tab/>
        <w:t xml:space="preserve">Ausgrid, </w:t>
      </w:r>
      <w:r w:rsidRPr="0000172E">
        <w:t>Endeavour Energy and Essential Energy have identical rate of return sections in their transitional revenue proposals. Therefore, hereafter a footnote reference to Aus</w:t>
      </w:r>
      <w:r>
        <w:t>g</w:t>
      </w:r>
      <w:r w:rsidRPr="0000172E">
        <w:t>rid’s transitional revenue proposal relating to rate of return also applies to Endeavour Energy and Essential Energy, unless stated otherwise. Aus</w:t>
      </w:r>
      <w:r>
        <w:t>g</w:t>
      </w:r>
      <w:r w:rsidRPr="0000172E">
        <w:t xml:space="preserve">rid, </w:t>
      </w:r>
      <w:r w:rsidRPr="0000172E">
        <w:rPr>
          <w:rStyle w:val="AERtextitalic"/>
        </w:rPr>
        <w:t>Transitional regulatory proposal for 1 July 2014 to 30 June 2015</w:t>
      </w:r>
      <w:r w:rsidRPr="0000172E">
        <w:t xml:space="preserve">, January 2014, p. 21. Endeavour Energy, </w:t>
      </w:r>
      <w:r w:rsidRPr="0000172E">
        <w:rPr>
          <w:rStyle w:val="AERtextitalic"/>
        </w:rPr>
        <w:t>Transitional regulatory proposal</w:t>
      </w:r>
      <w:r>
        <w:rPr>
          <w:rStyle w:val="AERtextitalic"/>
        </w:rPr>
        <w:t xml:space="preserve"> to the Australian Energy Regulator</w:t>
      </w:r>
      <w:r w:rsidRPr="0000172E">
        <w:t xml:space="preserve">, January 2014, p. 18. Essential Energy, </w:t>
      </w:r>
      <w:r w:rsidRPr="0000172E">
        <w:rPr>
          <w:rStyle w:val="AERtextitalic"/>
        </w:rPr>
        <w:t>Transitional regulatory proposal</w:t>
      </w:r>
      <w:r>
        <w:t>, January 2014, p. </w:t>
      </w:r>
      <w:r w:rsidRPr="0000172E">
        <w:t>22.</w:t>
      </w:r>
    </w:p>
  </w:footnote>
  <w:footnote w:id="48">
    <w:p w:rsidR="0023073C" w:rsidRDefault="0023073C" w:rsidP="009916C7">
      <w:pPr>
        <w:pStyle w:val="FootnoteText"/>
      </w:pPr>
      <w:r>
        <w:rPr>
          <w:rStyle w:val="FootnoteReference"/>
        </w:rPr>
        <w:footnoteRef/>
      </w:r>
      <w:r>
        <w:t xml:space="preserve"> </w:t>
      </w:r>
      <w:r>
        <w:tab/>
        <w:t xml:space="preserve">ActewAGL, </w:t>
      </w:r>
      <w:r w:rsidRPr="00DE234B">
        <w:rPr>
          <w:rStyle w:val="AERtextitalic"/>
        </w:rPr>
        <w:t>Transitional regulatory proposal</w:t>
      </w:r>
      <w:r>
        <w:t>, January 2014, p. 35.</w:t>
      </w:r>
    </w:p>
  </w:footnote>
  <w:footnote w:id="49">
    <w:p w:rsidR="0023073C" w:rsidRDefault="0023073C" w:rsidP="009916C7">
      <w:pPr>
        <w:pStyle w:val="FootnoteText"/>
      </w:pPr>
      <w:r>
        <w:rPr>
          <w:rStyle w:val="FootnoteReference"/>
        </w:rPr>
        <w:footnoteRef/>
      </w:r>
      <w:r>
        <w:t xml:space="preserve"> </w:t>
      </w:r>
      <w:r>
        <w:tab/>
        <w:t>NER cl. 11.56.2(b)(2)</w:t>
      </w:r>
    </w:p>
  </w:footnote>
  <w:footnote w:id="50">
    <w:p w:rsidR="0023073C" w:rsidRDefault="0023073C" w:rsidP="009916C7">
      <w:pPr>
        <w:pStyle w:val="FootnoteText"/>
      </w:pPr>
      <w:r>
        <w:rPr>
          <w:rStyle w:val="FootnoteReference"/>
        </w:rPr>
        <w:footnoteRef/>
      </w:r>
      <w:r>
        <w:t xml:space="preserve"> </w:t>
      </w:r>
      <w:r>
        <w:tab/>
      </w:r>
      <w:r w:rsidRPr="0000172E">
        <w:t>Aus</w:t>
      </w:r>
      <w:r>
        <w:t>g</w:t>
      </w:r>
      <w:r w:rsidRPr="0000172E">
        <w:t xml:space="preserve">rid, </w:t>
      </w:r>
      <w:r w:rsidRPr="0000172E">
        <w:rPr>
          <w:rStyle w:val="AERtextitalic"/>
        </w:rPr>
        <w:t>Transitional regulatory proposal for 1 July 2014 to 30 June 2015</w:t>
      </w:r>
      <w:r w:rsidRPr="0000172E">
        <w:t>, January 2014, p</w:t>
      </w:r>
      <w:r>
        <w:t>p</w:t>
      </w:r>
      <w:r w:rsidRPr="0000172E">
        <w:t>. 21</w:t>
      </w:r>
      <w:r>
        <w:rPr>
          <w:rFonts w:cs="Gautami"/>
        </w:rPr>
        <w:t>–</w:t>
      </w:r>
      <w:r>
        <w:t>22</w:t>
      </w:r>
      <w:r w:rsidRPr="0000172E">
        <w:t>.</w:t>
      </w:r>
    </w:p>
  </w:footnote>
  <w:footnote w:id="51">
    <w:p w:rsidR="0023073C" w:rsidRDefault="0023073C" w:rsidP="009916C7">
      <w:pPr>
        <w:pStyle w:val="FootnoteText"/>
      </w:pPr>
      <w:r>
        <w:rPr>
          <w:rStyle w:val="FootnoteReference"/>
        </w:rPr>
        <w:footnoteRef/>
      </w:r>
      <w:r>
        <w:t xml:space="preserve"> </w:t>
      </w:r>
      <w:r>
        <w:tab/>
        <w:t xml:space="preserve">AER, </w:t>
      </w:r>
      <w:r w:rsidRPr="00EF6A47">
        <w:rPr>
          <w:i/>
        </w:rPr>
        <w:t>Better regulation rate of return guideline</w:t>
      </w:r>
      <w:r>
        <w:t>, December 2013.</w:t>
      </w:r>
    </w:p>
  </w:footnote>
  <w:footnote w:id="52">
    <w:p w:rsidR="0023073C" w:rsidRDefault="0023073C" w:rsidP="009916C7">
      <w:pPr>
        <w:pStyle w:val="FootnoteText"/>
      </w:pPr>
      <w:r>
        <w:rPr>
          <w:rStyle w:val="FootnoteReference"/>
        </w:rPr>
        <w:footnoteRef/>
      </w:r>
      <w:r>
        <w:t xml:space="preserve"> </w:t>
      </w:r>
      <w:r>
        <w:tab/>
        <w:t xml:space="preserve">Major Energy Users, </w:t>
      </w:r>
      <w:r>
        <w:rPr>
          <w:rStyle w:val="AERtextitalic"/>
        </w:rPr>
        <w:t>NSW e</w:t>
      </w:r>
      <w:r w:rsidRPr="001650A5">
        <w:rPr>
          <w:rStyle w:val="AERtextitalic"/>
        </w:rPr>
        <w:t xml:space="preserve">lectricity </w:t>
      </w:r>
      <w:r>
        <w:rPr>
          <w:rStyle w:val="AERtextitalic"/>
        </w:rPr>
        <w:t>distribution revenue reset: Ausgrid a</w:t>
      </w:r>
      <w:r w:rsidRPr="001650A5">
        <w:rPr>
          <w:rStyle w:val="AERtextitalic"/>
        </w:rPr>
        <w:t xml:space="preserve">pplication for </w:t>
      </w:r>
      <w:r>
        <w:rPr>
          <w:rStyle w:val="AERtextitalic"/>
        </w:rPr>
        <w:t>t</w:t>
      </w:r>
      <w:r w:rsidRPr="001650A5">
        <w:rPr>
          <w:rStyle w:val="AERtextitalic"/>
        </w:rPr>
        <w:t xml:space="preserve">ransition </w:t>
      </w:r>
      <w:r>
        <w:rPr>
          <w:rStyle w:val="AERtextitalic"/>
        </w:rPr>
        <w:t>y</w:t>
      </w:r>
      <w:r w:rsidRPr="001650A5">
        <w:rPr>
          <w:rStyle w:val="AERtextitalic"/>
        </w:rPr>
        <w:t>ear 2014/15</w:t>
      </w:r>
      <w:r w:rsidRPr="001650A5">
        <w:rPr>
          <w:rStyle w:val="AERtextitalic"/>
          <w:rFonts w:hint="eastAsia"/>
        </w:rPr>
        <w:t>—</w:t>
      </w:r>
      <w:r w:rsidRPr="001650A5">
        <w:rPr>
          <w:rStyle w:val="AERtextitalic"/>
        </w:rPr>
        <w:t>A response</w:t>
      </w:r>
      <w:r>
        <w:t xml:space="preserve">, February 2010, p. 11; Major Energy Users, </w:t>
      </w:r>
      <w:r>
        <w:rPr>
          <w:rStyle w:val="AERtextitalic"/>
        </w:rPr>
        <w:t>NSW e</w:t>
      </w:r>
      <w:r w:rsidRPr="001650A5">
        <w:rPr>
          <w:rStyle w:val="AERtextitalic"/>
        </w:rPr>
        <w:t xml:space="preserve">lectricity </w:t>
      </w:r>
      <w:r>
        <w:rPr>
          <w:rStyle w:val="AERtextitalic"/>
        </w:rPr>
        <w:t>distribution revenue reset: Essential Energy a</w:t>
      </w:r>
      <w:r w:rsidRPr="001650A5">
        <w:rPr>
          <w:rStyle w:val="AERtextitalic"/>
        </w:rPr>
        <w:t xml:space="preserve">pplication for </w:t>
      </w:r>
      <w:r>
        <w:rPr>
          <w:rStyle w:val="AERtextitalic"/>
        </w:rPr>
        <w:t>t</w:t>
      </w:r>
      <w:r w:rsidRPr="001650A5">
        <w:rPr>
          <w:rStyle w:val="AERtextitalic"/>
        </w:rPr>
        <w:t xml:space="preserve">ransition </w:t>
      </w:r>
      <w:r>
        <w:rPr>
          <w:rStyle w:val="AERtextitalic"/>
        </w:rPr>
        <w:t>y</w:t>
      </w:r>
      <w:r w:rsidRPr="001650A5">
        <w:rPr>
          <w:rStyle w:val="AERtextitalic"/>
        </w:rPr>
        <w:t>ear 2014/15</w:t>
      </w:r>
      <w:r w:rsidRPr="001650A5">
        <w:rPr>
          <w:rStyle w:val="AERtextitalic"/>
          <w:rFonts w:hint="eastAsia"/>
        </w:rPr>
        <w:t>—</w:t>
      </w:r>
      <w:r w:rsidRPr="001650A5">
        <w:rPr>
          <w:rStyle w:val="AERtextitalic"/>
        </w:rPr>
        <w:t>A response</w:t>
      </w:r>
      <w:r>
        <w:t xml:space="preserve">, February 2010, p. 11; Major Energy Users, </w:t>
      </w:r>
      <w:r>
        <w:rPr>
          <w:rStyle w:val="AERtextitalic"/>
        </w:rPr>
        <w:t>NSW e</w:t>
      </w:r>
      <w:r w:rsidRPr="001650A5">
        <w:rPr>
          <w:rStyle w:val="AERtextitalic"/>
        </w:rPr>
        <w:t xml:space="preserve">lectricity </w:t>
      </w:r>
      <w:r>
        <w:rPr>
          <w:rStyle w:val="AERtextitalic"/>
        </w:rPr>
        <w:t>distribution revenue reset: Essential Energy a</w:t>
      </w:r>
      <w:r w:rsidRPr="001650A5">
        <w:rPr>
          <w:rStyle w:val="AERtextitalic"/>
        </w:rPr>
        <w:t xml:space="preserve">pplication for </w:t>
      </w:r>
      <w:r>
        <w:rPr>
          <w:rStyle w:val="AERtextitalic"/>
        </w:rPr>
        <w:t>t</w:t>
      </w:r>
      <w:r w:rsidRPr="001650A5">
        <w:rPr>
          <w:rStyle w:val="AERtextitalic"/>
        </w:rPr>
        <w:t xml:space="preserve">ransition </w:t>
      </w:r>
      <w:r>
        <w:rPr>
          <w:rStyle w:val="AERtextitalic"/>
        </w:rPr>
        <w:t>y</w:t>
      </w:r>
      <w:r w:rsidRPr="001650A5">
        <w:rPr>
          <w:rStyle w:val="AERtextitalic"/>
        </w:rPr>
        <w:t>ear 2014/15</w:t>
      </w:r>
      <w:r w:rsidRPr="001650A5">
        <w:rPr>
          <w:rStyle w:val="AERtextitalic"/>
          <w:rFonts w:hint="eastAsia"/>
        </w:rPr>
        <w:t>—</w:t>
      </w:r>
      <w:r w:rsidRPr="001650A5">
        <w:rPr>
          <w:rStyle w:val="AERtextitalic"/>
        </w:rPr>
        <w:t>A response</w:t>
      </w:r>
      <w:r>
        <w:t>, February 2010, p. 11.</w:t>
      </w:r>
    </w:p>
  </w:footnote>
  <w:footnote w:id="53">
    <w:p w:rsidR="0023073C" w:rsidRDefault="0023073C" w:rsidP="009916C7">
      <w:pPr>
        <w:pStyle w:val="FootnoteText"/>
      </w:pPr>
      <w:r>
        <w:rPr>
          <w:rStyle w:val="FootnoteReference"/>
        </w:rPr>
        <w:footnoteRef/>
      </w:r>
      <w:r>
        <w:t xml:space="preserve"> </w:t>
      </w:r>
      <w:r>
        <w:tab/>
        <w:t xml:space="preserve">Major Energy Users, </w:t>
      </w:r>
      <w:r>
        <w:rPr>
          <w:rStyle w:val="AERtextitalic"/>
        </w:rPr>
        <w:t>NSW e</w:t>
      </w:r>
      <w:r w:rsidRPr="001650A5">
        <w:rPr>
          <w:rStyle w:val="AERtextitalic"/>
        </w:rPr>
        <w:t xml:space="preserve">lectricity </w:t>
      </w:r>
      <w:r>
        <w:rPr>
          <w:rStyle w:val="AERtextitalic"/>
        </w:rPr>
        <w:t>distribution revenue reset: Ausgrid a</w:t>
      </w:r>
      <w:r w:rsidRPr="001650A5">
        <w:rPr>
          <w:rStyle w:val="AERtextitalic"/>
        </w:rPr>
        <w:t xml:space="preserve">pplication for </w:t>
      </w:r>
      <w:r>
        <w:rPr>
          <w:rStyle w:val="AERtextitalic"/>
        </w:rPr>
        <w:t>t</w:t>
      </w:r>
      <w:r w:rsidRPr="001650A5">
        <w:rPr>
          <w:rStyle w:val="AERtextitalic"/>
        </w:rPr>
        <w:t xml:space="preserve">ransition </w:t>
      </w:r>
      <w:r>
        <w:rPr>
          <w:rStyle w:val="AERtextitalic"/>
        </w:rPr>
        <w:t>y</w:t>
      </w:r>
      <w:r w:rsidRPr="001650A5">
        <w:rPr>
          <w:rStyle w:val="AERtextitalic"/>
        </w:rPr>
        <w:t>ear 2014/15</w:t>
      </w:r>
      <w:r w:rsidRPr="001650A5">
        <w:rPr>
          <w:rStyle w:val="AERtextitalic"/>
          <w:rFonts w:hint="eastAsia"/>
        </w:rPr>
        <w:t>—</w:t>
      </w:r>
      <w:r w:rsidRPr="001650A5">
        <w:rPr>
          <w:rStyle w:val="AERtextitalic"/>
        </w:rPr>
        <w:t>A response</w:t>
      </w:r>
      <w:r>
        <w:t xml:space="preserve">, February 2010, p. 11; Major Energy Users, </w:t>
      </w:r>
      <w:r>
        <w:rPr>
          <w:rStyle w:val="AERtextitalic"/>
        </w:rPr>
        <w:t>NSW e</w:t>
      </w:r>
      <w:r w:rsidRPr="001650A5">
        <w:rPr>
          <w:rStyle w:val="AERtextitalic"/>
        </w:rPr>
        <w:t xml:space="preserve">lectricity </w:t>
      </w:r>
      <w:r>
        <w:rPr>
          <w:rStyle w:val="AERtextitalic"/>
        </w:rPr>
        <w:t>distribution revenue reset: Essential Energy a</w:t>
      </w:r>
      <w:r w:rsidRPr="001650A5">
        <w:rPr>
          <w:rStyle w:val="AERtextitalic"/>
        </w:rPr>
        <w:t xml:space="preserve">pplication for </w:t>
      </w:r>
      <w:r>
        <w:rPr>
          <w:rStyle w:val="AERtextitalic"/>
        </w:rPr>
        <w:t>t</w:t>
      </w:r>
      <w:r w:rsidRPr="001650A5">
        <w:rPr>
          <w:rStyle w:val="AERtextitalic"/>
        </w:rPr>
        <w:t xml:space="preserve">ransition </w:t>
      </w:r>
      <w:r>
        <w:rPr>
          <w:rStyle w:val="AERtextitalic"/>
        </w:rPr>
        <w:t>y</w:t>
      </w:r>
      <w:r w:rsidRPr="001650A5">
        <w:rPr>
          <w:rStyle w:val="AERtextitalic"/>
        </w:rPr>
        <w:t>ear 2014/15</w:t>
      </w:r>
      <w:r w:rsidRPr="001650A5">
        <w:rPr>
          <w:rStyle w:val="AERtextitalic"/>
          <w:rFonts w:hint="eastAsia"/>
        </w:rPr>
        <w:t>—</w:t>
      </w:r>
      <w:r w:rsidRPr="001650A5">
        <w:rPr>
          <w:rStyle w:val="AERtextitalic"/>
        </w:rPr>
        <w:t>A response</w:t>
      </w:r>
      <w:r>
        <w:t xml:space="preserve">, February 2010, p. 11; Major Energy Users, </w:t>
      </w:r>
      <w:r>
        <w:rPr>
          <w:rStyle w:val="AERtextitalic"/>
        </w:rPr>
        <w:t>NSW e</w:t>
      </w:r>
      <w:r w:rsidRPr="001650A5">
        <w:rPr>
          <w:rStyle w:val="AERtextitalic"/>
        </w:rPr>
        <w:t xml:space="preserve">lectricity </w:t>
      </w:r>
      <w:r>
        <w:rPr>
          <w:rStyle w:val="AERtextitalic"/>
        </w:rPr>
        <w:t>distribution revenue reset: Essential Energy a</w:t>
      </w:r>
      <w:r w:rsidRPr="001650A5">
        <w:rPr>
          <w:rStyle w:val="AERtextitalic"/>
        </w:rPr>
        <w:t xml:space="preserve">pplication for </w:t>
      </w:r>
      <w:r>
        <w:rPr>
          <w:rStyle w:val="AERtextitalic"/>
        </w:rPr>
        <w:t>t</w:t>
      </w:r>
      <w:r w:rsidRPr="001650A5">
        <w:rPr>
          <w:rStyle w:val="AERtextitalic"/>
        </w:rPr>
        <w:t xml:space="preserve">ransition </w:t>
      </w:r>
      <w:r>
        <w:rPr>
          <w:rStyle w:val="AERtextitalic"/>
        </w:rPr>
        <w:t>y</w:t>
      </w:r>
      <w:r w:rsidRPr="001650A5">
        <w:rPr>
          <w:rStyle w:val="AERtextitalic"/>
        </w:rPr>
        <w:t>ear 2014/15</w:t>
      </w:r>
      <w:r w:rsidRPr="001650A5">
        <w:rPr>
          <w:rStyle w:val="AERtextitalic"/>
          <w:rFonts w:hint="eastAsia"/>
        </w:rPr>
        <w:t>—</w:t>
      </w:r>
      <w:r w:rsidRPr="001650A5">
        <w:rPr>
          <w:rStyle w:val="AERtextitalic"/>
        </w:rPr>
        <w:t>A response</w:t>
      </w:r>
      <w:r>
        <w:t>, February 2010, p. 11.</w:t>
      </w:r>
    </w:p>
  </w:footnote>
  <w:footnote w:id="54">
    <w:p w:rsidR="0023073C" w:rsidRDefault="0023073C" w:rsidP="009916C7">
      <w:pPr>
        <w:pStyle w:val="FootnoteText"/>
      </w:pPr>
      <w:r>
        <w:rPr>
          <w:rStyle w:val="FootnoteReference"/>
        </w:rPr>
        <w:footnoteRef/>
      </w:r>
      <w:r>
        <w:t xml:space="preserve"> </w:t>
      </w:r>
      <w:r>
        <w:tab/>
        <w:t xml:space="preserve">Public Interest Advocacy Centre Ltd, </w:t>
      </w:r>
      <w:r w:rsidRPr="00102D15">
        <w:rPr>
          <w:rStyle w:val="AERtextitalic"/>
        </w:rPr>
        <w:t>The opening act: PIAC response to the Transitional Regulatory Proposals by the electricity network service providers in NSW for 2014-15</w:t>
      </w:r>
      <w:r>
        <w:t>, March 2014, pp. 4</w:t>
      </w:r>
      <w:r>
        <w:rPr>
          <w:rFonts w:cs="Gautami"/>
        </w:rPr>
        <w:t>–</w:t>
      </w:r>
      <w:r>
        <w:t>5.</w:t>
      </w:r>
    </w:p>
  </w:footnote>
  <w:footnote w:id="55">
    <w:p w:rsidR="0023073C" w:rsidRDefault="0023073C" w:rsidP="009916C7">
      <w:pPr>
        <w:pStyle w:val="FootnoteText"/>
      </w:pPr>
      <w:r>
        <w:rPr>
          <w:rStyle w:val="FootnoteReference"/>
        </w:rPr>
        <w:footnoteRef/>
      </w:r>
      <w:r>
        <w:t xml:space="preserve"> </w:t>
      </w:r>
      <w:r>
        <w:tab/>
        <w:t xml:space="preserve">Public Interest Advocacy Centre Ltd, </w:t>
      </w:r>
      <w:r w:rsidRPr="00102D15">
        <w:rPr>
          <w:rStyle w:val="AERtextitalic"/>
        </w:rPr>
        <w:t>The opening act: PIAC response to the Transitional Regulatory Proposals by the electricity network service providers in NSW for 2014-15</w:t>
      </w:r>
      <w:r>
        <w:t>, March 2014, pp. 20</w:t>
      </w:r>
      <w:r>
        <w:rPr>
          <w:rFonts w:cs="Gautami"/>
        </w:rPr>
        <w:t>–21</w:t>
      </w:r>
      <w:r>
        <w:t>.</w:t>
      </w:r>
    </w:p>
  </w:footnote>
  <w:footnote w:id="56">
    <w:p w:rsidR="0023073C" w:rsidRDefault="0023073C" w:rsidP="009916C7">
      <w:pPr>
        <w:pStyle w:val="FootnoteText"/>
      </w:pPr>
      <w:r>
        <w:rPr>
          <w:rStyle w:val="FootnoteReference"/>
        </w:rPr>
        <w:footnoteRef/>
      </w:r>
      <w:r>
        <w:t xml:space="preserve"> </w:t>
      </w:r>
      <w:r>
        <w:tab/>
        <w:t xml:space="preserve">Public Interest Advocacy Centre Ltd, </w:t>
      </w:r>
      <w:r w:rsidRPr="00102D15">
        <w:rPr>
          <w:rStyle w:val="AERtextitalic"/>
        </w:rPr>
        <w:t>The opening act: PIAC response to the Transitional Regulatory Proposals by the electricity network service providers in NSW for 2014-15</w:t>
      </w:r>
      <w:r>
        <w:t>, March 2014, pp. 23</w:t>
      </w:r>
      <w:r>
        <w:rPr>
          <w:rFonts w:cs="Gautami"/>
        </w:rPr>
        <w:t>–</w:t>
      </w:r>
      <w:r>
        <w:t>24.</w:t>
      </w:r>
    </w:p>
  </w:footnote>
  <w:footnote w:id="57">
    <w:p w:rsidR="0023073C" w:rsidRDefault="0023073C" w:rsidP="009916C7">
      <w:pPr>
        <w:pStyle w:val="FootnoteText"/>
      </w:pPr>
      <w:r>
        <w:rPr>
          <w:rStyle w:val="FootnoteReference"/>
        </w:rPr>
        <w:footnoteRef/>
      </w:r>
      <w:r>
        <w:t xml:space="preserve"> </w:t>
      </w:r>
      <w:r>
        <w:tab/>
        <w:t xml:space="preserve">Public Interest Advocacy Centre Ltd, </w:t>
      </w:r>
      <w:r w:rsidRPr="00102D15">
        <w:rPr>
          <w:rStyle w:val="AERtextitalic"/>
        </w:rPr>
        <w:t>The opening act: PIAC response to the Transitional Regulatory Proposals by the electricity network service providers in NSW for 2014-15</w:t>
      </w:r>
      <w:r>
        <w:t>, March 2014, p. 23.</w:t>
      </w:r>
    </w:p>
  </w:footnote>
  <w:footnote w:id="58">
    <w:p w:rsidR="0023073C" w:rsidRDefault="0023073C" w:rsidP="009916C7">
      <w:pPr>
        <w:pStyle w:val="FootnoteText"/>
      </w:pPr>
      <w:r>
        <w:rPr>
          <w:rStyle w:val="FootnoteReference"/>
        </w:rPr>
        <w:footnoteRef/>
      </w:r>
      <w:r>
        <w:t xml:space="preserve"> </w:t>
      </w:r>
      <w:r>
        <w:tab/>
        <w:t xml:space="preserve">Public Interest Advocacy Centre Ltd, </w:t>
      </w:r>
      <w:r w:rsidRPr="00102D15">
        <w:rPr>
          <w:rStyle w:val="AERtextitalic"/>
        </w:rPr>
        <w:t>The opening act: PIAC response to the Transitional Regulatory Proposals by the electricity network service providers in NSW for 2014-15</w:t>
      </w:r>
      <w:r>
        <w:t>, March 2014, pp. 27</w:t>
      </w:r>
      <w:r>
        <w:rPr>
          <w:rFonts w:cs="Gautami"/>
        </w:rPr>
        <w:t>–</w:t>
      </w:r>
      <w:r>
        <w:t>30.</w:t>
      </w:r>
    </w:p>
  </w:footnote>
  <w:footnote w:id="59">
    <w:p w:rsidR="0023073C" w:rsidRDefault="0023073C" w:rsidP="009916C7">
      <w:pPr>
        <w:pStyle w:val="FootnoteText"/>
      </w:pPr>
      <w:r>
        <w:rPr>
          <w:rStyle w:val="FootnoteReference"/>
        </w:rPr>
        <w:footnoteRef/>
      </w:r>
      <w:r>
        <w:t xml:space="preserve"> </w:t>
      </w:r>
      <w:r>
        <w:tab/>
        <w:t xml:space="preserve">In line with the rate of return guideline, we have rounded this to one decimal place. See: AER, </w:t>
      </w:r>
      <w:r w:rsidRPr="00EE34CB">
        <w:rPr>
          <w:rStyle w:val="AERtextitalic"/>
        </w:rPr>
        <w:t xml:space="preserve">Better regulation—Explanatory statement: Rate of return </w:t>
      </w:r>
      <w:r>
        <w:rPr>
          <w:rStyle w:val="AERtextitalic"/>
        </w:rPr>
        <w:t>g</w:t>
      </w:r>
      <w:r w:rsidRPr="00EE34CB">
        <w:rPr>
          <w:rStyle w:val="AERtextitalic"/>
        </w:rPr>
        <w:t>uideline</w:t>
      </w:r>
      <w:r>
        <w:t>, December 2013, p. 52.</w:t>
      </w:r>
    </w:p>
  </w:footnote>
  <w:footnote w:id="60">
    <w:p w:rsidR="0023073C" w:rsidRDefault="0023073C" w:rsidP="009916C7">
      <w:pPr>
        <w:pStyle w:val="FootnoteText"/>
      </w:pPr>
      <w:r>
        <w:rPr>
          <w:rStyle w:val="FootnoteReference"/>
        </w:rPr>
        <w:footnoteRef/>
      </w:r>
      <w:r>
        <w:t xml:space="preserve"> </w:t>
      </w:r>
      <w:r>
        <w:tab/>
        <w:t xml:space="preserve">Specifically, this was the averaging period used in the recent ACCC draft decision for NSW State Water. See: </w:t>
      </w:r>
      <w:r w:rsidRPr="00DA1EF9">
        <w:t xml:space="preserve">ACCC </w:t>
      </w:r>
      <w:r w:rsidRPr="001650A5">
        <w:rPr>
          <w:rStyle w:val="AERtextitalic"/>
        </w:rPr>
        <w:t xml:space="preserve">Draft decision on State Water Pricing Application: 2014-15 </w:t>
      </w:r>
      <w:r w:rsidRPr="001650A5">
        <w:rPr>
          <w:rStyle w:val="AERtextitalic"/>
          <w:rFonts w:hint="eastAsia"/>
        </w:rPr>
        <w:t>–</w:t>
      </w:r>
      <w:r w:rsidRPr="001650A5">
        <w:rPr>
          <w:rStyle w:val="AERtextitalic"/>
        </w:rPr>
        <w:t xml:space="preserve"> 2016-17</w:t>
      </w:r>
      <w:r w:rsidRPr="001650A5">
        <w:rPr>
          <w:rStyle w:val="AERtextitalic"/>
          <w:rFonts w:hint="eastAsia"/>
        </w:rPr>
        <w:t>—</w:t>
      </w:r>
      <w:r w:rsidRPr="001650A5">
        <w:rPr>
          <w:rStyle w:val="AERtextitalic"/>
        </w:rPr>
        <w:t>Attachments</w:t>
      </w:r>
      <w:r>
        <w:t>, March 2014, p. 143.</w:t>
      </w:r>
    </w:p>
  </w:footnote>
  <w:footnote w:id="61">
    <w:p w:rsidR="0023073C" w:rsidRDefault="0023073C" w:rsidP="009916C7">
      <w:pPr>
        <w:pStyle w:val="FootnoteText"/>
      </w:pPr>
      <w:r>
        <w:rPr>
          <w:rStyle w:val="FootnoteReference"/>
        </w:rPr>
        <w:footnoteRef/>
      </w:r>
      <w:r>
        <w:t xml:space="preserve"> </w:t>
      </w:r>
      <w:r>
        <w:tab/>
        <w:t>Specifically, during the 20 business day period from 14 February 2014 to 13 March 2014, the risk free rate was 4.15 per cent.</w:t>
      </w:r>
    </w:p>
  </w:footnote>
  <w:footnote w:id="62">
    <w:p w:rsidR="0023073C" w:rsidRDefault="0023073C" w:rsidP="009916C7">
      <w:pPr>
        <w:pStyle w:val="FootnoteText"/>
      </w:pPr>
      <w:r>
        <w:rPr>
          <w:rStyle w:val="FootnoteReference"/>
        </w:rPr>
        <w:footnoteRef/>
      </w:r>
      <w:r>
        <w:t xml:space="preserve"> </w:t>
      </w:r>
      <w:r>
        <w:tab/>
        <w:t xml:space="preserve">AER, </w:t>
      </w:r>
      <w:r w:rsidRPr="001650A5">
        <w:rPr>
          <w:rStyle w:val="AERtextitalic"/>
        </w:rPr>
        <w:t>Better regulation</w:t>
      </w:r>
      <w:r w:rsidRPr="001650A5">
        <w:rPr>
          <w:rStyle w:val="AERtextitalic"/>
          <w:rFonts w:hint="eastAsia"/>
        </w:rPr>
        <w:t>—</w:t>
      </w:r>
      <w:r w:rsidRPr="001650A5">
        <w:rPr>
          <w:rStyle w:val="AERtextitalic"/>
        </w:rPr>
        <w:t xml:space="preserve">Explanatory statement: Rate of return </w:t>
      </w:r>
      <w:r>
        <w:rPr>
          <w:rStyle w:val="AERtextitalic"/>
        </w:rPr>
        <w:t>g</w:t>
      </w:r>
      <w:r w:rsidRPr="001650A5">
        <w:rPr>
          <w:rStyle w:val="AERtextitalic"/>
        </w:rPr>
        <w:t>uideline</w:t>
      </w:r>
      <w:r>
        <w:t>, December 2013, p. 93.</w:t>
      </w:r>
    </w:p>
  </w:footnote>
  <w:footnote w:id="63">
    <w:p w:rsidR="0023073C" w:rsidRDefault="0023073C" w:rsidP="009916C7">
      <w:pPr>
        <w:pStyle w:val="FootnoteText"/>
      </w:pPr>
      <w:r>
        <w:rPr>
          <w:rStyle w:val="FootnoteReference"/>
        </w:rPr>
        <w:footnoteRef/>
      </w:r>
      <w:r>
        <w:t xml:space="preserve"> </w:t>
      </w:r>
      <w:r>
        <w:tab/>
        <w:t xml:space="preserve">AER, </w:t>
      </w:r>
      <w:r w:rsidRPr="001650A5">
        <w:rPr>
          <w:rStyle w:val="AERtextitalic"/>
        </w:rPr>
        <w:t>Better regulation</w:t>
      </w:r>
      <w:r w:rsidRPr="001650A5">
        <w:rPr>
          <w:rStyle w:val="AERtextitalic"/>
          <w:rFonts w:hint="eastAsia"/>
        </w:rPr>
        <w:t>—</w:t>
      </w:r>
      <w:r w:rsidRPr="001650A5">
        <w:rPr>
          <w:rStyle w:val="AERtextitalic"/>
        </w:rPr>
        <w:t xml:space="preserve">Explanatory statement: Rate of return </w:t>
      </w:r>
      <w:r>
        <w:rPr>
          <w:rStyle w:val="AERtextitalic"/>
        </w:rPr>
        <w:t>g</w:t>
      </w:r>
      <w:r w:rsidRPr="001650A5">
        <w:rPr>
          <w:rStyle w:val="AERtextitalic"/>
        </w:rPr>
        <w:t>uideline</w:t>
      </w:r>
      <w:r>
        <w:t>, December 2013, p. 86.</w:t>
      </w:r>
    </w:p>
  </w:footnote>
  <w:footnote w:id="64">
    <w:p w:rsidR="0023073C" w:rsidRDefault="0023073C" w:rsidP="009916C7">
      <w:pPr>
        <w:pStyle w:val="FootnoteText"/>
      </w:pPr>
      <w:r>
        <w:rPr>
          <w:rStyle w:val="FootnoteReference"/>
        </w:rPr>
        <w:footnoteRef/>
      </w:r>
      <w:r>
        <w:t xml:space="preserve"> </w:t>
      </w:r>
      <w:r>
        <w:tab/>
        <w:t xml:space="preserve">Specifically, this was the averaging period used in the recent ACCC draft decision for NSW State Water. See: </w:t>
      </w:r>
      <w:r w:rsidRPr="00DA1EF9">
        <w:t xml:space="preserve">ACCC </w:t>
      </w:r>
      <w:r w:rsidRPr="00EE34CB">
        <w:rPr>
          <w:rStyle w:val="AERtextitalic"/>
        </w:rPr>
        <w:t>Draft decision on State Water Pricing Application: 2014-15 – 2016-17—Attachments</w:t>
      </w:r>
      <w:r>
        <w:t>, March 2014, p. 143.</w:t>
      </w:r>
    </w:p>
  </w:footnote>
  <w:footnote w:id="65">
    <w:p w:rsidR="0023073C" w:rsidRDefault="0023073C" w:rsidP="009916C7">
      <w:pPr>
        <w:pStyle w:val="FootnoteText"/>
      </w:pPr>
      <w:r>
        <w:rPr>
          <w:rStyle w:val="FootnoteReference"/>
        </w:rPr>
        <w:footnoteRef/>
      </w:r>
      <w:r>
        <w:t xml:space="preserve"> </w:t>
      </w:r>
      <w:r>
        <w:tab/>
        <w:t xml:space="preserve">We calculated the RBA estimate using a simple average the RBA’s spread to CGS values for the end of November 2013, December 2013 and January 2014. </w:t>
      </w:r>
    </w:p>
  </w:footnote>
  <w:footnote w:id="66">
    <w:p w:rsidR="0023073C" w:rsidRDefault="0023073C" w:rsidP="009916C7">
      <w:pPr>
        <w:pStyle w:val="FootnoteText"/>
      </w:pPr>
      <w:r>
        <w:rPr>
          <w:rStyle w:val="FootnoteReference"/>
        </w:rPr>
        <w:footnoteRef/>
      </w:r>
      <w:r>
        <w:t xml:space="preserve"> </w:t>
      </w:r>
      <w:r>
        <w:tab/>
      </w:r>
      <w:r w:rsidRPr="00952513">
        <w:t xml:space="preserve">Applying a </w:t>
      </w:r>
      <w:r>
        <w:t>return on debt</w:t>
      </w:r>
      <w:r w:rsidRPr="00952513">
        <w:t xml:space="preserve"> of </w:t>
      </w:r>
      <w:r>
        <w:t>7.5 per cent</w:t>
      </w:r>
      <w:r w:rsidRPr="00952513">
        <w:t xml:space="preserve"> and </w:t>
      </w:r>
      <w:r>
        <w:t>a return on equity of 8.9 per cent gives a WACC of 8.06 per cent</w:t>
      </w:r>
      <w:r w:rsidRPr="00952513">
        <w:t>.</w:t>
      </w:r>
    </w:p>
  </w:footnote>
  <w:footnote w:id="67">
    <w:p w:rsidR="0023073C" w:rsidRDefault="0023073C" w:rsidP="009916C7">
      <w:pPr>
        <w:pStyle w:val="FootnoteText"/>
      </w:pPr>
      <w:r>
        <w:rPr>
          <w:rStyle w:val="FootnoteReference"/>
        </w:rPr>
        <w:footnoteRef/>
      </w:r>
      <w:r>
        <w:t xml:space="preserve"> </w:t>
      </w:r>
      <w:r>
        <w:tab/>
        <w:t>F</w:t>
      </w:r>
      <w:r w:rsidRPr="00572838">
        <w:t>rom 1 July 201</w:t>
      </w:r>
      <w:r>
        <w:t>4 metering will be treated as an alternative control service and therefore metering assets are to be excluded from the standard control services RAB.</w:t>
      </w:r>
    </w:p>
  </w:footnote>
  <w:footnote w:id="68">
    <w:p w:rsidR="0023073C" w:rsidRDefault="0023073C" w:rsidP="009916C7">
      <w:pPr>
        <w:pStyle w:val="FootnoteText"/>
      </w:pPr>
      <w:r>
        <w:rPr>
          <w:rStyle w:val="FootnoteReference"/>
        </w:rPr>
        <w:footnoteRef/>
      </w:r>
      <w:r>
        <w:t xml:space="preserve"> </w:t>
      </w:r>
      <w:r>
        <w:tab/>
        <w:t>F</w:t>
      </w:r>
      <w:r w:rsidRPr="00572838">
        <w:t>rom 1 July 201</w:t>
      </w:r>
      <w:r>
        <w:t>4 metering will be treated as an alternative control service and therefore metering assets are to be excluded from the standard control services RAB.</w:t>
      </w:r>
    </w:p>
  </w:footnote>
  <w:footnote w:id="69">
    <w:p w:rsidR="0023073C" w:rsidRDefault="0023073C" w:rsidP="009916C7">
      <w:pPr>
        <w:pStyle w:val="FootnoteText"/>
      </w:pPr>
      <w:r>
        <w:rPr>
          <w:rStyle w:val="FootnoteReference"/>
        </w:rPr>
        <w:footnoteRef/>
      </w:r>
      <w:r>
        <w:t xml:space="preserve"> </w:t>
      </w:r>
      <w:r>
        <w:tab/>
        <w:t>F</w:t>
      </w:r>
      <w:r w:rsidRPr="00572838">
        <w:t>rom 1 July 201</w:t>
      </w:r>
      <w:r>
        <w:t>4 metering will be treated as an alternative control service and therefore metering assets are to be excluded from the standard control services RAB.</w:t>
      </w:r>
    </w:p>
  </w:footnote>
  <w:footnote w:id="70">
    <w:p w:rsidR="0023073C" w:rsidRDefault="0023073C">
      <w:pPr>
        <w:pStyle w:val="FootnoteText"/>
      </w:pPr>
      <w:r>
        <w:rPr>
          <w:rStyle w:val="FootnoteReference"/>
        </w:rPr>
        <w:footnoteRef/>
      </w:r>
      <w:r>
        <w:t xml:space="preserve"> </w:t>
      </w:r>
      <w:r>
        <w:tab/>
      </w:r>
      <w:r w:rsidRPr="00B460EF">
        <w:t>The post-tax revenue modelling approach takes the forecast capex incurred in one year and rolls it into the RAB at the end of the year. So forecast capex only starts receiving a return in the following year.</w:t>
      </w:r>
    </w:p>
  </w:footnote>
  <w:footnote w:id="71">
    <w:p w:rsidR="0023073C" w:rsidRDefault="0023073C" w:rsidP="009916C7">
      <w:pPr>
        <w:pStyle w:val="FootnoteText"/>
      </w:pPr>
      <w:r>
        <w:rPr>
          <w:rStyle w:val="FootnoteReference"/>
        </w:rPr>
        <w:footnoteRef/>
      </w:r>
      <w:r>
        <w:t xml:space="preserve"> </w:t>
      </w:r>
      <w:r>
        <w:tab/>
      </w:r>
      <w:r w:rsidRPr="006D141B">
        <w:t xml:space="preserve">Unlike many other revenue components, </w:t>
      </w:r>
      <w:r>
        <w:t>customer contributions</w:t>
      </w:r>
      <w:r w:rsidRPr="006D141B">
        <w:t xml:space="preserve"> have no offsetting tax expense associated with them. Therefore a business receives a tax allowance proportional to the tax rate on this revenue component.</w:t>
      </w:r>
    </w:p>
  </w:footnote>
  <w:footnote w:id="72">
    <w:p w:rsidR="0023073C" w:rsidRDefault="0023073C" w:rsidP="009916C7">
      <w:pPr>
        <w:pStyle w:val="FootnoteText"/>
      </w:pPr>
      <w:r>
        <w:rPr>
          <w:rStyle w:val="FootnoteReference"/>
        </w:rPr>
        <w:footnoteRef/>
      </w:r>
      <w:r>
        <w:t xml:space="preserve"> </w:t>
      </w:r>
      <w:r>
        <w:tab/>
        <w:t xml:space="preserve">ActewAGL transmission was not regulated separately during the </w:t>
      </w:r>
      <w:r w:rsidRPr="008B6658">
        <w:t>2009–14 regulatory control period</w:t>
      </w:r>
      <w:r>
        <w:t>. Therefore there is no historical comparison that can be made of their corporate income tax allowance.</w:t>
      </w:r>
    </w:p>
  </w:footnote>
  <w:footnote w:id="73">
    <w:p w:rsidR="0023073C" w:rsidRDefault="0023073C" w:rsidP="009916C7">
      <w:pPr>
        <w:pStyle w:val="FootnoteText"/>
      </w:pPr>
      <w:r>
        <w:rPr>
          <w:rStyle w:val="FootnoteReference"/>
        </w:rPr>
        <w:footnoteRef/>
      </w:r>
      <w:r>
        <w:t xml:space="preserve"> </w:t>
      </w:r>
      <w:r>
        <w:tab/>
      </w:r>
      <w:r w:rsidRPr="00906B69">
        <w:t xml:space="preserve">Unlike </w:t>
      </w:r>
      <w:r>
        <w:t xml:space="preserve">many </w:t>
      </w:r>
      <w:r w:rsidRPr="00906B69">
        <w:t>other revenue components, efficiency rewards have no offsetting tax expense associated with them. Therefore a business receives a tax allowance proportional to the tax rate on this revenue component.</w:t>
      </w:r>
    </w:p>
  </w:footnote>
  <w:footnote w:id="74">
    <w:p w:rsidR="0023073C" w:rsidRDefault="0023073C" w:rsidP="009916C7">
      <w:pPr>
        <w:pStyle w:val="FootnoteText"/>
      </w:pPr>
      <w:r>
        <w:rPr>
          <w:rStyle w:val="FootnoteReference"/>
        </w:rPr>
        <w:footnoteRef/>
      </w:r>
      <w:r>
        <w:t xml:space="preserve"> </w:t>
      </w:r>
      <w:r>
        <w:tab/>
        <w:t xml:space="preserve">Public Interest Advocacy Centre, </w:t>
      </w:r>
      <w:r w:rsidRPr="000D0630">
        <w:rPr>
          <w:rStyle w:val="AERtextitalic"/>
        </w:rPr>
        <w:t>T</w:t>
      </w:r>
      <w:r>
        <w:rPr>
          <w:rStyle w:val="AERtextitalic"/>
        </w:rPr>
        <w:t>he opening act: PIAC response to the t</w:t>
      </w:r>
      <w:r w:rsidRPr="000D0630">
        <w:rPr>
          <w:rStyle w:val="AERtextitalic"/>
        </w:rPr>
        <w:t>ransitional re</w:t>
      </w:r>
      <w:r>
        <w:rPr>
          <w:rStyle w:val="AERtextitalic"/>
        </w:rPr>
        <w:t xml:space="preserve">gulatory </w:t>
      </w:r>
      <w:r w:rsidRPr="000D0630">
        <w:rPr>
          <w:rStyle w:val="AERtextitalic"/>
        </w:rPr>
        <w:t>proposa</w:t>
      </w:r>
      <w:r>
        <w:rPr>
          <w:rStyle w:val="AERtextitalic"/>
        </w:rPr>
        <w:t>ls by the electricity network service providers on NSW for 2014–15</w:t>
      </w:r>
      <w:r>
        <w:t>, March 2014, p. 34.</w:t>
      </w:r>
    </w:p>
  </w:footnote>
  <w:footnote w:id="75">
    <w:p w:rsidR="0023073C" w:rsidRDefault="0023073C" w:rsidP="009916C7">
      <w:pPr>
        <w:pStyle w:val="FootnoteText"/>
      </w:pPr>
      <w:r>
        <w:rPr>
          <w:rStyle w:val="FootnoteReference"/>
        </w:rPr>
        <w:footnoteRef/>
      </w:r>
      <w:r>
        <w:t xml:space="preserve"> </w:t>
      </w:r>
      <w:r>
        <w:tab/>
        <w:t xml:space="preserve">NER, clause 6.6.3(a). </w:t>
      </w:r>
    </w:p>
  </w:footnote>
  <w:footnote w:id="76">
    <w:p w:rsidR="0023073C" w:rsidRDefault="0023073C" w:rsidP="009916C7">
      <w:pPr>
        <w:pStyle w:val="FootnoteText"/>
      </w:pPr>
      <w:r>
        <w:rPr>
          <w:rStyle w:val="FootnoteReference"/>
        </w:rPr>
        <w:footnoteRef/>
      </w:r>
      <w:r>
        <w:t xml:space="preserve"> </w:t>
      </w:r>
      <w:r>
        <w:tab/>
      </w:r>
      <w:r w:rsidRPr="00494796">
        <w:t>The rules have since changed the name to 'Demand Management and Embedded Generation Connection Incentive Scheme' (DMEGCIS) to explicitly cover innovation with respect to the connection of embedded generation. Our current and proposed DMIS include embedded generation. We consider embedded generation to be one means of demand management, as it typically reduces demand for power drawn from a distribution network.</w:t>
      </w:r>
    </w:p>
  </w:footnote>
  <w:footnote w:id="77">
    <w:p w:rsidR="0023073C" w:rsidRDefault="0023073C" w:rsidP="009916C7">
      <w:pPr>
        <w:pStyle w:val="FootnoteText"/>
      </w:pPr>
      <w:r>
        <w:rPr>
          <w:rStyle w:val="FootnoteReference"/>
        </w:rPr>
        <w:footnoteRef/>
      </w:r>
      <w:r>
        <w:t xml:space="preserve"> </w:t>
      </w:r>
      <w:r>
        <w:tab/>
        <w:t xml:space="preserve">AER, </w:t>
      </w:r>
      <w:r>
        <w:rPr>
          <w:rStyle w:val="AERtextitalic"/>
        </w:rPr>
        <w:t>Demand management incentive scheme for the ACT and NSW 2009 distribution determinations—Demand management innovation allowance scheme</w:t>
      </w:r>
      <w:r>
        <w:t xml:space="preserve">, 28 November 2008. (AER, </w:t>
      </w:r>
      <w:r w:rsidRPr="00491849">
        <w:rPr>
          <w:rStyle w:val="AERtextitalic"/>
        </w:rPr>
        <w:t>DMIA for ACT and NSW distributors</w:t>
      </w:r>
      <w:r>
        <w:t>, Nov 2008).</w:t>
      </w:r>
    </w:p>
  </w:footnote>
  <w:footnote w:id="78">
    <w:p w:rsidR="0023073C" w:rsidRDefault="0023073C" w:rsidP="009916C7">
      <w:pPr>
        <w:pStyle w:val="FootnoteText"/>
      </w:pPr>
      <w:r>
        <w:rPr>
          <w:rStyle w:val="FootnoteReference"/>
        </w:rPr>
        <w:footnoteRef/>
      </w:r>
      <w:r>
        <w:t xml:space="preserve"> </w:t>
      </w:r>
      <w:r>
        <w:tab/>
        <w:t xml:space="preserve">AER, </w:t>
      </w:r>
      <w:r>
        <w:rPr>
          <w:rStyle w:val="AERtextitalic"/>
        </w:rPr>
        <w:t>Demand management incentive scheme for the ACT and NSW 2009 distribution determinations—D-factor scheme</w:t>
      </w:r>
      <w:r>
        <w:t xml:space="preserve">, 29 February 2008. (AER, </w:t>
      </w:r>
      <w:r w:rsidRPr="00491849">
        <w:rPr>
          <w:rStyle w:val="AERtextitalic"/>
        </w:rPr>
        <w:t>D</w:t>
      </w:r>
      <w:r>
        <w:rPr>
          <w:rStyle w:val="AERtextitalic"/>
        </w:rPr>
        <w:t>-factor</w:t>
      </w:r>
      <w:r w:rsidRPr="00491849">
        <w:rPr>
          <w:rStyle w:val="AERtextitalic"/>
        </w:rPr>
        <w:t xml:space="preserve"> </w:t>
      </w:r>
      <w:r>
        <w:rPr>
          <w:rStyle w:val="AERtextitalic"/>
        </w:rPr>
        <w:t xml:space="preserve">for ACT and </w:t>
      </w:r>
      <w:r w:rsidRPr="00491849">
        <w:rPr>
          <w:rStyle w:val="AERtextitalic"/>
        </w:rPr>
        <w:t>NSW distributors</w:t>
      </w:r>
      <w:r>
        <w:t>, Nov 2008).</w:t>
      </w:r>
    </w:p>
  </w:footnote>
  <w:footnote w:id="79">
    <w:p w:rsidR="0023073C" w:rsidRDefault="0023073C" w:rsidP="009916C7">
      <w:pPr>
        <w:pStyle w:val="FootnoteText"/>
      </w:pPr>
      <w:r>
        <w:rPr>
          <w:rStyle w:val="FootnoteReference"/>
        </w:rPr>
        <w:footnoteRef/>
      </w:r>
      <w:r>
        <w:t xml:space="preserve"> </w:t>
      </w:r>
      <w:r>
        <w:tab/>
        <w:t>The DMIA</w:t>
      </w:r>
      <w:r w:rsidRPr="008D016F">
        <w:t xml:space="preserve"> excludes the costs of </w:t>
      </w:r>
      <w:r>
        <w:t>demand management</w:t>
      </w:r>
      <w:r w:rsidRPr="008D016F">
        <w:t xml:space="preserve"> initiatives approved in</w:t>
      </w:r>
      <w:r>
        <w:t xml:space="preserve"> our determination for the 2009</w:t>
      </w:r>
      <w:r>
        <w:rPr>
          <w:rFonts w:cs="Gautami"/>
        </w:rPr>
        <w:t>–</w:t>
      </w:r>
      <w:r>
        <w:t>1</w:t>
      </w:r>
      <w:r w:rsidRPr="008D016F">
        <w:t>4 period or under the D-factor scheme</w:t>
      </w:r>
      <w:r>
        <w:rPr>
          <w:rStyle w:val="AERtextitalic"/>
        </w:rPr>
        <w:t>.</w:t>
      </w:r>
    </w:p>
  </w:footnote>
  <w:footnote w:id="80">
    <w:p w:rsidR="0023073C" w:rsidRDefault="0023073C" w:rsidP="009916C7">
      <w:pPr>
        <w:pStyle w:val="FootnoteText"/>
      </w:pPr>
      <w:r>
        <w:rPr>
          <w:rStyle w:val="FootnoteReference"/>
        </w:rPr>
        <w:footnoteRef/>
      </w:r>
      <w:r>
        <w:t xml:space="preserve"> </w:t>
      </w:r>
      <w:r>
        <w:tab/>
        <w:t xml:space="preserve">AER, </w:t>
      </w:r>
      <w:r w:rsidRPr="00491849">
        <w:rPr>
          <w:rStyle w:val="AERtextitalic"/>
        </w:rPr>
        <w:t>DMIA for ACT and NSW distributors</w:t>
      </w:r>
      <w:r>
        <w:t>, Nov 2008, pp. 4</w:t>
      </w:r>
      <w:r>
        <w:rPr>
          <w:rFonts w:cs="Gautami"/>
        </w:rPr>
        <w:t>–</w:t>
      </w:r>
      <w:r>
        <w:t>5.</w:t>
      </w:r>
    </w:p>
  </w:footnote>
  <w:footnote w:id="81">
    <w:p w:rsidR="0023073C" w:rsidRDefault="0023073C">
      <w:pPr>
        <w:pStyle w:val="FootnoteText"/>
      </w:pPr>
      <w:r>
        <w:rPr>
          <w:rStyle w:val="FootnoteReference"/>
        </w:rPr>
        <w:footnoteRef/>
      </w:r>
      <w:r>
        <w:t xml:space="preserve"> </w:t>
      </w:r>
      <w:r>
        <w:tab/>
        <w:t xml:space="preserve">NER, clause 11.56.3(4) provides we must specify that the D-factor scheme and DMIA that applied in the current regulatory control period continue to apply to distributors in the transitional regulatory control period subject to any modifications we set out in the framework and approach paper published for the subsequent regulatory control period.  Those modifications may include the non-application of a scheme. The framework and approach paper we published provided for the non-application of the D-factor scheme and Part B of the DMIA in the transitional regulatory control period. </w:t>
      </w:r>
    </w:p>
  </w:footnote>
  <w:footnote w:id="82">
    <w:p w:rsidR="0023073C" w:rsidRDefault="0023073C" w:rsidP="009916C7">
      <w:pPr>
        <w:pStyle w:val="FootnoteText"/>
      </w:pPr>
      <w:r>
        <w:rPr>
          <w:rStyle w:val="FootnoteReference"/>
        </w:rPr>
        <w:footnoteRef/>
      </w:r>
      <w:r>
        <w:t xml:space="preserve"> </w:t>
      </w:r>
      <w:r>
        <w:tab/>
      </w:r>
      <w:r w:rsidRPr="004B4471">
        <w:t>NER, clause 11.56.3(a)(4).</w:t>
      </w:r>
    </w:p>
  </w:footnote>
  <w:footnote w:id="83">
    <w:p w:rsidR="0023073C" w:rsidRDefault="0023073C" w:rsidP="009916C7">
      <w:pPr>
        <w:pStyle w:val="FootnoteText"/>
      </w:pPr>
      <w:r>
        <w:rPr>
          <w:rStyle w:val="FootnoteReference"/>
        </w:rPr>
        <w:footnoteRef/>
      </w:r>
      <w:r>
        <w:t xml:space="preserve"> </w:t>
      </w:r>
      <w:r>
        <w:tab/>
      </w:r>
      <w:r w:rsidRPr="004B4471">
        <w:t>NER, clause 6.5.8(a).</w:t>
      </w:r>
    </w:p>
  </w:footnote>
  <w:footnote w:id="84">
    <w:p w:rsidR="0023073C" w:rsidRDefault="0023073C" w:rsidP="009916C7">
      <w:pPr>
        <w:pStyle w:val="FootnoteText"/>
      </w:pPr>
      <w:r>
        <w:rPr>
          <w:rStyle w:val="FootnoteReference"/>
        </w:rPr>
        <w:footnoteRef/>
      </w:r>
      <w:r>
        <w:t xml:space="preserve"> </w:t>
      </w:r>
      <w:r>
        <w:tab/>
      </w:r>
      <w:r w:rsidRPr="004B4471">
        <w:t>NER, clause 6.5.8(c).</w:t>
      </w:r>
    </w:p>
  </w:footnote>
  <w:footnote w:id="85">
    <w:p w:rsidR="0023073C" w:rsidRDefault="0023073C" w:rsidP="009916C7">
      <w:pPr>
        <w:pStyle w:val="FootnoteText"/>
      </w:pPr>
      <w:r>
        <w:rPr>
          <w:rStyle w:val="FootnoteReference"/>
        </w:rPr>
        <w:footnoteRef/>
      </w:r>
      <w:r>
        <w:t xml:space="preserve"> </w:t>
      </w:r>
      <w:r>
        <w:tab/>
      </w:r>
      <w:r w:rsidRPr="00131096">
        <w:t>NER, clause 11.56.3(a)(4).</w:t>
      </w:r>
    </w:p>
  </w:footnote>
  <w:footnote w:id="86">
    <w:p w:rsidR="0023073C" w:rsidRDefault="0023073C" w:rsidP="009916C7">
      <w:pPr>
        <w:pStyle w:val="FootnoteText"/>
      </w:pPr>
      <w:r>
        <w:rPr>
          <w:rStyle w:val="FootnoteReference"/>
        </w:rPr>
        <w:footnoteRef/>
      </w:r>
      <w:r>
        <w:t xml:space="preserve"> </w:t>
      </w:r>
      <w:r>
        <w:tab/>
      </w:r>
      <w:r w:rsidRPr="000A53FF">
        <w:t xml:space="preserve">AER, </w:t>
      </w:r>
      <w:r w:rsidRPr="000565BE">
        <w:rPr>
          <w:rStyle w:val="AERtextitalic"/>
        </w:rPr>
        <w:t>Better Regulation, Efficiency Benefit Sharing Scheme for Electricity Network Service Providers</w:t>
      </w:r>
      <w:r w:rsidRPr="000A53FF">
        <w:t>, November 2013</w:t>
      </w:r>
      <w:r>
        <w:t>.</w:t>
      </w:r>
    </w:p>
  </w:footnote>
  <w:footnote w:id="87">
    <w:p w:rsidR="0023073C" w:rsidRDefault="0023073C" w:rsidP="009916C7">
      <w:pPr>
        <w:pStyle w:val="FootnoteText"/>
      </w:pPr>
      <w:r>
        <w:rPr>
          <w:rStyle w:val="FootnoteReference"/>
        </w:rPr>
        <w:footnoteRef/>
      </w:r>
      <w:r>
        <w:t xml:space="preserve"> </w:t>
      </w:r>
      <w:r>
        <w:tab/>
      </w:r>
      <w:r w:rsidRPr="00131096">
        <w:t>AER, EBSS, Nov 2013; AER, EBSS Explanatory Statement, Nov 2013.</w:t>
      </w:r>
    </w:p>
  </w:footnote>
  <w:footnote w:id="88">
    <w:p w:rsidR="0023073C" w:rsidRDefault="0023073C" w:rsidP="00B460EF">
      <w:pPr>
        <w:pStyle w:val="FootnoteText"/>
      </w:pPr>
      <w:r>
        <w:rPr>
          <w:rStyle w:val="FootnoteReference"/>
        </w:rPr>
        <w:footnoteRef/>
      </w:r>
      <w:r>
        <w:t xml:space="preserve"> </w:t>
      </w:r>
      <w:r>
        <w:tab/>
      </w:r>
      <w:r w:rsidRPr="005D44E7">
        <w:t xml:space="preserve">AER, </w:t>
      </w:r>
      <w:r w:rsidRPr="000565BE">
        <w:rPr>
          <w:rStyle w:val="AERtextitalic"/>
        </w:rPr>
        <w:t>Electricity distribution network service providers—service target performance incentive scheme</w:t>
      </w:r>
      <w:r w:rsidRPr="005D44E7">
        <w:t xml:space="preserve">, 1 November 2009. (AER, </w:t>
      </w:r>
      <w:r w:rsidRPr="000565BE">
        <w:rPr>
          <w:rStyle w:val="AERtextitalic"/>
        </w:rPr>
        <w:t>Electricity distribution STPIS</w:t>
      </w:r>
      <w:r w:rsidRPr="005D44E7">
        <w:t>, Nov 2009).</w:t>
      </w:r>
    </w:p>
  </w:footnote>
  <w:footnote w:id="89">
    <w:p w:rsidR="0023073C" w:rsidRDefault="0023073C" w:rsidP="009916C7">
      <w:pPr>
        <w:pStyle w:val="FootnoteText"/>
      </w:pPr>
      <w:r>
        <w:rPr>
          <w:rStyle w:val="FootnoteReference"/>
        </w:rPr>
        <w:footnoteRef/>
      </w:r>
      <w:r>
        <w:t xml:space="preserve"> </w:t>
      </w:r>
      <w:r>
        <w:tab/>
      </w:r>
      <w:r w:rsidRPr="00131096">
        <w:t xml:space="preserve">AER, </w:t>
      </w:r>
      <w:r w:rsidRPr="007C6DB3">
        <w:rPr>
          <w:rStyle w:val="AERtextitalic"/>
        </w:rPr>
        <w:t>Final Decision</w:t>
      </w:r>
      <w:r w:rsidRPr="007C6DB3">
        <w:rPr>
          <w:rStyle w:val="AERtextitalic"/>
          <w:rFonts w:hint="eastAsia"/>
        </w:rPr>
        <w:t>—</w:t>
      </w:r>
      <w:r w:rsidRPr="007C6DB3">
        <w:rPr>
          <w:rStyle w:val="AERtextitalic"/>
        </w:rPr>
        <w:t>New South Wales distribution determination 2009</w:t>
      </w:r>
      <w:r w:rsidRPr="007C6DB3">
        <w:rPr>
          <w:rStyle w:val="AERtextitalic"/>
          <w:rFonts w:hint="eastAsia"/>
        </w:rPr>
        <w:t>–</w:t>
      </w:r>
      <w:r w:rsidRPr="007C6DB3">
        <w:rPr>
          <w:rStyle w:val="AERtextitalic"/>
        </w:rPr>
        <w:t>10 to 2013</w:t>
      </w:r>
      <w:r w:rsidRPr="007C6DB3">
        <w:rPr>
          <w:rStyle w:val="AERtextitalic"/>
          <w:rFonts w:hint="eastAsia"/>
        </w:rPr>
        <w:t>–</w:t>
      </w:r>
      <w:r w:rsidRPr="007C6DB3">
        <w:rPr>
          <w:rStyle w:val="AERtextitalic"/>
        </w:rPr>
        <w:t>14</w:t>
      </w:r>
      <w:r w:rsidRPr="00131096">
        <w:t>, 28 April 2009, p. 244.</w:t>
      </w:r>
    </w:p>
  </w:footnote>
  <w:footnote w:id="90">
    <w:p w:rsidR="0023073C" w:rsidRDefault="0023073C" w:rsidP="009916C7">
      <w:pPr>
        <w:pStyle w:val="FootnoteText"/>
      </w:pPr>
      <w:r>
        <w:rPr>
          <w:rStyle w:val="FootnoteReference"/>
        </w:rPr>
        <w:footnoteRef/>
      </w:r>
      <w:r>
        <w:t xml:space="preserve"> </w:t>
      </w:r>
      <w:r>
        <w:tab/>
      </w:r>
      <w:r w:rsidRPr="00D241E5">
        <w:t>NER, clause 11.56.3(a)(3).</w:t>
      </w:r>
    </w:p>
  </w:footnote>
  <w:footnote w:id="91">
    <w:p w:rsidR="0023073C" w:rsidRDefault="0023073C" w:rsidP="009916C7">
      <w:pPr>
        <w:pStyle w:val="FootnoteText"/>
      </w:pPr>
      <w:r>
        <w:rPr>
          <w:rStyle w:val="FootnoteReference"/>
        </w:rPr>
        <w:footnoteRef/>
      </w:r>
      <w:r>
        <w:t xml:space="preserve"> </w:t>
      </w:r>
      <w:r>
        <w:tab/>
      </w:r>
      <w:r w:rsidRPr="0080239C">
        <w:t>NER, clause 6.6.4.</w:t>
      </w:r>
    </w:p>
  </w:footnote>
  <w:footnote w:id="92">
    <w:p w:rsidR="0023073C" w:rsidRDefault="0023073C" w:rsidP="009916C7">
      <w:pPr>
        <w:pStyle w:val="FootnoteText"/>
      </w:pPr>
      <w:r>
        <w:rPr>
          <w:rStyle w:val="FootnoteReference"/>
        </w:rPr>
        <w:footnoteRef/>
      </w:r>
      <w:r>
        <w:t xml:space="preserve"> </w:t>
      </w:r>
      <w:r>
        <w:tab/>
      </w:r>
      <w:r w:rsidRPr="00D241E5">
        <w:t>NER, clause 11.56.3(a)(3).</w:t>
      </w:r>
    </w:p>
  </w:footnote>
  <w:footnote w:id="93">
    <w:p w:rsidR="0023073C" w:rsidRDefault="0023073C">
      <w:pPr>
        <w:pStyle w:val="FootnoteText"/>
      </w:pPr>
      <w:r>
        <w:rPr>
          <w:rStyle w:val="FootnoteReference"/>
        </w:rPr>
        <w:footnoteRef/>
      </w:r>
      <w:r>
        <w:t xml:space="preserve"> </w:t>
      </w:r>
      <w:r>
        <w:tab/>
      </w:r>
      <w:r w:rsidRPr="006D3EB6">
        <w:t xml:space="preserve">AER, </w:t>
      </w:r>
      <w:r w:rsidRPr="00451B70">
        <w:rPr>
          <w:rStyle w:val="AERtextitalic"/>
        </w:rPr>
        <w:t>Stage 2 framework and approach</w:t>
      </w:r>
      <w:r>
        <w:rPr>
          <w:rStyle w:val="AERtextitalic"/>
        </w:rPr>
        <w:t xml:space="preserve"> for ActewAGL</w:t>
      </w:r>
      <w:r w:rsidRPr="006D3EB6">
        <w:t>, January 2014, p. 10</w:t>
      </w:r>
    </w:p>
  </w:footnote>
  <w:footnote w:id="94">
    <w:p w:rsidR="0023073C" w:rsidRDefault="0023073C">
      <w:pPr>
        <w:pStyle w:val="FootnoteText"/>
      </w:pPr>
      <w:r>
        <w:rPr>
          <w:rStyle w:val="FootnoteReference"/>
        </w:rPr>
        <w:footnoteRef/>
      </w:r>
      <w:r>
        <w:t xml:space="preserve"> </w:t>
      </w:r>
      <w:r>
        <w:tab/>
      </w:r>
      <w:r w:rsidRPr="00B15993">
        <w:t xml:space="preserve">AER, </w:t>
      </w:r>
      <w:r w:rsidRPr="00B15993">
        <w:rPr>
          <w:rStyle w:val="AERtextitalic"/>
        </w:rPr>
        <w:t>Stage 1 framework and approach paper – Ausgrid, Endeavour Energy and Essential Energy</w:t>
      </w:r>
      <w:r w:rsidRPr="00B15993">
        <w:t>, March 2013, p. 63</w:t>
      </w:r>
    </w:p>
  </w:footnote>
  <w:footnote w:id="95">
    <w:p w:rsidR="0023073C" w:rsidRDefault="0023073C">
      <w:pPr>
        <w:pStyle w:val="FootnoteText"/>
      </w:pPr>
      <w:r>
        <w:rPr>
          <w:rStyle w:val="FootnoteReference"/>
        </w:rPr>
        <w:footnoteRef/>
      </w:r>
      <w:r>
        <w:t xml:space="preserve"> </w:t>
      </w:r>
      <w:r>
        <w:tab/>
      </w:r>
      <w:r w:rsidRPr="006D3EB6">
        <w:t xml:space="preserve">AER, </w:t>
      </w:r>
      <w:r w:rsidRPr="00451B70">
        <w:rPr>
          <w:rStyle w:val="AERtextitalic"/>
        </w:rPr>
        <w:t xml:space="preserve">Stage 1 framework and approach paper </w:t>
      </w:r>
      <w:r w:rsidRPr="00451B70">
        <w:rPr>
          <w:rStyle w:val="AERtextitalic"/>
          <w:rFonts w:hint="eastAsia"/>
        </w:rPr>
        <w:t>–</w:t>
      </w:r>
      <w:r w:rsidRPr="00451B70">
        <w:rPr>
          <w:rStyle w:val="AERtextitalic"/>
        </w:rPr>
        <w:t xml:space="preserve"> Ausgrid, Endeavour Energy and Essential Energy</w:t>
      </w:r>
      <w:r w:rsidRPr="006D3EB6">
        <w:t>, March 2013, p. 63</w:t>
      </w:r>
    </w:p>
  </w:footnote>
  <w:footnote w:id="96">
    <w:p w:rsidR="0023073C" w:rsidRDefault="0023073C">
      <w:pPr>
        <w:pStyle w:val="FootnoteText"/>
      </w:pPr>
      <w:r>
        <w:rPr>
          <w:rStyle w:val="FootnoteReference"/>
        </w:rPr>
        <w:footnoteRef/>
      </w:r>
      <w:r>
        <w:t xml:space="preserve"> </w:t>
      </w:r>
      <w:r>
        <w:tab/>
        <w:t xml:space="preserve">NER, clause </w:t>
      </w:r>
      <w:r w:rsidRPr="00B64E9D">
        <w:t>11.56.3(12)</w:t>
      </w:r>
      <w:r>
        <w:t>.</w:t>
      </w:r>
    </w:p>
  </w:footnote>
  <w:footnote w:id="97">
    <w:p w:rsidR="0023073C" w:rsidRDefault="0023073C">
      <w:pPr>
        <w:pStyle w:val="FootnoteText"/>
      </w:pPr>
      <w:r>
        <w:rPr>
          <w:rStyle w:val="FootnoteReference"/>
        </w:rPr>
        <w:footnoteRef/>
      </w:r>
      <w:r>
        <w:t xml:space="preserve"> </w:t>
      </w:r>
      <w:r>
        <w:tab/>
        <w:t xml:space="preserve">NER, clause </w:t>
      </w:r>
      <w:r w:rsidRPr="00BE637B">
        <w:t>6A.10.1(e)</w:t>
      </w:r>
      <w:r>
        <w:t>.</w:t>
      </w:r>
    </w:p>
  </w:footnote>
  <w:footnote w:id="98">
    <w:p w:rsidR="0023073C" w:rsidRDefault="0023073C">
      <w:pPr>
        <w:pStyle w:val="FootnoteText"/>
      </w:pPr>
      <w:r>
        <w:rPr>
          <w:rStyle w:val="FootnoteReference"/>
        </w:rPr>
        <w:footnoteRef/>
      </w:r>
      <w:r>
        <w:t xml:space="preserve"> </w:t>
      </w:r>
      <w:r>
        <w:tab/>
        <w:t xml:space="preserve">NER, clause </w:t>
      </w:r>
      <w:r w:rsidRPr="0044442E">
        <w:t>6A.14.1(8)</w:t>
      </w:r>
      <w:r>
        <w:t>.</w:t>
      </w:r>
    </w:p>
  </w:footnote>
  <w:footnote w:id="99">
    <w:p w:rsidR="0023073C" w:rsidRDefault="0023073C">
      <w:pPr>
        <w:pStyle w:val="FootnoteText"/>
      </w:pPr>
      <w:r>
        <w:rPr>
          <w:rStyle w:val="FootnoteReference"/>
        </w:rPr>
        <w:footnoteRef/>
      </w:r>
      <w:r>
        <w:t xml:space="preserve"> </w:t>
      </w:r>
      <w:r>
        <w:tab/>
        <w:t xml:space="preserve">NER, clause </w:t>
      </w:r>
      <w:r w:rsidRPr="005261F5">
        <w:t>6A.13.2(d)</w:t>
      </w:r>
      <w:r>
        <w:t>.</w:t>
      </w:r>
    </w:p>
  </w:footnote>
  <w:footnote w:id="100">
    <w:p w:rsidR="0023073C" w:rsidRDefault="0023073C">
      <w:pPr>
        <w:pStyle w:val="FootnoteText"/>
      </w:pPr>
      <w:r>
        <w:rPr>
          <w:rStyle w:val="FootnoteReference"/>
        </w:rPr>
        <w:footnoteRef/>
      </w:r>
      <w:r>
        <w:t xml:space="preserve"> </w:t>
      </w:r>
      <w:r>
        <w:tab/>
      </w:r>
      <w:r w:rsidRPr="00F20601">
        <w:t xml:space="preserve">AER, </w:t>
      </w:r>
      <w:r w:rsidRPr="00451B70">
        <w:rPr>
          <w:rStyle w:val="AERtextitalic"/>
        </w:rPr>
        <w:t>NSW distribution determination 2009-10 to 2013-14</w:t>
      </w:r>
      <w:r w:rsidRPr="00F20601">
        <w:t>, April 2009, p. 404</w:t>
      </w:r>
      <w:r>
        <w:t>.</w:t>
      </w:r>
    </w:p>
  </w:footnote>
  <w:footnote w:id="101">
    <w:p w:rsidR="0023073C" w:rsidRDefault="0023073C">
      <w:pPr>
        <w:pStyle w:val="FootnoteText"/>
      </w:pPr>
      <w:r>
        <w:rPr>
          <w:rStyle w:val="FootnoteReference"/>
        </w:rPr>
        <w:footnoteRef/>
      </w:r>
      <w:r>
        <w:t xml:space="preserve"> </w:t>
      </w:r>
      <w:r>
        <w:tab/>
        <w:t xml:space="preserve">ActewAGL, </w:t>
      </w:r>
      <w:r w:rsidRPr="0089350E">
        <w:rPr>
          <w:rStyle w:val="AERtextitalic"/>
        </w:rPr>
        <w:t>Transitional Regulatory Proposal</w:t>
      </w:r>
      <w:r>
        <w:t>, Attachment D, January 2014</w:t>
      </w:r>
    </w:p>
  </w:footnote>
  <w:footnote w:id="102">
    <w:p w:rsidR="0023073C" w:rsidRPr="003123FE" w:rsidRDefault="0023073C" w:rsidP="009916C7">
      <w:pPr>
        <w:pStyle w:val="FootnoteText"/>
        <w:rPr>
          <w:rFonts w:cstheme="minorHAnsi"/>
        </w:rPr>
      </w:pPr>
      <w:r w:rsidRPr="003123FE">
        <w:rPr>
          <w:rStyle w:val="FootnoteReference"/>
          <w:rFonts w:cstheme="minorHAnsi"/>
        </w:rPr>
        <w:footnoteRef/>
      </w:r>
      <w:r w:rsidRPr="003123FE">
        <w:rPr>
          <w:rFonts w:cstheme="minorHAnsi"/>
        </w:rPr>
        <w:t xml:space="preserve"> </w:t>
      </w:r>
      <w:r>
        <w:tab/>
      </w:r>
      <w:r w:rsidRPr="003123FE">
        <w:rPr>
          <w:rFonts w:cstheme="minorHAnsi"/>
        </w:rPr>
        <w:t>NER, c</w:t>
      </w:r>
      <w:r w:rsidRPr="003123FE">
        <w:rPr>
          <w:rFonts w:cstheme="minorHAnsi"/>
          <w:iCs/>
        </w:rPr>
        <w:t>lause 11.56.3(j)</w:t>
      </w:r>
    </w:p>
  </w:footnote>
  <w:footnote w:id="103">
    <w:p w:rsidR="0023073C" w:rsidRDefault="0023073C" w:rsidP="00897BBB">
      <w:pPr>
        <w:pStyle w:val="FootnoteText"/>
      </w:pPr>
      <w:r>
        <w:rPr>
          <w:rStyle w:val="FootnoteReference"/>
        </w:rPr>
        <w:footnoteRef/>
      </w:r>
      <w:r>
        <w:t xml:space="preserve"> </w:t>
      </w:r>
      <w:r>
        <w:tab/>
        <w:t>NER, clause 11.56.3(a)(8)</w:t>
      </w:r>
    </w:p>
  </w:footnote>
  <w:footnote w:id="104">
    <w:p w:rsidR="0023073C" w:rsidRDefault="0023073C" w:rsidP="009916C7">
      <w:pPr>
        <w:pStyle w:val="FootnoteText"/>
      </w:pPr>
      <w:r>
        <w:rPr>
          <w:rStyle w:val="FootnoteReference"/>
        </w:rPr>
        <w:footnoteRef/>
      </w:r>
      <w:r>
        <w:t xml:space="preserve"> </w:t>
      </w:r>
      <w:r>
        <w:tab/>
        <w:t>NER, clause 6.7A.1(b).</w:t>
      </w:r>
    </w:p>
  </w:footnote>
  <w:footnote w:id="105">
    <w:p w:rsidR="0023073C" w:rsidRDefault="0023073C">
      <w:pPr>
        <w:pStyle w:val="FootnoteText"/>
      </w:pPr>
      <w:r>
        <w:rPr>
          <w:rStyle w:val="FootnoteReference"/>
        </w:rPr>
        <w:footnoteRef/>
      </w:r>
      <w:r>
        <w:t xml:space="preserve"> </w:t>
      </w:r>
      <w:r>
        <w:tab/>
      </w:r>
      <w:r w:rsidRPr="001D0C7F">
        <w:t xml:space="preserve">AER, </w:t>
      </w:r>
      <w:r w:rsidRPr="00DA1375">
        <w:rPr>
          <w:rStyle w:val="AERtextitalic"/>
        </w:rPr>
        <w:t>Connection charge guideline for electricity retail customers, Under chapter 5A of the National Electricity Rules Version 1.0</w:t>
      </w:r>
      <w:r w:rsidRPr="001D0C7F">
        <w:t>, June 2012</w:t>
      </w:r>
      <w:r>
        <w:t>.</w:t>
      </w:r>
    </w:p>
  </w:footnote>
  <w:footnote w:id="106">
    <w:p w:rsidR="0023073C" w:rsidRDefault="0023073C" w:rsidP="009916C7">
      <w:pPr>
        <w:pStyle w:val="FootnoteText"/>
      </w:pPr>
      <w:r>
        <w:rPr>
          <w:rStyle w:val="FootnoteReference"/>
        </w:rPr>
        <w:footnoteRef/>
      </w:r>
      <w:r>
        <w:t xml:space="preserve"> </w:t>
      </w:r>
      <w:r>
        <w:tab/>
        <w:t xml:space="preserve">AER, </w:t>
      </w:r>
      <w:r w:rsidRPr="00487C4B">
        <w:rPr>
          <w:i/>
        </w:rPr>
        <w:t xml:space="preserve">Information request: AER </w:t>
      </w:r>
      <w:r>
        <w:rPr>
          <w:i/>
        </w:rPr>
        <w:t>AUSG</w:t>
      </w:r>
      <w:r w:rsidRPr="00487C4B">
        <w:rPr>
          <w:i/>
        </w:rPr>
        <w:t xml:space="preserve"> TRP compliance 001 – connection policy</w:t>
      </w:r>
      <w:r>
        <w:t>, 6 March 2014.</w:t>
      </w:r>
    </w:p>
  </w:footnote>
  <w:footnote w:id="107">
    <w:p w:rsidR="0023073C" w:rsidRPr="00487C4B" w:rsidRDefault="0023073C" w:rsidP="009916C7">
      <w:pPr>
        <w:pStyle w:val="FootnoteText"/>
      </w:pPr>
      <w:r>
        <w:rPr>
          <w:rStyle w:val="FootnoteReference"/>
        </w:rPr>
        <w:footnoteRef/>
      </w:r>
      <w:r>
        <w:t xml:space="preserve"> </w:t>
      </w:r>
      <w:r>
        <w:tab/>
        <w:t xml:space="preserve">Ausgrid, </w:t>
      </w:r>
      <w:r w:rsidRPr="00487C4B">
        <w:rPr>
          <w:i/>
        </w:rPr>
        <w:t>Re:</w:t>
      </w:r>
      <w:r>
        <w:t xml:space="preserve"> </w:t>
      </w:r>
      <w:r w:rsidRPr="00487C4B">
        <w:rPr>
          <w:i/>
        </w:rPr>
        <w:t xml:space="preserve">Information request: AER </w:t>
      </w:r>
      <w:r>
        <w:rPr>
          <w:i/>
        </w:rPr>
        <w:t xml:space="preserve">AUSG </w:t>
      </w:r>
      <w:r w:rsidRPr="00487C4B">
        <w:rPr>
          <w:i/>
        </w:rPr>
        <w:t xml:space="preserve">TRP compliance 001 – connection </w:t>
      </w:r>
      <w:r>
        <w:rPr>
          <w:i/>
        </w:rPr>
        <w:t>policy</w:t>
      </w:r>
      <w:r>
        <w:t>, 15 March 2014.</w:t>
      </w:r>
    </w:p>
  </w:footnote>
  <w:footnote w:id="108">
    <w:p w:rsidR="0023073C" w:rsidRDefault="0023073C" w:rsidP="009916C7">
      <w:pPr>
        <w:pStyle w:val="FootnoteText"/>
      </w:pPr>
      <w:r>
        <w:rPr>
          <w:rStyle w:val="FootnoteReference"/>
        </w:rPr>
        <w:footnoteRef/>
      </w:r>
      <w:r>
        <w:t xml:space="preserve"> </w:t>
      </w:r>
      <w:r>
        <w:tab/>
        <w:t xml:space="preserve">AER, </w:t>
      </w:r>
      <w:r w:rsidRPr="00487C4B">
        <w:rPr>
          <w:i/>
        </w:rPr>
        <w:t>Information request: AER ESSE TRP compliance 001 – connection policy</w:t>
      </w:r>
      <w:r>
        <w:t>, 6 March 2014.</w:t>
      </w:r>
    </w:p>
  </w:footnote>
  <w:footnote w:id="109">
    <w:p w:rsidR="0023073C" w:rsidRPr="00487C4B" w:rsidRDefault="0023073C" w:rsidP="009916C7">
      <w:pPr>
        <w:pStyle w:val="FootnoteText"/>
      </w:pPr>
      <w:r>
        <w:rPr>
          <w:rStyle w:val="FootnoteReference"/>
        </w:rPr>
        <w:footnoteRef/>
      </w:r>
      <w:r>
        <w:t xml:space="preserve"> </w:t>
      </w:r>
      <w:r>
        <w:tab/>
        <w:t xml:space="preserve">Essential Energy, </w:t>
      </w:r>
      <w:r w:rsidRPr="00487C4B">
        <w:rPr>
          <w:i/>
        </w:rPr>
        <w:t>Re:</w:t>
      </w:r>
      <w:r>
        <w:t xml:space="preserve"> </w:t>
      </w:r>
      <w:r>
        <w:rPr>
          <w:i/>
        </w:rPr>
        <w:t>Typo in the connection policy</w:t>
      </w:r>
      <w:r>
        <w:t>, 18 March 2014.</w:t>
      </w:r>
    </w:p>
  </w:footnote>
  <w:footnote w:id="110">
    <w:p w:rsidR="0023073C" w:rsidRDefault="0023073C" w:rsidP="009916C7">
      <w:pPr>
        <w:pStyle w:val="FootnoteText"/>
      </w:pPr>
      <w:r>
        <w:rPr>
          <w:rStyle w:val="FootnoteReference"/>
        </w:rPr>
        <w:footnoteRef/>
      </w:r>
      <w:r>
        <w:t xml:space="preserve"> </w:t>
      </w:r>
      <w:r>
        <w:tab/>
        <w:t xml:space="preserve">AER, </w:t>
      </w:r>
      <w:r w:rsidRPr="00487C4B">
        <w:rPr>
          <w:i/>
        </w:rPr>
        <w:t xml:space="preserve">Information request: AER </w:t>
      </w:r>
      <w:r>
        <w:rPr>
          <w:i/>
        </w:rPr>
        <w:t>ENDE</w:t>
      </w:r>
      <w:r w:rsidRPr="00487C4B">
        <w:rPr>
          <w:i/>
        </w:rPr>
        <w:t xml:space="preserve"> TRP compliance 001 – connection policy</w:t>
      </w:r>
      <w:r>
        <w:t>, 6 March 2014.</w:t>
      </w:r>
    </w:p>
  </w:footnote>
  <w:footnote w:id="111">
    <w:p w:rsidR="0023073C" w:rsidRDefault="0023073C" w:rsidP="009916C7">
      <w:pPr>
        <w:pStyle w:val="FootnoteText"/>
      </w:pPr>
      <w:r>
        <w:rPr>
          <w:rStyle w:val="FootnoteReference"/>
        </w:rPr>
        <w:footnoteRef/>
      </w:r>
      <w:r>
        <w:t xml:space="preserve"> </w:t>
      </w:r>
      <w:r>
        <w:tab/>
        <w:t xml:space="preserve">Endeavour Energy, </w:t>
      </w:r>
      <w:r w:rsidRPr="0028154C">
        <w:rPr>
          <w:rStyle w:val="AERtextitalic"/>
        </w:rPr>
        <w:t>Connection policy final to AER.docx</w:t>
      </w:r>
      <w:r>
        <w:t>, 21 March 2014</w:t>
      </w:r>
    </w:p>
  </w:footnote>
  <w:footnote w:id="112">
    <w:p w:rsidR="0023073C" w:rsidRDefault="0023073C" w:rsidP="009916C7">
      <w:pPr>
        <w:pStyle w:val="FootnoteText"/>
      </w:pPr>
      <w:r>
        <w:rPr>
          <w:rStyle w:val="FootnoteReference"/>
        </w:rPr>
        <w:footnoteRef/>
      </w:r>
      <w:r>
        <w:t xml:space="preserve"> </w:t>
      </w:r>
      <w:r>
        <w:tab/>
      </w:r>
      <w:r w:rsidRPr="0015441B">
        <w:t>Chapter 5A of the NER require DNSPs to operate a pioneer scheme which requires them to make refunds to retail customers who funded connection assets within 7 years which are no longer being dedicated to the exclusive use of that customer.</w:t>
      </w:r>
    </w:p>
  </w:footnote>
  <w:footnote w:id="113">
    <w:p w:rsidR="0023073C" w:rsidRDefault="0023073C" w:rsidP="009916C7">
      <w:pPr>
        <w:pStyle w:val="FootnoteText"/>
      </w:pPr>
      <w:r>
        <w:rPr>
          <w:rStyle w:val="FootnoteReference"/>
        </w:rPr>
        <w:footnoteRef/>
      </w:r>
      <w:r>
        <w:t xml:space="preserve"> </w:t>
      </w:r>
      <w:r>
        <w:tab/>
        <w:t xml:space="preserve">AER, </w:t>
      </w:r>
      <w:r w:rsidRPr="001D0C7F">
        <w:rPr>
          <w:rStyle w:val="AERtextitalic"/>
        </w:rPr>
        <w:t>Connection charge guideline for electricity retail customers, Under chapter 5A of the National Electricity Rules Version 1.0</w:t>
      </w:r>
      <w:r>
        <w:t>, June 2012, clause 5.2.8 states that a DNSP's unit rate(s) for the cost of augmentation (insofar as it involves more than an extension) must be approved by the Australian Energy Regulator in its distribution determination before being applied by the distribution network service provider.</w:t>
      </w:r>
    </w:p>
  </w:footnote>
  <w:footnote w:id="114">
    <w:p w:rsidR="0023073C" w:rsidRDefault="0023073C" w:rsidP="00724615">
      <w:pPr>
        <w:pStyle w:val="FootnoteText"/>
      </w:pPr>
      <w:r>
        <w:rPr>
          <w:rStyle w:val="FootnoteReference"/>
        </w:rPr>
        <w:footnoteRef/>
      </w:r>
      <w:r>
        <w:t xml:space="preserve"> </w:t>
      </w:r>
      <w:r>
        <w:tab/>
        <w:t>Ausgrid,</w:t>
      </w:r>
      <w:r w:rsidRPr="00A33E9D">
        <w:rPr>
          <w:rStyle w:val="AERtextitalic"/>
        </w:rPr>
        <w:t>Transitional regulatory proposal</w:t>
      </w:r>
      <w:r>
        <w:t>, p. 26.</w:t>
      </w:r>
    </w:p>
  </w:footnote>
  <w:footnote w:id="115">
    <w:p w:rsidR="0023073C" w:rsidRDefault="0023073C" w:rsidP="00724615">
      <w:pPr>
        <w:pStyle w:val="FootnoteText"/>
      </w:pPr>
      <w:r>
        <w:rPr>
          <w:rStyle w:val="FootnoteReference"/>
        </w:rPr>
        <w:footnoteRef/>
      </w:r>
      <w:r>
        <w:t xml:space="preserve"> </w:t>
      </w:r>
      <w:r>
        <w:tab/>
        <w:t xml:space="preserve">Ausgrid, </w:t>
      </w:r>
      <w:r w:rsidRPr="0000172E">
        <w:t>Endeavour Energy and Essential Energy have identical rate of return sections in their transitional revenue proposals. Therefore, hereafter a footnote reference to Aus</w:t>
      </w:r>
      <w:r>
        <w:t>g</w:t>
      </w:r>
      <w:r w:rsidRPr="0000172E">
        <w:t>rid’s transitional revenue proposal relating to rate of return also applies to Endeavour Energy and Essential Energy, unless stated otherwise. Aus</w:t>
      </w:r>
      <w:r>
        <w:t>g</w:t>
      </w:r>
      <w:r w:rsidRPr="0000172E">
        <w:t xml:space="preserve">rid, </w:t>
      </w:r>
      <w:r w:rsidRPr="0000172E">
        <w:rPr>
          <w:rStyle w:val="AERtextitalic"/>
        </w:rPr>
        <w:t>Transitional regulatory proposal for 1 July 2014 to 30 June 2015</w:t>
      </w:r>
      <w:r w:rsidRPr="0000172E">
        <w:t xml:space="preserve">, January 2014, p. 21. Endeavour Energy, </w:t>
      </w:r>
      <w:r w:rsidRPr="0000172E">
        <w:rPr>
          <w:rStyle w:val="AERtextitalic"/>
        </w:rPr>
        <w:t>Transitional regulatory proposal</w:t>
      </w:r>
      <w:r>
        <w:rPr>
          <w:rStyle w:val="AERtextitalic"/>
        </w:rPr>
        <w:t xml:space="preserve"> to the Australian Energy Regulator</w:t>
      </w:r>
      <w:r w:rsidRPr="0000172E">
        <w:t xml:space="preserve">, January 2014, p. 18. Essential Energy, </w:t>
      </w:r>
      <w:r w:rsidRPr="0000172E">
        <w:rPr>
          <w:rStyle w:val="AERtextitalic"/>
        </w:rPr>
        <w:t>Transitional regulatory proposal</w:t>
      </w:r>
      <w:r>
        <w:t>, January 2014, p. </w:t>
      </w:r>
      <w:r w:rsidRPr="0000172E">
        <w:t>22.</w:t>
      </w:r>
    </w:p>
  </w:footnote>
  <w:footnote w:id="116">
    <w:p w:rsidR="0023073C" w:rsidRDefault="0023073C" w:rsidP="00724615">
      <w:pPr>
        <w:pStyle w:val="FootnoteText"/>
      </w:pPr>
      <w:r>
        <w:rPr>
          <w:rStyle w:val="FootnoteReference"/>
        </w:rPr>
        <w:footnoteRef/>
      </w:r>
      <w:r>
        <w:t xml:space="preserve"> </w:t>
      </w:r>
      <w:r>
        <w:tab/>
        <w:t xml:space="preserve">Ausgrid, </w:t>
      </w:r>
      <w:r w:rsidRPr="00782AF4">
        <w:rPr>
          <w:rStyle w:val="AERtextitalic"/>
        </w:rPr>
        <w:t>Transitional regulatory proposal</w:t>
      </w:r>
      <w:r>
        <w:t>, January 2014, p. 22.</w:t>
      </w:r>
    </w:p>
  </w:footnote>
  <w:footnote w:id="117">
    <w:p w:rsidR="0023073C" w:rsidRDefault="0023073C" w:rsidP="00724615">
      <w:pPr>
        <w:pStyle w:val="FootnoteText"/>
      </w:pPr>
      <w:r>
        <w:rPr>
          <w:rStyle w:val="FootnoteReference"/>
        </w:rPr>
        <w:footnoteRef/>
      </w:r>
      <w:r>
        <w:t xml:space="preserve"> </w:t>
      </w:r>
      <w:r>
        <w:tab/>
        <w:t>NER, clause 6.5.2(e)(1).</w:t>
      </w:r>
    </w:p>
  </w:footnote>
  <w:footnote w:id="118">
    <w:p w:rsidR="0023073C" w:rsidRDefault="0023073C" w:rsidP="00724615">
      <w:pPr>
        <w:pStyle w:val="FootnoteText"/>
      </w:pPr>
      <w:r>
        <w:rPr>
          <w:rStyle w:val="FootnoteReference"/>
        </w:rPr>
        <w:footnoteRef/>
      </w:r>
      <w:r>
        <w:t xml:space="preserve"> </w:t>
      </w:r>
      <w:r>
        <w:tab/>
        <w:t xml:space="preserve">CEG, </w:t>
      </w:r>
      <w:r w:rsidRPr="00782AF4">
        <w:rPr>
          <w:rStyle w:val="AERtextitalic"/>
        </w:rPr>
        <w:t>WACC estimates</w:t>
      </w:r>
      <w:r>
        <w:t>, January 2014.</w:t>
      </w:r>
    </w:p>
  </w:footnote>
  <w:footnote w:id="119">
    <w:p w:rsidR="0023073C" w:rsidRDefault="0023073C" w:rsidP="00724615">
      <w:pPr>
        <w:pStyle w:val="FootnoteText"/>
      </w:pPr>
      <w:r>
        <w:rPr>
          <w:rStyle w:val="FootnoteReference"/>
        </w:rPr>
        <w:footnoteRef/>
      </w:r>
      <w:r>
        <w:t xml:space="preserve"> </w:t>
      </w:r>
      <w:r>
        <w:tab/>
        <w:t xml:space="preserve">AER, </w:t>
      </w:r>
      <w:r w:rsidRPr="0000172E">
        <w:rPr>
          <w:rStyle w:val="AERtextitalic"/>
        </w:rPr>
        <w:t>Better regulation rate of return guideline</w:t>
      </w:r>
      <w:r>
        <w:t>, December 2013.</w:t>
      </w:r>
    </w:p>
  </w:footnote>
  <w:footnote w:id="120">
    <w:p w:rsidR="0023073C" w:rsidRDefault="0023073C" w:rsidP="00724615">
      <w:pPr>
        <w:pStyle w:val="FootnoteText"/>
      </w:pPr>
      <w:r>
        <w:rPr>
          <w:rStyle w:val="FootnoteReference"/>
        </w:rPr>
        <w:footnoteRef/>
      </w:r>
      <w:r>
        <w:t xml:space="preserve"> </w:t>
      </w:r>
      <w:r>
        <w:tab/>
        <w:t xml:space="preserve">Ausgrid, </w:t>
      </w:r>
      <w:r w:rsidRPr="00782AF4">
        <w:rPr>
          <w:rStyle w:val="AERtextitalic"/>
        </w:rPr>
        <w:t>Transitional regulatory proposal</w:t>
      </w:r>
      <w:r>
        <w:t>, January 2014, p. 21.</w:t>
      </w:r>
    </w:p>
  </w:footnote>
  <w:footnote w:id="121">
    <w:p w:rsidR="0023073C" w:rsidRDefault="0023073C" w:rsidP="00724615">
      <w:pPr>
        <w:pStyle w:val="FootnoteText"/>
      </w:pPr>
      <w:r>
        <w:rPr>
          <w:rStyle w:val="FootnoteReference"/>
        </w:rPr>
        <w:footnoteRef/>
      </w:r>
      <w:r>
        <w:t xml:space="preserve"> </w:t>
      </w:r>
      <w:r>
        <w:tab/>
        <w:t xml:space="preserve">Ausgrid, </w:t>
      </w:r>
      <w:r w:rsidRPr="00D9659D">
        <w:rPr>
          <w:rStyle w:val="AERtextitalic"/>
        </w:rPr>
        <w:t>Post-tax revenue model</w:t>
      </w:r>
      <w:r>
        <w:t>, January 2014.</w:t>
      </w:r>
    </w:p>
  </w:footnote>
  <w:footnote w:id="122">
    <w:p w:rsidR="0023073C" w:rsidRDefault="0023073C" w:rsidP="00724615">
      <w:pPr>
        <w:pStyle w:val="FootnoteText"/>
      </w:pPr>
      <w:r>
        <w:rPr>
          <w:rStyle w:val="FootnoteReference"/>
        </w:rPr>
        <w:footnoteRef/>
      </w:r>
      <w:r>
        <w:t xml:space="preserve"> </w:t>
      </w:r>
      <w:r>
        <w:tab/>
        <w:t xml:space="preserve">Ausgrid, </w:t>
      </w:r>
      <w:r w:rsidRPr="00A33E9D">
        <w:rPr>
          <w:rStyle w:val="AERtextitalic"/>
        </w:rPr>
        <w:t>Transitional revenue proposal 2014/15</w:t>
      </w:r>
      <w:r>
        <w:t xml:space="preserve">, 31 January 2014, pp. 31-32; Endeavour Energy, </w:t>
      </w:r>
      <w:r w:rsidRPr="00A33E9D">
        <w:rPr>
          <w:rStyle w:val="AERtextitalic"/>
        </w:rPr>
        <w:t>Transitional revenue proposal</w:t>
      </w:r>
      <w:r>
        <w:t>,</w:t>
      </w:r>
      <w:r w:rsidRPr="00911DEE">
        <w:t xml:space="preserve"> 2014/15</w:t>
      </w:r>
      <w:r>
        <w:t xml:space="preserve">, 31 January 2014, p. 34; Essential Energy, </w:t>
      </w:r>
      <w:r w:rsidRPr="00A33E9D">
        <w:rPr>
          <w:rStyle w:val="AERtextitalic"/>
        </w:rPr>
        <w:t>Transitional revenue proposal</w:t>
      </w:r>
      <w:r>
        <w:rPr>
          <w:rStyle w:val="AERtextitalic"/>
        </w:rPr>
        <w:t>,</w:t>
      </w:r>
      <w:r w:rsidRPr="00911DEE">
        <w:t xml:space="preserve"> 2014/15</w:t>
      </w:r>
      <w:r>
        <w:t>, 31 January 2014, p. 37.</w:t>
      </w:r>
    </w:p>
  </w:footnote>
  <w:footnote w:id="123">
    <w:p w:rsidR="0023073C" w:rsidRDefault="0023073C" w:rsidP="00724615">
      <w:pPr>
        <w:pStyle w:val="FootnoteText"/>
      </w:pPr>
      <w:r>
        <w:rPr>
          <w:rStyle w:val="FootnoteReference"/>
        </w:rPr>
        <w:footnoteRef/>
      </w:r>
      <w:r>
        <w:t xml:space="preserve"> </w:t>
      </w:r>
      <w:r>
        <w:tab/>
        <w:t xml:space="preserve">Ausgrid, </w:t>
      </w:r>
      <w:r w:rsidRPr="0034759E">
        <w:rPr>
          <w:rStyle w:val="AERtextitalic"/>
        </w:rPr>
        <w:t>Transitional revenue proposal 2014/15</w:t>
      </w:r>
      <w:r>
        <w:t xml:space="preserve">, 31 January 2014, pp. 31-32; Endeavour Energy, </w:t>
      </w:r>
      <w:r w:rsidRPr="0034759E">
        <w:rPr>
          <w:rStyle w:val="AERtextitalic"/>
        </w:rPr>
        <w:t>Transitional revenue proposal</w:t>
      </w:r>
      <w:r>
        <w:t>,</w:t>
      </w:r>
      <w:r w:rsidRPr="00911DEE">
        <w:t xml:space="preserve"> 2014/15</w:t>
      </w:r>
      <w:r>
        <w:t xml:space="preserve">, 31 January 2014, p. 35; Essential Energy, </w:t>
      </w:r>
      <w:r w:rsidRPr="0034759E">
        <w:rPr>
          <w:rStyle w:val="AERtextitalic"/>
        </w:rPr>
        <w:t>Transitional revenue proposal</w:t>
      </w:r>
      <w:r>
        <w:rPr>
          <w:rStyle w:val="AERtextitalic"/>
        </w:rPr>
        <w:t>,</w:t>
      </w:r>
      <w:r w:rsidRPr="00911DEE">
        <w:t xml:space="preserve"> 2014/15</w:t>
      </w:r>
      <w:r>
        <w:t>, 31 January 2014, p. 37.</w:t>
      </w:r>
    </w:p>
  </w:footnote>
  <w:footnote w:id="124">
    <w:p w:rsidR="0023073C" w:rsidRDefault="0023073C" w:rsidP="00724615">
      <w:pPr>
        <w:pStyle w:val="FootnoteText"/>
      </w:pPr>
      <w:r>
        <w:rPr>
          <w:rStyle w:val="FootnoteReference"/>
        </w:rPr>
        <w:footnoteRef/>
      </w:r>
      <w:r>
        <w:t xml:space="preserve"> </w:t>
      </w:r>
      <w:r>
        <w:tab/>
        <w:t xml:space="preserve">Ausgrid, </w:t>
      </w:r>
      <w:r w:rsidRPr="0034759E">
        <w:rPr>
          <w:rStyle w:val="AERtextitalic"/>
        </w:rPr>
        <w:t>Transitional revenue proposal 2014/15</w:t>
      </w:r>
      <w:r>
        <w:t xml:space="preserve">, 31 January 2014, p. 33; Endeavour Energy, </w:t>
      </w:r>
      <w:r w:rsidRPr="0034759E">
        <w:rPr>
          <w:rStyle w:val="AERtextitalic"/>
        </w:rPr>
        <w:t>Transitional revenue proposal</w:t>
      </w:r>
      <w:r>
        <w:t>,</w:t>
      </w:r>
      <w:r w:rsidRPr="00911DEE">
        <w:t xml:space="preserve"> 2014/15</w:t>
      </w:r>
      <w:r>
        <w:t xml:space="preserve">, 31 January 2014, p. 35; Essential Energy, </w:t>
      </w:r>
      <w:r w:rsidRPr="0034759E">
        <w:rPr>
          <w:rStyle w:val="AERtextitalic"/>
        </w:rPr>
        <w:t>Transitional revenue proposal</w:t>
      </w:r>
      <w:r>
        <w:rPr>
          <w:rStyle w:val="AERtextitalic"/>
        </w:rPr>
        <w:t>,</w:t>
      </w:r>
      <w:r w:rsidRPr="00911DEE">
        <w:t xml:space="preserve"> 2014/15</w:t>
      </w:r>
      <w:r>
        <w:t>, 31 January 2014, p. 37.</w:t>
      </w:r>
    </w:p>
  </w:footnote>
  <w:footnote w:id="125">
    <w:p w:rsidR="0023073C" w:rsidRDefault="0023073C" w:rsidP="00724615">
      <w:pPr>
        <w:pStyle w:val="FootnoteText"/>
      </w:pPr>
      <w:r>
        <w:rPr>
          <w:rStyle w:val="FootnoteReference"/>
        </w:rPr>
        <w:footnoteRef/>
      </w:r>
      <w:r>
        <w:t xml:space="preserve"> </w:t>
      </w:r>
      <w:r>
        <w:tab/>
        <w:t xml:space="preserve">Ausgrid, </w:t>
      </w:r>
      <w:r w:rsidRPr="0034759E">
        <w:rPr>
          <w:rStyle w:val="AERtextitalic"/>
        </w:rPr>
        <w:t>Transitional revenue proposal 2014/15</w:t>
      </w:r>
      <w:r>
        <w:t>, 31 January 2014, pp. 31-32.</w:t>
      </w:r>
    </w:p>
  </w:footnote>
  <w:footnote w:id="126">
    <w:p w:rsidR="0023073C" w:rsidRDefault="0023073C" w:rsidP="00724615">
      <w:pPr>
        <w:pStyle w:val="FootnoteText"/>
      </w:pPr>
      <w:r>
        <w:rPr>
          <w:rStyle w:val="FootnoteReference"/>
        </w:rPr>
        <w:footnoteRef/>
      </w:r>
      <w:r>
        <w:t xml:space="preserve"> </w:t>
      </w:r>
      <w:r>
        <w:tab/>
        <w:t xml:space="preserve">Ausgrid, </w:t>
      </w:r>
      <w:r w:rsidRPr="0034759E">
        <w:rPr>
          <w:rStyle w:val="AERtextitalic"/>
        </w:rPr>
        <w:t>Transitional revenue proposal 2014/15</w:t>
      </w:r>
      <w:r>
        <w:t>, 31 January 2014, pp. 31-32.</w:t>
      </w:r>
    </w:p>
  </w:footnote>
  <w:footnote w:id="127">
    <w:p w:rsidR="0023073C" w:rsidRDefault="0023073C" w:rsidP="000603C4">
      <w:pPr>
        <w:pStyle w:val="FootnoteText"/>
        <w:tabs>
          <w:tab w:val="left" w:pos="567"/>
        </w:tabs>
        <w:ind w:left="567" w:hanging="567"/>
      </w:pPr>
      <w:r>
        <w:rPr>
          <w:rStyle w:val="FootnoteReference"/>
        </w:rPr>
        <w:footnoteRef/>
      </w:r>
      <w:r>
        <w:t xml:space="preserve"> </w:t>
      </w:r>
      <w:r>
        <w:tab/>
        <w:t>Note that the capex amount for the final year of the regulatory control period is an estimate.</w:t>
      </w:r>
    </w:p>
  </w:footnote>
  <w:footnote w:id="128">
    <w:p w:rsidR="0023073C" w:rsidRDefault="0023073C" w:rsidP="000603C4">
      <w:pPr>
        <w:pStyle w:val="FootnoteText"/>
        <w:tabs>
          <w:tab w:val="left" w:pos="567"/>
        </w:tabs>
        <w:ind w:left="567" w:hanging="567"/>
      </w:pPr>
      <w:r>
        <w:rPr>
          <w:rStyle w:val="FootnoteReference"/>
        </w:rPr>
        <w:footnoteRef/>
      </w:r>
      <w:r>
        <w:t xml:space="preserve"> </w:t>
      </w:r>
      <w:r>
        <w:tab/>
        <w:t>Note that the capex amount for the final year of the regulatory control period is an estimate.</w:t>
      </w:r>
    </w:p>
  </w:footnote>
  <w:footnote w:id="129">
    <w:p w:rsidR="0023073C" w:rsidRDefault="0023073C">
      <w:pPr>
        <w:pStyle w:val="FootnoteText"/>
      </w:pPr>
      <w:r>
        <w:rPr>
          <w:rStyle w:val="FootnoteReference"/>
        </w:rPr>
        <w:footnoteRef/>
      </w:r>
      <w:r>
        <w:t xml:space="preserve"> </w:t>
      </w:r>
      <w:r>
        <w:tab/>
      </w:r>
      <w:r w:rsidRPr="005224D5">
        <w:t>This $</w:t>
      </w:r>
      <w:r>
        <w:t>3974 </w:t>
      </w:r>
      <w:r w:rsidRPr="005224D5">
        <w:t xml:space="preserve">million </w:t>
      </w:r>
      <w:r>
        <w:t xml:space="preserve">(real $2013–14) </w:t>
      </w:r>
      <w:r w:rsidRPr="005224D5">
        <w:t>includes eq</w:t>
      </w:r>
      <w:r>
        <w:t xml:space="preserve">uity raising costs (in 2014–15), </w:t>
      </w:r>
      <w:r w:rsidRPr="005224D5">
        <w:t>metering capex (across 2014–19)</w:t>
      </w:r>
      <w:r>
        <w:t xml:space="preserve"> and a half year WACC adjustment</w:t>
      </w:r>
      <w:r w:rsidRPr="005224D5">
        <w:t xml:space="preserve">; </w:t>
      </w:r>
      <w:r>
        <w:t>and is net of capital contributions and asset disposals.</w:t>
      </w:r>
    </w:p>
  </w:footnote>
  <w:footnote w:id="130">
    <w:p w:rsidR="0023073C" w:rsidRDefault="0023073C">
      <w:pPr>
        <w:pStyle w:val="FootnoteText"/>
      </w:pPr>
      <w:r>
        <w:rPr>
          <w:rStyle w:val="FootnoteReference"/>
        </w:rPr>
        <w:footnoteRef/>
      </w:r>
      <w:r>
        <w:t xml:space="preserve"> </w:t>
      </w:r>
      <w:r>
        <w:tab/>
        <w:t xml:space="preserve">This </w:t>
      </w:r>
      <w:r w:rsidRPr="005224D5">
        <w:t>$</w:t>
      </w:r>
      <w:r>
        <w:t>549 </w:t>
      </w:r>
      <w:r w:rsidRPr="005224D5">
        <w:t xml:space="preserve">million </w:t>
      </w:r>
      <w:r>
        <w:t xml:space="preserve">(real $2013–14) </w:t>
      </w:r>
      <w:r w:rsidRPr="005224D5">
        <w:t>includes eq</w:t>
      </w:r>
      <w:r>
        <w:t>uity raising costs (in 2014–15) and a half year WACC adjustment</w:t>
      </w:r>
      <w:r w:rsidRPr="005224D5">
        <w:t xml:space="preserve">; </w:t>
      </w:r>
      <w:r>
        <w:t>and is net of capital contributions and asset disposals</w:t>
      </w:r>
    </w:p>
  </w:footnote>
  <w:footnote w:id="131">
    <w:p w:rsidR="0023073C" w:rsidRDefault="0023073C" w:rsidP="00032BEE">
      <w:pPr>
        <w:pStyle w:val="FootnoteText"/>
      </w:pPr>
      <w:r>
        <w:rPr>
          <w:rStyle w:val="FootnoteReference"/>
        </w:rPr>
        <w:footnoteRef/>
      </w:r>
      <w:r>
        <w:t xml:space="preserve"> </w:t>
      </w:r>
      <w:r>
        <w:tab/>
        <w:t xml:space="preserve">Ausgrid, </w:t>
      </w:r>
      <w:r w:rsidRPr="00782AF4">
        <w:rPr>
          <w:rStyle w:val="AERtextitalic"/>
        </w:rPr>
        <w:t>Transitional regulatory proposal</w:t>
      </w:r>
      <w:r>
        <w:t>, January 2014, p. 22.</w:t>
      </w:r>
    </w:p>
  </w:footnote>
  <w:footnote w:id="132">
    <w:p w:rsidR="0023073C" w:rsidRDefault="0023073C" w:rsidP="00032BEE">
      <w:pPr>
        <w:pStyle w:val="FootnoteText"/>
      </w:pPr>
      <w:r>
        <w:rPr>
          <w:rStyle w:val="FootnoteReference"/>
        </w:rPr>
        <w:footnoteRef/>
      </w:r>
      <w:r>
        <w:t xml:space="preserve"> </w:t>
      </w:r>
      <w:r>
        <w:tab/>
        <w:t>NER, clause 6.5.2(e)(1).</w:t>
      </w:r>
    </w:p>
  </w:footnote>
  <w:footnote w:id="133">
    <w:p w:rsidR="0023073C" w:rsidRDefault="0023073C" w:rsidP="00032BEE">
      <w:pPr>
        <w:pStyle w:val="FootnoteText"/>
      </w:pPr>
      <w:r>
        <w:rPr>
          <w:rStyle w:val="FootnoteReference"/>
        </w:rPr>
        <w:footnoteRef/>
      </w:r>
      <w:r>
        <w:t xml:space="preserve"> </w:t>
      </w:r>
      <w:r>
        <w:tab/>
        <w:t xml:space="preserve">CEG, </w:t>
      </w:r>
      <w:r w:rsidRPr="00782AF4">
        <w:rPr>
          <w:rStyle w:val="AERtextitalic"/>
        </w:rPr>
        <w:t>WACC estimates</w:t>
      </w:r>
      <w:r>
        <w:t>, January 2014.</w:t>
      </w:r>
    </w:p>
  </w:footnote>
  <w:footnote w:id="134">
    <w:p w:rsidR="0023073C" w:rsidRDefault="0023073C" w:rsidP="00032BEE">
      <w:pPr>
        <w:pStyle w:val="FootnoteText"/>
      </w:pPr>
      <w:r>
        <w:rPr>
          <w:rStyle w:val="FootnoteReference"/>
        </w:rPr>
        <w:footnoteRef/>
      </w:r>
      <w:r>
        <w:t xml:space="preserve"> </w:t>
      </w:r>
      <w:r>
        <w:tab/>
        <w:t xml:space="preserve">AER, </w:t>
      </w:r>
      <w:r w:rsidRPr="0000172E">
        <w:rPr>
          <w:rStyle w:val="AERtextitalic"/>
        </w:rPr>
        <w:t>Better regulation rate of return guideline</w:t>
      </w:r>
      <w:r>
        <w:t>, December 2013.</w:t>
      </w:r>
    </w:p>
  </w:footnote>
  <w:footnote w:id="135">
    <w:p w:rsidR="0023073C" w:rsidRDefault="0023073C" w:rsidP="00032BEE">
      <w:pPr>
        <w:pStyle w:val="FootnoteText"/>
      </w:pPr>
      <w:r>
        <w:rPr>
          <w:rStyle w:val="FootnoteReference"/>
        </w:rPr>
        <w:footnoteRef/>
      </w:r>
      <w:r>
        <w:t xml:space="preserve"> </w:t>
      </w:r>
      <w:r>
        <w:tab/>
        <w:t xml:space="preserve">Ausgrid, </w:t>
      </w:r>
      <w:r w:rsidRPr="00782AF4">
        <w:rPr>
          <w:rStyle w:val="AERtextitalic"/>
        </w:rPr>
        <w:t>Transitional regulatory proposal</w:t>
      </w:r>
      <w:r>
        <w:t>, January 2014, p. 21.</w:t>
      </w:r>
    </w:p>
  </w:footnote>
  <w:footnote w:id="136">
    <w:p w:rsidR="0023073C" w:rsidRDefault="0023073C" w:rsidP="00032BEE">
      <w:pPr>
        <w:pStyle w:val="FootnoteText"/>
      </w:pPr>
      <w:r>
        <w:rPr>
          <w:rStyle w:val="FootnoteReference"/>
        </w:rPr>
        <w:footnoteRef/>
      </w:r>
      <w:r>
        <w:t xml:space="preserve"> </w:t>
      </w:r>
      <w:r>
        <w:tab/>
        <w:t xml:space="preserve">Ausgrid, </w:t>
      </w:r>
      <w:r w:rsidRPr="00D9659D">
        <w:rPr>
          <w:rStyle w:val="AERtextitalic"/>
        </w:rPr>
        <w:t>Post-tax revenue model</w:t>
      </w:r>
      <w:r>
        <w:t>, January 2014.</w:t>
      </w:r>
    </w:p>
  </w:footnote>
  <w:footnote w:id="137">
    <w:p w:rsidR="0023073C" w:rsidRDefault="0023073C" w:rsidP="00724615">
      <w:pPr>
        <w:pStyle w:val="FootnoteText"/>
      </w:pPr>
      <w:r>
        <w:rPr>
          <w:rStyle w:val="FootnoteReference"/>
        </w:rPr>
        <w:footnoteRef/>
      </w:r>
      <w:r>
        <w:t xml:space="preserve"> </w:t>
      </w:r>
      <w:r>
        <w:tab/>
        <w:t xml:space="preserve">AusGrid, </w:t>
      </w:r>
      <w:r w:rsidRPr="00A33E9D">
        <w:rPr>
          <w:rStyle w:val="AERtextitalic"/>
        </w:rPr>
        <w:t>Transitional revenue proposal 2014/15</w:t>
      </w:r>
      <w:r>
        <w:t xml:space="preserve">, 31 January 2014, pp. 31-32; Endeavour Energy, </w:t>
      </w:r>
      <w:r w:rsidRPr="00A33E9D">
        <w:rPr>
          <w:rStyle w:val="AERtextitalic"/>
        </w:rPr>
        <w:t>Transitional revenue proposal</w:t>
      </w:r>
      <w:r>
        <w:t>,</w:t>
      </w:r>
      <w:r w:rsidRPr="00911DEE">
        <w:t xml:space="preserve"> 2014/15</w:t>
      </w:r>
      <w:r>
        <w:t xml:space="preserve">, 31 January 2014, p. 34; Essential Energy, </w:t>
      </w:r>
      <w:r w:rsidRPr="00A33E9D">
        <w:rPr>
          <w:rStyle w:val="AERtextitalic"/>
        </w:rPr>
        <w:t>Transitional revenue proposal</w:t>
      </w:r>
      <w:r>
        <w:rPr>
          <w:rStyle w:val="AERtextitalic"/>
        </w:rPr>
        <w:t>,</w:t>
      </w:r>
      <w:r w:rsidRPr="00911DEE">
        <w:t xml:space="preserve"> 2014/15</w:t>
      </w:r>
      <w:r>
        <w:t>, 31 January 2014, p. 37.</w:t>
      </w:r>
    </w:p>
  </w:footnote>
  <w:footnote w:id="138">
    <w:p w:rsidR="0023073C" w:rsidRDefault="0023073C" w:rsidP="00724615">
      <w:pPr>
        <w:pStyle w:val="FootnoteText"/>
      </w:pPr>
      <w:r>
        <w:rPr>
          <w:rStyle w:val="FootnoteReference"/>
        </w:rPr>
        <w:footnoteRef/>
      </w:r>
      <w:r>
        <w:t xml:space="preserve"> </w:t>
      </w:r>
      <w:r>
        <w:tab/>
        <w:t xml:space="preserve">AusGrid, </w:t>
      </w:r>
      <w:r w:rsidRPr="0034759E">
        <w:rPr>
          <w:rStyle w:val="AERtextitalic"/>
        </w:rPr>
        <w:t>Transitional revenue proposal 2014/15</w:t>
      </w:r>
      <w:r>
        <w:t xml:space="preserve">, 31 January 2014, pp. 31-32; Endeavour Energy, </w:t>
      </w:r>
      <w:r w:rsidRPr="0034759E">
        <w:rPr>
          <w:rStyle w:val="AERtextitalic"/>
        </w:rPr>
        <w:t>Transitional revenue proposal</w:t>
      </w:r>
      <w:r>
        <w:t>,</w:t>
      </w:r>
      <w:r w:rsidRPr="00911DEE">
        <w:t xml:space="preserve"> 2014/15</w:t>
      </w:r>
      <w:r>
        <w:t xml:space="preserve">, 31 January 2014, p. 35; Essential Energy, </w:t>
      </w:r>
      <w:r w:rsidRPr="0034759E">
        <w:rPr>
          <w:rStyle w:val="AERtextitalic"/>
        </w:rPr>
        <w:t>Transitional revenue proposal</w:t>
      </w:r>
      <w:r>
        <w:rPr>
          <w:rStyle w:val="AERtextitalic"/>
        </w:rPr>
        <w:t>,</w:t>
      </w:r>
      <w:r w:rsidRPr="00911DEE">
        <w:t xml:space="preserve"> 2014/15</w:t>
      </w:r>
      <w:r>
        <w:t>, 31 January 2014, p. 37.</w:t>
      </w:r>
    </w:p>
  </w:footnote>
  <w:footnote w:id="139">
    <w:p w:rsidR="0023073C" w:rsidRDefault="0023073C" w:rsidP="00724615">
      <w:pPr>
        <w:pStyle w:val="FootnoteText"/>
      </w:pPr>
      <w:r>
        <w:rPr>
          <w:rStyle w:val="FootnoteReference"/>
        </w:rPr>
        <w:footnoteRef/>
      </w:r>
      <w:r>
        <w:t xml:space="preserve"> </w:t>
      </w:r>
      <w:r>
        <w:tab/>
        <w:t xml:space="preserve">AusGrid, </w:t>
      </w:r>
      <w:r w:rsidRPr="0034759E">
        <w:rPr>
          <w:rStyle w:val="AERtextitalic"/>
        </w:rPr>
        <w:t>Transitional revenue proposal 2014/15</w:t>
      </w:r>
      <w:r>
        <w:t xml:space="preserve">, 31 January 2014, p. 33; Endeavour Energy, </w:t>
      </w:r>
      <w:r w:rsidRPr="0034759E">
        <w:rPr>
          <w:rStyle w:val="AERtextitalic"/>
        </w:rPr>
        <w:t>Transitional revenue proposal</w:t>
      </w:r>
      <w:r>
        <w:t>,</w:t>
      </w:r>
      <w:r w:rsidRPr="00911DEE">
        <w:t xml:space="preserve"> 2014/15</w:t>
      </w:r>
      <w:r>
        <w:t xml:space="preserve">, 31 January 2014, p. 35; Essential Energy, </w:t>
      </w:r>
      <w:r w:rsidRPr="0034759E">
        <w:rPr>
          <w:rStyle w:val="AERtextitalic"/>
        </w:rPr>
        <w:t>Transitional revenue proposal</w:t>
      </w:r>
      <w:r>
        <w:rPr>
          <w:rStyle w:val="AERtextitalic"/>
        </w:rPr>
        <w:t>,</w:t>
      </w:r>
      <w:r w:rsidRPr="00911DEE">
        <w:t xml:space="preserve"> 2014/15</w:t>
      </w:r>
      <w:r>
        <w:t>, 31 January 2014, p. 37.</w:t>
      </w:r>
    </w:p>
  </w:footnote>
  <w:footnote w:id="140">
    <w:p w:rsidR="0023073C" w:rsidRDefault="0023073C" w:rsidP="00724615">
      <w:pPr>
        <w:pStyle w:val="FootnoteText"/>
      </w:pPr>
      <w:r>
        <w:rPr>
          <w:rStyle w:val="FootnoteReference"/>
        </w:rPr>
        <w:footnoteRef/>
      </w:r>
      <w:r>
        <w:t xml:space="preserve"> </w:t>
      </w:r>
      <w:r>
        <w:tab/>
        <w:t xml:space="preserve">Essential Energy, </w:t>
      </w:r>
      <w:r w:rsidRPr="0034759E">
        <w:rPr>
          <w:rStyle w:val="AERtextitalic"/>
        </w:rPr>
        <w:t>Transitional revenue proposal</w:t>
      </w:r>
      <w:r>
        <w:rPr>
          <w:rStyle w:val="AERtextitalic"/>
        </w:rPr>
        <w:t>,</w:t>
      </w:r>
      <w:r w:rsidRPr="00911DEE">
        <w:t xml:space="preserve"> 2014/15</w:t>
      </w:r>
      <w:r>
        <w:t>, 31 January 2014, p. 37.</w:t>
      </w:r>
    </w:p>
  </w:footnote>
  <w:footnote w:id="141">
    <w:p w:rsidR="0023073C" w:rsidRDefault="0023073C" w:rsidP="000603C4">
      <w:pPr>
        <w:pStyle w:val="FootnoteText"/>
        <w:tabs>
          <w:tab w:val="left" w:pos="567"/>
        </w:tabs>
        <w:ind w:left="567" w:hanging="567"/>
      </w:pPr>
      <w:r>
        <w:rPr>
          <w:rStyle w:val="FootnoteReference"/>
        </w:rPr>
        <w:footnoteRef/>
      </w:r>
      <w:r>
        <w:t xml:space="preserve"> </w:t>
      </w:r>
      <w:r>
        <w:tab/>
        <w:t>Note that the capex amount for the final year of the regulatory control period is an estimate.</w:t>
      </w:r>
    </w:p>
  </w:footnote>
  <w:footnote w:id="142">
    <w:p w:rsidR="0023073C" w:rsidRDefault="0023073C">
      <w:pPr>
        <w:pStyle w:val="FootnoteText"/>
      </w:pPr>
      <w:r>
        <w:rPr>
          <w:rStyle w:val="FootnoteReference"/>
        </w:rPr>
        <w:footnoteRef/>
      </w:r>
      <w:r>
        <w:t xml:space="preserve"> </w:t>
      </w:r>
      <w:r>
        <w:tab/>
      </w:r>
      <w:r w:rsidRPr="005224D5">
        <w:t xml:space="preserve">This $2625 million </w:t>
      </w:r>
      <w:r>
        <w:t>(real $2013–14)</w:t>
      </w:r>
      <w:r w:rsidRPr="005224D5">
        <w:t xml:space="preserve"> includes equity raising costs (in 2014–15)</w:t>
      </w:r>
      <w:r>
        <w:t>,</w:t>
      </w:r>
      <w:r w:rsidRPr="005224D5">
        <w:t xml:space="preserve"> metering capex (across 2014–19)</w:t>
      </w:r>
      <w:r>
        <w:t xml:space="preserve"> and a half year WACC adjustment</w:t>
      </w:r>
      <w:r w:rsidRPr="005224D5">
        <w:t>; and is net of capital contributions and asset disposals.</w:t>
      </w:r>
    </w:p>
  </w:footnote>
  <w:footnote w:id="143">
    <w:p w:rsidR="0023073C" w:rsidRDefault="0023073C" w:rsidP="00032BEE">
      <w:pPr>
        <w:pStyle w:val="FootnoteText"/>
      </w:pPr>
      <w:r>
        <w:rPr>
          <w:rStyle w:val="FootnoteReference"/>
        </w:rPr>
        <w:footnoteRef/>
      </w:r>
      <w:r>
        <w:t xml:space="preserve"> </w:t>
      </w:r>
      <w:r>
        <w:tab/>
        <w:t xml:space="preserve">Ausgrid, </w:t>
      </w:r>
      <w:r w:rsidRPr="00782AF4">
        <w:rPr>
          <w:rStyle w:val="AERtextitalic"/>
        </w:rPr>
        <w:t>Transitional regulatory proposal</w:t>
      </w:r>
      <w:r>
        <w:t>, January 2014, p. 22.</w:t>
      </w:r>
    </w:p>
  </w:footnote>
  <w:footnote w:id="144">
    <w:p w:rsidR="0023073C" w:rsidRDefault="0023073C" w:rsidP="00032BEE">
      <w:pPr>
        <w:pStyle w:val="FootnoteText"/>
      </w:pPr>
      <w:r>
        <w:rPr>
          <w:rStyle w:val="FootnoteReference"/>
        </w:rPr>
        <w:footnoteRef/>
      </w:r>
      <w:r>
        <w:t xml:space="preserve"> </w:t>
      </w:r>
      <w:r>
        <w:tab/>
        <w:t>NER, clause 6.5.2(e)(1).</w:t>
      </w:r>
    </w:p>
  </w:footnote>
  <w:footnote w:id="145">
    <w:p w:rsidR="0023073C" w:rsidRDefault="0023073C" w:rsidP="00032BEE">
      <w:pPr>
        <w:pStyle w:val="FootnoteText"/>
      </w:pPr>
      <w:r>
        <w:rPr>
          <w:rStyle w:val="FootnoteReference"/>
        </w:rPr>
        <w:footnoteRef/>
      </w:r>
      <w:r>
        <w:t xml:space="preserve"> </w:t>
      </w:r>
      <w:r>
        <w:tab/>
        <w:t xml:space="preserve">CEG, </w:t>
      </w:r>
      <w:r w:rsidRPr="00782AF4">
        <w:rPr>
          <w:rStyle w:val="AERtextitalic"/>
        </w:rPr>
        <w:t>WACC estimates</w:t>
      </w:r>
      <w:r>
        <w:t>, January 2014.</w:t>
      </w:r>
    </w:p>
  </w:footnote>
  <w:footnote w:id="146">
    <w:p w:rsidR="0023073C" w:rsidRDefault="0023073C" w:rsidP="00032BEE">
      <w:pPr>
        <w:pStyle w:val="FootnoteText"/>
      </w:pPr>
      <w:r>
        <w:rPr>
          <w:rStyle w:val="FootnoteReference"/>
        </w:rPr>
        <w:footnoteRef/>
      </w:r>
      <w:r>
        <w:t xml:space="preserve"> </w:t>
      </w:r>
      <w:r>
        <w:tab/>
        <w:t xml:space="preserve">AER, </w:t>
      </w:r>
      <w:r w:rsidRPr="0000172E">
        <w:rPr>
          <w:rStyle w:val="AERtextitalic"/>
        </w:rPr>
        <w:t>Better regulation rate of return guideline</w:t>
      </w:r>
      <w:r>
        <w:t>, December 2013.</w:t>
      </w:r>
    </w:p>
  </w:footnote>
  <w:footnote w:id="147">
    <w:p w:rsidR="0023073C" w:rsidRDefault="0023073C" w:rsidP="00032BEE">
      <w:pPr>
        <w:pStyle w:val="FootnoteText"/>
      </w:pPr>
      <w:r>
        <w:rPr>
          <w:rStyle w:val="FootnoteReference"/>
        </w:rPr>
        <w:footnoteRef/>
      </w:r>
      <w:r>
        <w:t xml:space="preserve"> </w:t>
      </w:r>
      <w:r>
        <w:tab/>
        <w:t xml:space="preserve">Ausgrid, </w:t>
      </w:r>
      <w:r w:rsidRPr="00782AF4">
        <w:rPr>
          <w:rStyle w:val="AERtextitalic"/>
        </w:rPr>
        <w:t>Transitional regulatory proposal</w:t>
      </w:r>
      <w:r>
        <w:t>, January 2014, p. 21.</w:t>
      </w:r>
    </w:p>
  </w:footnote>
  <w:footnote w:id="148">
    <w:p w:rsidR="0023073C" w:rsidRDefault="0023073C" w:rsidP="00032BEE">
      <w:pPr>
        <w:pStyle w:val="FootnoteText"/>
      </w:pPr>
      <w:r>
        <w:rPr>
          <w:rStyle w:val="FootnoteReference"/>
        </w:rPr>
        <w:footnoteRef/>
      </w:r>
      <w:r>
        <w:t xml:space="preserve"> </w:t>
      </w:r>
      <w:r>
        <w:tab/>
        <w:t xml:space="preserve">Ausgrid, </w:t>
      </w:r>
      <w:r w:rsidRPr="00D9659D">
        <w:rPr>
          <w:rStyle w:val="AERtextitalic"/>
        </w:rPr>
        <w:t>Post-tax revenue model</w:t>
      </w:r>
      <w:r>
        <w:t>, January 2014.</w:t>
      </w:r>
    </w:p>
  </w:footnote>
  <w:footnote w:id="149">
    <w:p w:rsidR="0023073C" w:rsidRDefault="0023073C" w:rsidP="00724615">
      <w:pPr>
        <w:pStyle w:val="FootnoteText"/>
      </w:pPr>
      <w:r>
        <w:rPr>
          <w:rStyle w:val="FootnoteReference"/>
        </w:rPr>
        <w:footnoteRef/>
      </w:r>
      <w:r>
        <w:t xml:space="preserve"> </w:t>
      </w:r>
      <w:r>
        <w:tab/>
        <w:t xml:space="preserve">Ausgrid, </w:t>
      </w:r>
      <w:r w:rsidRPr="00A33E9D">
        <w:rPr>
          <w:rStyle w:val="AERtextitalic"/>
        </w:rPr>
        <w:t>Transitional revenue proposal 2014/15</w:t>
      </w:r>
      <w:r>
        <w:t xml:space="preserve">, 31 January 2014, pp. 31-32; Endeavour Energy, </w:t>
      </w:r>
      <w:r w:rsidRPr="00A33E9D">
        <w:rPr>
          <w:rStyle w:val="AERtextitalic"/>
        </w:rPr>
        <w:t>Transitional revenue proposal</w:t>
      </w:r>
      <w:r>
        <w:t>,</w:t>
      </w:r>
      <w:r w:rsidRPr="00911DEE">
        <w:t xml:space="preserve"> 2014/15</w:t>
      </w:r>
      <w:r>
        <w:t xml:space="preserve">, 31 January 2014, p. 34; Essential Energy, </w:t>
      </w:r>
      <w:r w:rsidRPr="00A33E9D">
        <w:rPr>
          <w:rStyle w:val="AERtextitalic"/>
        </w:rPr>
        <w:t>Transitional revenue proposal</w:t>
      </w:r>
      <w:r>
        <w:rPr>
          <w:rStyle w:val="AERtextitalic"/>
        </w:rPr>
        <w:t>,</w:t>
      </w:r>
      <w:r w:rsidRPr="00911DEE">
        <w:t xml:space="preserve"> 2014/15</w:t>
      </w:r>
      <w:r>
        <w:t>, 31 January 2014, p. 37.</w:t>
      </w:r>
    </w:p>
  </w:footnote>
  <w:footnote w:id="150">
    <w:p w:rsidR="0023073C" w:rsidRDefault="0023073C" w:rsidP="00724615">
      <w:pPr>
        <w:pStyle w:val="FootnoteText"/>
      </w:pPr>
      <w:r>
        <w:rPr>
          <w:rStyle w:val="FootnoteReference"/>
        </w:rPr>
        <w:footnoteRef/>
      </w:r>
      <w:r>
        <w:t xml:space="preserve"> </w:t>
      </w:r>
      <w:r>
        <w:tab/>
        <w:t xml:space="preserve">Ausgrid, </w:t>
      </w:r>
      <w:r w:rsidRPr="0034759E">
        <w:rPr>
          <w:rStyle w:val="AERtextitalic"/>
        </w:rPr>
        <w:t>Transitional revenue proposal 2014/15</w:t>
      </w:r>
      <w:r>
        <w:t xml:space="preserve">, 31 January 2014, pp. 31-32; Endeavour Energy, </w:t>
      </w:r>
      <w:r w:rsidRPr="0034759E">
        <w:rPr>
          <w:rStyle w:val="AERtextitalic"/>
        </w:rPr>
        <w:t>Transitional revenue proposal</w:t>
      </w:r>
      <w:r>
        <w:t>,</w:t>
      </w:r>
      <w:r w:rsidRPr="00911DEE">
        <w:t xml:space="preserve"> 2014/15</w:t>
      </w:r>
      <w:r>
        <w:t xml:space="preserve">, 31 January 2014, p. 35; Essential Energy, </w:t>
      </w:r>
      <w:r w:rsidRPr="0034759E">
        <w:rPr>
          <w:rStyle w:val="AERtextitalic"/>
        </w:rPr>
        <w:t>Transitional revenue proposal</w:t>
      </w:r>
      <w:r>
        <w:rPr>
          <w:rStyle w:val="AERtextitalic"/>
        </w:rPr>
        <w:t>,</w:t>
      </w:r>
      <w:r w:rsidRPr="00911DEE">
        <w:t xml:space="preserve"> 2014/15</w:t>
      </w:r>
      <w:r>
        <w:t>, 31 January 2014, p. 37.</w:t>
      </w:r>
    </w:p>
  </w:footnote>
  <w:footnote w:id="151">
    <w:p w:rsidR="0023073C" w:rsidRDefault="0023073C" w:rsidP="00724615">
      <w:pPr>
        <w:pStyle w:val="FootnoteText"/>
      </w:pPr>
      <w:r>
        <w:rPr>
          <w:rStyle w:val="FootnoteReference"/>
        </w:rPr>
        <w:footnoteRef/>
      </w:r>
      <w:r>
        <w:t xml:space="preserve"> </w:t>
      </w:r>
      <w:r>
        <w:tab/>
        <w:t xml:space="preserve">Ausgrid, </w:t>
      </w:r>
      <w:r w:rsidRPr="0034759E">
        <w:rPr>
          <w:rStyle w:val="AERtextitalic"/>
        </w:rPr>
        <w:t>Transitional revenue proposal 2014/15</w:t>
      </w:r>
      <w:r>
        <w:t xml:space="preserve">, 31 January 2014, p. 33; Endeavour Energy, </w:t>
      </w:r>
      <w:r w:rsidRPr="0034759E">
        <w:rPr>
          <w:rStyle w:val="AERtextitalic"/>
        </w:rPr>
        <w:t>Transitional revenue proposal</w:t>
      </w:r>
      <w:r>
        <w:t>,</w:t>
      </w:r>
      <w:r w:rsidRPr="00911DEE">
        <w:t xml:space="preserve"> 2014/15</w:t>
      </w:r>
      <w:r>
        <w:t xml:space="preserve">, 31 January 2014, p. 35; Essential Energy, </w:t>
      </w:r>
      <w:r w:rsidRPr="0034759E">
        <w:rPr>
          <w:rStyle w:val="AERtextitalic"/>
        </w:rPr>
        <w:t>Transitional revenue proposal</w:t>
      </w:r>
      <w:r>
        <w:rPr>
          <w:rStyle w:val="AERtextitalic"/>
        </w:rPr>
        <w:t>,</w:t>
      </w:r>
      <w:r w:rsidRPr="00911DEE">
        <w:t xml:space="preserve"> 2014/15</w:t>
      </w:r>
      <w:r>
        <w:t>, 31 January 2014, p. 37.</w:t>
      </w:r>
    </w:p>
  </w:footnote>
  <w:footnote w:id="152">
    <w:p w:rsidR="0023073C" w:rsidRDefault="0023073C" w:rsidP="00724615">
      <w:pPr>
        <w:pStyle w:val="FootnoteText"/>
      </w:pPr>
      <w:r>
        <w:rPr>
          <w:rStyle w:val="FootnoteReference"/>
        </w:rPr>
        <w:footnoteRef/>
      </w:r>
      <w:r>
        <w:t xml:space="preserve"> </w:t>
      </w:r>
      <w:r>
        <w:tab/>
        <w:t xml:space="preserve">Endeavour Energy, </w:t>
      </w:r>
      <w:r w:rsidRPr="0034759E">
        <w:rPr>
          <w:rStyle w:val="AERtextitalic"/>
        </w:rPr>
        <w:t>Transitional revenue proposal</w:t>
      </w:r>
      <w:r>
        <w:t>,</w:t>
      </w:r>
      <w:r w:rsidRPr="00911DEE">
        <w:t xml:space="preserve"> 2014/15</w:t>
      </w:r>
      <w:r>
        <w:t>, 31 January 2014, p. 34.</w:t>
      </w:r>
    </w:p>
  </w:footnote>
  <w:footnote w:id="153">
    <w:p w:rsidR="0023073C" w:rsidRDefault="0023073C" w:rsidP="000603C4">
      <w:pPr>
        <w:pStyle w:val="FootnoteText"/>
        <w:tabs>
          <w:tab w:val="left" w:pos="567"/>
        </w:tabs>
        <w:ind w:left="567" w:hanging="567"/>
      </w:pPr>
      <w:r>
        <w:rPr>
          <w:rStyle w:val="FootnoteReference"/>
        </w:rPr>
        <w:footnoteRef/>
      </w:r>
      <w:r>
        <w:t xml:space="preserve"> </w:t>
      </w:r>
      <w:r>
        <w:tab/>
        <w:t>Note that the capex amount for the final year of the regulatory control period is an estimate.</w:t>
      </w:r>
    </w:p>
  </w:footnote>
  <w:footnote w:id="154">
    <w:p w:rsidR="0023073C" w:rsidRDefault="0023073C">
      <w:pPr>
        <w:pStyle w:val="FootnoteText"/>
      </w:pPr>
      <w:r>
        <w:rPr>
          <w:rStyle w:val="FootnoteReference"/>
        </w:rPr>
        <w:footnoteRef/>
      </w:r>
      <w:r>
        <w:t xml:space="preserve"> </w:t>
      </w:r>
      <w:r>
        <w:tab/>
      </w:r>
      <w:r w:rsidRPr="005224D5">
        <w:t xml:space="preserve">This $1776 million </w:t>
      </w:r>
      <w:r>
        <w:t xml:space="preserve">(real $2013–14) </w:t>
      </w:r>
      <w:r w:rsidRPr="005224D5">
        <w:t>includes eq</w:t>
      </w:r>
      <w:r>
        <w:t xml:space="preserve">uity raising costs (in 2014–15), </w:t>
      </w:r>
      <w:r w:rsidRPr="005224D5">
        <w:t>metering capex (across 2014–19)</w:t>
      </w:r>
      <w:r>
        <w:t xml:space="preserve"> and a half year WACC adjustment</w:t>
      </w:r>
      <w:r w:rsidRPr="005224D5">
        <w:t xml:space="preserve">; </w:t>
      </w:r>
      <w:r>
        <w:t>and is net of capital contributions and asset disposals.</w:t>
      </w:r>
    </w:p>
  </w:footnote>
  <w:footnote w:id="155">
    <w:p w:rsidR="0023073C" w:rsidRDefault="0023073C" w:rsidP="00724615">
      <w:pPr>
        <w:pStyle w:val="FootnoteText"/>
      </w:pPr>
      <w:r>
        <w:rPr>
          <w:rStyle w:val="FootnoteReference"/>
        </w:rPr>
        <w:footnoteRef/>
      </w:r>
      <w:r>
        <w:t xml:space="preserve"> </w:t>
      </w:r>
      <w:r>
        <w:tab/>
        <w:t xml:space="preserve">The AER approach to this allocation differs from that taken by ActewAGL. </w:t>
      </w:r>
      <w:r w:rsidRPr="006A4ADA">
        <w:t xml:space="preserve">In ActewAGL’s </w:t>
      </w:r>
      <w:r>
        <w:t>PTRMs</w:t>
      </w:r>
      <w:r w:rsidRPr="006A4ADA">
        <w:t>, a portion of the 2013</w:t>
      </w:r>
      <w:r>
        <w:t>–</w:t>
      </w:r>
      <w:r w:rsidRPr="006A4ADA">
        <w:t>14 revenue was assigned to the transmission network so that an indicative change from 2013</w:t>
      </w:r>
      <w:r>
        <w:t>–</w:t>
      </w:r>
      <w:r w:rsidRPr="006A4ADA">
        <w:t>14 to 2014</w:t>
      </w:r>
      <w:r>
        <w:t>–</w:t>
      </w:r>
      <w:r w:rsidRPr="006A4ADA">
        <w:t>15 could be calculated. However, ActewAGL did not deduct this revenue from the equivalent calculation for the distribution network, effectively double counting this revenue.</w:t>
      </w:r>
    </w:p>
  </w:footnote>
  <w:footnote w:id="156">
    <w:p w:rsidR="0023073C" w:rsidRDefault="0023073C" w:rsidP="00724615">
      <w:pPr>
        <w:pStyle w:val="FootnoteText"/>
      </w:pPr>
      <w:r>
        <w:rPr>
          <w:rStyle w:val="FootnoteReference"/>
        </w:rPr>
        <w:footnoteRef/>
      </w:r>
      <w:r>
        <w:t xml:space="preserve"> </w:t>
      </w:r>
      <w:r>
        <w:tab/>
        <w:t xml:space="preserve">ActewAGL, </w:t>
      </w:r>
      <w:r w:rsidRPr="00DE234B">
        <w:rPr>
          <w:rStyle w:val="AERtextitalic"/>
        </w:rPr>
        <w:t>Transitional regulatory proposal</w:t>
      </w:r>
      <w:r>
        <w:t>, January 2014, p. 35.</w:t>
      </w:r>
    </w:p>
  </w:footnote>
  <w:footnote w:id="157">
    <w:p w:rsidR="0023073C" w:rsidRDefault="0023073C" w:rsidP="00724615">
      <w:pPr>
        <w:pStyle w:val="FootnoteText"/>
      </w:pPr>
      <w:r>
        <w:rPr>
          <w:rStyle w:val="FootnoteReference"/>
        </w:rPr>
        <w:footnoteRef/>
      </w:r>
      <w:r>
        <w:t xml:space="preserve"> </w:t>
      </w:r>
      <w:r>
        <w:tab/>
        <w:t xml:space="preserve">ActewAGL, </w:t>
      </w:r>
      <w:r w:rsidRPr="00DE234B">
        <w:rPr>
          <w:rStyle w:val="AERtextitalic"/>
        </w:rPr>
        <w:t>Transitional regulatory proposal</w:t>
      </w:r>
      <w:r>
        <w:t>, January 2014, pp. 32–33.</w:t>
      </w:r>
    </w:p>
  </w:footnote>
  <w:footnote w:id="158">
    <w:p w:rsidR="0023073C" w:rsidRDefault="0023073C" w:rsidP="00724615">
      <w:pPr>
        <w:pStyle w:val="FootnoteText"/>
      </w:pPr>
      <w:r>
        <w:rPr>
          <w:rStyle w:val="FootnoteReference"/>
        </w:rPr>
        <w:footnoteRef/>
      </w:r>
      <w:r>
        <w:t xml:space="preserve"> </w:t>
      </w:r>
      <w:r>
        <w:tab/>
        <w:t>NER, clause 6.5.2(e)(1).</w:t>
      </w:r>
    </w:p>
  </w:footnote>
  <w:footnote w:id="159">
    <w:p w:rsidR="0023073C" w:rsidRDefault="0023073C" w:rsidP="00724615">
      <w:pPr>
        <w:pStyle w:val="FootnoteText"/>
      </w:pPr>
      <w:r>
        <w:rPr>
          <w:rStyle w:val="FootnoteReference"/>
        </w:rPr>
        <w:footnoteRef/>
      </w:r>
      <w:r>
        <w:t xml:space="preserve"> </w:t>
      </w:r>
      <w:r>
        <w:tab/>
        <w:t xml:space="preserve">ENA, </w:t>
      </w:r>
      <w:r w:rsidRPr="00DE234B">
        <w:rPr>
          <w:rStyle w:val="AERtextitalic"/>
        </w:rPr>
        <w:t>Response to the draft rate of return guideline of the Australian Energy Regulator</w:t>
      </w:r>
      <w:r w:rsidRPr="00DE234B">
        <w:t>, October 2013.</w:t>
      </w:r>
    </w:p>
  </w:footnote>
  <w:footnote w:id="160">
    <w:p w:rsidR="0023073C" w:rsidRDefault="0023073C" w:rsidP="00724615">
      <w:pPr>
        <w:pStyle w:val="FootnoteText"/>
      </w:pPr>
      <w:r>
        <w:rPr>
          <w:rStyle w:val="FootnoteReference"/>
        </w:rPr>
        <w:footnoteRef/>
      </w:r>
      <w:r>
        <w:t xml:space="preserve"> </w:t>
      </w:r>
      <w:r>
        <w:tab/>
        <w:t xml:space="preserve">ActewAGL, </w:t>
      </w:r>
      <w:r w:rsidRPr="00DE234B">
        <w:rPr>
          <w:rStyle w:val="AERtextitalic"/>
        </w:rPr>
        <w:t>Transitional regulatory proposal</w:t>
      </w:r>
      <w:r>
        <w:t>, January 2014, pp. 34–35.</w:t>
      </w:r>
    </w:p>
  </w:footnote>
  <w:footnote w:id="161">
    <w:p w:rsidR="0023073C" w:rsidRDefault="0023073C" w:rsidP="00724615">
      <w:pPr>
        <w:pStyle w:val="FootnoteText"/>
      </w:pPr>
      <w:r>
        <w:rPr>
          <w:rStyle w:val="FootnoteReference"/>
        </w:rPr>
        <w:footnoteRef/>
      </w:r>
      <w:r>
        <w:t xml:space="preserve"> </w:t>
      </w:r>
      <w:r>
        <w:tab/>
        <w:t xml:space="preserve">ActewAGL, </w:t>
      </w:r>
      <w:r w:rsidRPr="00DE234B">
        <w:rPr>
          <w:rStyle w:val="AERtextitalic"/>
        </w:rPr>
        <w:t>Transitional regulatory proposal</w:t>
      </w:r>
      <w:r>
        <w:t>, January 2014, p. 35.</w:t>
      </w:r>
    </w:p>
  </w:footnote>
  <w:footnote w:id="162">
    <w:p w:rsidR="0023073C" w:rsidRDefault="0023073C" w:rsidP="00724615">
      <w:pPr>
        <w:pStyle w:val="FootnoteText"/>
      </w:pPr>
      <w:r>
        <w:rPr>
          <w:rStyle w:val="FootnoteReference"/>
        </w:rPr>
        <w:footnoteRef/>
      </w:r>
      <w:r>
        <w:t xml:space="preserve"> </w:t>
      </w:r>
      <w:r>
        <w:tab/>
      </w:r>
      <w:r w:rsidRPr="00373120">
        <w:t xml:space="preserve">Australian Competition Tribunal, </w:t>
      </w:r>
      <w:r w:rsidRPr="00373120">
        <w:rPr>
          <w:rStyle w:val="AERtextitalic"/>
        </w:rPr>
        <w:t>Application by Energex Limited (gamma) (No 5) [2011] ACompT9</w:t>
      </w:r>
      <w:r w:rsidRPr="00373120">
        <w:t>, May 2011.</w:t>
      </w:r>
      <w:r>
        <w:t xml:space="preserve"> IPART, </w:t>
      </w:r>
      <w:r w:rsidRPr="00373120">
        <w:rPr>
          <w:rStyle w:val="AERtextitalic"/>
        </w:rPr>
        <w:t>Review of WACC methodology</w:t>
      </w:r>
      <w:r>
        <w:t>, December 2013.</w:t>
      </w:r>
    </w:p>
  </w:footnote>
  <w:footnote w:id="163">
    <w:p w:rsidR="0023073C" w:rsidRDefault="0023073C" w:rsidP="00724615">
      <w:pPr>
        <w:pStyle w:val="FootnoteText"/>
      </w:pPr>
      <w:r>
        <w:rPr>
          <w:rStyle w:val="FootnoteReference"/>
        </w:rPr>
        <w:footnoteRef/>
      </w:r>
      <w:r>
        <w:t xml:space="preserve"> </w:t>
      </w:r>
      <w:r>
        <w:tab/>
        <w:t xml:space="preserve">ActewAGL, </w:t>
      </w:r>
      <w:r w:rsidRPr="00A33E9D">
        <w:rPr>
          <w:rStyle w:val="AERtextitalic"/>
        </w:rPr>
        <w:t>Transitional regulatory proposal</w:t>
      </w:r>
      <w:r>
        <w:t>, January 2014, pp. 12–15.</w:t>
      </w:r>
    </w:p>
  </w:footnote>
  <w:footnote w:id="164">
    <w:p w:rsidR="0023073C" w:rsidRDefault="0023073C" w:rsidP="00724615">
      <w:pPr>
        <w:pStyle w:val="FootnoteText"/>
      </w:pPr>
      <w:r>
        <w:rPr>
          <w:rStyle w:val="FootnoteReference"/>
        </w:rPr>
        <w:footnoteRef/>
      </w:r>
      <w:r>
        <w:t xml:space="preserve"> </w:t>
      </w:r>
      <w:r>
        <w:tab/>
        <w:t>ActewAGL</w:t>
      </w:r>
      <w:r w:rsidRPr="00706E3D">
        <w:t xml:space="preserve"> </w:t>
      </w:r>
      <w:r w:rsidRPr="0034759E">
        <w:rPr>
          <w:rStyle w:val="AERtextitalic"/>
        </w:rPr>
        <w:t>Transitional revenue proposal 2014/15</w:t>
      </w:r>
      <w:r>
        <w:t>, 31 January 2014, pp. B-12-B-15.;</w:t>
      </w:r>
    </w:p>
  </w:footnote>
  <w:footnote w:id="165">
    <w:p w:rsidR="0023073C" w:rsidRDefault="0023073C" w:rsidP="000603C4">
      <w:pPr>
        <w:pStyle w:val="FootnoteText"/>
        <w:tabs>
          <w:tab w:val="left" w:pos="567"/>
        </w:tabs>
        <w:ind w:left="567" w:hanging="567"/>
      </w:pPr>
      <w:r>
        <w:rPr>
          <w:rStyle w:val="FootnoteReference"/>
        </w:rPr>
        <w:footnoteRef/>
      </w:r>
      <w:r>
        <w:t xml:space="preserve"> </w:t>
      </w:r>
      <w:r>
        <w:tab/>
        <w:t>Note that the capex amount for the final year of the regulatory control period is an estimate.</w:t>
      </w:r>
    </w:p>
  </w:footnote>
  <w:footnote w:id="166">
    <w:p w:rsidR="0023073C" w:rsidRDefault="0023073C">
      <w:pPr>
        <w:pStyle w:val="FootnoteText"/>
      </w:pPr>
      <w:r>
        <w:rPr>
          <w:rStyle w:val="FootnoteReference"/>
        </w:rPr>
        <w:footnoteRef/>
      </w:r>
      <w:r>
        <w:t xml:space="preserve"> </w:t>
      </w:r>
      <w:r>
        <w:tab/>
        <w:t>This $400 million (real $2013–14) includes equity raising costs (in 2014-15) and a half year WACC adjustment; is net of capital contributions and asset disposals; and excludes metering capex.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3C" w:rsidRDefault="002307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3C" w:rsidRDefault="002307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3C" w:rsidRDefault="002307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3C" w:rsidRDefault="0023073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3C" w:rsidRDefault="0023073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3C" w:rsidRDefault="0023073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3C" w:rsidRDefault="002307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0B200C36"/>
    <w:multiLevelType w:val="hybridMultilevel"/>
    <w:tmpl w:val="2472AD8E"/>
    <w:lvl w:ilvl="0" w:tplc="C040F66C">
      <w:start w:val="5"/>
      <w:numFmt w:val="bullet"/>
      <w:lvlText w:val="-"/>
      <w:lvlJc w:val="left"/>
      <w:pPr>
        <w:ind w:left="720" w:hanging="360"/>
      </w:pPr>
      <w:rPr>
        <w:rFonts w:ascii="Gautami" w:eastAsia="Calibri" w:hAnsi="Gautami" w:cs="Gautam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597CF9"/>
    <w:multiLevelType w:val="multilevel"/>
    <w:tmpl w:val="B478DFE6"/>
    <w:numStyleLink w:val="AERnumberedlist"/>
  </w:abstractNum>
  <w:abstractNum w:abstractNumId="3">
    <w:nsid w:val="1B751436"/>
    <w:multiLevelType w:val="hybridMultilevel"/>
    <w:tmpl w:val="2BE675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4B418D"/>
    <w:multiLevelType w:val="hybridMultilevel"/>
    <w:tmpl w:val="FCD62BA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E716920"/>
    <w:multiLevelType w:val="hybridMultilevel"/>
    <w:tmpl w:val="938041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2FB612CC"/>
    <w:multiLevelType w:val="multilevel"/>
    <w:tmpl w:val="C5CE099E"/>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7">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5147E17"/>
    <w:multiLevelType w:val="hybridMultilevel"/>
    <w:tmpl w:val="0DDAAC4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AF336BC"/>
    <w:multiLevelType w:val="hybridMultilevel"/>
    <w:tmpl w:val="EBB05EB0"/>
    <w:lvl w:ilvl="0" w:tplc="EDA4419A">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7247A1"/>
    <w:multiLevelType w:val="hybridMultilevel"/>
    <w:tmpl w:val="C3E6DBAE"/>
    <w:lvl w:ilvl="0" w:tplc="E6F4B170">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2">
    <w:nsid w:val="3C721288"/>
    <w:multiLevelType w:val="multilevel"/>
    <w:tmpl w:val="CB4220B4"/>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3">
    <w:nsid w:val="41C84961"/>
    <w:multiLevelType w:val="hybridMultilevel"/>
    <w:tmpl w:val="9E7A2D70"/>
    <w:lvl w:ilvl="0" w:tplc="053E6184">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CEC123B"/>
    <w:multiLevelType w:val="hybridMultilevel"/>
    <w:tmpl w:val="7668D4B8"/>
    <w:lvl w:ilvl="0" w:tplc="2CBEBA4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5FCD778E"/>
    <w:multiLevelType w:val="hybridMultilevel"/>
    <w:tmpl w:val="180C047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
  </w:num>
  <w:num w:numId="4">
    <w:abstractNumId w:val="18"/>
  </w:num>
  <w:num w:numId="5">
    <w:abstractNumId w:val="0"/>
  </w:num>
  <w:num w:numId="6">
    <w:abstractNumId w:val="14"/>
  </w:num>
  <w:num w:numId="7">
    <w:abstractNumId w:val="8"/>
  </w:num>
  <w:num w:numId="8">
    <w:abstractNumId w:val="2"/>
  </w:num>
  <w:num w:numId="9">
    <w:abstractNumId w:val="15"/>
  </w:num>
  <w:num w:numId="10">
    <w:abstractNumId w:val="1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num>
  <w:num w:numId="20">
    <w:abstractNumId w:val="2"/>
  </w:num>
  <w:num w:numId="21">
    <w:abstractNumId w:val="2"/>
  </w:num>
  <w:num w:numId="22">
    <w:abstractNumId w:val="2"/>
  </w:num>
  <w:num w:numId="23">
    <w:abstractNumId w:val="9"/>
  </w:num>
  <w:num w:numId="24">
    <w:abstractNumId w:val="16"/>
  </w:num>
  <w:num w:numId="25">
    <w:abstractNumId w:val="4"/>
  </w:num>
  <w:num w:numId="26">
    <w:abstractNumId w:val="3"/>
  </w:num>
  <w:num w:numId="27">
    <w:abstractNumId w:val="12"/>
  </w:num>
  <w:num w:numId="28">
    <w:abstractNumId w:val="17"/>
  </w:num>
  <w:num w:numId="29">
    <w:abstractNumId w:val="5"/>
  </w:num>
  <w:num w:numId="30">
    <w:abstractNumId w:val="2"/>
  </w:num>
  <w:num w:numId="31">
    <w:abstractNumId w:val="2"/>
  </w:num>
  <w:num w:numId="32">
    <w:abstractNumId w:val="2"/>
  </w:num>
  <w:num w:numId="33">
    <w:abstractNumId w:val="2"/>
  </w:num>
  <w:num w:numId="34">
    <w:abstractNumId w:val="1"/>
  </w:num>
  <w:num w:numId="35">
    <w:abstractNumId w:val="10"/>
  </w:num>
  <w:num w:numId="3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documentProtection w:edit="readOnly" w:formatting="1" w:enforcement="1"/>
  <w:defaultTabStop w:val="720"/>
  <w:drawingGridHorizontalSpacing w:val="100"/>
  <w:displayHorizontalDrawingGridEvery w:val="2"/>
  <w:characterSpacingControl w:val="doNotCompress"/>
  <w:hdrShapeDefaults>
    <o:shapedefaults v:ext="edit" spidmax="294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CBRFS001\home$\kstev\act_nsw electricity distributi (AER2014-000301[V02]).docx"/>
  </w:docVars>
  <w:rsids>
    <w:rsidRoot w:val="000C052F"/>
    <w:rsid w:val="00000888"/>
    <w:rsid w:val="00000A6C"/>
    <w:rsid w:val="00000C2B"/>
    <w:rsid w:val="00001AA7"/>
    <w:rsid w:val="000033D5"/>
    <w:rsid w:val="00003B6C"/>
    <w:rsid w:val="00006A42"/>
    <w:rsid w:val="000079CC"/>
    <w:rsid w:val="0001005E"/>
    <w:rsid w:val="000103DB"/>
    <w:rsid w:val="0001057B"/>
    <w:rsid w:val="0001467A"/>
    <w:rsid w:val="00022606"/>
    <w:rsid w:val="000273BF"/>
    <w:rsid w:val="00032BEE"/>
    <w:rsid w:val="00034C4F"/>
    <w:rsid w:val="0003715E"/>
    <w:rsid w:val="00040599"/>
    <w:rsid w:val="00040749"/>
    <w:rsid w:val="000422DF"/>
    <w:rsid w:val="00045847"/>
    <w:rsid w:val="00047F24"/>
    <w:rsid w:val="0005160A"/>
    <w:rsid w:val="00055EEA"/>
    <w:rsid w:val="000565BE"/>
    <w:rsid w:val="000576BC"/>
    <w:rsid w:val="000603C4"/>
    <w:rsid w:val="00064F09"/>
    <w:rsid w:val="00065EE4"/>
    <w:rsid w:val="00066E70"/>
    <w:rsid w:val="000673C0"/>
    <w:rsid w:val="000717CE"/>
    <w:rsid w:val="00074536"/>
    <w:rsid w:val="00074D0F"/>
    <w:rsid w:val="0007532A"/>
    <w:rsid w:val="00091CB1"/>
    <w:rsid w:val="0009294E"/>
    <w:rsid w:val="00093F26"/>
    <w:rsid w:val="0009426E"/>
    <w:rsid w:val="00096D68"/>
    <w:rsid w:val="000A1CC2"/>
    <w:rsid w:val="000A34F7"/>
    <w:rsid w:val="000A49F7"/>
    <w:rsid w:val="000A5342"/>
    <w:rsid w:val="000A53FF"/>
    <w:rsid w:val="000A6CFA"/>
    <w:rsid w:val="000B1270"/>
    <w:rsid w:val="000B15CA"/>
    <w:rsid w:val="000B239A"/>
    <w:rsid w:val="000B2DCB"/>
    <w:rsid w:val="000B2FEE"/>
    <w:rsid w:val="000B5478"/>
    <w:rsid w:val="000B5E36"/>
    <w:rsid w:val="000B6EC0"/>
    <w:rsid w:val="000B70D8"/>
    <w:rsid w:val="000B7C7E"/>
    <w:rsid w:val="000C052F"/>
    <w:rsid w:val="000C10DA"/>
    <w:rsid w:val="000C1DD1"/>
    <w:rsid w:val="000C2517"/>
    <w:rsid w:val="000C3430"/>
    <w:rsid w:val="000C48BA"/>
    <w:rsid w:val="000C4A19"/>
    <w:rsid w:val="000C5836"/>
    <w:rsid w:val="000C6EC1"/>
    <w:rsid w:val="000C7C94"/>
    <w:rsid w:val="000D03C2"/>
    <w:rsid w:val="000D04B1"/>
    <w:rsid w:val="000D2103"/>
    <w:rsid w:val="000D2751"/>
    <w:rsid w:val="000D401F"/>
    <w:rsid w:val="000D42D2"/>
    <w:rsid w:val="000D4736"/>
    <w:rsid w:val="000D5F43"/>
    <w:rsid w:val="000E066E"/>
    <w:rsid w:val="000E1A25"/>
    <w:rsid w:val="000E4155"/>
    <w:rsid w:val="000F125A"/>
    <w:rsid w:val="000F29F9"/>
    <w:rsid w:val="000F3A6A"/>
    <w:rsid w:val="000F45F0"/>
    <w:rsid w:val="001033B3"/>
    <w:rsid w:val="0010545E"/>
    <w:rsid w:val="00105636"/>
    <w:rsid w:val="00105B9C"/>
    <w:rsid w:val="0011046B"/>
    <w:rsid w:val="00111776"/>
    <w:rsid w:val="00111EB1"/>
    <w:rsid w:val="001121DC"/>
    <w:rsid w:val="001126FA"/>
    <w:rsid w:val="00112DA0"/>
    <w:rsid w:val="001153FB"/>
    <w:rsid w:val="001164BC"/>
    <w:rsid w:val="001224CC"/>
    <w:rsid w:val="00122D4A"/>
    <w:rsid w:val="00123399"/>
    <w:rsid w:val="00123766"/>
    <w:rsid w:val="00125289"/>
    <w:rsid w:val="001255AC"/>
    <w:rsid w:val="00127E4F"/>
    <w:rsid w:val="00130B85"/>
    <w:rsid w:val="00131096"/>
    <w:rsid w:val="00131CB1"/>
    <w:rsid w:val="00131FEB"/>
    <w:rsid w:val="00135642"/>
    <w:rsid w:val="001415D3"/>
    <w:rsid w:val="001417B8"/>
    <w:rsid w:val="001441D5"/>
    <w:rsid w:val="001460C0"/>
    <w:rsid w:val="00146473"/>
    <w:rsid w:val="00151244"/>
    <w:rsid w:val="00154288"/>
    <w:rsid w:val="001543D2"/>
    <w:rsid w:val="001568D8"/>
    <w:rsid w:val="0015705A"/>
    <w:rsid w:val="00157D4D"/>
    <w:rsid w:val="001619A3"/>
    <w:rsid w:val="0016241C"/>
    <w:rsid w:val="00162610"/>
    <w:rsid w:val="0016504C"/>
    <w:rsid w:val="001652BD"/>
    <w:rsid w:val="00166482"/>
    <w:rsid w:val="00166931"/>
    <w:rsid w:val="001706A9"/>
    <w:rsid w:val="00174026"/>
    <w:rsid w:val="0018065E"/>
    <w:rsid w:val="001856EE"/>
    <w:rsid w:val="001858B3"/>
    <w:rsid w:val="00185BB3"/>
    <w:rsid w:val="00185DAA"/>
    <w:rsid w:val="00186694"/>
    <w:rsid w:val="00186852"/>
    <w:rsid w:val="00186EDA"/>
    <w:rsid w:val="00194C3C"/>
    <w:rsid w:val="001969DF"/>
    <w:rsid w:val="00197047"/>
    <w:rsid w:val="001A0E39"/>
    <w:rsid w:val="001A10EA"/>
    <w:rsid w:val="001A2FAE"/>
    <w:rsid w:val="001A4D27"/>
    <w:rsid w:val="001A7ECB"/>
    <w:rsid w:val="001B1370"/>
    <w:rsid w:val="001B1BB0"/>
    <w:rsid w:val="001B2F01"/>
    <w:rsid w:val="001C12E5"/>
    <w:rsid w:val="001C344B"/>
    <w:rsid w:val="001D00C7"/>
    <w:rsid w:val="001D0C7F"/>
    <w:rsid w:val="001D0FDC"/>
    <w:rsid w:val="001D41C1"/>
    <w:rsid w:val="001D512C"/>
    <w:rsid w:val="001E1DB4"/>
    <w:rsid w:val="001E25E1"/>
    <w:rsid w:val="001E27FC"/>
    <w:rsid w:val="001E2AC6"/>
    <w:rsid w:val="001E3C81"/>
    <w:rsid w:val="001E7BAD"/>
    <w:rsid w:val="001F645F"/>
    <w:rsid w:val="001F6D06"/>
    <w:rsid w:val="00200166"/>
    <w:rsid w:val="002025D0"/>
    <w:rsid w:val="002056FC"/>
    <w:rsid w:val="002064EA"/>
    <w:rsid w:val="0020711E"/>
    <w:rsid w:val="00207A71"/>
    <w:rsid w:val="00207DDF"/>
    <w:rsid w:val="002103D2"/>
    <w:rsid w:val="00210880"/>
    <w:rsid w:val="002117CF"/>
    <w:rsid w:val="00214882"/>
    <w:rsid w:val="002154F6"/>
    <w:rsid w:val="00216567"/>
    <w:rsid w:val="00216F8A"/>
    <w:rsid w:val="002208D7"/>
    <w:rsid w:val="00220DAB"/>
    <w:rsid w:val="00220FEA"/>
    <w:rsid w:val="00221545"/>
    <w:rsid w:val="00223E46"/>
    <w:rsid w:val="002257B9"/>
    <w:rsid w:val="00225C97"/>
    <w:rsid w:val="0022740F"/>
    <w:rsid w:val="00230079"/>
    <w:rsid w:val="0023073C"/>
    <w:rsid w:val="0023137D"/>
    <w:rsid w:val="00231883"/>
    <w:rsid w:val="00231D1F"/>
    <w:rsid w:val="002327AA"/>
    <w:rsid w:val="00233202"/>
    <w:rsid w:val="002342F6"/>
    <w:rsid w:val="00234732"/>
    <w:rsid w:val="00235FCC"/>
    <w:rsid w:val="00236378"/>
    <w:rsid w:val="00237055"/>
    <w:rsid w:val="002373A2"/>
    <w:rsid w:val="002375DC"/>
    <w:rsid w:val="00237716"/>
    <w:rsid w:val="002401A5"/>
    <w:rsid w:val="00243EA5"/>
    <w:rsid w:val="0025081D"/>
    <w:rsid w:val="00250E33"/>
    <w:rsid w:val="00255CCD"/>
    <w:rsid w:val="002561D1"/>
    <w:rsid w:val="00256A85"/>
    <w:rsid w:val="00262D5F"/>
    <w:rsid w:val="002630A8"/>
    <w:rsid w:val="00266116"/>
    <w:rsid w:val="00266296"/>
    <w:rsid w:val="00266710"/>
    <w:rsid w:val="00267720"/>
    <w:rsid w:val="00272F63"/>
    <w:rsid w:val="00273C1B"/>
    <w:rsid w:val="00273C33"/>
    <w:rsid w:val="00274D27"/>
    <w:rsid w:val="00275384"/>
    <w:rsid w:val="00275AE9"/>
    <w:rsid w:val="00275E37"/>
    <w:rsid w:val="00276616"/>
    <w:rsid w:val="002805B8"/>
    <w:rsid w:val="00280960"/>
    <w:rsid w:val="00285A23"/>
    <w:rsid w:val="0029053E"/>
    <w:rsid w:val="00290F5B"/>
    <w:rsid w:val="0029298E"/>
    <w:rsid w:val="002938CE"/>
    <w:rsid w:val="00294861"/>
    <w:rsid w:val="00295BF2"/>
    <w:rsid w:val="00295CD8"/>
    <w:rsid w:val="002967DA"/>
    <w:rsid w:val="002A0F25"/>
    <w:rsid w:val="002A24A8"/>
    <w:rsid w:val="002A2759"/>
    <w:rsid w:val="002A46B5"/>
    <w:rsid w:val="002A7EE8"/>
    <w:rsid w:val="002B00B8"/>
    <w:rsid w:val="002B11C4"/>
    <w:rsid w:val="002B2400"/>
    <w:rsid w:val="002B470E"/>
    <w:rsid w:val="002B6640"/>
    <w:rsid w:val="002C023B"/>
    <w:rsid w:val="002C2C04"/>
    <w:rsid w:val="002C2D1F"/>
    <w:rsid w:val="002C6820"/>
    <w:rsid w:val="002C71DB"/>
    <w:rsid w:val="002C724F"/>
    <w:rsid w:val="002C7E6A"/>
    <w:rsid w:val="002C7E84"/>
    <w:rsid w:val="002D3831"/>
    <w:rsid w:val="002D3A8D"/>
    <w:rsid w:val="002D61AC"/>
    <w:rsid w:val="002E3DDA"/>
    <w:rsid w:val="002E480E"/>
    <w:rsid w:val="002E6F76"/>
    <w:rsid w:val="002F2F2B"/>
    <w:rsid w:val="0030176F"/>
    <w:rsid w:val="00301ABD"/>
    <w:rsid w:val="00301FED"/>
    <w:rsid w:val="003023AB"/>
    <w:rsid w:val="00303452"/>
    <w:rsid w:val="003037D5"/>
    <w:rsid w:val="003059D3"/>
    <w:rsid w:val="003066B3"/>
    <w:rsid w:val="00310BF0"/>
    <w:rsid w:val="00311C11"/>
    <w:rsid w:val="0031350B"/>
    <w:rsid w:val="00325668"/>
    <w:rsid w:val="00327B8F"/>
    <w:rsid w:val="0033114C"/>
    <w:rsid w:val="003324F7"/>
    <w:rsid w:val="00334F88"/>
    <w:rsid w:val="00335A5F"/>
    <w:rsid w:val="00337830"/>
    <w:rsid w:val="00341C1F"/>
    <w:rsid w:val="00341DD4"/>
    <w:rsid w:val="00344FC2"/>
    <w:rsid w:val="00345281"/>
    <w:rsid w:val="0034609B"/>
    <w:rsid w:val="00352BF7"/>
    <w:rsid w:val="00353689"/>
    <w:rsid w:val="00353D26"/>
    <w:rsid w:val="00353F1A"/>
    <w:rsid w:val="00354BA5"/>
    <w:rsid w:val="00355DCD"/>
    <w:rsid w:val="003567E9"/>
    <w:rsid w:val="00357130"/>
    <w:rsid w:val="00360898"/>
    <w:rsid w:val="00360913"/>
    <w:rsid w:val="00361F82"/>
    <w:rsid w:val="00364B58"/>
    <w:rsid w:val="00367099"/>
    <w:rsid w:val="003707DB"/>
    <w:rsid w:val="00372517"/>
    <w:rsid w:val="00373465"/>
    <w:rsid w:val="003754BF"/>
    <w:rsid w:val="00375AEC"/>
    <w:rsid w:val="00376236"/>
    <w:rsid w:val="00376239"/>
    <w:rsid w:val="0037652C"/>
    <w:rsid w:val="0037725B"/>
    <w:rsid w:val="003800E4"/>
    <w:rsid w:val="0038067F"/>
    <w:rsid w:val="00380FF5"/>
    <w:rsid w:val="00382FCF"/>
    <w:rsid w:val="00384967"/>
    <w:rsid w:val="00385277"/>
    <w:rsid w:val="0038557A"/>
    <w:rsid w:val="00385E19"/>
    <w:rsid w:val="003945D7"/>
    <w:rsid w:val="003949E0"/>
    <w:rsid w:val="00394D64"/>
    <w:rsid w:val="003951CC"/>
    <w:rsid w:val="00395DED"/>
    <w:rsid w:val="00397804"/>
    <w:rsid w:val="003A02F0"/>
    <w:rsid w:val="003A0DF8"/>
    <w:rsid w:val="003A30E3"/>
    <w:rsid w:val="003A5CDA"/>
    <w:rsid w:val="003A6174"/>
    <w:rsid w:val="003A631F"/>
    <w:rsid w:val="003A76EA"/>
    <w:rsid w:val="003B1E13"/>
    <w:rsid w:val="003B5023"/>
    <w:rsid w:val="003B56BD"/>
    <w:rsid w:val="003B75CA"/>
    <w:rsid w:val="003C47D2"/>
    <w:rsid w:val="003D0BB2"/>
    <w:rsid w:val="003D22EF"/>
    <w:rsid w:val="003D2427"/>
    <w:rsid w:val="003D3929"/>
    <w:rsid w:val="003D7FC8"/>
    <w:rsid w:val="003E0061"/>
    <w:rsid w:val="003E0276"/>
    <w:rsid w:val="003E1C13"/>
    <w:rsid w:val="003E224E"/>
    <w:rsid w:val="003E56EF"/>
    <w:rsid w:val="003F0710"/>
    <w:rsid w:val="003F0974"/>
    <w:rsid w:val="003F11D4"/>
    <w:rsid w:val="003F21CB"/>
    <w:rsid w:val="003F2361"/>
    <w:rsid w:val="003F2C6E"/>
    <w:rsid w:val="003F559D"/>
    <w:rsid w:val="003F5A5A"/>
    <w:rsid w:val="003F5AA6"/>
    <w:rsid w:val="003F5E10"/>
    <w:rsid w:val="003F6CA6"/>
    <w:rsid w:val="0040035A"/>
    <w:rsid w:val="004018E4"/>
    <w:rsid w:val="00402729"/>
    <w:rsid w:val="004030AB"/>
    <w:rsid w:val="00406487"/>
    <w:rsid w:val="00406B90"/>
    <w:rsid w:val="00412282"/>
    <w:rsid w:val="004126E4"/>
    <w:rsid w:val="00413BE3"/>
    <w:rsid w:val="00416BEA"/>
    <w:rsid w:val="00422020"/>
    <w:rsid w:val="00423172"/>
    <w:rsid w:val="00425490"/>
    <w:rsid w:val="004256BA"/>
    <w:rsid w:val="00430DA5"/>
    <w:rsid w:val="00431999"/>
    <w:rsid w:val="004328C2"/>
    <w:rsid w:val="00433577"/>
    <w:rsid w:val="00435682"/>
    <w:rsid w:val="00436E97"/>
    <w:rsid w:val="00440024"/>
    <w:rsid w:val="00441635"/>
    <w:rsid w:val="004418AE"/>
    <w:rsid w:val="00441CCF"/>
    <w:rsid w:val="00444377"/>
    <w:rsid w:val="0044442E"/>
    <w:rsid w:val="00445C3B"/>
    <w:rsid w:val="0045144A"/>
    <w:rsid w:val="00451B70"/>
    <w:rsid w:val="00452420"/>
    <w:rsid w:val="004533BA"/>
    <w:rsid w:val="004547A4"/>
    <w:rsid w:val="00456081"/>
    <w:rsid w:val="0046223E"/>
    <w:rsid w:val="00463150"/>
    <w:rsid w:val="00464F5D"/>
    <w:rsid w:val="00467A42"/>
    <w:rsid w:val="00470BE6"/>
    <w:rsid w:val="00473748"/>
    <w:rsid w:val="004749A4"/>
    <w:rsid w:val="00474FBD"/>
    <w:rsid w:val="00475FF2"/>
    <w:rsid w:val="00476D21"/>
    <w:rsid w:val="00482A68"/>
    <w:rsid w:val="0048310E"/>
    <w:rsid w:val="00491B25"/>
    <w:rsid w:val="00491D7D"/>
    <w:rsid w:val="0049633B"/>
    <w:rsid w:val="00496ABF"/>
    <w:rsid w:val="004A0EB3"/>
    <w:rsid w:val="004A726D"/>
    <w:rsid w:val="004B170A"/>
    <w:rsid w:val="004B35E8"/>
    <w:rsid w:val="004B4456"/>
    <w:rsid w:val="004B4471"/>
    <w:rsid w:val="004B4727"/>
    <w:rsid w:val="004C02F8"/>
    <w:rsid w:val="004C3F45"/>
    <w:rsid w:val="004D08D9"/>
    <w:rsid w:val="004D1C37"/>
    <w:rsid w:val="004D3651"/>
    <w:rsid w:val="004D48A7"/>
    <w:rsid w:val="004D5B83"/>
    <w:rsid w:val="004D5E5D"/>
    <w:rsid w:val="004D7F9F"/>
    <w:rsid w:val="004E0903"/>
    <w:rsid w:val="004E3307"/>
    <w:rsid w:val="004E40EF"/>
    <w:rsid w:val="004E4D0C"/>
    <w:rsid w:val="004E6869"/>
    <w:rsid w:val="004E7372"/>
    <w:rsid w:val="004E73F7"/>
    <w:rsid w:val="004E77B9"/>
    <w:rsid w:val="004E78F3"/>
    <w:rsid w:val="004E7E14"/>
    <w:rsid w:val="004F01F8"/>
    <w:rsid w:val="004F0C90"/>
    <w:rsid w:val="004F42FA"/>
    <w:rsid w:val="004F4499"/>
    <w:rsid w:val="004F59FB"/>
    <w:rsid w:val="004F5A82"/>
    <w:rsid w:val="004F731B"/>
    <w:rsid w:val="004F76A0"/>
    <w:rsid w:val="00500033"/>
    <w:rsid w:val="00500E7F"/>
    <w:rsid w:val="00502A03"/>
    <w:rsid w:val="00507584"/>
    <w:rsid w:val="00515D54"/>
    <w:rsid w:val="00516DA5"/>
    <w:rsid w:val="005212A7"/>
    <w:rsid w:val="0052179D"/>
    <w:rsid w:val="005224D5"/>
    <w:rsid w:val="0052391C"/>
    <w:rsid w:val="00523B8A"/>
    <w:rsid w:val="00524648"/>
    <w:rsid w:val="00525EC2"/>
    <w:rsid w:val="005261F5"/>
    <w:rsid w:val="005268ED"/>
    <w:rsid w:val="005276CC"/>
    <w:rsid w:val="00532854"/>
    <w:rsid w:val="00532AA9"/>
    <w:rsid w:val="00533278"/>
    <w:rsid w:val="005340BA"/>
    <w:rsid w:val="00535679"/>
    <w:rsid w:val="00540B22"/>
    <w:rsid w:val="00541087"/>
    <w:rsid w:val="005417ED"/>
    <w:rsid w:val="0054300E"/>
    <w:rsid w:val="005456A9"/>
    <w:rsid w:val="005477EA"/>
    <w:rsid w:val="00553C82"/>
    <w:rsid w:val="005550C8"/>
    <w:rsid w:val="00555D52"/>
    <w:rsid w:val="005566D7"/>
    <w:rsid w:val="00556CE2"/>
    <w:rsid w:val="005606AC"/>
    <w:rsid w:val="00561A3C"/>
    <w:rsid w:val="00561F7F"/>
    <w:rsid w:val="0056277C"/>
    <w:rsid w:val="0056399F"/>
    <w:rsid w:val="005649EC"/>
    <w:rsid w:val="005660DA"/>
    <w:rsid w:val="00566B35"/>
    <w:rsid w:val="00566BD2"/>
    <w:rsid w:val="00570165"/>
    <w:rsid w:val="0057058F"/>
    <w:rsid w:val="0057113F"/>
    <w:rsid w:val="005732CC"/>
    <w:rsid w:val="0057335D"/>
    <w:rsid w:val="00574143"/>
    <w:rsid w:val="00575422"/>
    <w:rsid w:val="00577607"/>
    <w:rsid w:val="005819AB"/>
    <w:rsid w:val="005831A0"/>
    <w:rsid w:val="005843CB"/>
    <w:rsid w:val="0058507A"/>
    <w:rsid w:val="00590C79"/>
    <w:rsid w:val="005938C6"/>
    <w:rsid w:val="00593DEC"/>
    <w:rsid w:val="005951B2"/>
    <w:rsid w:val="00596539"/>
    <w:rsid w:val="005A0431"/>
    <w:rsid w:val="005A092E"/>
    <w:rsid w:val="005A5BF0"/>
    <w:rsid w:val="005A6BE3"/>
    <w:rsid w:val="005A6C5A"/>
    <w:rsid w:val="005B1BD2"/>
    <w:rsid w:val="005B3752"/>
    <w:rsid w:val="005B3754"/>
    <w:rsid w:val="005B4BBE"/>
    <w:rsid w:val="005B575E"/>
    <w:rsid w:val="005B61C2"/>
    <w:rsid w:val="005C26E9"/>
    <w:rsid w:val="005C2BB1"/>
    <w:rsid w:val="005C3074"/>
    <w:rsid w:val="005D26B7"/>
    <w:rsid w:val="005D44E7"/>
    <w:rsid w:val="005D4908"/>
    <w:rsid w:val="005D4AA1"/>
    <w:rsid w:val="005D5087"/>
    <w:rsid w:val="005D5356"/>
    <w:rsid w:val="005E05AD"/>
    <w:rsid w:val="005E0ACC"/>
    <w:rsid w:val="005E15B8"/>
    <w:rsid w:val="005F0D57"/>
    <w:rsid w:val="005F1985"/>
    <w:rsid w:val="005F23EF"/>
    <w:rsid w:val="005F2C12"/>
    <w:rsid w:val="005F48D5"/>
    <w:rsid w:val="005F52FC"/>
    <w:rsid w:val="0060146C"/>
    <w:rsid w:val="00601988"/>
    <w:rsid w:val="0060207D"/>
    <w:rsid w:val="006039F2"/>
    <w:rsid w:val="006061B0"/>
    <w:rsid w:val="0060732E"/>
    <w:rsid w:val="006076A9"/>
    <w:rsid w:val="00611955"/>
    <w:rsid w:val="00612F9D"/>
    <w:rsid w:val="00613ACA"/>
    <w:rsid w:val="006162E1"/>
    <w:rsid w:val="00620615"/>
    <w:rsid w:val="00623562"/>
    <w:rsid w:val="00630B18"/>
    <w:rsid w:val="00631680"/>
    <w:rsid w:val="00631E61"/>
    <w:rsid w:val="00633C5F"/>
    <w:rsid w:val="00635226"/>
    <w:rsid w:val="00635F22"/>
    <w:rsid w:val="0063720C"/>
    <w:rsid w:val="00637473"/>
    <w:rsid w:val="0064206A"/>
    <w:rsid w:val="0064663B"/>
    <w:rsid w:val="00650C75"/>
    <w:rsid w:val="00651DB9"/>
    <w:rsid w:val="00651F21"/>
    <w:rsid w:val="006520B5"/>
    <w:rsid w:val="00652BCE"/>
    <w:rsid w:val="00653DCF"/>
    <w:rsid w:val="006544EA"/>
    <w:rsid w:val="00655A03"/>
    <w:rsid w:val="006562A9"/>
    <w:rsid w:val="006626F0"/>
    <w:rsid w:val="00663454"/>
    <w:rsid w:val="00663567"/>
    <w:rsid w:val="00664681"/>
    <w:rsid w:val="0066569F"/>
    <w:rsid w:val="0066602B"/>
    <w:rsid w:val="006669D2"/>
    <w:rsid w:val="00667505"/>
    <w:rsid w:val="006702DF"/>
    <w:rsid w:val="00672E3A"/>
    <w:rsid w:val="0067326D"/>
    <w:rsid w:val="00673DC3"/>
    <w:rsid w:val="00674F52"/>
    <w:rsid w:val="00675B2E"/>
    <w:rsid w:val="00676D17"/>
    <w:rsid w:val="00677356"/>
    <w:rsid w:val="00681604"/>
    <w:rsid w:val="00683105"/>
    <w:rsid w:val="00687B60"/>
    <w:rsid w:val="0069004B"/>
    <w:rsid w:val="0069062C"/>
    <w:rsid w:val="00690EC3"/>
    <w:rsid w:val="00691C0D"/>
    <w:rsid w:val="00694B22"/>
    <w:rsid w:val="00694C1B"/>
    <w:rsid w:val="006967DB"/>
    <w:rsid w:val="00697BA8"/>
    <w:rsid w:val="006A1E04"/>
    <w:rsid w:val="006A21D1"/>
    <w:rsid w:val="006A69C6"/>
    <w:rsid w:val="006A6C1B"/>
    <w:rsid w:val="006A745D"/>
    <w:rsid w:val="006A7C60"/>
    <w:rsid w:val="006A7F5D"/>
    <w:rsid w:val="006B08EB"/>
    <w:rsid w:val="006B09A0"/>
    <w:rsid w:val="006B1245"/>
    <w:rsid w:val="006B24AC"/>
    <w:rsid w:val="006B3E41"/>
    <w:rsid w:val="006B3F30"/>
    <w:rsid w:val="006B481F"/>
    <w:rsid w:val="006B49D3"/>
    <w:rsid w:val="006B5786"/>
    <w:rsid w:val="006C142A"/>
    <w:rsid w:val="006C279D"/>
    <w:rsid w:val="006C2932"/>
    <w:rsid w:val="006C2E82"/>
    <w:rsid w:val="006C3DD6"/>
    <w:rsid w:val="006C4D30"/>
    <w:rsid w:val="006C5A1D"/>
    <w:rsid w:val="006D263D"/>
    <w:rsid w:val="006D2665"/>
    <w:rsid w:val="006D2834"/>
    <w:rsid w:val="006D37A4"/>
    <w:rsid w:val="006D3EB6"/>
    <w:rsid w:val="006D44BF"/>
    <w:rsid w:val="006D762A"/>
    <w:rsid w:val="006E3CB5"/>
    <w:rsid w:val="006E7481"/>
    <w:rsid w:val="006F0258"/>
    <w:rsid w:val="006F0B8A"/>
    <w:rsid w:val="006F1DF2"/>
    <w:rsid w:val="006F2D51"/>
    <w:rsid w:val="006F3548"/>
    <w:rsid w:val="006F582D"/>
    <w:rsid w:val="006F5E62"/>
    <w:rsid w:val="006F638E"/>
    <w:rsid w:val="006F7EE6"/>
    <w:rsid w:val="007008B6"/>
    <w:rsid w:val="00701812"/>
    <w:rsid w:val="0070230E"/>
    <w:rsid w:val="00703E42"/>
    <w:rsid w:val="00711465"/>
    <w:rsid w:val="007129F8"/>
    <w:rsid w:val="00713A52"/>
    <w:rsid w:val="007158F0"/>
    <w:rsid w:val="00722630"/>
    <w:rsid w:val="0072298A"/>
    <w:rsid w:val="00723962"/>
    <w:rsid w:val="00724615"/>
    <w:rsid w:val="00725F80"/>
    <w:rsid w:val="00730A66"/>
    <w:rsid w:val="007318F0"/>
    <w:rsid w:val="007331B6"/>
    <w:rsid w:val="0073374C"/>
    <w:rsid w:val="00736014"/>
    <w:rsid w:val="007368AD"/>
    <w:rsid w:val="00737083"/>
    <w:rsid w:val="00740466"/>
    <w:rsid w:val="007427B3"/>
    <w:rsid w:val="00745054"/>
    <w:rsid w:val="00747BD9"/>
    <w:rsid w:val="00747FFE"/>
    <w:rsid w:val="00750D79"/>
    <w:rsid w:val="00751D2A"/>
    <w:rsid w:val="00752CD7"/>
    <w:rsid w:val="00753710"/>
    <w:rsid w:val="0075373D"/>
    <w:rsid w:val="0075444F"/>
    <w:rsid w:val="00754DF5"/>
    <w:rsid w:val="00755095"/>
    <w:rsid w:val="00756A3E"/>
    <w:rsid w:val="0075726C"/>
    <w:rsid w:val="00760636"/>
    <w:rsid w:val="00760D87"/>
    <w:rsid w:val="00765312"/>
    <w:rsid w:val="007671C6"/>
    <w:rsid w:val="00770AD8"/>
    <w:rsid w:val="0077477B"/>
    <w:rsid w:val="00775A16"/>
    <w:rsid w:val="007772C5"/>
    <w:rsid w:val="007805A8"/>
    <w:rsid w:val="0078323C"/>
    <w:rsid w:val="00793997"/>
    <w:rsid w:val="00794C25"/>
    <w:rsid w:val="00796A07"/>
    <w:rsid w:val="007A100A"/>
    <w:rsid w:val="007A1317"/>
    <w:rsid w:val="007A2163"/>
    <w:rsid w:val="007A24F3"/>
    <w:rsid w:val="007A4DAC"/>
    <w:rsid w:val="007A7255"/>
    <w:rsid w:val="007B06D3"/>
    <w:rsid w:val="007B1B47"/>
    <w:rsid w:val="007B21C4"/>
    <w:rsid w:val="007B5371"/>
    <w:rsid w:val="007B55DE"/>
    <w:rsid w:val="007B59D8"/>
    <w:rsid w:val="007B5AA0"/>
    <w:rsid w:val="007B6B10"/>
    <w:rsid w:val="007B7982"/>
    <w:rsid w:val="007C1675"/>
    <w:rsid w:val="007C6DB3"/>
    <w:rsid w:val="007C6FD0"/>
    <w:rsid w:val="007C7D20"/>
    <w:rsid w:val="007D566B"/>
    <w:rsid w:val="007D5C3E"/>
    <w:rsid w:val="007D7180"/>
    <w:rsid w:val="007D7CCF"/>
    <w:rsid w:val="007E32D3"/>
    <w:rsid w:val="007E3FF3"/>
    <w:rsid w:val="007E74EE"/>
    <w:rsid w:val="007F10E3"/>
    <w:rsid w:val="007F2C0E"/>
    <w:rsid w:val="007F32D1"/>
    <w:rsid w:val="0080239C"/>
    <w:rsid w:val="00804AEB"/>
    <w:rsid w:val="00804FE8"/>
    <w:rsid w:val="00805559"/>
    <w:rsid w:val="00806909"/>
    <w:rsid w:val="00811C92"/>
    <w:rsid w:val="00811E22"/>
    <w:rsid w:val="00812B72"/>
    <w:rsid w:val="00815F93"/>
    <w:rsid w:val="008162D5"/>
    <w:rsid w:val="00820FF1"/>
    <w:rsid w:val="00822DC0"/>
    <w:rsid w:val="00824CC8"/>
    <w:rsid w:val="008252E8"/>
    <w:rsid w:val="00830076"/>
    <w:rsid w:val="00830215"/>
    <w:rsid w:val="00830A12"/>
    <w:rsid w:val="00835B9C"/>
    <w:rsid w:val="00836570"/>
    <w:rsid w:val="00836D17"/>
    <w:rsid w:val="00836E25"/>
    <w:rsid w:val="00836EAB"/>
    <w:rsid w:val="008378C8"/>
    <w:rsid w:val="00840A55"/>
    <w:rsid w:val="00840FA1"/>
    <w:rsid w:val="00841C26"/>
    <w:rsid w:val="00841E25"/>
    <w:rsid w:val="00844720"/>
    <w:rsid w:val="008464CD"/>
    <w:rsid w:val="008467D6"/>
    <w:rsid w:val="00846C67"/>
    <w:rsid w:val="008515EE"/>
    <w:rsid w:val="008535E5"/>
    <w:rsid w:val="008539C4"/>
    <w:rsid w:val="00857605"/>
    <w:rsid w:val="0086074F"/>
    <w:rsid w:val="00861C4E"/>
    <w:rsid w:val="00865F8A"/>
    <w:rsid w:val="00866D21"/>
    <w:rsid w:val="00871704"/>
    <w:rsid w:val="00872D85"/>
    <w:rsid w:val="00875149"/>
    <w:rsid w:val="0087796D"/>
    <w:rsid w:val="00881EB3"/>
    <w:rsid w:val="00883DDA"/>
    <w:rsid w:val="00885744"/>
    <w:rsid w:val="00885AA5"/>
    <w:rsid w:val="00891FF9"/>
    <w:rsid w:val="00892117"/>
    <w:rsid w:val="00893367"/>
    <w:rsid w:val="0089350E"/>
    <w:rsid w:val="00897070"/>
    <w:rsid w:val="00897BBB"/>
    <w:rsid w:val="008A08B4"/>
    <w:rsid w:val="008A209B"/>
    <w:rsid w:val="008A3B54"/>
    <w:rsid w:val="008B1DB4"/>
    <w:rsid w:val="008B29BA"/>
    <w:rsid w:val="008B42C0"/>
    <w:rsid w:val="008B49B3"/>
    <w:rsid w:val="008B6FAD"/>
    <w:rsid w:val="008B7280"/>
    <w:rsid w:val="008B7956"/>
    <w:rsid w:val="008C0BE8"/>
    <w:rsid w:val="008C1730"/>
    <w:rsid w:val="008C3ABE"/>
    <w:rsid w:val="008C3B67"/>
    <w:rsid w:val="008C3F48"/>
    <w:rsid w:val="008C5F10"/>
    <w:rsid w:val="008D02B7"/>
    <w:rsid w:val="008D122E"/>
    <w:rsid w:val="008D49B4"/>
    <w:rsid w:val="008D4C84"/>
    <w:rsid w:val="008D5565"/>
    <w:rsid w:val="008D569A"/>
    <w:rsid w:val="008D61C8"/>
    <w:rsid w:val="008D6BCA"/>
    <w:rsid w:val="008D7498"/>
    <w:rsid w:val="008D7D67"/>
    <w:rsid w:val="008E5D44"/>
    <w:rsid w:val="008E72E2"/>
    <w:rsid w:val="008F25F1"/>
    <w:rsid w:val="008F3582"/>
    <w:rsid w:val="008F35F0"/>
    <w:rsid w:val="008F3D66"/>
    <w:rsid w:val="00901A31"/>
    <w:rsid w:val="00902768"/>
    <w:rsid w:val="00904205"/>
    <w:rsid w:val="009113D9"/>
    <w:rsid w:val="0091218D"/>
    <w:rsid w:val="00915A87"/>
    <w:rsid w:val="00916BC8"/>
    <w:rsid w:val="00923E34"/>
    <w:rsid w:val="00924118"/>
    <w:rsid w:val="00925C8E"/>
    <w:rsid w:val="009302B0"/>
    <w:rsid w:val="0093148D"/>
    <w:rsid w:val="00932E96"/>
    <w:rsid w:val="00935962"/>
    <w:rsid w:val="0093672B"/>
    <w:rsid w:val="009378D5"/>
    <w:rsid w:val="00940382"/>
    <w:rsid w:val="009418E6"/>
    <w:rsid w:val="009419A8"/>
    <w:rsid w:val="0094235F"/>
    <w:rsid w:val="0094279F"/>
    <w:rsid w:val="009443E4"/>
    <w:rsid w:val="00944619"/>
    <w:rsid w:val="00946B98"/>
    <w:rsid w:val="00947436"/>
    <w:rsid w:val="00947A42"/>
    <w:rsid w:val="009500BC"/>
    <w:rsid w:val="0095052A"/>
    <w:rsid w:val="009537A4"/>
    <w:rsid w:val="00953D61"/>
    <w:rsid w:val="00954E48"/>
    <w:rsid w:val="00954EAB"/>
    <w:rsid w:val="00955A3A"/>
    <w:rsid w:val="00956884"/>
    <w:rsid w:val="009570E5"/>
    <w:rsid w:val="00963BE1"/>
    <w:rsid w:val="00964CE1"/>
    <w:rsid w:val="00964D87"/>
    <w:rsid w:val="009658F0"/>
    <w:rsid w:val="00970990"/>
    <w:rsid w:val="00971655"/>
    <w:rsid w:val="00971987"/>
    <w:rsid w:val="00971C63"/>
    <w:rsid w:val="00971DBE"/>
    <w:rsid w:val="00973557"/>
    <w:rsid w:val="00983444"/>
    <w:rsid w:val="00984186"/>
    <w:rsid w:val="009850E5"/>
    <w:rsid w:val="00985999"/>
    <w:rsid w:val="009903EE"/>
    <w:rsid w:val="009916C7"/>
    <w:rsid w:val="00997B98"/>
    <w:rsid w:val="009A10B5"/>
    <w:rsid w:val="009A2E1B"/>
    <w:rsid w:val="009A4AE9"/>
    <w:rsid w:val="009A4ED3"/>
    <w:rsid w:val="009A5415"/>
    <w:rsid w:val="009A68F5"/>
    <w:rsid w:val="009A691F"/>
    <w:rsid w:val="009B14EF"/>
    <w:rsid w:val="009B16C6"/>
    <w:rsid w:val="009B2361"/>
    <w:rsid w:val="009B413C"/>
    <w:rsid w:val="009B4BA1"/>
    <w:rsid w:val="009B5569"/>
    <w:rsid w:val="009B568E"/>
    <w:rsid w:val="009B7081"/>
    <w:rsid w:val="009B7A63"/>
    <w:rsid w:val="009C05D0"/>
    <w:rsid w:val="009C0AF4"/>
    <w:rsid w:val="009C0F10"/>
    <w:rsid w:val="009C1253"/>
    <w:rsid w:val="009C41FB"/>
    <w:rsid w:val="009C4F37"/>
    <w:rsid w:val="009C68C5"/>
    <w:rsid w:val="009C71D5"/>
    <w:rsid w:val="009C74A7"/>
    <w:rsid w:val="009D0D0C"/>
    <w:rsid w:val="009D3CB5"/>
    <w:rsid w:val="009D623A"/>
    <w:rsid w:val="009D6E12"/>
    <w:rsid w:val="009D768F"/>
    <w:rsid w:val="009E0C43"/>
    <w:rsid w:val="009E478E"/>
    <w:rsid w:val="009E54A3"/>
    <w:rsid w:val="009E6A34"/>
    <w:rsid w:val="009E738C"/>
    <w:rsid w:val="009E7564"/>
    <w:rsid w:val="009F1D16"/>
    <w:rsid w:val="009F3C1C"/>
    <w:rsid w:val="009F45A9"/>
    <w:rsid w:val="009F4631"/>
    <w:rsid w:val="009F4A60"/>
    <w:rsid w:val="009F6AB0"/>
    <w:rsid w:val="009F7CE4"/>
    <w:rsid w:val="00A00775"/>
    <w:rsid w:val="00A00FB1"/>
    <w:rsid w:val="00A02676"/>
    <w:rsid w:val="00A02E45"/>
    <w:rsid w:val="00A050C5"/>
    <w:rsid w:val="00A11162"/>
    <w:rsid w:val="00A17819"/>
    <w:rsid w:val="00A23C77"/>
    <w:rsid w:val="00A27FEB"/>
    <w:rsid w:val="00A30139"/>
    <w:rsid w:val="00A34E86"/>
    <w:rsid w:val="00A362BE"/>
    <w:rsid w:val="00A37C33"/>
    <w:rsid w:val="00A405D0"/>
    <w:rsid w:val="00A40C09"/>
    <w:rsid w:val="00A41FE5"/>
    <w:rsid w:val="00A42D4E"/>
    <w:rsid w:val="00A43227"/>
    <w:rsid w:val="00A4431D"/>
    <w:rsid w:val="00A4499C"/>
    <w:rsid w:val="00A46A5C"/>
    <w:rsid w:val="00A46CCD"/>
    <w:rsid w:val="00A50A35"/>
    <w:rsid w:val="00A50B1D"/>
    <w:rsid w:val="00A54270"/>
    <w:rsid w:val="00A54DF0"/>
    <w:rsid w:val="00A56497"/>
    <w:rsid w:val="00A60A80"/>
    <w:rsid w:val="00A613B2"/>
    <w:rsid w:val="00A622E0"/>
    <w:rsid w:val="00A62F1B"/>
    <w:rsid w:val="00A65133"/>
    <w:rsid w:val="00A65221"/>
    <w:rsid w:val="00A652C5"/>
    <w:rsid w:val="00A663FC"/>
    <w:rsid w:val="00A7155E"/>
    <w:rsid w:val="00A7367F"/>
    <w:rsid w:val="00A73738"/>
    <w:rsid w:val="00A765E4"/>
    <w:rsid w:val="00A808A5"/>
    <w:rsid w:val="00A8530E"/>
    <w:rsid w:val="00A85C5A"/>
    <w:rsid w:val="00A8654A"/>
    <w:rsid w:val="00A90D3E"/>
    <w:rsid w:val="00A92059"/>
    <w:rsid w:val="00A96A08"/>
    <w:rsid w:val="00A977B1"/>
    <w:rsid w:val="00AA0161"/>
    <w:rsid w:val="00AA04E8"/>
    <w:rsid w:val="00AA2E12"/>
    <w:rsid w:val="00AA320A"/>
    <w:rsid w:val="00AA355A"/>
    <w:rsid w:val="00AA4671"/>
    <w:rsid w:val="00AA5621"/>
    <w:rsid w:val="00AB1786"/>
    <w:rsid w:val="00AB1D08"/>
    <w:rsid w:val="00AB216D"/>
    <w:rsid w:val="00AB4345"/>
    <w:rsid w:val="00AB5B98"/>
    <w:rsid w:val="00AB5BD7"/>
    <w:rsid w:val="00AC0135"/>
    <w:rsid w:val="00AC070D"/>
    <w:rsid w:val="00AC1B94"/>
    <w:rsid w:val="00AC25A7"/>
    <w:rsid w:val="00AC438F"/>
    <w:rsid w:val="00AC463E"/>
    <w:rsid w:val="00AC4E56"/>
    <w:rsid w:val="00AC60B1"/>
    <w:rsid w:val="00AC7D64"/>
    <w:rsid w:val="00AD0616"/>
    <w:rsid w:val="00AD34FF"/>
    <w:rsid w:val="00AD4B11"/>
    <w:rsid w:val="00AD4DE6"/>
    <w:rsid w:val="00AD7231"/>
    <w:rsid w:val="00AE0945"/>
    <w:rsid w:val="00AE1A97"/>
    <w:rsid w:val="00AE52E4"/>
    <w:rsid w:val="00AF2639"/>
    <w:rsid w:val="00AF2E88"/>
    <w:rsid w:val="00AF3901"/>
    <w:rsid w:val="00AF3E95"/>
    <w:rsid w:val="00AF4159"/>
    <w:rsid w:val="00AF56BA"/>
    <w:rsid w:val="00AF57CF"/>
    <w:rsid w:val="00AF725B"/>
    <w:rsid w:val="00B00794"/>
    <w:rsid w:val="00B00E77"/>
    <w:rsid w:val="00B0193C"/>
    <w:rsid w:val="00B01F0C"/>
    <w:rsid w:val="00B02EEE"/>
    <w:rsid w:val="00B0468B"/>
    <w:rsid w:val="00B063C7"/>
    <w:rsid w:val="00B1438A"/>
    <w:rsid w:val="00B14657"/>
    <w:rsid w:val="00B15993"/>
    <w:rsid w:val="00B15FE9"/>
    <w:rsid w:val="00B16012"/>
    <w:rsid w:val="00B21023"/>
    <w:rsid w:val="00B25B3F"/>
    <w:rsid w:val="00B25BCB"/>
    <w:rsid w:val="00B2745E"/>
    <w:rsid w:val="00B36228"/>
    <w:rsid w:val="00B36C4B"/>
    <w:rsid w:val="00B40B58"/>
    <w:rsid w:val="00B4117E"/>
    <w:rsid w:val="00B45603"/>
    <w:rsid w:val="00B459BA"/>
    <w:rsid w:val="00B460EF"/>
    <w:rsid w:val="00B46448"/>
    <w:rsid w:val="00B47DA5"/>
    <w:rsid w:val="00B50ADF"/>
    <w:rsid w:val="00B50F8C"/>
    <w:rsid w:val="00B51883"/>
    <w:rsid w:val="00B53054"/>
    <w:rsid w:val="00B5439C"/>
    <w:rsid w:val="00B55B47"/>
    <w:rsid w:val="00B55B64"/>
    <w:rsid w:val="00B61DF5"/>
    <w:rsid w:val="00B61FD4"/>
    <w:rsid w:val="00B6261B"/>
    <w:rsid w:val="00B64E9D"/>
    <w:rsid w:val="00B64FA8"/>
    <w:rsid w:val="00B674DB"/>
    <w:rsid w:val="00B7011A"/>
    <w:rsid w:val="00B746C2"/>
    <w:rsid w:val="00B754B1"/>
    <w:rsid w:val="00B75E0D"/>
    <w:rsid w:val="00B7680B"/>
    <w:rsid w:val="00B77572"/>
    <w:rsid w:val="00B81796"/>
    <w:rsid w:val="00B82E8D"/>
    <w:rsid w:val="00B82F51"/>
    <w:rsid w:val="00B8662F"/>
    <w:rsid w:val="00B876E6"/>
    <w:rsid w:val="00B92507"/>
    <w:rsid w:val="00B9264D"/>
    <w:rsid w:val="00B9340E"/>
    <w:rsid w:val="00B944BF"/>
    <w:rsid w:val="00B94513"/>
    <w:rsid w:val="00B94D99"/>
    <w:rsid w:val="00B97412"/>
    <w:rsid w:val="00BA2812"/>
    <w:rsid w:val="00BA55B2"/>
    <w:rsid w:val="00BA78C5"/>
    <w:rsid w:val="00BB3FA1"/>
    <w:rsid w:val="00BB59CD"/>
    <w:rsid w:val="00BB62BB"/>
    <w:rsid w:val="00BC05C5"/>
    <w:rsid w:val="00BC3C1F"/>
    <w:rsid w:val="00BC4517"/>
    <w:rsid w:val="00BC4D05"/>
    <w:rsid w:val="00BC5E7D"/>
    <w:rsid w:val="00BC739D"/>
    <w:rsid w:val="00BC74F2"/>
    <w:rsid w:val="00BD04BE"/>
    <w:rsid w:val="00BD085F"/>
    <w:rsid w:val="00BD32B9"/>
    <w:rsid w:val="00BD3BF0"/>
    <w:rsid w:val="00BD5527"/>
    <w:rsid w:val="00BE049C"/>
    <w:rsid w:val="00BE097F"/>
    <w:rsid w:val="00BE0B9C"/>
    <w:rsid w:val="00BE19DC"/>
    <w:rsid w:val="00BE2724"/>
    <w:rsid w:val="00BE37F8"/>
    <w:rsid w:val="00BE3A63"/>
    <w:rsid w:val="00BE637B"/>
    <w:rsid w:val="00BE6F28"/>
    <w:rsid w:val="00BE79E7"/>
    <w:rsid w:val="00BF0847"/>
    <w:rsid w:val="00BF2247"/>
    <w:rsid w:val="00BF277F"/>
    <w:rsid w:val="00BF29FA"/>
    <w:rsid w:val="00BF4310"/>
    <w:rsid w:val="00BF4399"/>
    <w:rsid w:val="00BF54EF"/>
    <w:rsid w:val="00BF5CAF"/>
    <w:rsid w:val="00BF634B"/>
    <w:rsid w:val="00BF6822"/>
    <w:rsid w:val="00C04154"/>
    <w:rsid w:val="00C049D9"/>
    <w:rsid w:val="00C04D2B"/>
    <w:rsid w:val="00C11429"/>
    <w:rsid w:val="00C12359"/>
    <w:rsid w:val="00C1257D"/>
    <w:rsid w:val="00C134A7"/>
    <w:rsid w:val="00C154A2"/>
    <w:rsid w:val="00C16381"/>
    <w:rsid w:val="00C204C2"/>
    <w:rsid w:val="00C21AB5"/>
    <w:rsid w:val="00C21BB9"/>
    <w:rsid w:val="00C22962"/>
    <w:rsid w:val="00C23017"/>
    <w:rsid w:val="00C23850"/>
    <w:rsid w:val="00C25B65"/>
    <w:rsid w:val="00C265B0"/>
    <w:rsid w:val="00C34375"/>
    <w:rsid w:val="00C3478B"/>
    <w:rsid w:val="00C34ACD"/>
    <w:rsid w:val="00C406F1"/>
    <w:rsid w:val="00C40B54"/>
    <w:rsid w:val="00C413CE"/>
    <w:rsid w:val="00C459AF"/>
    <w:rsid w:val="00C51403"/>
    <w:rsid w:val="00C529D6"/>
    <w:rsid w:val="00C52A93"/>
    <w:rsid w:val="00C52B5D"/>
    <w:rsid w:val="00C5301B"/>
    <w:rsid w:val="00C544CB"/>
    <w:rsid w:val="00C600CE"/>
    <w:rsid w:val="00C60734"/>
    <w:rsid w:val="00C618BC"/>
    <w:rsid w:val="00C6442F"/>
    <w:rsid w:val="00C66033"/>
    <w:rsid w:val="00C67C73"/>
    <w:rsid w:val="00C71FB5"/>
    <w:rsid w:val="00C737C5"/>
    <w:rsid w:val="00C83FA1"/>
    <w:rsid w:val="00C920AB"/>
    <w:rsid w:val="00C95D0E"/>
    <w:rsid w:val="00C97C19"/>
    <w:rsid w:val="00CA0579"/>
    <w:rsid w:val="00CA2942"/>
    <w:rsid w:val="00CA3540"/>
    <w:rsid w:val="00CA4BF5"/>
    <w:rsid w:val="00CA6983"/>
    <w:rsid w:val="00CA6DED"/>
    <w:rsid w:val="00CB10B8"/>
    <w:rsid w:val="00CB2977"/>
    <w:rsid w:val="00CB6F3C"/>
    <w:rsid w:val="00CB749C"/>
    <w:rsid w:val="00CC1E19"/>
    <w:rsid w:val="00CC49D4"/>
    <w:rsid w:val="00CD000B"/>
    <w:rsid w:val="00CD1E53"/>
    <w:rsid w:val="00CD214A"/>
    <w:rsid w:val="00CD2936"/>
    <w:rsid w:val="00CD4453"/>
    <w:rsid w:val="00CD5734"/>
    <w:rsid w:val="00CD7166"/>
    <w:rsid w:val="00CD7550"/>
    <w:rsid w:val="00CE040C"/>
    <w:rsid w:val="00CE3305"/>
    <w:rsid w:val="00CE3397"/>
    <w:rsid w:val="00CE37D0"/>
    <w:rsid w:val="00CE6F5A"/>
    <w:rsid w:val="00CE70DA"/>
    <w:rsid w:val="00CE7AC1"/>
    <w:rsid w:val="00CF325B"/>
    <w:rsid w:val="00CF3457"/>
    <w:rsid w:val="00CF42CF"/>
    <w:rsid w:val="00CF4EE6"/>
    <w:rsid w:val="00D02321"/>
    <w:rsid w:val="00D02514"/>
    <w:rsid w:val="00D02544"/>
    <w:rsid w:val="00D04296"/>
    <w:rsid w:val="00D04C24"/>
    <w:rsid w:val="00D102E9"/>
    <w:rsid w:val="00D15575"/>
    <w:rsid w:val="00D1688F"/>
    <w:rsid w:val="00D16ED8"/>
    <w:rsid w:val="00D2117F"/>
    <w:rsid w:val="00D21EA3"/>
    <w:rsid w:val="00D241E5"/>
    <w:rsid w:val="00D2506A"/>
    <w:rsid w:val="00D25317"/>
    <w:rsid w:val="00D30A51"/>
    <w:rsid w:val="00D355B4"/>
    <w:rsid w:val="00D35C6D"/>
    <w:rsid w:val="00D36CD1"/>
    <w:rsid w:val="00D400D5"/>
    <w:rsid w:val="00D42D45"/>
    <w:rsid w:val="00D43D5F"/>
    <w:rsid w:val="00D44499"/>
    <w:rsid w:val="00D452AD"/>
    <w:rsid w:val="00D456FC"/>
    <w:rsid w:val="00D467DD"/>
    <w:rsid w:val="00D46BA1"/>
    <w:rsid w:val="00D52AF1"/>
    <w:rsid w:val="00D53E7D"/>
    <w:rsid w:val="00D54092"/>
    <w:rsid w:val="00D570B9"/>
    <w:rsid w:val="00D571EC"/>
    <w:rsid w:val="00D6015C"/>
    <w:rsid w:val="00D635F0"/>
    <w:rsid w:val="00D64F07"/>
    <w:rsid w:val="00D6537E"/>
    <w:rsid w:val="00D66E8B"/>
    <w:rsid w:val="00D72E7B"/>
    <w:rsid w:val="00D74961"/>
    <w:rsid w:val="00D75275"/>
    <w:rsid w:val="00D80754"/>
    <w:rsid w:val="00D81E12"/>
    <w:rsid w:val="00D823AA"/>
    <w:rsid w:val="00D83956"/>
    <w:rsid w:val="00D84AC6"/>
    <w:rsid w:val="00D85715"/>
    <w:rsid w:val="00D8706C"/>
    <w:rsid w:val="00D90D34"/>
    <w:rsid w:val="00D937F1"/>
    <w:rsid w:val="00D94BDF"/>
    <w:rsid w:val="00D97B4B"/>
    <w:rsid w:val="00DA1375"/>
    <w:rsid w:val="00DA1E4E"/>
    <w:rsid w:val="00DA2707"/>
    <w:rsid w:val="00DA28D9"/>
    <w:rsid w:val="00DA4C62"/>
    <w:rsid w:val="00DA5B3B"/>
    <w:rsid w:val="00DA6833"/>
    <w:rsid w:val="00DB2819"/>
    <w:rsid w:val="00DB35AF"/>
    <w:rsid w:val="00DB4BC5"/>
    <w:rsid w:val="00DB575A"/>
    <w:rsid w:val="00DB6A17"/>
    <w:rsid w:val="00DC2A71"/>
    <w:rsid w:val="00DC519F"/>
    <w:rsid w:val="00DD1199"/>
    <w:rsid w:val="00DD155E"/>
    <w:rsid w:val="00DD18FE"/>
    <w:rsid w:val="00DD5520"/>
    <w:rsid w:val="00DD75DB"/>
    <w:rsid w:val="00DD7EE4"/>
    <w:rsid w:val="00DE5727"/>
    <w:rsid w:val="00DF16C2"/>
    <w:rsid w:val="00DF2B46"/>
    <w:rsid w:val="00DF3A11"/>
    <w:rsid w:val="00DF4710"/>
    <w:rsid w:val="00DF636E"/>
    <w:rsid w:val="00DF788F"/>
    <w:rsid w:val="00E00F76"/>
    <w:rsid w:val="00E0167A"/>
    <w:rsid w:val="00E036BE"/>
    <w:rsid w:val="00E03AD8"/>
    <w:rsid w:val="00E05D13"/>
    <w:rsid w:val="00E11DCF"/>
    <w:rsid w:val="00E136DF"/>
    <w:rsid w:val="00E14A09"/>
    <w:rsid w:val="00E15CA3"/>
    <w:rsid w:val="00E16D68"/>
    <w:rsid w:val="00E21E75"/>
    <w:rsid w:val="00E222F7"/>
    <w:rsid w:val="00E261D8"/>
    <w:rsid w:val="00E30446"/>
    <w:rsid w:val="00E313D7"/>
    <w:rsid w:val="00E32479"/>
    <w:rsid w:val="00E338A7"/>
    <w:rsid w:val="00E35EC5"/>
    <w:rsid w:val="00E37076"/>
    <w:rsid w:val="00E41E33"/>
    <w:rsid w:val="00E434B5"/>
    <w:rsid w:val="00E4401A"/>
    <w:rsid w:val="00E44D11"/>
    <w:rsid w:val="00E461C6"/>
    <w:rsid w:val="00E466B0"/>
    <w:rsid w:val="00E500E2"/>
    <w:rsid w:val="00E50488"/>
    <w:rsid w:val="00E50A26"/>
    <w:rsid w:val="00E519DC"/>
    <w:rsid w:val="00E52E96"/>
    <w:rsid w:val="00E5345C"/>
    <w:rsid w:val="00E57DD1"/>
    <w:rsid w:val="00E609AC"/>
    <w:rsid w:val="00E62714"/>
    <w:rsid w:val="00E63995"/>
    <w:rsid w:val="00E64947"/>
    <w:rsid w:val="00E72CF9"/>
    <w:rsid w:val="00E75F8E"/>
    <w:rsid w:val="00E7609C"/>
    <w:rsid w:val="00E807DA"/>
    <w:rsid w:val="00E80894"/>
    <w:rsid w:val="00E82715"/>
    <w:rsid w:val="00E84E3A"/>
    <w:rsid w:val="00E86180"/>
    <w:rsid w:val="00E86DB8"/>
    <w:rsid w:val="00E9002B"/>
    <w:rsid w:val="00E90AAB"/>
    <w:rsid w:val="00E91BB5"/>
    <w:rsid w:val="00E92578"/>
    <w:rsid w:val="00E9290E"/>
    <w:rsid w:val="00E92CC4"/>
    <w:rsid w:val="00E9407A"/>
    <w:rsid w:val="00E95E09"/>
    <w:rsid w:val="00E96950"/>
    <w:rsid w:val="00EA05AF"/>
    <w:rsid w:val="00EA1B9C"/>
    <w:rsid w:val="00EA31DC"/>
    <w:rsid w:val="00EA6EBD"/>
    <w:rsid w:val="00EB6D29"/>
    <w:rsid w:val="00EC2EA3"/>
    <w:rsid w:val="00EC3007"/>
    <w:rsid w:val="00EC43B9"/>
    <w:rsid w:val="00EC766D"/>
    <w:rsid w:val="00ED0CE8"/>
    <w:rsid w:val="00ED2F78"/>
    <w:rsid w:val="00ED38D3"/>
    <w:rsid w:val="00ED3B32"/>
    <w:rsid w:val="00ED4D69"/>
    <w:rsid w:val="00ED5083"/>
    <w:rsid w:val="00EE0315"/>
    <w:rsid w:val="00EE362F"/>
    <w:rsid w:val="00EE6780"/>
    <w:rsid w:val="00EF01D9"/>
    <w:rsid w:val="00EF0E19"/>
    <w:rsid w:val="00EF4259"/>
    <w:rsid w:val="00EF4447"/>
    <w:rsid w:val="00EF4E44"/>
    <w:rsid w:val="00EF7932"/>
    <w:rsid w:val="00F00E95"/>
    <w:rsid w:val="00F01159"/>
    <w:rsid w:val="00F0166D"/>
    <w:rsid w:val="00F02EBB"/>
    <w:rsid w:val="00F03D35"/>
    <w:rsid w:val="00F04E3B"/>
    <w:rsid w:val="00F114AE"/>
    <w:rsid w:val="00F12536"/>
    <w:rsid w:val="00F12C6B"/>
    <w:rsid w:val="00F15347"/>
    <w:rsid w:val="00F15383"/>
    <w:rsid w:val="00F15420"/>
    <w:rsid w:val="00F1545B"/>
    <w:rsid w:val="00F20601"/>
    <w:rsid w:val="00F21902"/>
    <w:rsid w:val="00F21DA0"/>
    <w:rsid w:val="00F231D1"/>
    <w:rsid w:val="00F23F57"/>
    <w:rsid w:val="00F272FF"/>
    <w:rsid w:val="00F27D91"/>
    <w:rsid w:val="00F3068A"/>
    <w:rsid w:val="00F32BC8"/>
    <w:rsid w:val="00F37386"/>
    <w:rsid w:val="00F43CA0"/>
    <w:rsid w:val="00F4444C"/>
    <w:rsid w:val="00F44A1F"/>
    <w:rsid w:val="00F45630"/>
    <w:rsid w:val="00F4642A"/>
    <w:rsid w:val="00F54F73"/>
    <w:rsid w:val="00F55030"/>
    <w:rsid w:val="00F56E81"/>
    <w:rsid w:val="00F652BD"/>
    <w:rsid w:val="00F66308"/>
    <w:rsid w:val="00F674FC"/>
    <w:rsid w:val="00F7069C"/>
    <w:rsid w:val="00F7098A"/>
    <w:rsid w:val="00F7696F"/>
    <w:rsid w:val="00F80CF4"/>
    <w:rsid w:val="00F8209B"/>
    <w:rsid w:val="00F821A5"/>
    <w:rsid w:val="00F85FA8"/>
    <w:rsid w:val="00F86F7F"/>
    <w:rsid w:val="00F87556"/>
    <w:rsid w:val="00F929DC"/>
    <w:rsid w:val="00F94B44"/>
    <w:rsid w:val="00F95820"/>
    <w:rsid w:val="00F96DF5"/>
    <w:rsid w:val="00F97CD9"/>
    <w:rsid w:val="00FA0348"/>
    <w:rsid w:val="00FA0576"/>
    <w:rsid w:val="00FA0B57"/>
    <w:rsid w:val="00FA3E6A"/>
    <w:rsid w:val="00FB30AE"/>
    <w:rsid w:val="00FB50B4"/>
    <w:rsid w:val="00FB682F"/>
    <w:rsid w:val="00FC1B58"/>
    <w:rsid w:val="00FC3F0C"/>
    <w:rsid w:val="00FC4E3D"/>
    <w:rsid w:val="00FD2FF7"/>
    <w:rsid w:val="00FD4B97"/>
    <w:rsid w:val="00FD7762"/>
    <w:rsid w:val="00FE03F0"/>
    <w:rsid w:val="00FE12ED"/>
    <w:rsid w:val="00FE55EB"/>
    <w:rsid w:val="00FE79AC"/>
    <w:rsid w:val="00FF09AF"/>
    <w:rsid w:val="00FF0ECA"/>
    <w:rsid w:val="00FF2634"/>
    <w:rsid w:val="00FF2F9F"/>
    <w:rsid w:val="00FF5D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4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970990"/>
    <w:pPr>
      <w:spacing w:after="240" w:line="288" w:lineRule="auto"/>
      <w:jc w:val="both"/>
    </w:pPr>
  </w:style>
  <w:style w:type="paragraph" w:styleId="Heading1">
    <w:name w:val="heading 1"/>
    <w:next w:val="AERbodytext"/>
    <w:link w:val="Heading1Char"/>
    <w:uiPriority w:val="9"/>
    <w:qFormat/>
    <w:rsid w:val="003F0974"/>
    <w:pPr>
      <w:keepNext/>
      <w:keepLines/>
      <w:numPr>
        <w:ilvl w:val="1"/>
        <w:numId w:val="1"/>
      </w:numPr>
      <w:spacing w:before="120" w:after="120" w:line="288" w:lineRule="auto"/>
      <w:outlineLvl w:val="0"/>
    </w:pPr>
    <w:rPr>
      <w:rFonts w:eastAsia="Times New Roman"/>
      <w:b/>
      <w:bCs/>
      <w:color w:val="E36C0A"/>
      <w:sz w:val="36"/>
      <w:szCs w:val="28"/>
    </w:rPr>
  </w:style>
  <w:style w:type="paragraph" w:styleId="Heading2">
    <w:name w:val="heading 2"/>
    <w:basedOn w:val="Heading1"/>
    <w:next w:val="AERbodytext"/>
    <w:link w:val="Heading2Char"/>
    <w:uiPriority w:val="9"/>
    <w:qFormat/>
    <w:rsid w:val="000A1CC2"/>
    <w:pPr>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3F0974"/>
    <w:rPr>
      <w:rFonts w:eastAsia="Times New Roman"/>
      <w:b/>
      <w:bCs/>
      <w:color w:val="E36C0A"/>
      <w:sz w:val="36"/>
      <w:szCs w:val="28"/>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8"/>
      </w:numPr>
      <w:spacing w:after="240" w:line="288" w:lineRule="auto"/>
      <w:jc w:val="both"/>
    </w:pPr>
    <w:rPr>
      <w:rFonts w:eastAsia="Times New Roman"/>
      <w:szCs w:val="24"/>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C23850"/>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ALTS FOOTNOTE,(NECG) Footnote Text,Footnote text,AR Footnote Text,Footnote Text Char2,Footnote Text Char Char1,Footnote Text Char1 Char Char,Footnote Text Char Char Char Char,Footnote Text Char1 Char Char Char Char,fn,f,Footnote Text1"/>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ALTS FOOTNOTE Char,(NECG) Footnote Text Char,Footnote text Char,AR Footnote Text Char,Footnote Text Char2 Char,Footnote Text Char Char1 Char,Footnote Text Char1 Char Char Char,Footnote Text Char Char Char Char Char,fn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984186"/>
    <w:pPr>
      <w:spacing w:before="120" w:after="12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Normal"/>
    <w:next w:val="AERbodytext"/>
    <w:link w:val="HeadingBoldBlueChar"/>
    <w:qFormat/>
    <w:rsid w:val="002401A5"/>
    <w:pPr>
      <w:keepNext/>
      <w:keepLines/>
    </w:pPr>
    <w:rPr>
      <w:b/>
      <w:color w:val="365F91" w:themeColor="accent1" w:themeShade="BF"/>
      <w:sz w:val="24"/>
    </w:rPr>
  </w:style>
  <w:style w:type="paragraph" w:customStyle="1" w:styleId="HeadingBoldItalic">
    <w:name w:val="Heading Bold Italic"/>
    <w:basedOn w:val="AERbodytext"/>
    <w:next w:val="AERbodytext"/>
    <w:qFormat/>
    <w:rsid w:val="00A42D4E"/>
    <w:pPr>
      <w:jc w:val="left"/>
    </w:pPr>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2401A5"/>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A42D4E"/>
    <w:pPr>
      <w:jc w:val="left"/>
    </w:pPr>
    <w:rPr>
      <w:i/>
    </w:rPr>
  </w:style>
  <w:style w:type="character" w:styleId="PageNumber">
    <w:name w:val="page number"/>
    <w:basedOn w:val="DefaultParagraphFont"/>
    <w:rsid w:val="00CC49D4"/>
    <w:rPr>
      <w:rFonts w:ascii="Gautami" w:hAnsi="Gautami"/>
      <w:sz w:val="18"/>
    </w:rPr>
  </w:style>
  <w:style w:type="paragraph" w:styleId="Revision">
    <w:name w:val="Revision"/>
    <w:hidden/>
    <w:uiPriority w:val="99"/>
    <w:semiHidden/>
    <w:rsid w:val="00D72E7B"/>
  </w:style>
  <w:style w:type="character" w:styleId="FollowedHyperlink">
    <w:name w:val="FollowedHyperlink"/>
    <w:basedOn w:val="DefaultParagraphFont"/>
    <w:uiPriority w:val="99"/>
    <w:semiHidden/>
    <w:unhideWhenUsed/>
    <w:rsid w:val="0067326D"/>
    <w:rPr>
      <w:color w:val="800080" w:themeColor="followedHyperlink"/>
      <w:u w:val="single"/>
    </w:rPr>
  </w:style>
  <w:style w:type="numbering" w:customStyle="1" w:styleId="AERnumberedlist1">
    <w:name w:val="AER numbered list1"/>
    <w:uiPriority w:val="99"/>
    <w:rsid w:val="00663454"/>
  </w:style>
  <w:style w:type="numbering" w:customStyle="1" w:styleId="AERnumberedlist2">
    <w:name w:val="AER numbered list2"/>
    <w:uiPriority w:val="99"/>
    <w:rsid w:val="00663454"/>
  </w:style>
  <w:style w:type="numbering" w:customStyle="1" w:styleId="AERnumberedlist3">
    <w:name w:val="AER numbered list3"/>
    <w:uiPriority w:val="99"/>
    <w:rsid w:val="00663454"/>
  </w:style>
  <w:style w:type="numbering" w:customStyle="1" w:styleId="AERnumberedlist4">
    <w:name w:val="AER numbered list4"/>
    <w:uiPriority w:val="99"/>
    <w:rsid w:val="006634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utami" w:eastAsia="Calibri" w:hAnsi="Gautami" w:cs="Times New Roman"/>
        <w:lang w:val="en-AU"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970990"/>
    <w:pPr>
      <w:spacing w:after="240" w:line="288" w:lineRule="auto"/>
      <w:jc w:val="both"/>
    </w:pPr>
  </w:style>
  <w:style w:type="paragraph" w:styleId="Heading1">
    <w:name w:val="heading 1"/>
    <w:next w:val="AERbodytext"/>
    <w:link w:val="Heading1Char"/>
    <w:uiPriority w:val="9"/>
    <w:qFormat/>
    <w:rsid w:val="003F0974"/>
    <w:pPr>
      <w:keepNext/>
      <w:keepLines/>
      <w:numPr>
        <w:ilvl w:val="1"/>
        <w:numId w:val="1"/>
      </w:numPr>
      <w:spacing w:before="120" w:after="120" w:line="288" w:lineRule="auto"/>
      <w:outlineLvl w:val="0"/>
    </w:pPr>
    <w:rPr>
      <w:rFonts w:eastAsia="Times New Roman"/>
      <w:b/>
      <w:bCs/>
      <w:color w:val="E36C0A"/>
      <w:sz w:val="36"/>
      <w:szCs w:val="28"/>
    </w:rPr>
  </w:style>
  <w:style w:type="paragraph" w:styleId="Heading2">
    <w:name w:val="heading 2"/>
    <w:basedOn w:val="Heading1"/>
    <w:next w:val="AERbodytext"/>
    <w:link w:val="Heading2Char"/>
    <w:uiPriority w:val="9"/>
    <w:qFormat/>
    <w:rsid w:val="000A1CC2"/>
    <w:pPr>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3F0974"/>
    <w:rPr>
      <w:rFonts w:eastAsia="Times New Roman"/>
      <w:b/>
      <w:bCs/>
      <w:color w:val="E36C0A"/>
      <w:sz w:val="36"/>
      <w:szCs w:val="28"/>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8"/>
      </w:numPr>
      <w:spacing w:after="240" w:line="288" w:lineRule="auto"/>
      <w:jc w:val="both"/>
    </w:pPr>
    <w:rPr>
      <w:rFonts w:eastAsia="Times New Roman"/>
      <w:szCs w:val="24"/>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C23850"/>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ALTS FOOTNOTE,(NECG) Footnote Text,Footnote text,AR Footnote Text,Footnote Text Char2,Footnote Text Char Char1,Footnote Text Char1 Char Char,Footnote Text Char Char Char Char,Footnote Text Char1 Char Char Char Char,fn,f,Footnote Text1"/>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ALTS FOOTNOTE Char,(NECG) Footnote Text Char,Footnote text Char,AR Footnote Text Char,Footnote Text Char2 Char,Footnote Text Char Char1 Char,Footnote Text Char1 Char Char Char,Footnote Text Char Char Char Char Char,fn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984186"/>
    <w:pPr>
      <w:spacing w:before="120" w:after="12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Normal"/>
    <w:next w:val="AERbodytext"/>
    <w:link w:val="HeadingBoldBlueChar"/>
    <w:qFormat/>
    <w:rsid w:val="002401A5"/>
    <w:pPr>
      <w:keepNext/>
      <w:keepLines/>
    </w:pPr>
    <w:rPr>
      <w:b/>
      <w:color w:val="365F91" w:themeColor="accent1" w:themeShade="BF"/>
      <w:sz w:val="24"/>
    </w:rPr>
  </w:style>
  <w:style w:type="paragraph" w:customStyle="1" w:styleId="HeadingBoldItalic">
    <w:name w:val="Heading Bold Italic"/>
    <w:basedOn w:val="AERbodytext"/>
    <w:next w:val="AERbodytext"/>
    <w:qFormat/>
    <w:rsid w:val="00A42D4E"/>
    <w:pPr>
      <w:jc w:val="left"/>
    </w:pPr>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2401A5"/>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A42D4E"/>
    <w:pPr>
      <w:jc w:val="left"/>
    </w:pPr>
    <w:rPr>
      <w:i/>
    </w:rPr>
  </w:style>
  <w:style w:type="character" w:styleId="PageNumber">
    <w:name w:val="page number"/>
    <w:basedOn w:val="DefaultParagraphFont"/>
    <w:rsid w:val="00CC49D4"/>
    <w:rPr>
      <w:rFonts w:ascii="Gautami" w:hAnsi="Gautami"/>
      <w:sz w:val="18"/>
    </w:rPr>
  </w:style>
  <w:style w:type="paragraph" w:styleId="Revision">
    <w:name w:val="Revision"/>
    <w:hidden/>
    <w:uiPriority w:val="99"/>
    <w:semiHidden/>
    <w:rsid w:val="00D72E7B"/>
  </w:style>
  <w:style w:type="character" w:styleId="FollowedHyperlink">
    <w:name w:val="FollowedHyperlink"/>
    <w:basedOn w:val="DefaultParagraphFont"/>
    <w:uiPriority w:val="99"/>
    <w:semiHidden/>
    <w:unhideWhenUsed/>
    <w:rsid w:val="0067326D"/>
    <w:rPr>
      <w:color w:val="800080" w:themeColor="followedHyperlink"/>
      <w:u w:val="single"/>
    </w:rPr>
  </w:style>
  <w:style w:type="numbering" w:customStyle="1" w:styleId="AERnumberedlist1">
    <w:name w:val="AER numbered list1"/>
    <w:uiPriority w:val="99"/>
    <w:rsid w:val="00663454"/>
  </w:style>
  <w:style w:type="numbering" w:customStyle="1" w:styleId="AERnumberedlist2">
    <w:name w:val="AER numbered list2"/>
    <w:uiPriority w:val="99"/>
    <w:rsid w:val="00663454"/>
  </w:style>
  <w:style w:type="numbering" w:customStyle="1" w:styleId="AERnumberedlist3">
    <w:name w:val="AER numbered list3"/>
    <w:uiPriority w:val="99"/>
    <w:rsid w:val="00663454"/>
  </w:style>
  <w:style w:type="numbering" w:customStyle="1" w:styleId="AERnumberedlist4">
    <w:name w:val="AER numbered list4"/>
    <w:uiPriority w:val="99"/>
    <w:rsid w:val="00663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062100">
      <w:bodyDiv w:val="1"/>
      <w:marLeft w:val="0"/>
      <w:marRight w:val="0"/>
      <w:marTop w:val="0"/>
      <w:marBottom w:val="0"/>
      <w:divBdr>
        <w:top w:val="none" w:sz="0" w:space="0" w:color="auto"/>
        <w:left w:val="none" w:sz="0" w:space="0" w:color="auto"/>
        <w:bottom w:val="none" w:sz="0" w:space="0" w:color="auto"/>
        <w:right w:val="none" w:sz="0" w:space="0" w:color="auto"/>
      </w:divBdr>
    </w:div>
    <w:div w:id="413209002">
      <w:bodyDiv w:val="1"/>
      <w:marLeft w:val="0"/>
      <w:marRight w:val="0"/>
      <w:marTop w:val="0"/>
      <w:marBottom w:val="0"/>
      <w:divBdr>
        <w:top w:val="none" w:sz="0" w:space="0" w:color="auto"/>
        <w:left w:val="none" w:sz="0" w:space="0" w:color="auto"/>
        <w:bottom w:val="none" w:sz="0" w:space="0" w:color="auto"/>
        <w:right w:val="none" w:sz="0" w:space="0" w:color="auto"/>
      </w:divBdr>
    </w:div>
    <w:div w:id="432670512">
      <w:bodyDiv w:val="1"/>
      <w:marLeft w:val="0"/>
      <w:marRight w:val="0"/>
      <w:marTop w:val="0"/>
      <w:marBottom w:val="0"/>
      <w:divBdr>
        <w:top w:val="none" w:sz="0" w:space="0" w:color="auto"/>
        <w:left w:val="none" w:sz="0" w:space="0" w:color="auto"/>
        <w:bottom w:val="none" w:sz="0" w:space="0" w:color="auto"/>
        <w:right w:val="none" w:sz="0" w:space="0" w:color="auto"/>
      </w:divBdr>
    </w:div>
    <w:div w:id="753741667">
      <w:bodyDiv w:val="1"/>
      <w:marLeft w:val="0"/>
      <w:marRight w:val="0"/>
      <w:marTop w:val="0"/>
      <w:marBottom w:val="0"/>
      <w:divBdr>
        <w:top w:val="none" w:sz="0" w:space="0" w:color="auto"/>
        <w:left w:val="none" w:sz="0" w:space="0" w:color="auto"/>
        <w:bottom w:val="none" w:sz="0" w:space="0" w:color="auto"/>
        <w:right w:val="none" w:sz="0" w:space="0" w:color="auto"/>
      </w:divBdr>
    </w:div>
    <w:div w:id="770585556">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06595503">
      <w:bodyDiv w:val="1"/>
      <w:marLeft w:val="0"/>
      <w:marRight w:val="0"/>
      <w:marTop w:val="0"/>
      <w:marBottom w:val="0"/>
      <w:divBdr>
        <w:top w:val="none" w:sz="0" w:space="0" w:color="auto"/>
        <w:left w:val="none" w:sz="0" w:space="0" w:color="auto"/>
        <w:bottom w:val="none" w:sz="0" w:space="0" w:color="auto"/>
        <w:right w:val="none" w:sz="0" w:space="0" w:color="auto"/>
      </w:divBdr>
    </w:div>
    <w:div w:id="1104762288">
      <w:bodyDiv w:val="1"/>
      <w:marLeft w:val="0"/>
      <w:marRight w:val="0"/>
      <w:marTop w:val="0"/>
      <w:marBottom w:val="0"/>
      <w:divBdr>
        <w:top w:val="none" w:sz="0" w:space="0" w:color="auto"/>
        <w:left w:val="none" w:sz="0" w:space="0" w:color="auto"/>
        <w:bottom w:val="none" w:sz="0" w:space="0" w:color="auto"/>
        <w:right w:val="none" w:sz="0" w:space="0" w:color="auto"/>
      </w:divBdr>
    </w:div>
    <w:div w:id="1203008860">
      <w:bodyDiv w:val="1"/>
      <w:marLeft w:val="0"/>
      <w:marRight w:val="0"/>
      <w:marTop w:val="0"/>
      <w:marBottom w:val="0"/>
      <w:divBdr>
        <w:top w:val="none" w:sz="0" w:space="0" w:color="auto"/>
        <w:left w:val="none" w:sz="0" w:space="0" w:color="auto"/>
        <w:bottom w:val="none" w:sz="0" w:space="0" w:color="auto"/>
        <w:right w:val="none" w:sz="0" w:space="0" w:color="auto"/>
      </w:divBdr>
    </w:div>
    <w:div w:id="1206482864">
      <w:bodyDiv w:val="1"/>
      <w:marLeft w:val="0"/>
      <w:marRight w:val="0"/>
      <w:marTop w:val="0"/>
      <w:marBottom w:val="0"/>
      <w:divBdr>
        <w:top w:val="none" w:sz="0" w:space="0" w:color="auto"/>
        <w:left w:val="none" w:sz="0" w:space="0" w:color="auto"/>
        <w:bottom w:val="none" w:sz="0" w:space="0" w:color="auto"/>
        <w:right w:val="none" w:sz="0" w:space="0" w:color="auto"/>
      </w:divBdr>
    </w:div>
    <w:div w:id="1423649449">
      <w:bodyDiv w:val="1"/>
      <w:marLeft w:val="0"/>
      <w:marRight w:val="0"/>
      <w:marTop w:val="0"/>
      <w:marBottom w:val="0"/>
      <w:divBdr>
        <w:top w:val="none" w:sz="0" w:space="0" w:color="auto"/>
        <w:left w:val="none" w:sz="0" w:space="0" w:color="auto"/>
        <w:bottom w:val="none" w:sz="0" w:space="0" w:color="auto"/>
        <w:right w:val="none" w:sz="0" w:space="0" w:color="auto"/>
      </w:divBdr>
    </w:div>
    <w:div w:id="1427917701">
      <w:bodyDiv w:val="1"/>
      <w:marLeft w:val="0"/>
      <w:marRight w:val="0"/>
      <w:marTop w:val="0"/>
      <w:marBottom w:val="0"/>
      <w:divBdr>
        <w:top w:val="none" w:sz="0" w:space="0" w:color="auto"/>
        <w:left w:val="none" w:sz="0" w:space="0" w:color="auto"/>
        <w:bottom w:val="none" w:sz="0" w:space="0" w:color="auto"/>
        <w:right w:val="none" w:sz="0" w:space="0" w:color="auto"/>
      </w:divBdr>
    </w:div>
    <w:div w:id="155107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image" Target="media/image4.png"/><Relationship Id="rId39" Type="http://schemas.openxmlformats.org/officeDocument/2006/relationships/footer" Target="footer15.xml"/><Relationship Id="rId21" Type="http://schemas.openxmlformats.org/officeDocument/2006/relationships/footer" Target="footer10.xml"/><Relationship Id="rId34" Type="http://schemas.openxmlformats.org/officeDocument/2006/relationships/image" Target="media/image12.emf"/><Relationship Id="rId42" Type="http://schemas.openxmlformats.org/officeDocument/2006/relationships/footer" Target="footer16.xml"/><Relationship Id="rId47" Type="http://schemas.openxmlformats.org/officeDocument/2006/relationships/chart" Target="charts/chart1.xml"/><Relationship Id="rId50" Type="http://schemas.openxmlformats.org/officeDocument/2006/relationships/chart" Target="charts/chart2.xml"/><Relationship Id="rId55" Type="http://schemas.openxmlformats.org/officeDocument/2006/relationships/image" Target="media/image18.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image" Target="media/image7.png"/><Relationship Id="rId41" Type="http://schemas.openxmlformats.org/officeDocument/2006/relationships/header" Target="header4.xml"/><Relationship Id="rId54"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image" Target="media/image10.emf"/><Relationship Id="rId37" Type="http://schemas.openxmlformats.org/officeDocument/2006/relationships/footer" Target="footer14.xml"/><Relationship Id="rId40" Type="http://schemas.openxmlformats.org/officeDocument/2006/relationships/header" Target="header3.xml"/><Relationship Id="rId45" Type="http://schemas.openxmlformats.org/officeDocument/2006/relationships/footer" Target="footer18.xml"/><Relationship Id="rId53" Type="http://schemas.openxmlformats.org/officeDocument/2006/relationships/image" Target="media/image17.png"/><Relationship Id="rId58" Type="http://schemas.openxmlformats.org/officeDocument/2006/relationships/footer" Target="footer20.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image" Target="media/image6.png"/><Relationship Id="rId36" Type="http://schemas.openxmlformats.org/officeDocument/2006/relationships/footer" Target="footer13.xml"/><Relationship Id="rId49" Type="http://schemas.openxmlformats.org/officeDocument/2006/relationships/image" Target="media/image15.png"/><Relationship Id="rId57" Type="http://schemas.openxmlformats.org/officeDocument/2006/relationships/header" Target="header7.xml"/><Relationship Id="rId61" Type="http://schemas.openxmlformats.org/officeDocument/2006/relationships/theme" Target="theme/theme1.xml"/><Relationship Id="rId10" Type="http://schemas.openxmlformats.org/officeDocument/2006/relationships/hyperlink" Target="mailto:AERInquiry@aer.gov.au" TargetMode="External"/><Relationship Id="rId19" Type="http://schemas.openxmlformats.org/officeDocument/2006/relationships/footer" Target="footer8.xml"/><Relationship Id="rId31" Type="http://schemas.openxmlformats.org/officeDocument/2006/relationships/image" Target="media/image9.emf"/><Relationship Id="rId44" Type="http://schemas.openxmlformats.org/officeDocument/2006/relationships/header" Target="header5.xml"/><Relationship Id="rId52" Type="http://schemas.openxmlformats.org/officeDocument/2006/relationships/chart" Target="charts/chart3.xm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image" Target="media/image5.png"/><Relationship Id="rId30" Type="http://schemas.openxmlformats.org/officeDocument/2006/relationships/image" Target="media/image8.emf"/><Relationship Id="rId35" Type="http://schemas.openxmlformats.org/officeDocument/2006/relationships/image" Target="media/image13.emf"/><Relationship Id="rId43" Type="http://schemas.openxmlformats.org/officeDocument/2006/relationships/footer" Target="footer17.xml"/><Relationship Id="rId48" Type="http://schemas.openxmlformats.org/officeDocument/2006/relationships/image" Target="media/image14.png"/><Relationship Id="rId56"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image" Target="media/image16.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image" Target="media/image3.png"/><Relationship Id="rId33" Type="http://schemas.openxmlformats.org/officeDocument/2006/relationships/image" Target="media/image11.emf"/><Relationship Id="rId38" Type="http://schemas.openxmlformats.org/officeDocument/2006/relationships/header" Target="header2.xml"/><Relationship Id="rId46" Type="http://schemas.openxmlformats.org/officeDocument/2006/relationships/footer" Target="footer19.xml"/><Relationship Id="rId59" Type="http://schemas.openxmlformats.org/officeDocument/2006/relationships/footer" Target="footer21.xml"/></Relationships>
</file>

<file path=word/charts/_rels/chart1.xml.rels><?xml version="1.0" encoding="UTF-8" standalone="yes"?>
<Relationships xmlns="http://schemas.openxmlformats.org/package/2006/relationships"><Relationship Id="rId1" Type="http://schemas.openxmlformats.org/officeDocument/2006/relationships/oleObject" Target="file:///\\SCBRFS001\home$\plawr\2014_15%20resets%20actual%20opex%20and%20(D2014-0001019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CBRFS001\home$\plawr\2014_15%20resets%20actual%20opex%20and%20(D2014-0001019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CBRFS001\home$\plawr\2014_15%20resets%20actual%20opex%20and%20(D2014-0001019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CBRFS001\home$\plawr\2014_15%20resets%20actual%20opex%20and%20(D2014-0001019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AusGrid forecast opex</c:v>
          </c:tx>
          <c:cat>
            <c:strRef>
              <c:f>Data!$I$27:$R$27</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Data!$I$41:$R$41</c:f>
              <c:numCache>
                <c:formatCode>General</c:formatCode>
                <c:ptCount val="10"/>
                <c:pt idx="4" formatCode="0.00">
                  <c:v>592</c:v>
                </c:pt>
                <c:pt idx="5" formatCode="0.00">
                  <c:v>606.77737504763513</c:v>
                </c:pt>
                <c:pt idx="6" formatCode="0.00">
                  <c:v>591.93597908552852</c:v>
                </c:pt>
                <c:pt idx="7" formatCode="0.00">
                  <c:v>618.04416477406471</c:v>
                </c:pt>
                <c:pt idx="8" formatCode="0.00">
                  <c:v>583.12388398003395</c:v>
                </c:pt>
                <c:pt idx="9" formatCode="0.00">
                  <c:v>576.62051682282322</c:v>
                </c:pt>
              </c:numCache>
            </c:numRef>
          </c:val>
          <c:smooth val="0"/>
        </c:ser>
        <c:ser>
          <c:idx val="2"/>
          <c:order val="1"/>
          <c:tx>
            <c:v>Approved forecast opex</c:v>
          </c:tx>
          <c:cat>
            <c:strRef>
              <c:f>Data!$I$27:$R$27</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Data!$I$46:$R$46</c:f>
              <c:numCache>
                <c:formatCode>0.00</c:formatCode>
                <c:ptCount val="10"/>
                <c:pt idx="0">
                  <c:v>565.44600303788172</c:v>
                </c:pt>
                <c:pt idx="1">
                  <c:v>576.7775480446752</c:v>
                </c:pt>
                <c:pt idx="2">
                  <c:v>588.59239674287733</c:v>
                </c:pt>
                <c:pt idx="3">
                  <c:v>598.9344400470377</c:v>
                </c:pt>
                <c:pt idx="4">
                  <c:v>599.84424871779504</c:v>
                </c:pt>
              </c:numCache>
            </c:numRef>
          </c:val>
          <c:smooth val="0"/>
        </c:ser>
        <c:ser>
          <c:idx val="3"/>
          <c:order val="2"/>
          <c:tx>
            <c:v>Actual opex</c:v>
          </c:tx>
          <c:cat>
            <c:strRef>
              <c:f>Data!$I$27:$R$27</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Data!$I$51:$R$51</c:f>
              <c:numCache>
                <c:formatCode>0.00</c:formatCode>
                <c:ptCount val="10"/>
                <c:pt idx="0">
                  <c:v>584.44155125886118</c:v>
                </c:pt>
                <c:pt idx="1">
                  <c:v>572.26562260732726</c:v>
                </c:pt>
                <c:pt idx="2">
                  <c:v>578.30228308308313</c:v>
                </c:pt>
                <c:pt idx="3">
                  <c:v>558.20782499999996</c:v>
                </c:pt>
              </c:numCache>
            </c:numRef>
          </c:val>
          <c:smooth val="0"/>
        </c:ser>
        <c:dLbls>
          <c:showLegendKey val="0"/>
          <c:showVal val="0"/>
          <c:showCatName val="0"/>
          <c:showSerName val="0"/>
          <c:showPercent val="0"/>
          <c:showBubbleSize val="0"/>
        </c:dLbls>
        <c:marker val="1"/>
        <c:smooth val="0"/>
        <c:axId val="290032640"/>
        <c:axId val="290059008"/>
      </c:lineChart>
      <c:catAx>
        <c:axId val="290032640"/>
        <c:scaling>
          <c:orientation val="minMax"/>
        </c:scaling>
        <c:delete val="0"/>
        <c:axPos val="b"/>
        <c:majorTickMark val="out"/>
        <c:minorTickMark val="none"/>
        <c:tickLblPos val="nextTo"/>
        <c:txPr>
          <a:bodyPr/>
          <a:lstStyle/>
          <a:p>
            <a:pPr>
              <a:defRPr sz="800"/>
            </a:pPr>
            <a:endParaRPr lang="en-US"/>
          </a:p>
        </c:txPr>
        <c:crossAx val="290059008"/>
        <c:crosses val="autoZero"/>
        <c:auto val="1"/>
        <c:lblAlgn val="ctr"/>
        <c:lblOffset val="100"/>
        <c:noMultiLvlLbl val="0"/>
      </c:catAx>
      <c:valAx>
        <c:axId val="290059008"/>
        <c:scaling>
          <c:orientation val="minMax"/>
          <c:min val="0"/>
        </c:scaling>
        <c:delete val="0"/>
        <c:axPos val="l"/>
        <c:majorGridlines/>
        <c:title>
          <c:tx>
            <c:rich>
              <a:bodyPr rot="0" vert="horz"/>
              <a:lstStyle/>
              <a:p>
                <a:pPr>
                  <a:defRPr/>
                </a:pPr>
                <a:r>
                  <a:rPr lang="en-AU"/>
                  <a:t>Ausgrid</a:t>
                </a:r>
              </a:p>
              <a:p>
                <a:pPr>
                  <a:defRPr/>
                </a:pPr>
                <a:r>
                  <a:rPr lang="en-AU"/>
                  <a:t>$real</a:t>
                </a:r>
                <a:r>
                  <a:rPr lang="en-AU" baseline="0"/>
                  <a:t> 2013-14</a:t>
                </a:r>
              </a:p>
              <a:p>
                <a:pPr>
                  <a:defRPr/>
                </a:pPr>
                <a:r>
                  <a:rPr lang="en-AU" baseline="0"/>
                  <a:t>(million)</a:t>
                </a:r>
                <a:endParaRPr lang="en-AU"/>
              </a:p>
            </c:rich>
          </c:tx>
          <c:overlay val="0"/>
        </c:title>
        <c:numFmt formatCode="0" sourceLinked="0"/>
        <c:majorTickMark val="out"/>
        <c:minorTickMark val="none"/>
        <c:tickLblPos val="nextTo"/>
        <c:txPr>
          <a:bodyPr/>
          <a:lstStyle/>
          <a:p>
            <a:pPr>
              <a:defRPr sz="800"/>
            </a:pPr>
            <a:endParaRPr lang="en-US"/>
          </a:p>
        </c:txPr>
        <c:crossAx val="290032640"/>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Essential forecast opex</c:v>
          </c:tx>
          <c:cat>
            <c:strRef>
              <c:f>Data!$I$27:$R$27</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Data!$I$65:$R$65</c:f>
              <c:numCache>
                <c:formatCode>General</c:formatCode>
                <c:ptCount val="10"/>
                <c:pt idx="4">
                  <c:v>496</c:v>
                </c:pt>
                <c:pt idx="5" formatCode="0.00">
                  <c:v>518.12949016739049</c:v>
                </c:pt>
                <c:pt idx="6" formatCode="0.00">
                  <c:v>505.4066300890828</c:v>
                </c:pt>
                <c:pt idx="7" formatCode="0.00">
                  <c:v>490.15723519729085</c:v>
                </c:pt>
                <c:pt idx="8" formatCode="0.00">
                  <c:v>488.15519965814008</c:v>
                </c:pt>
                <c:pt idx="9" formatCode="0.00">
                  <c:v>488.766635133281</c:v>
                </c:pt>
              </c:numCache>
            </c:numRef>
          </c:val>
          <c:smooth val="0"/>
        </c:ser>
        <c:ser>
          <c:idx val="2"/>
          <c:order val="1"/>
          <c:tx>
            <c:v>Approved forecast</c:v>
          </c:tx>
          <c:cat>
            <c:strRef>
              <c:f>Data!$I$27:$R$27</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Data!$I$67:$R$67</c:f>
              <c:numCache>
                <c:formatCode>0.00</c:formatCode>
                <c:ptCount val="10"/>
                <c:pt idx="0">
                  <c:v>442.47285924596002</c:v>
                </c:pt>
                <c:pt idx="1">
                  <c:v>451.38876412160289</c:v>
                </c:pt>
                <c:pt idx="2">
                  <c:v>459.92776211023045</c:v>
                </c:pt>
                <c:pt idx="3">
                  <c:v>467.29083562441741</c:v>
                </c:pt>
                <c:pt idx="4">
                  <c:v>472.27038544580284</c:v>
                </c:pt>
              </c:numCache>
            </c:numRef>
          </c:val>
          <c:smooth val="0"/>
        </c:ser>
        <c:ser>
          <c:idx val="3"/>
          <c:order val="2"/>
          <c:tx>
            <c:v>Actual opex</c:v>
          </c:tx>
          <c:cat>
            <c:strRef>
              <c:f>Data!$I$27:$R$27</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Data!$I$70:$R$70</c:f>
              <c:numCache>
                <c:formatCode>0.00</c:formatCode>
                <c:ptCount val="10"/>
                <c:pt idx="0">
                  <c:v>389.21485759911951</c:v>
                </c:pt>
                <c:pt idx="1">
                  <c:v>399.38020777087218</c:v>
                </c:pt>
                <c:pt idx="2">
                  <c:v>472.63099259259252</c:v>
                </c:pt>
                <c:pt idx="3">
                  <c:v>474.92657499999996</c:v>
                </c:pt>
              </c:numCache>
            </c:numRef>
          </c:val>
          <c:smooth val="0"/>
        </c:ser>
        <c:dLbls>
          <c:showLegendKey val="0"/>
          <c:showVal val="0"/>
          <c:showCatName val="0"/>
          <c:showSerName val="0"/>
          <c:showPercent val="0"/>
          <c:showBubbleSize val="0"/>
        </c:dLbls>
        <c:marker val="1"/>
        <c:smooth val="0"/>
        <c:axId val="290748672"/>
        <c:axId val="290750464"/>
      </c:lineChart>
      <c:catAx>
        <c:axId val="290748672"/>
        <c:scaling>
          <c:orientation val="minMax"/>
        </c:scaling>
        <c:delete val="0"/>
        <c:axPos val="b"/>
        <c:majorTickMark val="out"/>
        <c:minorTickMark val="none"/>
        <c:tickLblPos val="nextTo"/>
        <c:txPr>
          <a:bodyPr/>
          <a:lstStyle/>
          <a:p>
            <a:pPr>
              <a:defRPr sz="800"/>
            </a:pPr>
            <a:endParaRPr lang="en-US"/>
          </a:p>
        </c:txPr>
        <c:crossAx val="290750464"/>
        <c:crosses val="autoZero"/>
        <c:auto val="1"/>
        <c:lblAlgn val="ctr"/>
        <c:lblOffset val="100"/>
        <c:noMultiLvlLbl val="0"/>
      </c:catAx>
      <c:valAx>
        <c:axId val="290750464"/>
        <c:scaling>
          <c:orientation val="minMax"/>
        </c:scaling>
        <c:delete val="0"/>
        <c:axPos val="l"/>
        <c:majorGridlines/>
        <c:title>
          <c:tx>
            <c:rich>
              <a:bodyPr rot="0" vert="horz"/>
              <a:lstStyle/>
              <a:p>
                <a:pPr>
                  <a:defRPr/>
                </a:pPr>
                <a:r>
                  <a:rPr lang="en-AU"/>
                  <a:t>Essential </a:t>
                </a:r>
              </a:p>
              <a:p>
                <a:pPr>
                  <a:defRPr/>
                </a:pPr>
                <a:r>
                  <a:rPr lang="en-AU"/>
                  <a:t>$real</a:t>
                </a:r>
                <a:r>
                  <a:rPr lang="en-AU" baseline="0"/>
                  <a:t> 2013-14</a:t>
                </a:r>
              </a:p>
              <a:p>
                <a:pPr>
                  <a:defRPr/>
                </a:pPr>
                <a:r>
                  <a:rPr lang="en-AU" baseline="0"/>
                  <a:t>(million)</a:t>
                </a:r>
                <a:endParaRPr lang="en-AU"/>
              </a:p>
            </c:rich>
          </c:tx>
          <c:layout/>
          <c:overlay val="0"/>
        </c:title>
        <c:numFmt formatCode="0" sourceLinked="0"/>
        <c:majorTickMark val="out"/>
        <c:minorTickMark val="none"/>
        <c:tickLblPos val="nextTo"/>
        <c:txPr>
          <a:bodyPr/>
          <a:lstStyle/>
          <a:p>
            <a:pPr>
              <a:defRPr sz="800"/>
            </a:pPr>
            <a:endParaRPr lang="en-US"/>
          </a:p>
        </c:txPr>
        <c:crossAx val="290748672"/>
        <c:crosses val="autoZero"/>
        <c:crossBetween val="between"/>
      </c:valAx>
    </c:plotArea>
    <c:legend>
      <c:legendPos val="b"/>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997665763091088"/>
          <c:y val="3.5894179908169913E-2"/>
          <c:w val="0.81226377952755902"/>
          <c:h val="0.81270753891612602"/>
        </c:manualLayout>
      </c:layout>
      <c:lineChart>
        <c:grouping val="standard"/>
        <c:varyColors val="0"/>
        <c:ser>
          <c:idx val="1"/>
          <c:order val="0"/>
          <c:tx>
            <c:v>Endeavour forecast opex</c:v>
          </c:tx>
          <c:spPr>
            <a:ln>
              <a:solidFill>
                <a:srgbClr val="0070C0"/>
              </a:solidFill>
            </a:ln>
          </c:spPr>
          <c:marker>
            <c:symbol val="diamond"/>
            <c:size val="7"/>
            <c:spPr>
              <a:solidFill>
                <a:srgbClr val="0070C0"/>
              </a:solidFill>
              <a:ln>
                <a:solidFill>
                  <a:srgbClr val="0070C0"/>
                </a:solidFill>
              </a:ln>
            </c:spPr>
          </c:marker>
          <c:cat>
            <c:strRef>
              <c:f>Data!$I$27:$R$27</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Data!$I$55:$R$55</c:f>
              <c:numCache>
                <c:formatCode>General</c:formatCode>
                <c:ptCount val="10"/>
                <c:pt idx="4">
                  <c:v>317.7</c:v>
                </c:pt>
                <c:pt idx="5" formatCode="0.00">
                  <c:v>341.81923014587414</c:v>
                </c:pt>
                <c:pt idx="6" formatCode="0.00">
                  <c:v>344.16619292702273</c:v>
                </c:pt>
                <c:pt idx="7" formatCode="0.00">
                  <c:v>340.32908461832147</c:v>
                </c:pt>
                <c:pt idx="8" formatCode="0.00">
                  <c:v>334.82857784511424</c:v>
                </c:pt>
                <c:pt idx="9" formatCode="0.00">
                  <c:v>339.39760006470732</c:v>
                </c:pt>
              </c:numCache>
            </c:numRef>
          </c:val>
          <c:smooth val="0"/>
        </c:ser>
        <c:ser>
          <c:idx val="4"/>
          <c:order val="1"/>
          <c:tx>
            <c:v>Approved forecast opex</c:v>
          </c:tx>
          <c:spPr>
            <a:ln>
              <a:solidFill>
                <a:schemeClr val="accent3"/>
              </a:solidFill>
            </a:ln>
          </c:spPr>
          <c:marker>
            <c:symbol val="triangle"/>
            <c:size val="7"/>
            <c:spPr>
              <a:solidFill>
                <a:schemeClr val="accent3"/>
              </a:solidFill>
              <a:ln>
                <a:solidFill>
                  <a:schemeClr val="accent3"/>
                </a:solidFill>
              </a:ln>
            </c:spPr>
          </c:marker>
          <c:cat>
            <c:strRef>
              <c:f>Data!$I$27:$R$27</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Data!$I$57:$R$57</c:f>
              <c:numCache>
                <c:formatCode>0.00</c:formatCode>
                <c:ptCount val="10"/>
                <c:pt idx="0">
                  <c:v>332.67782519781025</c:v>
                </c:pt>
                <c:pt idx="1">
                  <c:v>335.18851618396877</c:v>
                </c:pt>
                <c:pt idx="2">
                  <c:v>340.02876859402176</c:v>
                </c:pt>
                <c:pt idx="3">
                  <c:v>344.1355465089581</c:v>
                </c:pt>
                <c:pt idx="4">
                  <c:v>342.62744585943057</c:v>
                </c:pt>
              </c:numCache>
            </c:numRef>
          </c:val>
          <c:smooth val="0"/>
        </c:ser>
        <c:ser>
          <c:idx val="5"/>
          <c:order val="2"/>
          <c:tx>
            <c:v>Actual opex</c:v>
          </c:tx>
          <c:spPr>
            <a:ln>
              <a:solidFill>
                <a:schemeClr val="accent4"/>
              </a:solidFill>
              <a:bevel/>
            </a:ln>
          </c:spPr>
          <c:marker>
            <c:symbol val="diamond"/>
            <c:size val="7"/>
            <c:spPr>
              <a:solidFill>
                <a:schemeClr val="accent4"/>
              </a:solidFill>
              <a:ln cap="flat">
                <a:solidFill>
                  <a:schemeClr val="accent4"/>
                </a:solidFill>
                <a:miter lim="800000"/>
              </a:ln>
            </c:spPr>
          </c:marker>
          <c:cat>
            <c:strRef>
              <c:f>Data!$I$27:$R$27</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Data!$I$60:$R$60</c:f>
              <c:numCache>
                <c:formatCode>0.00</c:formatCode>
                <c:ptCount val="10"/>
                <c:pt idx="0">
                  <c:v>270.15388167582785</c:v>
                </c:pt>
                <c:pt idx="1">
                  <c:v>290.03539130754984</c:v>
                </c:pt>
                <c:pt idx="2">
                  <c:v>272.81194794794794</c:v>
                </c:pt>
                <c:pt idx="3">
                  <c:v>285.75667499999997</c:v>
                </c:pt>
              </c:numCache>
            </c:numRef>
          </c:val>
          <c:smooth val="0"/>
        </c:ser>
        <c:dLbls>
          <c:showLegendKey val="0"/>
          <c:showVal val="0"/>
          <c:showCatName val="0"/>
          <c:showSerName val="0"/>
          <c:showPercent val="0"/>
          <c:showBubbleSize val="0"/>
        </c:dLbls>
        <c:marker val="1"/>
        <c:smooth val="0"/>
        <c:axId val="290596352"/>
        <c:axId val="290597888"/>
      </c:lineChart>
      <c:catAx>
        <c:axId val="290596352"/>
        <c:scaling>
          <c:orientation val="minMax"/>
        </c:scaling>
        <c:delete val="0"/>
        <c:axPos val="b"/>
        <c:majorTickMark val="out"/>
        <c:minorTickMark val="none"/>
        <c:tickLblPos val="nextTo"/>
        <c:txPr>
          <a:bodyPr/>
          <a:lstStyle/>
          <a:p>
            <a:pPr>
              <a:defRPr sz="800"/>
            </a:pPr>
            <a:endParaRPr lang="en-US"/>
          </a:p>
        </c:txPr>
        <c:crossAx val="290597888"/>
        <c:crosses val="autoZero"/>
        <c:auto val="1"/>
        <c:lblAlgn val="ctr"/>
        <c:lblOffset val="100"/>
        <c:noMultiLvlLbl val="0"/>
      </c:catAx>
      <c:valAx>
        <c:axId val="290597888"/>
        <c:scaling>
          <c:orientation val="minMax"/>
        </c:scaling>
        <c:delete val="0"/>
        <c:axPos val="l"/>
        <c:majorGridlines/>
        <c:title>
          <c:tx>
            <c:rich>
              <a:bodyPr rot="0" vert="horz"/>
              <a:lstStyle/>
              <a:p>
                <a:pPr>
                  <a:defRPr/>
                </a:pPr>
                <a:r>
                  <a:rPr lang="en-AU"/>
                  <a:t>Endeavour </a:t>
                </a:r>
              </a:p>
              <a:p>
                <a:pPr>
                  <a:defRPr/>
                </a:pPr>
                <a:r>
                  <a:rPr lang="en-AU"/>
                  <a:t>$real 2013-14</a:t>
                </a:r>
              </a:p>
              <a:p>
                <a:pPr>
                  <a:defRPr/>
                </a:pPr>
                <a:r>
                  <a:rPr lang="en-AU"/>
                  <a:t>(million)</a:t>
                </a:r>
              </a:p>
            </c:rich>
          </c:tx>
          <c:layout>
            <c:manualLayout>
              <c:xMode val="edge"/>
              <c:yMode val="edge"/>
              <c:x val="6.0485779441504231E-3"/>
              <c:y val="0.42061027748889879"/>
            </c:manualLayout>
          </c:layout>
          <c:overlay val="0"/>
        </c:title>
        <c:numFmt formatCode="0" sourceLinked="0"/>
        <c:majorTickMark val="out"/>
        <c:minorTickMark val="none"/>
        <c:tickLblPos val="nextTo"/>
        <c:txPr>
          <a:bodyPr/>
          <a:lstStyle/>
          <a:p>
            <a:pPr>
              <a:defRPr sz="800"/>
            </a:pPr>
            <a:endParaRPr lang="en-US"/>
          </a:p>
        </c:txPr>
        <c:crossAx val="290596352"/>
        <c:crosses val="autoZero"/>
        <c:crossBetween val="between"/>
      </c:valAx>
    </c:plotArea>
    <c:legend>
      <c:legendPos val="b"/>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Actew AGL forecast opex</c:v>
          </c:tx>
          <c:cat>
            <c:strRef>
              <c:f>Data!$I$27:$R$27</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Data!$I$31:$R$31</c:f>
              <c:numCache>
                <c:formatCode>General</c:formatCode>
                <c:ptCount val="10"/>
                <c:pt idx="4">
                  <c:v>77.5</c:v>
                </c:pt>
                <c:pt idx="5" formatCode="0.00">
                  <c:v>77.121658821008808</c:v>
                </c:pt>
                <c:pt idx="6" formatCode="0.00">
                  <c:v>76.036782779191185</c:v>
                </c:pt>
                <c:pt idx="7" formatCode="0.00">
                  <c:v>72.107724563377744</c:v>
                </c:pt>
                <c:pt idx="8" formatCode="0.00">
                  <c:v>71.652726831766472</c:v>
                </c:pt>
                <c:pt idx="9" formatCode="0.00">
                  <c:v>74.492418072115555</c:v>
                </c:pt>
              </c:numCache>
            </c:numRef>
          </c:val>
          <c:smooth val="0"/>
        </c:ser>
        <c:ser>
          <c:idx val="2"/>
          <c:order val="1"/>
          <c:tx>
            <c:v>Approved forecast</c:v>
          </c:tx>
          <c:cat>
            <c:strRef>
              <c:f>Data!$I$27:$R$27</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Data!$I$33:$R$33</c:f>
              <c:numCache>
                <c:formatCode>0.00</c:formatCode>
                <c:ptCount val="10"/>
                <c:pt idx="0">
                  <c:v>66.333574177663635</c:v>
                </c:pt>
                <c:pt idx="1">
                  <c:v>71.372171217406745</c:v>
                </c:pt>
                <c:pt idx="2">
                  <c:v>76.356629831276493</c:v>
                </c:pt>
                <c:pt idx="3">
                  <c:v>81.698112124322847</c:v>
                </c:pt>
                <c:pt idx="4">
                  <c:v>84.361439649279376</c:v>
                </c:pt>
              </c:numCache>
            </c:numRef>
          </c:val>
          <c:smooth val="0"/>
        </c:ser>
        <c:ser>
          <c:idx val="3"/>
          <c:order val="2"/>
          <c:tx>
            <c:v>Actual opex</c:v>
          </c:tx>
          <c:cat>
            <c:strRef>
              <c:f>Data!$I$27:$R$27</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Data!$I$36:$R$36</c:f>
              <c:numCache>
                <c:formatCode>0.00</c:formatCode>
                <c:ptCount val="10"/>
                <c:pt idx="0">
                  <c:v>60.360402133127273</c:v>
                </c:pt>
                <c:pt idx="1">
                  <c:v>69.372321917843152</c:v>
                </c:pt>
                <c:pt idx="2">
                  <c:v>72.083039839839842</c:v>
                </c:pt>
                <c:pt idx="3">
                  <c:v>77.572000000000003</c:v>
                </c:pt>
              </c:numCache>
            </c:numRef>
          </c:val>
          <c:smooth val="0"/>
        </c:ser>
        <c:dLbls>
          <c:showLegendKey val="0"/>
          <c:showVal val="0"/>
          <c:showCatName val="0"/>
          <c:showSerName val="0"/>
          <c:showPercent val="0"/>
          <c:showBubbleSize val="0"/>
        </c:dLbls>
        <c:marker val="1"/>
        <c:smooth val="0"/>
        <c:axId val="290628352"/>
        <c:axId val="290629888"/>
      </c:lineChart>
      <c:catAx>
        <c:axId val="290628352"/>
        <c:scaling>
          <c:orientation val="minMax"/>
        </c:scaling>
        <c:delete val="0"/>
        <c:axPos val="b"/>
        <c:majorTickMark val="out"/>
        <c:minorTickMark val="none"/>
        <c:tickLblPos val="nextTo"/>
        <c:txPr>
          <a:bodyPr/>
          <a:lstStyle/>
          <a:p>
            <a:pPr>
              <a:defRPr sz="800"/>
            </a:pPr>
            <a:endParaRPr lang="en-US"/>
          </a:p>
        </c:txPr>
        <c:crossAx val="290629888"/>
        <c:crosses val="autoZero"/>
        <c:auto val="1"/>
        <c:lblAlgn val="ctr"/>
        <c:lblOffset val="100"/>
        <c:noMultiLvlLbl val="0"/>
      </c:catAx>
      <c:valAx>
        <c:axId val="290629888"/>
        <c:scaling>
          <c:orientation val="minMax"/>
        </c:scaling>
        <c:delete val="0"/>
        <c:axPos val="l"/>
        <c:majorGridlines/>
        <c:title>
          <c:tx>
            <c:rich>
              <a:bodyPr rot="0" vert="horz"/>
              <a:lstStyle/>
              <a:p>
                <a:pPr>
                  <a:defRPr/>
                </a:pPr>
                <a:r>
                  <a:rPr lang="en-AU"/>
                  <a:t>ActewAGL</a:t>
                </a:r>
              </a:p>
              <a:p>
                <a:pPr>
                  <a:defRPr/>
                </a:pPr>
                <a:r>
                  <a:rPr lang="en-AU"/>
                  <a:t>$real</a:t>
                </a:r>
                <a:r>
                  <a:rPr lang="en-AU" baseline="0"/>
                  <a:t> 2013-14</a:t>
                </a:r>
              </a:p>
              <a:p>
                <a:pPr>
                  <a:defRPr/>
                </a:pPr>
                <a:r>
                  <a:rPr lang="en-AU" baseline="0"/>
                  <a:t>(million)</a:t>
                </a:r>
                <a:endParaRPr lang="en-AU"/>
              </a:p>
            </c:rich>
          </c:tx>
          <c:overlay val="0"/>
        </c:title>
        <c:numFmt formatCode="General" sourceLinked="1"/>
        <c:majorTickMark val="out"/>
        <c:minorTickMark val="none"/>
        <c:tickLblPos val="nextTo"/>
        <c:txPr>
          <a:bodyPr/>
          <a:lstStyle/>
          <a:p>
            <a:pPr>
              <a:defRPr sz="800"/>
            </a:pPr>
            <a:endParaRPr lang="en-US"/>
          </a:p>
        </c:txPr>
        <c:crossAx val="29062835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0DA54-CEC0-45A9-8B2B-28718ED90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9A66D5F5.dotm</Template>
  <TotalTime>0</TotalTime>
  <Pages>91</Pages>
  <Words>25550</Words>
  <Characters>145637</Characters>
  <Application>Microsoft Office Word</Application>
  <DocSecurity>8</DocSecurity>
  <Lines>1213</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170846</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2014-04-15T06:19:00Z</dcterms:created>
  <dcterms:modified xsi:type="dcterms:W3CDTF">2014-04-15T06:19:00Z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\\SCBRFS001\home$\kstev\act_nsw electricity distributi (AER2014-000301[V02]).docx</vt:lpwstr>
  </property>
  <property fmtid="{D5CDD505-2E9C-101B-9397-08002B2CF9AE}" pid="3" name="_MarkAsFinal">
    <vt:bool>true</vt:bool>
  </property>
</Properties>
</file>