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FA367AD" wp14:editId="5ACD1AF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C75681">
            <w:t>FINAL</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441F4E">
            <w:t>9</w:t>
          </w:r>
          <w:r w:rsidR="000474DF">
            <w:t xml:space="preserve"> </w:t>
          </w:r>
          <w:r w:rsidR="00185BA5">
            <w:t>–</w:t>
          </w:r>
          <w:r w:rsidR="000474DF">
            <w:t xml:space="preserve"> </w:t>
          </w:r>
          <w:r w:rsidR="00441F4E">
            <w:t>Efficiency benefit</w:t>
          </w:r>
          <w:r w:rsidR="00F2722C">
            <w:t xml:space="preserve"> sharing</w:t>
          </w:r>
          <w:r w:rsidR="00C53CB4">
            <w:t xml:space="preserve"> </w:t>
          </w:r>
          <w:r w:rsidR="00CC058C">
            <w:t>scheme</w:t>
          </w:r>
        </w:p>
        <w:p w:rsidR="000A6C7B" w:rsidRPr="00327A1E" w:rsidRDefault="00C75681" w:rsidP="00327A1E">
          <w:pPr>
            <w:pStyle w:val="ReportDate"/>
          </w:pPr>
          <w:r>
            <w:t>April 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FE233A">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282018">
        <w:tab/>
        <w:t>1300 585 165</w:t>
      </w:r>
    </w:p>
    <w:p w:rsidR="00CE2A23" w:rsidRDefault="00CE2A23" w:rsidP="00761454">
      <w: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1060519"/>
      <w:r>
        <w:lastRenderedPageBreak/>
        <w:t>Note</w:t>
      </w:r>
      <w:bookmarkEnd w:id="1"/>
      <w:bookmarkEnd w:id="2"/>
      <w:bookmarkEnd w:id="3"/>
    </w:p>
    <w:p w:rsidR="00282018" w:rsidRDefault="00282018" w:rsidP="00282018">
      <w:pPr>
        <w:numPr>
          <w:ilvl w:val="0"/>
          <w:numId w:val="37"/>
        </w:numPr>
      </w:pPr>
      <w:r>
        <w:t>This attachment forms part of the AER's final decision on TasNetworks' distribution determination for 2017–19. It should be read with all other parts of the final decision.</w:t>
      </w:r>
    </w:p>
    <w:p w:rsidR="00282018" w:rsidRDefault="00282018" w:rsidP="00282018">
      <w:r>
        <w:t xml:space="preserve">This final decision consists of an Overview and 8 attachments. As many issues were settled at the draft decision stage or required only minor updates we have not prepared final decision attachments for: </w:t>
      </w:r>
    </w:p>
    <w:p w:rsidR="00282018" w:rsidRDefault="00282018" w:rsidP="00282018">
      <w:pPr>
        <w:pStyle w:val="AERbulletlistfirststyle"/>
        <w:numPr>
          <w:ilvl w:val="0"/>
          <w:numId w:val="36"/>
        </w:numPr>
        <w:ind w:left="357" w:hanging="357"/>
      </w:pPr>
      <w:r>
        <w:t xml:space="preserve">Regulatory asset base </w:t>
      </w:r>
    </w:p>
    <w:p w:rsidR="00282018" w:rsidRDefault="00282018" w:rsidP="00282018">
      <w:pPr>
        <w:pStyle w:val="AERbulletlistfirststyle"/>
        <w:numPr>
          <w:ilvl w:val="0"/>
          <w:numId w:val="36"/>
        </w:numPr>
        <w:ind w:left="357" w:hanging="357"/>
      </w:pPr>
      <w:r>
        <w:t>Regulatory depreciation</w:t>
      </w:r>
    </w:p>
    <w:p w:rsidR="00282018" w:rsidRDefault="00282018" w:rsidP="00282018">
      <w:pPr>
        <w:pStyle w:val="AERbulletlistfirststyle"/>
        <w:numPr>
          <w:ilvl w:val="0"/>
          <w:numId w:val="36"/>
        </w:numPr>
        <w:ind w:left="357" w:hanging="357"/>
      </w:pPr>
      <w:r>
        <w:t>Capital expenditure</w:t>
      </w:r>
    </w:p>
    <w:p w:rsidR="00282018" w:rsidRDefault="00282018" w:rsidP="00282018">
      <w:pPr>
        <w:pStyle w:val="AERbulletlistfirststyle"/>
        <w:numPr>
          <w:ilvl w:val="0"/>
          <w:numId w:val="36"/>
        </w:numPr>
        <w:ind w:left="357" w:hanging="357"/>
      </w:pPr>
      <w:r>
        <w:t>Operating expenditure</w:t>
      </w:r>
    </w:p>
    <w:p w:rsidR="00282018" w:rsidRDefault="00282018" w:rsidP="00282018">
      <w:pPr>
        <w:pStyle w:val="AERbulletlistfirststyle"/>
        <w:numPr>
          <w:ilvl w:val="0"/>
          <w:numId w:val="36"/>
        </w:numPr>
        <w:ind w:left="357" w:hanging="357"/>
      </w:pPr>
      <w:r>
        <w:t>Corporate income tax</w:t>
      </w:r>
    </w:p>
    <w:p w:rsidR="00282018" w:rsidRDefault="00282018" w:rsidP="00282018">
      <w:pPr>
        <w:pStyle w:val="AERbulletlistfirststyle"/>
        <w:numPr>
          <w:ilvl w:val="0"/>
          <w:numId w:val="36"/>
        </w:numPr>
        <w:ind w:left="357" w:hanging="357"/>
      </w:pPr>
      <w:r>
        <w:t>Capital expenditure sharing scheme</w:t>
      </w:r>
    </w:p>
    <w:p w:rsidR="00282018" w:rsidRDefault="00282018" w:rsidP="00282018">
      <w:pPr>
        <w:pStyle w:val="AERbulletlistfirststyle"/>
        <w:numPr>
          <w:ilvl w:val="0"/>
          <w:numId w:val="36"/>
        </w:numPr>
        <w:ind w:left="357" w:hanging="357"/>
      </w:pPr>
      <w:r>
        <w:t>Service target performance incentive scheme</w:t>
      </w:r>
    </w:p>
    <w:p w:rsidR="00282018" w:rsidRDefault="00282018" w:rsidP="00282018">
      <w:pPr>
        <w:pStyle w:val="AERbulletlistfirststyle"/>
        <w:numPr>
          <w:ilvl w:val="0"/>
          <w:numId w:val="36"/>
        </w:numPr>
        <w:ind w:left="357" w:hanging="357"/>
      </w:pPr>
      <w:r>
        <w:t>Demand management incentive scheme</w:t>
      </w:r>
    </w:p>
    <w:p w:rsidR="00282018" w:rsidRDefault="00282018" w:rsidP="00282018">
      <w:pPr>
        <w:pStyle w:val="AERbulletlistfirststyle"/>
        <w:numPr>
          <w:ilvl w:val="0"/>
          <w:numId w:val="36"/>
        </w:numPr>
        <w:ind w:left="357" w:hanging="357"/>
      </w:pPr>
      <w:r>
        <w:t>Classification of services</w:t>
      </w:r>
    </w:p>
    <w:p w:rsidR="00282018" w:rsidRDefault="00282018" w:rsidP="00282018">
      <w:pPr>
        <w:pStyle w:val="AERbulletlistfirststyle"/>
        <w:numPr>
          <w:ilvl w:val="0"/>
          <w:numId w:val="36"/>
        </w:numPr>
        <w:ind w:left="357" w:hanging="357"/>
      </w:pPr>
      <w:r>
        <w:t>Pass through events</w:t>
      </w:r>
    </w:p>
    <w:p w:rsidR="00282018" w:rsidRDefault="00282018" w:rsidP="00282018">
      <w:pPr>
        <w:pStyle w:val="AERbulletlistfirststyle"/>
        <w:numPr>
          <w:ilvl w:val="0"/>
          <w:numId w:val="36"/>
        </w:numPr>
        <w:ind w:left="357" w:hanging="357"/>
      </w:pPr>
      <w:r>
        <w:t xml:space="preserve">Connection policy. </w:t>
      </w:r>
    </w:p>
    <w:p w:rsidR="00282018" w:rsidRDefault="00282018" w:rsidP="00282018">
      <w:pPr>
        <w:numPr>
          <w:ilvl w:val="0"/>
          <w:numId w:val="37"/>
        </w:numPr>
      </w:pPr>
      <w:r>
        <w:t xml:space="preserve">The AER's final decision on these matters is set out in the Overview. For ease of reference the remaining attachments have been numbered consistently with the attachment numbering in our draft decision. </w:t>
      </w:r>
    </w:p>
    <w:p w:rsidR="00282018" w:rsidRDefault="00282018" w:rsidP="00282018">
      <w:pPr>
        <w:numPr>
          <w:ilvl w:val="0"/>
          <w:numId w:val="37"/>
        </w:numPr>
      </w:pPr>
      <w:r>
        <w:t>The final decision therefore includes the following documents:</w:t>
      </w:r>
    </w:p>
    <w:p w:rsidR="00282018" w:rsidRDefault="00282018" w:rsidP="00282018">
      <w:pPr>
        <w:numPr>
          <w:ilvl w:val="0"/>
          <w:numId w:val="37"/>
        </w:numPr>
      </w:pPr>
      <w:r>
        <w:t>Overview</w:t>
      </w:r>
    </w:p>
    <w:p w:rsidR="00282018" w:rsidRDefault="00282018" w:rsidP="00282018">
      <w:pPr>
        <w:numPr>
          <w:ilvl w:val="0"/>
          <w:numId w:val="37"/>
        </w:numPr>
      </w:pPr>
      <w:r>
        <w:t>Attachment 1 – Annual revenue requirement</w:t>
      </w:r>
    </w:p>
    <w:p w:rsidR="00282018" w:rsidRDefault="00282018" w:rsidP="00282018">
      <w:pPr>
        <w:numPr>
          <w:ilvl w:val="0"/>
          <w:numId w:val="37"/>
        </w:numPr>
      </w:pPr>
      <w:r>
        <w:t>Attachment 3 – Rate of return</w:t>
      </w:r>
    </w:p>
    <w:p w:rsidR="00282018" w:rsidRDefault="00282018" w:rsidP="00282018">
      <w:pPr>
        <w:numPr>
          <w:ilvl w:val="0"/>
          <w:numId w:val="37"/>
        </w:numPr>
      </w:pPr>
      <w:r>
        <w:t>Attachment 4 – Value of imputation credits</w:t>
      </w:r>
    </w:p>
    <w:p w:rsidR="00282018" w:rsidRDefault="00282018" w:rsidP="00282018">
      <w:pPr>
        <w:numPr>
          <w:ilvl w:val="0"/>
          <w:numId w:val="37"/>
        </w:numPr>
      </w:pPr>
      <w:r>
        <w:t>Attachment 9 – Efficiency benefit sharing scheme</w:t>
      </w:r>
    </w:p>
    <w:p w:rsidR="00282018" w:rsidRDefault="00282018" w:rsidP="00282018">
      <w:pPr>
        <w:numPr>
          <w:ilvl w:val="0"/>
          <w:numId w:val="37"/>
        </w:numPr>
      </w:pPr>
      <w:r>
        <w:t>Attachment 14 – Control mechanisms</w:t>
      </w:r>
    </w:p>
    <w:p w:rsidR="00282018" w:rsidRDefault="00282018" w:rsidP="00282018">
      <w:pPr>
        <w:numPr>
          <w:ilvl w:val="0"/>
          <w:numId w:val="37"/>
        </w:numPr>
      </w:pPr>
      <w:r>
        <w:t>Attachment 16 – Alternative control services</w:t>
      </w:r>
    </w:p>
    <w:p w:rsidR="00282018" w:rsidRDefault="00282018" w:rsidP="00282018">
      <w:pPr>
        <w:numPr>
          <w:ilvl w:val="0"/>
          <w:numId w:val="37"/>
        </w:numPr>
      </w:pPr>
      <w:r>
        <w:t>Attachment 17 – Negotiated services framework and criteria</w:t>
      </w:r>
    </w:p>
    <w:p w:rsidR="00CE2A23" w:rsidRPr="00CE2A23" w:rsidRDefault="00282018" w:rsidP="00CE2A23">
      <w:r>
        <w:t>Attachment 19 – Tariff structure statement</w:t>
      </w:r>
      <w:bookmarkStart w:id="4" w:name="_Toc404354899"/>
      <w:bookmarkStart w:id="5" w:name="_Toc404353070"/>
      <w:bookmarkStart w:id="6" w:name="_Toc404684201"/>
      <w:bookmarkStart w:id="7" w:name="_Toc404700923"/>
      <w:r w:rsidR="00CE2A23">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1060520"/>
      <w:r>
        <w:lastRenderedPageBreak/>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2B22D3"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1060519" w:history="1">
            <w:r w:rsidR="002B22D3" w:rsidRPr="00A865E5">
              <w:rPr>
                <w:rStyle w:val="Hyperlink"/>
              </w:rPr>
              <w:t>Note</w:t>
            </w:r>
            <w:r w:rsidR="002B22D3">
              <w:rPr>
                <w:webHidden/>
              </w:rPr>
              <w:tab/>
            </w:r>
            <w:r w:rsidR="002B22D3">
              <w:rPr>
                <w:webHidden/>
              </w:rPr>
              <w:fldChar w:fldCharType="begin"/>
            </w:r>
            <w:r w:rsidR="002B22D3">
              <w:rPr>
                <w:webHidden/>
              </w:rPr>
              <w:instrText xml:space="preserve"> PAGEREF _Toc481060519 \h </w:instrText>
            </w:r>
            <w:r w:rsidR="002B22D3">
              <w:rPr>
                <w:webHidden/>
              </w:rPr>
            </w:r>
            <w:r w:rsidR="002B22D3">
              <w:rPr>
                <w:webHidden/>
              </w:rPr>
              <w:fldChar w:fldCharType="separate"/>
            </w:r>
            <w:r w:rsidR="002B22D3">
              <w:rPr>
                <w:webHidden/>
              </w:rPr>
              <w:t>9-2</w:t>
            </w:r>
            <w:r w:rsidR="002B22D3">
              <w:rPr>
                <w:webHidden/>
              </w:rPr>
              <w:fldChar w:fldCharType="end"/>
            </w:r>
          </w:hyperlink>
        </w:p>
        <w:p w:rsidR="002B22D3" w:rsidRDefault="005F1AD2">
          <w:pPr>
            <w:pStyle w:val="TOC1"/>
            <w:rPr>
              <w:rFonts w:asciiTheme="minorHAnsi" w:eastAsiaTheme="minorEastAsia" w:hAnsiTheme="minorHAnsi"/>
              <w:b w:val="0"/>
              <w:color w:val="auto"/>
              <w:sz w:val="22"/>
              <w:lang w:val="en-AU" w:eastAsia="en-AU"/>
            </w:rPr>
          </w:pPr>
          <w:hyperlink w:anchor="_Toc481060520" w:history="1">
            <w:r w:rsidR="002B22D3" w:rsidRPr="00A865E5">
              <w:rPr>
                <w:rStyle w:val="Hyperlink"/>
              </w:rPr>
              <w:t>Contents</w:t>
            </w:r>
            <w:r w:rsidR="002B22D3">
              <w:rPr>
                <w:webHidden/>
              </w:rPr>
              <w:tab/>
            </w:r>
            <w:r w:rsidR="002B22D3">
              <w:rPr>
                <w:webHidden/>
              </w:rPr>
              <w:fldChar w:fldCharType="begin"/>
            </w:r>
            <w:r w:rsidR="002B22D3">
              <w:rPr>
                <w:webHidden/>
              </w:rPr>
              <w:instrText xml:space="preserve"> PAGEREF _Toc481060520 \h </w:instrText>
            </w:r>
            <w:r w:rsidR="002B22D3">
              <w:rPr>
                <w:webHidden/>
              </w:rPr>
            </w:r>
            <w:r w:rsidR="002B22D3">
              <w:rPr>
                <w:webHidden/>
              </w:rPr>
              <w:fldChar w:fldCharType="separate"/>
            </w:r>
            <w:r w:rsidR="002B22D3">
              <w:rPr>
                <w:webHidden/>
              </w:rPr>
              <w:t>9-3</w:t>
            </w:r>
            <w:r w:rsidR="002B22D3">
              <w:rPr>
                <w:webHidden/>
              </w:rPr>
              <w:fldChar w:fldCharType="end"/>
            </w:r>
          </w:hyperlink>
        </w:p>
        <w:p w:rsidR="002B22D3" w:rsidRDefault="005F1AD2">
          <w:pPr>
            <w:pStyle w:val="TOC1"/>
            <w:rPr>
              <w:rFonts w:asciiTheme="minorHAnsi" w:eastAsiaTheme="minorEastAsia" w:hAnsiTheme="minorHAnsi"/>
              <w:b w:val="0"/>
              <w:color w:val="auto"/>
              <w:sz w:val="22"/>
              <w:lang w:val="en-AU" w:eastAsia="en-AU"/>
            </w:rPr>
          </w:pPr>
          <w:hyperlink w:anchor="_Toc481060521" w:history="1">
            <w:r w:rsidR="002B22D3" w:rsidRPr="00A865E5">
              <w:rPr>
                <w:rStyle w:val="Hyperlink"/>
              </w:rPr>
              <w:t>Shortened forms</w:t>
            </w:r>
            <w:r w:rsidR="002B22D3">
              <w:rPr>
                <w:webHidden/>
              </w:rPr>
              <w:tab/>
            </w:r>
            <w:r w:rsidR="002B22D3">
              <w:rPr>
                <w:webHidden/>
              </w:rPr>
              <w:fldChar w:fldCharType="begin"/>
            </w:r>
            <w:r w:rsidR="002B22D3">
              <w:rPr>
                <w:webHidden/>
              </w:rPr>
              <w:instrText xml:space="preserve"> PAGEREF _Toc481060521 \h </w:instrText>
            </w:r>
            <w:r w:rsidR="002B22D3">
              <w:rPr>
                <w:webHidden/>
              </w:rPr>
            </w:r>
            <w:r w:rsidR="002B22D3">
              <w:rPr>
                <w:webHidden/>
              </w:rPr>
              <w:fldChar w:fldCharType="separate"/>
            </w:r>
            <w:r w:rsidR="002B22D3">
              <w:rPr>
                <w:webHidden/>
              </w:rPr>
              <w:t>9-4</w:t>
            </w:r>
            <w:r w:rsidR="002B22D3">
              <w:rPr>
                <w:webHidden/>
              </w:rPr>
              <w:fldChar w:fldCharType="end"/>
            </w:r>
          </w:hyperlink>
        </w:p>
        <w:p w:rsidR="002B22D3" w:rsidRDefault="005F1AD2">
          <w:pPr>
            <w:pStyle w:val="TOC1"/>
            <w:rPr>
              <w:rFonts w:asciiTheme="minorHAnsi" w:eastAsiaTheme="minorEastAsia" w:hAnsiTheme="minorHAnsi"/>
              <w:b w:val="0"/>
              <w:color w:val="auto"/>
              <w:sz w:val="22"/>
              <w:lang w:val="en-AU" w:eastAsia="en-AU"/>
            </w:rPr>
          </w:pPr>
          <w:hyperlink w:anchor="_Toc481060522" w:history="1">
            <w:r w:rsidR="002B22D3" w:rsidRPr="00A865E5">
              <w:rPr>
                <w:rStyle w:val="Hyperlink"/>
              </w:rPr>
              <w:t>9</w:t>
            </w:r>
            <w:r w:rsidR="002B22D3">
              <w:rPr>
                <w:rFonts w:asciiTheme="minorHAnsi" w:eastAsiaTheme="minorEastAsia" w:hAnsiTheme="minorHAnsi"/>
                <w:b w:val="0"/>
                <w:color w:val="auto"/>
                <w:sz w:val="22"/>
                <w:lang w:val="en-AU" w:eastAsia="en-AU"/>
              </w:rPr>
              <w:tab/>
            </w:r>
            <w:r w:rsidR="002B22D3" w:rsidRPr="00A865E5">
              <w:rPr>
                <w:rStyle w:val="Hyperlink"/>
              </w:rPr>
              <w:t>Efficiency benefit sharing scheme</w:t>
            </w:r>
            <w:r w:rsidR="002B22D3">
              <w:rPr>
                <w:webHidden/>
              </w:rPr>
              <w:tab/>
            </w:r>
            <w:r w:rsidR="002B22D3">
              <w:rPr>
                <w:webHidden/>
              </w:rPr>
              <w:fldChar w:fldCharType="begin"/>
            </w:r>
            <w:r w:rsidR="002B22D3">
              <w:rPr>
                <w:webHidden/>
              </w:rPr>
              <w:instrText xml:space="preserve"> PAGEREF _Toc481060522 \h </w:instrText>
            </w:r>
            <w:r w:rsidR="002B22D3">
              <w:rPr>
                <w:webHidden/>
              </w:rPr>
            </w:r>
            <w:r w:rsidR="002B22D3">
              <w:rPr>
                <w:webHidden/>
              </w:rPr>
              <w:fldChar w:fldCharType="separate"/>
            </w:r>
            <w:r w:rsidR="002B22D3">
              <w:rPr>
                <w:webHidden/>
              </w:rPr>
              <w:t>9-6</w:t>
            </w:r>
            <w:r w:rsidR="002B22D3">
              <w:rPr>
                <w:webHidden/>
              </w:rPr>
              <w:fldChar w:fldCharType="end"/>
            </w:r>
          </w:hyperlink>
        </w:p>
        <w:p w:rsidR="002B22D3" w:rsidRDefault="005F1AD2">
          <w:pPr>
            <w:pStyle w:val="TOC2"/>
            <w:rPr>
              <w:rFonts w:asciiTheme="minorHAnsi" w:eastAsiaTheme="minorEastAsia" w:hAnsiTheme="minorHAnsi"/>
              <w:b w:val="0"/>
              <w:color w:val="auto"/>
              <w:sz w:val="22"/>
              <w:lang w:eastAsia="en-AU"/>
            </w:rPr>
          </w:pPr>
          <w:hyperlink w:anchor="_Toc481060523" w:history="1">
            <w:r w:rsidR="002B22D3" w:rsidRPr="00A865E5">
              <w:rPr>
                <w:rStyle w:val="Hyperlink"/>
              </w:rPr>
              <w:t>9.1</w:t>
            </w:r>
            <w:r w:rsidR="002B22D3">
              <w:rPr>
                <w:rFonts w:asciiTheme="minorHAnsi" w:eastAsiaTheme="minorEastAsia" w:hAnsiTheme="minorHAnsi"/>
                <w:b w:val="0"/>
                <w:color w:val="auto"/>
                <w:sz w:val="22"/>
                <w:lang w:eastAsia="en-AU"/>
              </w:rPr>
              <w:tab/>
            </w:r>
            <w:r w:rsidR="002B22D3" w:rsidRPr="00A865E5">
              <w:rPr>
                <w:rStyle w:val="Hyperlink"/>
              </w:rPr>
              <w:t>Final decision</w:t>
            </w:r>
            <w:r w:rsidR="002B22D3">
              <w:rPr>
                <w:webHidden/>
              </w:rPr>
              <w:tab/>
            </w:r>
            <w:r w:rsidR="002B22D3">
              <w:rPr>
                <w:webHidden/>
              </w:rPr>
              <w:fldChar w:fldCharType="begin"/>
            </w:r>
            <w:r w:rsidR="002B22D3">
              <w:rPr>
                <w:webHidden/>
              </w:rPr>
              <w:instrText xml:space="preserve"> PAGEREF _Toc481060523 \h </w:instrText>
            </w:r>
            <w:r w:rsidR="002B22D3">
              <w:rPr>
                <w:webHidden/>
              </w:rPr>
            </w:r>
            <w:r w:rsidR="002B22D3">
              <w:rPr>
                <w:webHidden/>
              </w:rPr>
              <w:fldChar w:fldCharType="separate"/>
            </w:r>
            <w:r w:rsidR="002B22D3">
              <w:rPr>
                <w:webHidden/>
              </w:rPr>
              <w:t>9-6</w:t>
            </w:r>
            <w:r w:rsidR="002B22D3">
              <w:rPr>
                <w:webHidden/>
              </w:rPr>
              <w:fldChar w:fldCharType="end"/>
            </w:r>
          </w:hyperlink>
        </w:p>
        <w:p w:rsidR="002B22D3" w:rsidRDefault="005F1AD2">
          <w:pPr>
            <w:pStyle w:val="TOC2"/>
            <w:rPr>
              <w:rFonts w:asciiTheme="minorHAnsi" w:eastAsiaTheme="minorEastAsia" w:hAnsiTheme="minorHAnsi"/>
              <w:b w:val="0"/>
              <w:color w:val="auto"/>
              <w:sz w:val="22"/>
              <w:lang w:eastAsia="en-AU"/>
            </w:rPr>
          </w:pPr>
          <w:hyperlink w:anchor="_Toc481060524" w:history="1">
            <w:r w:rsidR="002B22D3" w:rsidRPr="00A865E5">
              <w:rPr>
                <w:rStyle w:val="Hyperlink"/>
              </w:rPr>
              <w:t>9.2</w:t>
            </w:r>
            <w:r w:rsidR="002B22D3">
              <w:rPr>
                <w:rFonts w:asciiTheme="minorHAnsi" w:eastAsiaTheme="minorEastAsia" w:hAnsiTheme="minorHAnsi"/>
                <w:b w:val="0"/>
                <w:color w:val="auto"/>
                <w:sz w:val="22"/>
                <w:lang w:eastAsia="en-AU"/>
              </w:rPr>
              <w:tab/>
            </w:r>
            <w:r w:rsidR="002B22D3" w:rsidRPr="00A865E5">
              <w:rPr>
                <w:rStyle w:val="Hyperlink"/>
              </w:rPr>
              <w:t>TasNetworks' revised proposal</w:t>
            </w:r>
            <w:r w:rsidR="002B22D3">
              <w:rPr>
                <w:webHidden/>
              </w:rPr>
              <w:tab/>
            </w:r>
            <w:r w:rsidR="002B22D3">
              <w:rPr>
                <w:webHidden/>
              </w:rPr>
              <w:fldChar w:fldCharType="begin"/>
            </w:r>
            <w:r w:rsidR="002B22D3">
              <w:rPr>
                <w:webHidden/>
              </w:rPr>
              <w:instrText xml:space="preserve"> PAGEREF _Toc481060524 \h </w:instrText>
            </w:r>
            <w:r w:rsidR="002B22D3">
              <w:rPr>
                <w:webHidden/>
              </w:rPr>
            </w:r>
            <w:r w:rsidR="002B22D3">
              <w:rPr>
                <w:webHidden/>
              </w:rPr>
              <w:fldChar w:fldCharType="separate"/>
            </w:r>
            <w:r w:rsidR="002B22D3">
              <w:rPr>
                <w:webHidden/>
              </w:rPr>
              <w:t>9-8</w:t>
            </w:r>
            <w:r w:rsidR="002B22D3">
              <w:rPr>
                <w:webHidden/>
              </w:rPr>
              <w:fldChar w:fldCharType="end"/>
            </w:r>
          </w:hyperlink>
        </w:p>
        <w:p w:rsidR="002B22D3" w:rsidRDefault="005F1AD2">
          <w:pPr>
            <w:pStyle w:val="TOC2"/>
            <w:rPr>
              <w:rFonts w:asciiTheme="minorHAnsi" w:eastAsiaTheme="minorEastAsia" w:hAnsiTheme="minorHAnsi"/>
              <w:b w:val="0"/>
              <w:color w:val="auto"/>
              <w:sz w:val="22"/>
              <w:lang w:eastAsia="en-AU"/>
            </w:rPr>
          </w:pPr>
          <w:hyperlink w:anchor="_Toc481060525" w:history="1">
            <w:r w:rsidR="002B22D3" w:rsidRPr="00A865E5">
              <w:rPr>
                <w:rStyle w:val="Hyperlink"/>
              </w:rPr>
              <w:t>9.3</w:t>
            </w:r>
            <w:r w:rsidR="002B22D3">
              <w:rPr>
                <w:rFonts w:asciiTheme="minorHAnsi" w:eastAsiaTheme="minorEastAsia" w:hAnsiTheme="minorHAnsi"/>
                <w:b w:val="0"/>
                <w:color w:val="auto"/>
                <w:sz w:val="22"/>
                <w:lang w:eastAsia="en-AU"/>
              </w:rPr>
              <w:tab/>
            </w:r>
            <w:r w:rsidR="002B22D3" w:rsidRPr="00A865E5">
              <w:rPr>
                <w:rStyle w:val="Hyperlink"/>
              </w:rPr>
              <w:t>Assessment approach</w:t>
            </w:r>
            <w:r w:rsidR="002B22D3">
              <w:rPr>
                <w:webHidden/>
              </w:rPr>
              <w:tab/>
            </w:r>
            <w:r w:rsidR="002B22D3">
              <w:rPr>
                <w:webHidden/>
              </w:rPr>
              <w:fldChar w:fldCharType="begin"/>
            </w:r>
            <w:r w:rsidR="002B22D3">
              <w:rPr>
                <w:webHidden/>
              </w:rPr>
              <w:instrText xml:space="preserve"> PAGEREF _Toc481060525 \h </w:instrText>
            </w:r>
            <w:r w:rsidR="002B22D3">
              <w:rPr>
                <w:webHidden/>
              </w:rPr>
            </w:r>
            <w:r w:rsidR="002B22D3">
              <w:rPr>
                <w:webHidden/>
              </w:rPr>
              <w:fldChar w:fldCharType="separate"/>
            </w:r>
            <w:r w:rsidR="002B22D3">
              <w:rPr>
                <w:webHidden/>
              </w:rPr>
              <w:t>9-8</w:t>
            </w:r>
            <w:r w:rsidR="002B22D3">
              <w:rPr>
                <w:webHidden/>
              </w:rPr>
              <w:fldChar w:fldCharType="end"/>
            </w:r>
          </w:hyperlink>
        </w:p>
        <w:p w:rsidR="002B22D3" w:rsidRDefault="005F1AD2">
          <w:pPr>
            <w:pStyle w:val="TOC3"/>
            <w:rPr>
              <w:rFonts w:asciiTheme="minorHAnsi" w:eastAsiaTheme="minorEastAsia" w:hAnsiTheme="minorHAnsi"/>
              <w:lang w:eastAsia="en-AU"/>
            </w:rPr>
          </w:pPr>
          <w:hyperlink w:anchor="_Toc481060526" w:history="1">
            <w:r w:rsidR="002B22D3" w:rsidRPr="00A865E5">
              <w:rPr>
                <w:rStyle w:val="Hyperlink"/>
              </w:rPr>
              <w:t>9.3.1</w:t>
            </w:r>
            <w:r w:rsidR="002B22D3">
              <w:rPr>
                <w:rFonts w:asciiTheme="minorHAnsi" w:eastAsiaTheme="minorEastAsia" w:hAnsiTheme="minorHAnsi"/>
                <w:lang w:eastAsia="en-AU"/>
              </w:rPr>
              <w:tab/>
            </w:r>
            <w:r w:rsidR="002B22D3" w:rsidRPr="00A865E5">
              <w:rPr>
                <w:rStyle w:val="Hyperlink"/>
              </w:rPr>
              <w:t>Interrelationships</w:t>
            </w:r>
            <w:r w:rsidR="002B22D3">
              <w:rPr>
                <w:webHidden/>
              </w:rPr>
              <w:tab/>
            </w:r>
            <w:r w:rsidR="002B22D3">
              <w:rPr>
                <w:webHidden/>
              </w:rPr>
              <w:fldChar w:fldCharType="begin"/>
            </w:r>
            <w:r w:rsidR="002B22D3">
              <w:rPr>
                <w:webHidden/>
              </w:rPr>
              <w:instrText xml:space="preserve"> PAGEREF _Toc481060526 \h </w:instrText>
            </w:r>
            <w:r w:rsidR="002B22D3">
              <w:rPr>
                <w:webHidden/>
              </w:rPr>
            </w:r>
            <w:r w:rsidR="002B22D3">
              <w:rPr>
                <w:webHidden/>
              </w:rPr>
              <w:fldChar w:fldCharType="separate"/>
            </w:r>
            <w:r w:rsidR="002B22D3">
              <w:rPr>
                <w:webHidden/>
              </w:rPr>
              <w:t>9-9</w:t>
            </w:r>
            <w:r w:rsidR="002B22D3">
              <w:rPr>
                <w:webHidden/>
              </w:rPr>
              <w:fldChar w:fldCharType="end"/>
            </w:r>
          </w:hyperlink>
        </w:p>
        <w:p w:rsidR="002B22D3" w:rsidRDefault="005F1AD2">
          <w:pPr>
            <w:pStyle w:val="TOC2"/>
            <w:rPr>
              <w:rFonts w:asciiTheme="minorHAnsi" w:eastAsiaTheme="minorEastAsia" w:hAnsiTheme="minorHAnsi"/>
              <w:b w:val="0"/>
              <w:color w:val="auto"/>
              <w:sz w:val="22"/>
              <w:lang w:eastAsia="en-AU"/>
            </w:rPr>
          </w:pPr>
          <w:hyperlink w:anchor="_Toc481060527" w:history="1">
            <w:r w:rsidR="002B22D3" w:rsidRPr="00A865E5">
              <w:rPr>
                <w:rStyle w:val="Hyperlink"/>
              </w:rPr>
              <w:t>9.4</w:t>
            </w:r>
            <w:r w:rsidR="002B22D3">
              <w:rPr>
                <w:rFonts w:asciiTheme="minorHAnsi" w:eastAsiaTheme="minorEastAsia" w:hAnsiTheme="minorHAnsi"/>
                <w:b w:val="0"/>
                <w:color w:val="auto"/>
                <w:sz w:val="22"/>
                <w:lang w:eastAsia="en-AU"/>
              </w:rPr>
              <w:tab/>
            </w:r>
            <w:r w:rsidR="002B22D3" w:rsidRPr="00A865E5">
              <w:rPr>
                <w:rStyle w:val="Hyperlink"/>
              </w:rPr>
              <w:t>Reasons for final decision</w:t>
            </w:r>
            <w:r w:rsidR="002B22D3">
              <w:rPr>
                <w:webHidden/>
              </w:rPr>
              <w:tab/>
            </w:r>
            <w:r w:rsidR="002B22D3">
              <w:rPr>
                <w:webHidden/>
              </w:rPr>
              <w:fldChar w:fldCharType="begin"/>
            </w:r>
            <w:r w:rsidR="002B22D3">
              <w:rPr>
                <w:webHidden/>
              </w:rPr>
              <w:instrText xml:space="preserve"> PAGEREF _Toc481060527 \h </w:instrText>
            </w:r>
            <w:r w:rsidR="002B22D3">
              <w:rPr>
                <w:webHidden/>
              </w:rPr>
            </w:r>
            <w:r w:rsidR="002B22D3">
              <w:rPr>
                <w:webHidden/>
              </w:rPr>
              <w:fldChar w:fldCharType="separate"/>
            </w:r>
            <w:r w:rsidR="002B22D3">
              <w:rPr>
                <w:webHidden/>
              </w:rPr>
              <w:t>9-9</w:t>
            </w:r>
            <w:r w:rsidR="002B22D3">
              <w:rPr>
                <w:webHidden/>
              </w:rPr>
              <w:fldChar w:fldCharType="end"/>
            </w:r>
          </w:hyperlink>
        </w:p>
        <w:p w:rsidR="002B22D3" w:rsidRDefault="005F1AD2">
          <w:pPr>
            <w:pStyle w:val="TOC3"/>
            <w:rPr>
              <w:rFonts w:asciiTheme="minorHAnsi" w:eastAsiaTheme="minorEastAsia" w:hAnsiTheme="minorHAnsi"/>
              <w:lang w:eastAsia="en-AU"/>
            </w:rPr>
          </w:pPr>
          <w:hyperlink w:anchor="_Toc481060528" w:history="1">
            <w:r w:rsidR="002B22D3" w:rsidRPr="00A865E5">
              <w:rPr>
                <w:rStyle w:val="Hyperlink"/>
              </w:rPr>
              <w:t>9.4.1</w:t>
            </w:r>
            <w:r w:rsidR="002B22D3">
              <w:rPr>
                <w:rFonts w:asciiTheme="minorHAnsi" w:eastAsiaTheme="minorEastAsia" w:hAnsiTheme="minorHAnsi"/>
                <w:lang w:eastAsia="en-AU"/>
              </w:rPr>
              <w:tab/>
            </w:r>
            <w:r w:rsidR="002B22D3" w:rsidRPr="00A865E5">
              <w:rPr>
                <w:rStyle w:val="Hyperlink"/>
              </w:rPr>
              <w:t>Carryover amounts from the 2012–17 regulatory control period</w:t>
            </w:r>
            <w:r w:rsidR="002B22D3">
              <w:rPr>
                <w:webHidden/>
              </w:rPr>
              <w:tab/>
            </w:r>
            <w:r w:rsidR="002B22D3">
              <w:rPr>
                <w:webHidden/>
              </w:rPr>
              <w:fldChar w:fldCharType="begin"/>
            </w:r>
            <w:r w:rsidR="002B22D3">
              <w:rPr>
                <w:webHidden/>
              </w:rPr>
              <w:instrText xml:space="preserve"> PAGEREF _Toc481060528 \h </w:instrText>
            </w:r>
            <w:r w:rsidR="002B22D3">
              <w:rPr>
                <w:webHidden/>
              </w:rPr>
            </w:r>
            <w:r w:rsidR="002B22D3">
              <w:rPr>
                <w:webHidden/>
              </w:rPr>
              <w:fldChar w:fldCharType="separate"/>
            </w:r>
            <w:r w:rsidR="002B22D3">
              <w:rPr>
                <w:webHidden/>
              </w:rPr>
              <w:t>9-10</w:t>
            </w:r>
            <w:r w:rsidR="002B22D3">
              <w:rPr>
                <w:webHidden/>
              </w:rPr>
              <w:fldChar w:fldCharType="end"/>
            </w:r>
          </w:hyperlink>
        </w:p>
        <w:p w:rsidR="002B22D3" w:rsidRDefault="005F1AD2">
          <w:pPr>
            <w:pStyle w:val="TOC3"/>
            <w:rPr>
              <w:rFonts w:asciiTheme="minorHAnsi" w:eastAsiaTheme="minorEastAsia" w:hAnsiTheme="minorHAnsi"/>
              <w:lang w:eastAsia="en-AU"/>
            </w:rPr>
          </w:pPr>
          <w:hyperlink w:anchor="_Toc481060529" w:history="1">
            <w:r w:rsidR="002B22D3" w:rsidRPr="00A865E5">
              <w:rPr>
                <w:rStyle w:val="Hyperlink"/>
              </w:rPr>
              <w:t>9.4.2</w:t>
            </w:r>
            <w:r w:rsidR="002B22D3">
              <w:rPr>
                <w:rFonts w:asciiTheme="minorHAnsi" w:eastAsiaTheme="minorEastAsia" w:hAnsiTheme="minorHAnsi"/>
                <w:lang w:eastAsia="en-AU"/>
              </w:rPr>
              <w:tab/>
            </w:r>
            <w:r w:rsidR="002B22D3" w:rsidRPr="00A865E5">
              <w:rPr>
                <w:rStyle w:val="Hyperlink"/>
              </w:rPr>
              <w:t>Application of the EBSS in the 2017–19 regulatory control period</w:t>
            </w:r>
            <w:r w:rsidR="002B22D3">
              <w:rPr>
                <w:webHidden/>
              </w:rPr>
              <w:tab/>
            </w:r>
            <w:r w:rsidR="002B22D3">
              <w:rPr>
                <w:webHidden/>
              </w:rPr>
              <w:fldChar w:fldCharType="begin"/>
            </w:r>
            <w:r w:rsidR="002B22D3">
              <w:rPr>
                <w:webHidden/>
              </w:rPr>
              <w:instrText xml:space="preserve"> PAGEREF _Toc481060529 \h </w:instrText>
            </w:r>
            <w:r w:rsidR="002B22D3">
              <w:rPr>
                <w:webHidden/>
              </w:rPr>
            </w:r>
            <w:r w:rsidR="002B22D3">
              <w:rPr>
                <w:webHidden/>
              </w:rPr>
              <w:fldChar w:fldCharType="separate"/>
            </w:r>
            <w:r w:rsidR="002B22D3">
              <w:rPr>
                <w:webHidden/>
              </w:rPr>
              <w:t>9-11</w:t>
            </w:r>
            <w:r w:rsidR="002B22D3">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81060521"/>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proofErr w:type="spellStart"/>
            <w:r w:rsidRPr="00712239">
              <w:rPr>
                <w:rStyle w:val="AERtextsize8"/>
              </w:rPr>
              <w:t>DUoS</w:t>
            </w:r>
            <w:proofErr w:type="spellEnd"/>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441F4E" w:rsidP="00441F4E">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1060522"/>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Efficiency benefit</w:t>
      </w:r>
      <w:r w:rsidR="00F2722C">
        <w:t xml:space="preserve"> sharing</w:t>
      </w:r>
      <w:r w:rsidR="00CC058C">
        <w:t xml:space="preserve"> scheme</w:t>
      </w:r>
      <w:bookmarkEnd w:id="71"/>
    </w:p>
    <w:p w:rsidR="00260469" w:rsidRDefault="00F176C6" w:rsidP="00260469">
      <w:r>
        <w:t>T</w:t>
      </w:r>
      <w:r w:rsidR="0063242B">
        <w:t>he efficien</w:t>
      </w:r>
      <w:r w:rsidR="00282018">
        <w:t>cy</w:t>
      </w:r>
      <w:r w:rsidR="0063242B">
        <w:t xml:space="preserve"> benefit sharing scheme (EBSS)</w:t>
      </w:r>
      <w:r w:rsidR="00260469">
        <w:t xml:space="preserve"> provides an additional incentive for service providers to pursue efficiency improvements in operating expenditure (opex). It is often used in incentive regulation. </w:t>
      </w:r>
    </w:p>
    <w:p w:rsidR="00260469" w:rsidRDefault="00260469" w:rsidP="00260469">
      <w:r>
        <w:t xml:space="preserve">To encourage a service provider to become more efficient, it is allowed to keep any difference between its approved opex forecast and its actual opex in a </w:t>
      </w:r>
      <w:r w:rsidR="005357F0">
        <w:t>regulatory control</w:t>
      </w:r>
      <w:r>
        <w:t xml:space="preserve"> period. This is supplemented by the </w:t>
      </w:r>
      <w:r w:rsidR="005357F0">
        <w:t>EBSS</w:t>
      </w:r>
      <w:r>
        <w:t xml:space="preserve">, which allows the service provider to retain efficiency savings and efficiency losses for a longer period of time. In total these rewards and penalties work together to provide a continuous incentive for a service provider to pursue efficiency gains over the </w:t>
      </w:r>
      <w:r w:rsidR="005357F0">
        <w:t>regulatory control</w:t>
      </w:r>
      <w:r>
        <w:t xml:space="preserve"> period. The </w:t>
      </w:r>
      <w:r w:rsidR="005357F0">
        <w:t>EBSS</w:t>
      </w:r>
      <w:r>
        <w:t xml:space="preserve"> also discourages a service provider from inflating its opex in the expected base year in order to receive a higher opex allowance in the following </w:t>
      </w:r>
      <w:r w:rsidR="005357F0">
        <w:t>regulatory control</w:t>
      </w:r>
      <w:r>
        <w:t xml:space="preserve"> period. </w:t>
      </w:r>
    </w:p>
    <w:p w:rsidR="00260469" w:rsidRDefault="00260469" w:rsidP="00260469">
      <w:r>
        <w:t xml:space="preserve">Consumers benefit from any efficiency gains made by the service provider as we base our next opex forecast (for the next </w:t>
      </w:r>
      <w:r w:rsidR="005357F0">
        <w:t>regulatory control</w:t>
      </w:r>
      <w:r>
        <w:t xml:space="preserve"> period) on the service provider's lower revealed opex. This is how efficiency improvements are shared between consumers and the business</w:t>
      </w:r>
      <w:r w:rsidR="004214B1">
        <w:t>.</w:t>
      </w:r>
    </w:p>
    <w:p w:rsidR="00132D43" w:rsidRPr="00132D43" w:rsidRDefault="00260469" w:rsidP="00260469">
      <w:r>
        <w:t>During the 2012</w:t>
      </w:r>
      <w:r w:rsidRPr="0030169A">
        <w:t>–</w:t>
      </w:r>
      <w:r>
        <w:t xml:space="preserve">17 regulatory control </w:t>
      </w:r>
      <w:proofErr w:type="gramStart"/>
      <w:r>
        <w:t>period</w:t>
      </w:r>
      <w:proofErr w:type="gramEnd"/>
      <w:r>
        <w:t>, TasNetworks</w:t>
      </w:r>
      <w:r w:rsidRPr="0030169A">
        <w:t xml:space="preserve"> operated under</w:t>
      </w:r>
      <w:r>
        <w:t xml:space="preserve"> the Electricity distribution network service providers' EBSS released in June 2008.</w:t>
      </w:r>
      <w:r>
        <w:rPr>
          <w:rStyle w:val="FootnoteReference"/>
        </w:rPr>
        <w:footnoteReference w:id="1"/>
      </w:r>
      <w:r w:rsidR="004214B1">
        <w:t xml:space="preserve">  </w:t>
      </w:r>
    </w:p>
    <w:p w:rsidR="00132D43" w:rsidRDefault="00C75681" w:rsidP="00132D43">
      <w:pPr>
        <w:pStyle w:val="Heading2"/>
      </w:pPr>
      <w:bookmarkStart w:id="72" w:name="_Toc481060523"/>
      <w:r>
        <w:t>Final</w:t>
      </w:r>
      <w:r w:rsidR="00132D43">
        <w:t xml:space="preserve"> decision</w:t>
      </w:r>
      <w:bookmarkEnd w:id="72"/>
    </w:p>
    <w:p w:rsidR="00E41467" w:rsidRDefault="00E41467" w:rsidP="00E41467">
      <w:r>
        <w:t xml:space="preserve">We have determined an EBSS carryover amount </w:t>
      </w:r>
      <w:r w:rsidRPr="00D8267E">
        <w:t>of $</w:t>
      </w:r>
      <w:r w:rsidR="00DA796F">
        <w:t>23.</w:t>
      </w:r>
      <w:r w:rsidR="00A55F8B">
        <w:t>7</w:t>
      </w:r>
      <w:r w:rsidRPr="0002678F">
        <w:t xml:space="preserve"> million</w:t>
      </w:r>
      <w:r>
        <w:t xml:space="preserve"> ($2016–17) from the application of the EBSS during the 2012–17</w:t>
      </w:r>
      <w:r w:rsidRPr="00BA7C17">
        <w:t xml:space="preserve"> regulatory control </w:t>
      </w:r>
      <w:proofErr w:type="gramStart"/>
      <w:r w:rsidRPr="00BA7C17">
        <w:t>period</w:t>
      </w:r>
      <w:proofErr w:type="gramEnd"/>
      <w:r w:rsidRPr="00BA7C17">
        <w:t>.</w:t>
      </w:r>
      <w:r>
        <w:rPr>
          <w:rStyle w:val="FootnoteReference"/>
        </w:rPr>
        <w:footnoteReference w:id="2"/>
      </w:r>
      <w:r w:rsidRPr="00BA7C17">
        <w:t xml:space="preserve"> </w:t>
      </w:r>
      <w:r>
        <w:t xml:space="preserve">This is </w:t>
      </w:r>
      <w:r w:rsidR="00282018">
        <w:t xml:space="preserve">broadly </w:t>
      </w:r>
      <w:r w:rsidR="00DA796F">
        <w:t>consistent with</w:t>
      </w:r>
      <w:r>
        <w:t xml:space="preserve"> TasNetworks' </w:t>
      </w:r>
      <w:r w:rsidR="00651C12">
        <w:t xml:space="preserve">revised </w:t>
      </w:r>
      <w:r>
        <w:t>proposal</w:t>
      </w:r>
      <w:r w:rsidR="00CA740A">
        <w:t xml:space="preserve"> of $23.8 million ($2016–17)</w:t>
      </w:r>
      <w:r>
        <w:t xml:space="preserve">. </w:t>
      </w:r>
    </w:p>
    <w:p w:rsidR="00093CE8" w:rsidRDefault="00093CE8" w:rsidP="00093CE8">
      <w:r>
        <w:t>The differences between this final decision and our draft decision are that we have updated:</w:t>
      </w:r>
    </w:p>
    <w:p w:rsidR="00093CE8" w:rsidRPr="006F684A" w:rsidRDefault="00093CE8" w:rsidP="00093CE8">
      <w:pPr>
        <w:pStyle w:val="AERbulletlistfirststyle"/>
      </w:pPr>
      <w:r w:rsidRPr="006F684A">
        <w:t>estimate</w:t>
      </w:r>
      <w:r>
        <w:t xml:space="preserve">d </w:t>
      </w:r>
      <w:r w:rsidRPr="006F684A">
        <w:t xml:space="preserve">opex </w:t>
      </w:r>
      <w:r>
        <w:t>for 2015–16 with actual audited opex</w:t>
      </w:r>
    </w:p>
    <w:p w:rsidR="00E41467" w:rsidRDefault="00093CE8" w:rsidP="00093CE8">
      <w:pPr>
        <w:pStyle w:val="AERbulletlistfirststyle"/>
      </w:pPr>
      <w:proofErr w:type="gramStart"/>
      <w:r>
        <w:t>estimated</w:t>
      </w:r>
      <w:proofErr w:type="gramEnd"/>
      <w:r>
        <w:t xml:space="preserve"> inflation with the most recent actuals.</w:t>
      </w:r>
    </w:p>
    <w:p w:rsidR="003E4FBF" w:rsidRDefault="003E4FBF" w:rsidP="00DA796F">
      <w:r>
        <w:t>Our method to calculate the EBSS has not changed</w:t>
      </w:r>
      <w:r w:rsidR="000C2297">
        <w:t xml:space="preserve"> between the draft and final decisions</w:t>
      </w:r>
      <w:r>
        <w:t xml:space="preserve">. </w:t>
      </w:r>
    </w:p>
    <w:p w:rsidR="00DA796F" w:rsidRPr="00DA796F" w:rsidRDefault="00DA796F" w:rsidP="00DA796F">
      <w:r w:rsidRPr="00BA7C17">
        <w:t xml:space="preserve">Our </w:t>
      </w:r>
      <w:r>
        <w:t>final</w:t>
      </w:r>
      <w:r w:rsidRPr="00BA7C17">
        <w:t xml:space="preserve"> decision for the EBSS</w:t>
      </w:r>
      <w:r>
        <w:t xml:space="preserve"> carryover amounts from the 2012–17</w:t>
      </w:r>
      <w:r w:rsidRPr="00BA7C17">
        <w:t xml:space="preserve"> </w:t>
      </w:r>
      <w:r>
        <w:t xml:space="preserve">regulatory control </w:t>
      </w:r>
      <w:proofErr w:type="gramStart"/>
      <w:r w:rsidRPr="00BA7C17">
        <w:t>period</w:t>
      </w:r>
      <w:proofErr w:type="gramEnd"/>
      <w:r w:rsidRPr="00BA7C17">
        <w:t xml:space="preserve"> is outlined in</w:t>
      </w:r>
      <w:r>
        <w:t xml:space="preserve"> </w:t>
      </w:r>
      <w:r>
        <w:fldChar w:fldCharType="begin"/>
      </w:r>
      <w:r>
        <w:instrText xml:space="preserve"> REF _Ref406741455 \h </w:instrText>
      </w:r>
      <w:r>
        <w:fldChar w:fldCharType="separate"/>
      </w:r>
      <w:r w:rsidR="00282018">
        <w:t xml:space="preserve">Table </w:t>
      </w:r>
      <w:r w:rsidR="00282018">
        <w:rPr>
          <w:noProof/>
        </w:rPr>
        <w:t>9</w:t>
      </w:r>
      <w:r w:rsidR="00282018">
        <w:t>.</w:t>
      </w:r>
      <w:r w:rsidR="00282018">
        <w:rPr>
          <w:noProof/>
        </w:rPr>
        <w:t>1</w:t>
      </w:r>
      <w:r>
        <w:fldChar w:fldCharType="end"/>
      </w:r>
      <w:r>
        <w:t xml:space="preserve">. </w:t>
      </w:r>
    </w:p>
    <w:p w:rsidR="00E41467" w:rsidRPr="00BA7C17" w:rsidRDefault="00E41467" w:rsidP="00E41467">
      <w:pPr>
        <w:pStyle w:val="Caption"/>
      </w:pPr>
      <w:bookmarkStart w:id="73" w:name="_Ref406741455"/>
      <w:proofErr w:type="gramStart"/>
      <w:r>
        <w:lastRenderedPageBreak/>
        <w:t xml:space="preserve">Table </w:t>
      </w:r>
      <w:r w:rsidRPr="00E41467">
        <w:fldChar w:fldCharType="begin"/>
      </w:r>
      <w:r>
        <w:instrText xml:space="preserve"> STYLEREF 1 \s </w:instrText>
      </w:r>
      <w:r w:rsidRPr="00E41467">
        <w:fldChar w:fldCharType="separate"/>
      </w:r>
      <w:r w:rsidR="00282018">
        <w:rPr>
          <w:noProof/>
        </w:rPr>
        <w:t>9</w:t>
      </w:r>
      <w:r w:rsidRPr="00E41467">
        <w:fldChar w:fldCharType="end"/>
      </w:r>
      <w:r>
        <w:t>.</w:t>
      </w:r>
      <w:proofErr w:type="gramEnd"/>
      <w:r w:rsidRPr="00E41467">
        <w:fldChar w:fldCharType="begin"/>
      </w:r>
      <w:r>
        <w:instrText xml:space="preserve"> SEQ Table \* ARABIC \s 1 </w:instrText>
      </w:r>
      <w:r w:rsidRPr="00E41467">
        <w:fldChar w:fldCharType="separate"/>
      </w:r>
      <w:r w:rsidR="00282018">
        <w:rPr>
          <w:noProof/>
        </w:rPr>
        <w:t>1</w:t>
      </w:r>
      <w:r w:rsidRPr="00E41467">
        <w:fldChar w:fldCharType="end"/>
      </w:r>
      <w:bookmarkEnd w:id="73"/>
      <w:r>
        <w:tab/>
        <w:t xml:space="preserve">Final decision on TasNetworks' EBSS carryover amounts </w:t>
      </w:r>
      <w:r>
        <w:br/>
        <w:t>($ million, 2016–17)</w:t>
      </w:r>
    </w:p>
    <w:tbl>
      <w:tblPr>
        <w:tblStyle w:val="AERtable-numbers"/>
        <w:tblW w:w="0" w:type="auto"/>
        <w:tblLook w:val="04A0" w:firstRow="1" w:lastRow="0" w:firstColumn="1" w:lastColumn="0" w:noHBand="0" w:noVBand="1"/>
      </w:tblPr>
      <w:tblGrid>
        <w:gridCol w:w="2518"/>
        <w:gridCol w:w="1984"/>
        <w:gridCol w:w="1985"/>
        <w:gridCol w:w="1985"/>
      </w:tblGrid>
      <w:tr w:rsidR="00E41467" w:rsidRPr="000E0ED0" w:rsidTr="0095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E41467" w:rsidRPr="000E0ED0" w:rsidRDefault="00E41467" w:rsidP="00E41467"/>
        </w:tc>
        <w:tc>
          <w:tcPr>
            <w:tcW w:w="1984" w:type="dxa"/>
          </w:tcPr>
          <w:p w:rsidR="00E41467" w:rsidRPr="00E41467" w:rsidRDefault="00E41467" w:rsidP="00E41467">
            <w:pPr>
              <w:cnfStyle w:val="100000000000" w:firstRow="1" w:lastRow="0" w:firstColumn="0" w:lastColumn="0" w:oddVBand="0" w:evenVBand="0" w:oddHBand="0" w:evenHBand="0" w:firstRowFirstColumn="0" w:firstRowLastColumn="0" w:lastRowFirstColumn="0" w:lastRowLastColumn="0"/>
            </w:pPr>
            <w:r w:rsidRPr="000E0ED0">
              <w:t>2017</w:t>
            </w:r>
            <w:r w:rsidRPr="00E41467">
              <w:t>–18</w:t>
            </w:r>
          </w:p>
        </w:tc>
        <w:tc>
          <w:tcPr>
            <w:tcW w:w="1985" w:type="dxa"/>
          </w:tcPr>
          <w:p w:rsidR="00E41467" w:rsidRPr="00E41467" w:rsidRDefault="00E41467" w:rsidP="00E41467">
            <w:pPr>
              <w:cnfStyle w:val="100000000000" w:firstRow="1" w:lastRow="0" w:firstColumn="0" w:lastColumn="0" w:oddVBand="0" w:evenVBand="0" w:oddHBand="0" w:evenHBand="0" w:firstRowFirstColumn="0" w:firstRowLastColumn="0" w:lastRowFirstColumn="0" w:lastRowLastColumn="0"/>
            </w:pPr>
            <w:r w:rsidRPr="000E0ED0">
              <w:t>2018</w:t>
            </w:r>
            <w:r w:rsidRPr="00E41467">
              <w:t>–19</w:t>
            </w:r>
          </w:p>
        </w:tc>
        <w:tc>
          <w:tcPr>
            <w:tcW w:w="1985" w:type="dxa"/>
          </w:tcPr>
          <w:p w:rsidR="00E41467" w:rsidRPr="00E41467" w:rsidRDefault="00E41467" w:rsidP="00E41467">
            <w:pPr>
              <w:cnfStyle w:val="100000000000" w:firstRow="1" w:lastRow="0" w:firstColumn="0" w:lastColumn="0" w:oddVBand="0" w:evenVBand="0" w:oddHBand="0" w:evenHBand="0" w:firstRowFirstColumn="0" w:firstRowLastColumn="0" w:lastRowFirstColumn="0" w:lastRowLastColumn="0"/>
            </w:pPr>
            <w:r w:rsidRPr="000E0ED0">
              <w:t>Total</w:t>
            </w:r>
          </w:p>
        </w:tc>
      </w:tr>
      <w:tr w:rsidR="00093CE8" w:rsidRPr="000E0ED0" w:rsidTr="009534BB">
        <w:tc>
          <w:tcPr>
            <w:cnfStyle w:val="001000000000" w:firstRow="0" w:lastRow="0" w:firstColumn="1" w:lastColumn="0" w:oddVBand="0" w:evenVBand="0" w:oddHBand="0" w:evenHBand="0" w:firstRowFirstColumn="0" w:firstRowLastColumn="0" w:lastRowFirstColumn="0" w:lastRowLastColumn="0"/>
            <w:tcW w:w="2518" w:type="dxa"/>
          </w:tcPr>
          <w:p w:rsidR="00093CE8" w:rsidRPr="00093CE8" w:rsidRDefault="00093CE8" w:rsidP="00093CE8">
            <w:r w:rsidRPr="00A37231">
              <w:t>TasNetworks' proposal</w:t>
            </w:r>
          </w:p>
        </w:tc>
        <w:tc>
          <w:tcPr>
            <w:tcW w:w="1984" w:type="dxa"/>
          </w:tcPr>
          <w:p w:rsidR="00093CE8" w:rsidRDefault="00093CE8" w:rsidP="00093CE8">
            <w:pPr>
              <w:cnfStyle w:val="000000000000" w:firstRow="0" w:lastRow="0" w:firstColumn="0" w:lastColumn="0" w:oddVBand="0" w:evenVBand="0" w:oddHBand="0" w:evenHBand="0" w:firstRowFirstColumn="0" w:firstRowLastColumn="0" w:lastRowFirstColumn="0" w:lastRowLastColumn="0"/>
            </w:pPr>
            <w:r>
              <w:t>20.6</w:t>
            </w:r>
          </w:p>
        </w:tc>
        <w:tc>
          <w:tcPr>
            <w:tcW w:w="1985" w:type="dxa"/>
          </w:tcPr>
          <w:p w:rsidR="00093CE8" w:rsidRPr="00093CE8" w:rsidRDefault="00093CE8" w:rsidP="00093CE8">
            <w:pPr>
              <w:cnfStyle w:val="000000000000" w:firstRow="0" w:lastRow="0" w:firstColumn="0" w:lastColumn="0" w:oddVBand="0" w:evenVBand="0" w:oddHBand="0" w:evenHBand="0" w:firstRowFirstColumn="0" w:firstRowLastColumn="0" w:lastRowFirstColumn="0" w:lastRowLastColumn="0"/>
            </w:pPr>
            <w:r w:rsidRPr="00A37231">
              <w:t>20.6</w:t>
            </w:r>
          </w:p>
        </w:tc>
        <w:tc>
          <w:tcPr>
            <w:tcW w:w="1985" w:type="dxa"/>
          </w:tcPr>
          <w:p w:rsidR="00093CE8" w:rsidRPr="006F684A" w:rsidRDefault="00093CE8" w:rsidP="00093CE8">
            <w:pPr>
              <w:cnfStyle w:val="000000000000" w:firstRow="0" w:lastRow="0" w:firstColumn="0" w:lastColumn="0" w:oddVBand="0" w:evenVBand="0" w:oddHBand="0" w:evenHBand="0" w:firstRowFirstColumn="0" w:firstRowLastColumn="0" w:lastRowFirstColumn="0" w:lastRowLastColumn="0"/>
              <w:rPr>
                <w:rStyle w:val="Strong"/>
              </w:rPr>
            </w:pPr>
            <w:r w:rsidRPr="006F684A">
              <w:rPr>
                <w:rStyle w:val="Strong"/>
              </w:rPr>
              <w:t>41.1</w:t>
            </w:r>
          </w:p>
        </w:tc>
      </w:tr>
      <w:tr w:rsidR="00093CE8" w:rsidRPr="000E0ED0" w:rsidTr="009534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93CE8" w:rsidRPr="00093CE8" w:rsidRDefault="00093CE8" w:rsidP="00093CE8">
            <w:r w:rsidRPr="00A37231">
              <w:t xml:space="preserve">Draft decision </w:t>
            </w:r>
          </w:p>
        </w:tc>
        <w:tc>
          <w:tcPr>
            <w:tcW w:w="1984" w:type="dxa"/>
          </w:tcPr>
          <w:p w:rsidR="00093CE8" w:rsidRPr="00093CE8" w:rsidRDefault="00093CE8" w:rsidP="00093CE8">
            <w:pPr>
              <w:cnfStyle w:val="000000010000" w:firstRow="0" w:lastRow="0" w:firstColumn="0" w:lastColumn="0" w:oddVBand="0" w:evenVBand="0" w:oddHBand="0" w:evenHBand="1" w:firstRowFirstColumn="0" w:firstRowLastColumn="0" w:lastRowFirstColumn="0" w:lastRowLastColumn="0"/>
            </w:pPr>
            <w:r w:rsidRPr="00A37231">
              <w:t xml:space="preserve">9.0 </w:t>
            </w:r>
          </w:p>
        </w:tc>
        <w:tc>
          <w:tcPr>
            <w:tcW w:w="1985" w:type="dxa"/>
          </w:tcPr>
          <w:p w:rsidR="00093CE8" w:rsidRPr="00093CE8" w:rsidRDefault="00093CE8" w:rsidP="00093CE8">
            <w:pPr>
              <w:cnfStyle w:val="000000010000" w:firstRow="0" w:lastRow="0" w:firstColumn="0" w:lastColumn="0" w:oddVBand="0" w:evenVBand="0" w:oddHBand="0" w:evenHBand="1" w:firstRowFirstColumn="0" w:firstRowLastColumn="0" w:lastRowFirstColumn="0" w:lastRowLastColumn="0"/>
            </w:pPr>
            <w:r w:rsidRPr="00A37231">
              <w:t xml:space="preserve">9.0 </w:t>
            </w:r>
          </w:p>
        </w:tc>
        <w:tc>
          <w:tcPr>
            <w:tcW w:w="1985" w:type="dxa"/>
          </w:tcPr>
          <w:p w:rsidR="00093CE8" w:rsidRPr="006F684A" w:rsidRDefault="00093CE8" w:rsidP="00093CE8">
            <w:pPr>
              <w:cnfStyle w:val="000000010000" w:firstRow="0" w:lastRow="0" w:firstColumn="0" w:lastColumn="0" w:oddVBand="0" w:evenVBand="0" w:oddHBand="0" w:evenHBand="1" w:firstRowFirstColumn="0" w:firstRowLastColumn="0" w:lastRowFirstColumn="0" w:lastRowLastColumn="0"/>
              <w:rPr>
                <w:rStyle w:val="Strong"/>
              </w:rPr>
            </w:pPr>
            <w:r w:rsidRPr="006F684A">
              <w:rPr>
                <w:rStyle w:val="Strong"/>
              </w:rPr>
              <w:t>18.1</w:t>
            </w:r>
          </w:p>
        </w:tc>
      </w:tr>
      <w:tr w:rsidR="00093CE8" w:rsidRPr="000E0ED0" w:rsidTr="009534BB">
        <w:tc>
          <w:tcPr>
            <w:cnfStyle w:val="001000000000" w:firstRow="0" w:lastRow="0" w:firstColumn="1" w:lastColumn="0" w:oddVBand="0" w:evenVBand="0" w:oddHBand="0" w:evenHBand="0" w:firstRowFirstColumn="0" w:firstRowLastColumn="0" w:lastRowFirstColumn="0" w:lastRowLastColumn="0"/>
            <w:tcW w:w="2518" w:type="dxa"/>
          </w:tcPr>
          <w:p w:rsidR="00093CE8" w:rsidRPr="00093CE8" w:rsidRDefault="00093CE8" w:rsidP="00093CE8">
            <w:r w:rsidRPr="00A37231">
              <w:t xml:space="preserve">TasNetworks' </w:t>
            </w:r>
            <w:r w:rsidRPr="00093CE8">
              <w:t>revised proposal</w:t>
            </w:r>
          </w:p>
        </w:tc>
        <w:tc>
          <w:tcPr>
            <w:tcW w:w="1984" w:type="dxa"/>
          </w:tcPr>
          <w:p w:rsidR="00093CE8" w:rsidRPr="00093CE8" w:rsidRDefault="00093CE8" w:rsidP="00093CE8">
            <w:pPr>
              <w:cnfStyle w:val="000000000000" w:firstRow="0" w:lastRow="0" w:firstColumn="0" w:lastColumn="0" w:oddVBand="0" w:evenVBand="0" w:oddHBand="0" w:evenHBand="0" w:firstRowFirstColumn="0" w:firstRowLastColumn="0" w:lastRowFirstColumn="0" w:lastRowLastColumn="0"/>
            </w:pPr>
            <w:r>
              <w:t>11.9</w:t>
            </w:r>
          </w:p>
        </w:tc>
        <w:tc>
          <w:tcPr>
            <w:tcW w:w="1985" w:type="dxa"/>
          </w:tcPr>
          <w:p w:rsidR="00093CE8" w:rsidRPr="00093CE8" w:rsidRDefault="00093CE8" w:rsidP="00093CE8">
            <w:pPr>
              <w:cnfStyle w:val="000000000000" w:firstRow="0" w:lastRow="0" w:firstColumn="0" w:lastColumn="0" w:oddVBand="0" w:evenVBand="0" w:oddHBand="0" w:evenHBand="0" w:firstRowFirstColumn="0" w:firstRowLastColumn="0" w:lastRowFirstColumn="0" w:lastRowLastColumn="0"/>
            </w:pPr>
            <w:r>
              <w:t>11.9</w:t>
            </w:r>
          </w:p>
        </w:tc>
        <w:tc>
          <w:tcPr>
            <w:tcW w:w="1985" w:type="dxa"/>
          </w:tcPr>
          <w:p w:rsidR="00093CE8" w:rsidRPr="00093CE8" w:rsidRDefault="00093CE8" w:rsidP="00093CE8">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23.8</w:t>
            </w:r>
          </w:p>
        </w:tc>
      </w:tr>
      <w:tr w:rsidR="00093CE8" w:rsidRPr="000E0ED0" w:rsidTr="009534B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093CE8" w:rsidRPr="00093CE8" w:rsidRDefault="00093CE8" w:rsidP="00093CE8">
            <w:r>
              <w:t>Final decision</w:t>
            </w:r>
          </w:p>
        </w:tc>
        <w:tc>
          <w:tcPr>
            <w:tcW w:w="1984" w:type="dxa"/>
          </w:tcPr>
          <w:p w:rsidR="00093CE8" w:rsidRPr="00093CE8" w:rsidRDefault="00DA796F" w:rsidP="00A55F8B">
            <w:pPr>
              <w:cnfStyle w:val="000000010000" w:firstRow="0" w:lastRow="0" w:firstColumn="0" w:lastColumn="0" w:oddVBand="0" w:evenVBand="0" w:oddHBand="0" w:evenHBand="1" w:firstRowFirstColumn="0" w:firstRowLastColumn="0" w:lastRowFirstColumn="0" w:lastRowLastColumn="0"/>
            </w:pPr>
            <w:r>
              <w:t>11.</w:t>
            </w:r>
            <w:r w:rsidR="00A55F8B">
              <w:t>8</w:t>
            </w:r>
          </w:p>
        </w:tc>
        <w:tc>
          <w:tcPr>
            <w:tcW w:w="1985" w:type="dxa"/>
          </w:tcPr>
          <w:p w:rsidR="00093CE8" w:rsidRPr="00093CE8" w:rsidRDefault="00DA796F" w:rsidP="00A55F8B">
            <w:pPr>
              <w:cnfStyle w:val="000000010000" w:firstRow="0" w:lastRow="0" w:firstColumn="0" w:lastColumn="0" w:oddVBand="0" w:evenVBand="0" w:oddHBand="0" w:evenHBand="1" w:firstRowFirstColumn="0" w:firstRowLastColumn="0" w:lastRowFirstColumn="0" w:lastRowLastColumn="0"/>
            </w:pPr>
            <w:r>
              <w:t>11.</w:t>
            </w:r>
            <w:r w:rsidR="00A55F8B">
              <w:t>8</w:t>
            </w:r>
          </w:p>
        </w:tc>
        <w:tc>
          <w:tcPr>
            <w:tcW w:w="1985" w:type="dxa"/>
          </w:tcPr>
          <w:p w:rsidR="00093CE8" w:rsidRPr="00093CE8" w:rsidRDefault="00DA796F" w:rsidP="00A55F8B">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23.</w:t>
            </w:r>
            <w:r w:rsidR="00A55F8B">
              <w:rPr>
                <w:rStyle w:val="Strong"/>
              </w:rPr>
              <w:t>7</w:t>
            </w:r>
          </w:p>
        </w:tc>
      </w:tr>
    </w:tbl>
    <w:p w:rsidR="00E41467" w:rsidRDefault="00E41467" w:rsidP="00651C12">
      <w:pPr>
        <w:pStyle w:val="Source"/>
      </w:pPr>
      <w:r w:rsidRPr="00BA7C17">
        <w:t xml:space="preserve">Source: </w:t>
      </w:r>
      <w:r>
        <w:t>TasNetworks</w:t>
      </w:r>
      <w:r w:rsidRPr="00D20E85">
        <w:t xml:space="preserve">, </w:t>
      </w:r>
      <w:r w:rsidRPr="00D20E85">
        <w:rPr>
          <w:rStyle w:val="AERtextitalic"/>
        </w:rPr>
        <w:t>R</w:t>
      </w:r>
      <w:r>
        <w:rPr>
          <w:rStyle w:val="AERtextitalic"/>
        </w:rPr>
        <w:t>evised r</w:t>
      </w:r>
      <w:r w:rsidRPr="00D20E85">
        <w:rPr>
          <w:rStyle w:val="AERtextitalic"/>
        </w:rPr>
        <w:t>egulatory proposal</w:t>
      </w:r>
      <w:r>
        <w:rPr>
          <w:rStyle w:val="AERtextitalic"/>
        </w:rPr>
        <w:t xml:space="preserve"> 2017–19</w:t>
      </w:r>
      <w:r>
        <w:t>, PTRM; AER analysis. Totals may not add up due to rounding.</w:t>
      </w:r>
      <w:r w:rsidR="00C71929">
        <w:t xml:space="preserve"> </w:t>
      </w:r>
    </w:p>
    <w:p w:rsidR="00E41467" w:rsidRDefault="00E41467" w:rsidP="00E41467">
      <w:pPr>
        <w:numPr>
          <w:ilvl w:val="0"/>
          <w:numId w:val="24"/>
        </w:numPr>
      </w:pPr>
      <w:r>
        <w:rPr>
          <w:rStyle w:val="AERbody"/>
        </w:rPr>
        <w:t xml:space="preserve">Looking forward, </w:t>
      </w:r>
      <w:r w:rsidR="00DA796F">
        <w:rPr>
          <w:rStyle w:val="AERbody"/>
        </w:rPr>
        <w:t>we will</w:t>
      </w:r>
      <w:r w:rsidRPr="001D6F12">
        <w:rPr>
          <w:rStyle w:val="AERbody"/>
        </w:rPr>
        <w:t xml:space="preserve"> apply </w:t>
      </w:r>
      <w:r>
        <w:rPr>
          <w:rStyle w:val="AERbody"/>
        </w:rPr>
        <w:t>version two of the</w:t>
      </w:r>
      <w:r w:rsidRPr="001D6F12">
        <w:rPr>
          <w:rStyle w:val="AERbody"/>
        </w:rPr>
        <w:t xml:space="preserve"> EBSS to </w:t>
      </w:r>
      <w:r>
        <w:rPr>
          <w:rStyle w:val="AERbody"/>
        </w:rPr>
        <w:t>TasNetworks</w:t>
      </w:r>
      <w:r w:rsidRPr="001D6F12">
        <w:rPr>
          <w:rStyle w:val="AERbody"/>
        </w:rPr>
        <w:t xml:space="preserve"> in the </w:t>
      </w:r>
      <w:r>
        <w:t>2017–19</w:t>
      </w:r>
      <w:r w:rsidRPr="00BD4587">
        <w:t xml:space="preserve"> </w:t>
      </w:r>
      <w:r w:rsidRPr="001D6F12">
        <w:rPr>
          <w:rStyle w:val="AERbody"/>
        </w:rPr>
        <w:t>regulatory control period.</w:t>
      </w:r>
      <w:r>
        <w:rPr>
          <w:rStyle w:val="FootnoteReference"/>
        </w:rPr>
        <w:footnoteReference w:id="3"/>
      </w:r>
      <w:r>
        <w:rPr>
          <w:rStyle w:val="AERbody"/>
        </w:rPr>
        <w:t xml:space="preserve"> </w:t>
      </w:r>
      <w:r w:rsidRPr="00175243">
        <w:t xml:space="preserve">This is consistent with our </w:t>
      </w:r>
      <w:r>
        <w:t>draft decision</w:t>
      </w:r>
      <w:r w:rsidRPr="00175243">
        <w:t>.</w:t>
      </w:r>
      <w:r>
        <w:rPr>
          <w:rStyle w:val="FootnoteReference"/>
        </w:rPr>
        <w:footnoteReference w:id="4"/>
      </w:r>
      <w:r w:rsidRPr="00175243">
        <w:t xml:space="preserve"> </w:t>
      </w:r>
    </w:p>
    <w:p w:rsidR="00E41467" w:rsidRDefault="00E41467" w:rsidP="00E41467">
      <w:pPr>
        <w:numPr>
          <w:ilvl w:val="0"/>
          <w:numId w:val="24"/>
        </w:numPr>
      </w:pPr>
      <w:r>
        <w:fldChar w:fldCharType="begin"/>
      </w:r>
      <w:r>
        <w:instrText xml:space="preserve"> REF _Ref402360609 \h </w:instrText>
      </w:r>
      <w:r>
        <w:fldChar w:fldCharType="separate"/>
      </w:r>
      <w:r w:rsidR="00282018">
        <w:t xml:space="preserve">Table </w:t>
      </w:r>
      <w:r w:rsidR="00282018">
        <w:rPr>
          <w:noProof/>
        </w:rPr>
        <w:t>9</w:t>
      </w:r>
      <w:r w:rsidR="00282018">
        <w:t>.</w:t>
      </w:r>
      <w:r w:rsidR="00282018">
        <w:rPr>
          <w:noProof/>
        </w:rPr>
        <w:t>2</w:t>
      </w:r>
      <w:r>
        <w:fldChar w:fldCharType="end"/>
      </w:r>
      <w:r>
        <w:t xml:space="preserve"> sets</w:t>
      </w:r>
      <w:r w:rsidRPr="006F6CCB">
        <w:t xml:space="preserve"> out our </w:t>
      </w:r>
      <w:r w:rsidR="00C71929">
        <w:t>final</w:t>
      </w:r>
      <w:r w:rsidRPr="006F6CCB">
        <w:t xml:space="preserve"> decision on </w:t>
      </w:r>
      <w:r>
        <w:t>the target opex for the EBSS (total opex less excluded categories) we will use to calculate efficiency gains in the 20</w:t>
      </w:r>
      <w:r w:rsidR="00C71929">
        <w:t xml:space="preserve">17–19 regulatory control </w:t>
      </w:r>
      <w:proofErr w:type="gramStart"/>
      <w:r w:rsidR="00C71929">
        <w:t>period</w:t>
      </w:r>
      <w:proofErr w:type="gramEnd"/>
      <w:r w:rsidR="00C71929">
        <w:t>. It is based on TasNetworks' opex forecast which we accepted in our final decision and is</w:t>
      </w:r>
      <w:r>
        <w:t xml:space="preserve"> subject to further adjustments allowed by the EBSS. </w:t>
      </w:r>
      <w:r w:rsidR="00093CE8" w:rsidRPr="00D975D7">
        <w:t xml:space="preserve">When we apply the EBSS we will exclude the cost categories listed in </w:t>
      </w:r>
      <w:r w:rsidR="00DA74C1">
        <w:fldChar w:fldCharType="begin"/>
      </w:r>
      <w:r w:rsidR="00DA74C1">
        <w:instrText xml:space="preserve"> REF _Ref402360609 \h </w:instrText>
      </w:r>
      <w:r w:rsidR="00DA74C1">
        <w:fldChar w:fldCharType="separate"/>
      </w:r>
      <w:r w:rsidR="00282018">
        <w:t xml:space="preserve">Table </w:t>
      </w:r>
      <w:r w:rsidR="00282018">
        <w:rPr>
          <w:noProof/>
        </w:rPr>
        <w:t>9</w:t>
      </w:r>
      <w:r w:rsidR="00282018">
        <w:t>.</w:t>
      </w:r>
      <w:r w:rsidR="00282018">
        <w:rPr>
          <w:noProof/>
        </w:rPr>
        <w:t>2</w:t>
      </w:r>
      <w:r w:rsidR="00DA74C1">
        <w:fldChar w:fldCharType="end"/>
      </w:r>
      <w:r w:rsidR="00DA74C1">
        <w:t xml:space="preserve"> </w:t>
      </w:r>
      <w:r w:rsidR="00093CE8" w:rsidRPr="00D975D7">
        <w:t>from the scheme</w:t>
      </w:r>
      <w:r w:rsidR="001F0708">
        <w:t xml:space="preserve">. </w:t>
      </w:r>
      <w:r w:rsidR="00F176C6">
        <w:t xml:space="preserve">We discuss the reasons for our decision in section </w:t>
      </w:r>
      <w:r w:rsidR="00F176C6">
        <w:fldChar w:fldCharType="begin"/>
      </w:r>
      <w:r w:rsidR="00F176C6">
        <w:instrText xml:space="preserve"> REF _Ref475529967 \r \p \h </w:instrText>
      </w:r>
      <w:r w:rsidR="00F176C6">
        <w:fldChar w:fldCharType="separate"/>
      </w:r>
      <w:r w:rsidR="00282018">
        <w:t>9.4.2 below</w:t>
      </w:r>
      <w:r w:rsidR="00F176C6">
        <w:fldChar w:fldCharType="end"/>
      </w:r>
      <w:r w:rsidR="00490ADC">
        <w:t>.</w:t>
      </w:r>
    </w:p>
    <w:p w:rsidR="00E41467" w:rsidRPr="003F5EF6" w:rsidRDefault="00E41467" w:rsidP="00E41467">
      <w:pPr>
        <w:pStyle w:val="Caption"/>
      </w:pPr>
      <w:bookmarkStart w:id="74" w:name="_Ref402360609"/>
      <w:proofErr w:type="gramStart"/>
      <w:r>
        <w:t xml:space="preserve">Table </w:t>
      </w:r>
      <w:r w:rsidRPr="00E41467">
        <w:fldChar w:fldCharType="begin"/>
      </w:r>
      <w:r>
        <w:instrText xml:space="preserve"> STYLEREF 1 \s </w:instrText>
      </w:r>
      <w:r w:rsidRPr="00E41467">
        <w:fldChar w:fldCharType="separate"/>
      </w:r>
      <w:r w:rsidR="00282018">
        <w:rPr>
          <w:noProof/>
        </w:rPr>
        <w:t>9</w:t>
      </w:r>
      <w:r w:rsidRPr="00E41467">
        <w:fldChar w:fldCharType="end"/>
      </w:r>
      <w:r>
        <w:t>.</w:t>
      </w:r>
      <w:proofErr w:type="gramEnd"/>
      <w:r w:rsidRPr="00E41467">
        <w:fldChar w:fldCharType="begin"/>
      </w:r>
      <w:r>
        <w:instrText xml:space="preserve"> SEQ Table \* ARABIC \s 1 </w:instrText>
      </w:r>
      <w:r w:rsidRPr="00E41467">
        <w:fldChar w:fldCharType="separate"/>
      </w:r>
      <w:r w:rsidR="00282018">
        <w:rPr>
          <w:noProof/>
        </w:rPr>
        <w:t>2</w:t>
      </w:r>
      <w:r w:rsidRPr="00E41467">
        <w:fldChar w:fldCharType="end"/>
      </w:r>
      <w:bookmarkEnd w:id="74"/>
      <w:r>
        <w:tab/>
        <w:t>Forecast opex for the EBSS ($ million, 2016–17)</w:t>
      </w:r>
    </w:p>
    <w:tbl>
      <w:tblPr>
        <w:tblStyle w:val="AERtable-numbers"/>
        <w:tblW w:w="4873" w:type="pct"/>
        <w:tblLook w:val="04A0" w:firstRow="1" w:lastRow="0" w:firstColumn="1" w:lastColumn="0" w:noHBand="0" w:noVBand="1"/>
      </w:tblPr>
      <w:tblGrid>
        <w:gridCol w:w="3936"/>
        <w:gridCol w:w="1134"/>
        <w:gridCol w:w="1701"/>
        <w:gridCol w:w="1701"/>
      </w:tblGrid>
      <w:tr w:rsidR="00E41467" w:rsidRPr="000E0ED0" w:rsidTr="009534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pct"/>
          </w:tcPr>
          <w:p w:rsidR="00E41467" w:rsidRPr="000E0ED0" w:rsidRDefault="00E41467" w:rsidP="00E41467"/>
        </w:tc>
        <w:tc>
          <w:tcPr>
            <w:tcW w:w="669" w:type="pct"/>
          </w:tcPr>
          <w:p w:rsidR="00E41467" w:rsidRPr="00E41467" w:rsidRDefault="00E41467" w:rsidP="00E41467">
            <w:pPr>
              <w:cnfStyle w:val="100000000000" w:firstRow="1" w:lastRow="0" w:firstColumn="0" w:lastColumn="0" w:oddVBand="0" w:evenVBand="0" w:oddHBand="0" w:evenHBand="0" w:firstRowFirstColumn="0" w:firstRowLastColumn="0" w:lastRowFirstColumn="0" w:lastRowLastColumn="0"/>
            </w:pPr>
            <w:r w:rsidRPr="000E0ED0">
              <w:t>2017</w:t>
            </w:r>
            <w:r w:rsidRPr="00E41467">
              <w:t>–18</w:t>
            </w:r>
          </w:p>
        </w:tc>
        <w:tc>
          <w:tcPr>
            <w:tcW w:w="1004" w:type="pct"/>
          </w:tcPr>
          <w:p w:rsidR="00E41467" w:rsidRPr="00E41467" w:rsidRDefault="00E41467" w:rsidP="00E41467">
            <w:pPr>
              <w:cnfStyle w:val="100000000000" w:firstRow="1" w:lastRow="0" w:firstColumn="0" w:lastColumn="0" w:oddVBand="0" w:evenVBand="0" w:oddHBand="0" w:evenHBand="0" w:firstRowFirstColumn="0" w:firstRowLastColumn="0" w:lastRowFirstColumn="0" w:lastRowLastColumn="0"/>
            </w:pPr>
            <w:r w:rsidRPr="000E0ED0">
              <w:t>2018</w:t>
            </w:r>
            <w:r w:rsidRPr="00E41467">
              <w:t>–19</w:t>
            </w:r>
          </w:p>
        </w:tc>
        <w:tc>
          <w:tcPr>
            <w:tcW w:w="1004" w:type="pct"/>
          </w:tcPr>
          <w:p w:rsidR="00E41467" w:rsidRPr="00E41467" w:rsidRDefault="00E41467" w:rsidP="00E41467">
            <w:pPr>
              <w:cnfStyle w:val="100000000000" w:firstRow="1" w:lastRow="0" w:firstColumn="0" w:lastColumn="0" w:oddVBand="0" w:evenVBand="0" w:oddHBand="0" w:evenHBand="0" w:firstRowFirstColumn="0" w:firstRowLastColumn="0" w:lastRowFirstColumn="0" w:lastRowLastColumn="0"/>
            </w:pPr>
            <w:r w:rsidRPr="000E0ED0">
              <w:t>Total</w:t>
            </w:r>
          </w:p>
        </w:tc>
      </w:tr>
      <w:tr w:rsidR="00335313" w:rsidRPr="000E0ED0" w:rsidTr="00335313">
        <w:tc>
          <w:tcPr>
            <w:cnfStyle w:val="001000000000" w:firstRow="0" w:lastRow="0" w:firstColumn="1" w:lastColumn="0" w:oddVBand="0" w:evenVBand="0" w:oddHBand="0" w:evenHBand="0" w:firstRowFirstColumn="0" w:firstRowLastColumn="0" w:lastRowFirstColumn="0" w:lastRowLastColumn="0"/>
            <w:tcW w:w="2323" w:type="pct"/>
          </w:tcPr>
          <w:p w:rsidR="00335313" w:rsidRPr="00335313" w:rsidRDefault="00335313" w:rsidP="00335313">
            <w:pPr>
              <w:rPr>
                <w:rStyle w:val="Strong"/>
              </w:rPr>
            </w:pPr>
            <w:r w:rsidRPr="00335313">
              <w:rPr>
                <w:rStyle w:val="Strong"/>
              </w:rPr>
              <w:t>Forecast opex</w:t>
            </w:r>
          </w:p>
        </w:tc>
        <w:tc>
          <w:tcPr>
            <w:tcW w:w="669" w:type="pct"/>
          </w:tcPr>
          <w:p w:rsidR="00335313" w:rsidRPr="00335313" w:rsidRDefault="003806AA" w:rsidP="00335313">
            <w:pPr>
              <w:cnfStyle w:val="000000000000" w:firstRow="0" w:lastRow="0" w:firstColumn="0" w:lastColumn="0" w:oddVBand="0" w:evenVBand="0" w:oddHBand="0" w:evenHBand="0" w:firstRowFirstColumn="0" w:firstRowLastColumn="0" w:lastRowFirstColumn="0" w:lastRowLastColumn="0"/>
              <w:rPr>
                <w:rStyle w:val="Strong"/>
              </w:rPr>
            </w:pPr>
            <w:r>
              <w:t>66.6</w:t>
            </w:r>
          </w:p>
        </w:tc>
        <w:tc>
          <w:tcPr>
            <w:tcW w:w="1004" w:type="pct"/>
          </w:tcPr>
          <w:p w:rsidR="00335313" w:rsidRPr="00335313" w:rsidRDefault="003806AA" w:rsidP="00335313">
            <w:pPr>
              <w:cnfStyle w:val="000000000000" w:firstRow="0" w:lastRow="0" w:firstColumn="0" w:lastColumn="0" w:oddVBand="0" w:evenVBand="0" w:oddHBand="0" w:evenHBand="0" w:firstRowFirstColumn="0" w:firstRowLastColumn="0" w:lastRowFirstColumn="0" w:lastRowLastColumn="0"/>
              <w:rPr>
                <w:rStyle w:val="Strong"/>
              </w:rPr>
            </w:pPr>
            <w:r>
              <w:t>65.2</w:t>
            </w:r>
          </w:p>
        </w:tc>
        <w:tc>
          <w:tcPr>
            <w:tcW w:w="1004" w:type="pct"/>
          </w:tcPr>
          <w:p w:rsidR="00335313" w:rsidRPr="00335313" w:rsidRDefault="0006293C" w:rsidP="00335313">
            <w:pPr>
              <w:cnfStyle w:val="000000000000" w:firstRow="0" w:lastRow="0" w:firstColumn="0" w:lastColumn="0" w:oddVBand="0" w:evenVBand="0" w:oddHBand="0" w:evenHBand="0" w:firstRowFirstColumn="0" w:firstRowLastColumn="0" w:lastRowFirstColumn="0" w:lastRowLastColumn="0"/>
              <w:rPr>
                <w:rStyle w:val="Strong"/>
              </w:rPr>
            </w:pPr>
            <w:r>
              <w:t>131.8</w:t>
            </w:r>
          </w:p>
        </w:tc>
      </w:tr>
      <w:tr w:rsidR="00335313" w:rsidRPr="000E0ED0" w:rsidTr="003353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pct"/>
          </w:tcPr>
          <w:p w:rsidR="00335313" w:rsidRPr="00335313" w:rsidRDefault="00A641A2" w:rsidP="002B22D3">
            <w:pPr>
              <w:ind w:left="340"/>
              <w:rPr>
                <w:rFonts w:eastAsiaTheme="minorHAnsi" w:cstheme="minorBidi"/>
                <w:b/>
                <w:bCs/>
                <w:sz w:val="22"/>
                <w:szCs w:val="22"/>
                <w:lang w:eastAsia="en-US"/>
              </w:rPr>
            </w:pPr>
            <w:r>
              <w:t>less d</w:t>
            </w:r>
            <w:r w:rsidR="00335313" w:rsidRPr="00335313">
              <w:t>ebt raising costs</w:t>
            </w:r>
          </w:p>
        </w:tc>
        <w:tc>
          <w:tcPr>
            <w:tcW w:w="669" w:type="pct"/>
          </w:tcPr>
          <w:p w:rsidR="00335313" w:rsidRPr="00335313" w:rsidRDefault="00335313" w:rsidP="00335313">
            <w:pPr>
              <w:cnfStyle w:val="000000010000" w:firstRow="0" w:lastRow="0" w:firstColumn="0" w:lastColumn="0" w:oddVBand="0" w:evenVBand="0" w:oddHBand="0" w:evenHBand="1" w:firstRowFirstColumn="0" w:firstRowLastColumn="0" w:lastRowFirstColumn="0" w:lastRowLastColumn="0"/>
            </w:pPr>
            <w:r w:rsidRPr="00335313">
              <w:t>-1.1</w:t>
            </w:r>
          </w:p>
        </w:tc>
        <w:tc>
          <w:tcPr>
            <w:tcW w:w="1004" w:type="pct"/>
          </w:tcPr>
          <w:p w:rsidR="00335313" w:rsidRPr="00335313" w:rsidRDefault="00335313" w:rsidP="00335313">
            <w:pPr>
              <w:cnfStyle w:val="000000010000" w:firstRow="0" w:lastRow="0" w:firstColumn="0" w:lastColumn="0" w:oddVBand="0" w:evenVBand="0" w:oddHBand="0" w:evenHBand="1" w:firstRowFirstColumn="0" w:firstRowLastColumn="0" w:lastRowFirstColumn="0" w:lastRowLastColumn="0"/>
            </w:pPr>
            <w:r w:rsidRPr="00335313">
              <w:t>-1.1</w:t>
            </w:r>
          </w:p>
        </w:tc>
        <w:tc>
          <w:tcPr>
            <w:tcW w:w="1004" w:type="pct"/>
          </w:tcPr>
          <w:p w:rsidR="00335313" w:rsidRPr="00335313" w:rsidRDefault="00335313" w:rsidP="00335313">
            <w:pPr>
              <w:cnfStyle w:val="000000010000" w:firstRow="0" w:lastRow="0" w:firstColumn="0" w:lastColumn="0" w:oddVBand="0" w:evenVBand="0" w:oddHBand="0" w:evenHBand="1" w:firstRowFirstColumn="0" w:firstRowLastColumn="0" w:lastRowFirstColumn="0" w:lastRowLastColumn="0"/>
              <w:rPr>
                <w:rStyle w:val="Strong"/>
              </w:rPr>
            </w:pPr>
            <w:r w:rsidRPr="00335313">
              <w:t>-2.2</w:t>
            </w:r>
          </w:p>
        </w:tc>
      </w:tr>
      <w:tr w:rsidR="00335313" w:rsidRPr="000E0ED0" w:rsidTr="00335313">
        <w:tc>
          <w:tcPr>
            <w:cnfStyle w:val="001000000000" w:firstRow="0" w:lastRow="0" w:firstColumn="1" w:lastColumn="0" w:oddVBand="0" w:evenVBand="0" w:oddHBand="0" w:evenHBand="0" w:firstRowFirstColumn="0" w:firstRowLastColumn="0" w:lastRowFirstColumn="0" w:lastRowLastColumn="0"/>
            <w:tcW w:w="2323" w:type="pct"/>
          </w:tcPr>
          <w:p w:rsidR="00335313" w:rsidRPr="00335313" w:rsidRDefault="00A641A2" w:rsidP="002B22D3">
            <w:pPr>
              <w:ind w:left="340"/>
              <w:rPr>
                <w:rFonts w:eastAsiaTheme="minorHAnsi" w:cstheme="minorBidi"/>
                <w:b/>
                <w:bCs/>
                <w:sz w:val="22"/>
                <w:szCs w:val="22"/>
                <w:lang w:eastAsia="en-US"/>
              </w:rPr>
            </w:pPr>
            <w:r>
              <w:t xml:space="preserve">less </w:t>
            </w:r>
            <w:r w:rsidR="00335313" w:rsidRPr="00335313">
              <w:t>GSL payments*</w:t>
            </w:r>
          </w:p>
        </w:tc>
        <w:tc>
          <w:tcPr>
            <w:tcW w:w="669" w:type="pct"/>
          </w:tcPr>
          <w:p w:rsidR="00335313" w:rsidRPr="00335313" w:rsidRDefault="00335313" w:rsidP="0006293C">
            <w:pPr>
              <w:cnfStyle w:val="000000000000" w:firstRow="0" w:lastRow="0" w:firstColumn="0" w:lastColumn="0" w:oddVBand="0" w:evenVBand="0" w:oddHBand="0" w:evenHBand="0" w:firstRowFirstColumn="0" w:firstRowLastColumn="0" w:lastRowFirstColumn="0" w:lastRowLastColumn="0"/>
            </w:pPr>
            <w:r w:rsidRPr="00335313">
              <w:t>-</w:t>
            </w:r>
            <w:r w:rsidR="0006293C">
              <w:t>2.3</w:t>
            </w:r>
          </w:p>
        </w:tc>
        <w:tc>
          <w:tcPr>
            <w:tcW w:w="1004" w:type="pct"/>
          </w:tcPr>
          <w:p w:rsidR="00335313" w:rsidRPr="00335313" w:rsidRDefault="00335313" w:rsidP="0006293C">
            <w:pPr>
              <w:cnfStyle w:val="000000000000" w:firstRow="0" w:lastRow="0" w:firstColumn="0" w:lastColumn="0" w:oddVBand="0" w:evenVBand="0" w:oddHBand="0" w:evenHBand="0" w:firstRowFirstColumn="0" w:firstRowLastColumn="0" w:lastRowFirstColumn="0" w:lastRowLastColumn="0"/>
            </w:pPr>
            <w:r w:rsidRPr="00335313">
              <w:t>-</w:t>
            </w:r>
            <w:r w:rsidR="0006293C">
              <w:t>2.3</w:t>
            </w:r>
          </w:p>
        </w:tc>
        <w:tc>
          <w:tcPr>
            <w:tcW w:w="1004" w:type="pct"/>
          </w:tcPr>
          <w:p w:rsidR="00335313" w:rsidRPr="00335313" w:rsidRDefault="00335313" w:rsidP="0006293C">
            <w:pPr>
              <w:cnfStyle w:val="000000000000" w:firstRow="0" w:lastRow="0" w:firstColumn="0" w:lastColumn="0" w:oddVBand="0" w:evenVBand="0" w:oddHBand="0" w:evenHBand="0" w:firstRowFirstColumn="0" w:firstRowLastColumn="0" w:lastRowFirstColumn="0" w:lastRowLastColumn="0"/>
              <w:rPr>
                <w:rStyle w:val="Strong"/>
              </w:rPr>
            </w:pPr>
            <w:r w:rsidRPr="00335313">
              <w:t>-</w:t>
            </w:r>
            <w:r w:rsidR="0006293C">
              <w:t>4.6</w:t>
            </w:r>
          </w:p>
        </w:tc>
      </w:tr>
      <w:tr w:rsidR="00335313" w:rsidRPr="000E0ED0" w:rsidTr="003353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pct"/>
          </w:tcPr>
          <w:p w:rsidR="00335313" w:rsidRPr="00335313" w:rsidRDefault="00A641A2" w:rsidP="002B22D3">
            <w:pPr>
              <w:ind w:left="340"/>
              <w:rPr>
                <w:rFonts w:eastAsiaTheme="minorHAnsi" w:cstheme="minorBidi"/>
                <w:b/>
                <w:bCs/>
                <w:sz w:val="22"/>
                <w:szCs w:val="22"/>
                <w:lang w:eastAsia="en-US"/>
              </w:rPr>
            </w:pPr>
            <w:r>
              <w:t>less e</w:t>
            </w:r>
            <w:r w:rsidR="00335313" w:rsidRPr="00335313">
              <w:t>lectrical safety inspection levy payments*</w:t>
            </w:r>
          </w:p>
        </w:tc>
        <w:tc>
          <w:tcPr>
            <w:tcW w:w="669" w:type="pct"/>
          </w:tcPr>
          <w:p w:rsidR="00335313" w:rsidRPr="00335313" w:rsidRDefault="00335313" w:rsidP="00335313">
            <w:pPr>
              <w:cnfStyle w:val="000000010000" w:firstRow="0" w:lastRow="0" w:firstColumn="0" w:lastColumn="0" w:oddVBand="0" w:evenVBand="0" w:oddHBand="0" w:evenHBand="1" w:firstRowFirstColumn="0" w:firstRowLastColumn="0" w:lastRowFirstColumn="0" w:lastRowLastColumn="0"/>
            </w:pPr>
            <w:r w:rsidRPr="00335313">
              <w:t>-2.0</w:t>
            </w:r>
          </w:p>
        </w:tc>
        <w:tc>
          <w:tcPr>
            <w:tcW w:w="1004" w:type="pct"/>
          </w:tcPr>
          <w:p w:rsidR="00335313" w:rsidRPr="00335313" w:rsidRDefault="00335313" w:rsidP="00335313">
            <w:pPr>
              <w:cnfStyle w:val="000000010000" w:firstRow="0" w:lastRow="0" w:firstColumn="0" w:lastColumn="0" w:oddVBand="0" w:evenVBand="0" w:oddHBand="0" w:evenHBand="1" w:firstRowFirstColumn="0" w:firstRowLastColumn="0" w:lastRowFirstColumn="0" w:lastRowLastColumn="0"/>
            </w:pPr>
            <w:r w:rsidRPr="00335313">
              <w:t>-2.0</w:t>
            </w:r>
          </w:p>
        </w:tc>
        <w:tc>
          <w:tcPr>
            <w:tcW w:w="1004" w:type="pct"/>
          </w:tcPr>
          <w:p w:rsidR="00335313" w:rsidRPr="00335313" w:rsidRDefault="00335313" w:rsidP="00335313">
            <w:pPr>
              <w:cnfStyle w:val="000000010000" w:firstRow="0" w:lastRow="0" w:firstColumn="0" w:lastColumn="0" w:oddVBand="0" w:evenVBand="0" w:oddHBand="0" w:evenHBand="1" w:firstRowFirstColumn="0" w:firstRowLastColumn="0" w:lastRowFirstColumn="0" w:lastRowLastColumn="0"/>
              <w:rPr>
                <w:rStyle w:val="Strong"/>
              </w:rPr>
            </w:pPr>
            <w:r w:rsidRPr="00335313">
              <w:t>-4.1</w:t>
            </w:r>
          </w:p>
        </w:tc>
      </w:tr>
      <w:tr w:rsidR="00335313" w:rsidRPr="000E0ED0" w:rsidTr="00335313">
        <w:tc>
          <w:tcPr>
            <w:cnfStyle w:val="001000000000" w:firstRow="0" w:lastRow="0" w:firstColumn="1" w:lastColumn="0" w:oddVBand="0" w:evenVBand="0" w:oddHBand="0" w:evenHBand="0" w:firstRowFirstColumn="0" w:firstRowLastColumn="0" w:lastRowFirstColumn="0" w:lastRowLastColumn="0"/>
            <w:tcW w:w="2323" w:type="pct"/>
          </w:tcPr>
          <w:p w:rsidR="00335313" w:rsidRPr="00335313" w:rsidRDefault="00282018" w:rsidP="002B22D3">
            <w:pPr>
              <w:ind w:left="340"/>
              <w:rPr>
                <w:rFonts w:eastAsiaTheme="minorHAnsi" w:cstheme="minorBidi"/>
                <w:b/>
                <w:bCs/>
                <w:sz w:val="22"/>
                <w:szCs w:val="22"/>
                <w:lang w:eastAsia="en-US"/>
              </w:rPr>
            </w:pPr>
            <w:r>
              <w:t>l</w:t>
            </w:r>
            <w:r w:rsidR="00A641A2">
              <w:t xml:space="preserve">ess </w:t>
            </w:r>
            <w:r w:rsidR="00335313" w:rsidRPr="00335313">
              <w:t>NEM levy payments*</w:t>
            </w:r>
          </w:p>
        </w:tc>
        <w:tc>
          <w:tcPr>
            <w:tcW w:w="669" w:type="pct"/>
          </w:tcPr>
          <w:p w:rsidR="00335313" w:rsidRPr="00335313" w:rsidRDefault="00335313" w:rsidP="00335313">
            <w:pPr>
              <w:cnfStyle w:val="000000000000" w:firstRow="0" w:lastRow="0" w:firstColumn="0" w:lastColumn="0" w:oddVBand="0" w:evenVBand="0" w:oddHBand="0" w:evenHBand="0" w:firstRowFirstColumn="0" w:firstRowLastColumn="0" w:lastRowFirstColumn="0" w:lastRowLastColumn="0"/>
            </w:pPr>
            <w:r w:rsidRPr="00335313">
              <w:t>-0.4</w:t>
            </w:r>
          </w:p>
        </w:tc>
        <w:tc>
          <w:tcPr>
            <w:tcW w:w="1004" w:type="pct"/>
          </w:tcPr>
          <w:p w:rsidR="00335313" w:rsidRPr="00335313" w:rsidRDefault="00335313" w:rsidP="00335313">
            <w:pPr>
              <w:cnfStyle w:val="000000000000" w:firstRow="0" w:lastRow="0" w:firstColumn="0" w:lastColumn="0" w:oddVBand="0" w:evenVBand="0" w:oddHBand="0" w:evenHBand="0" w:firstRowFirstColumn="0" w:firstRowLastColumn="0" w:lastRowFirstColumn="0" w:lastRowLastColumn="0"/>
            </w:pPr>
            <w:r w:rsidRPr="00335313">
              <w:t>-0.4</w:t>
            </w:r>
          </w:p>
        </w:tc>
        <w:tc>
          <w:tcPr>
            <w:tcW w:w="1004" w:type="pct"/>
          </w:tcPr>
          <w:p w:rsidR="00335313" w:rsidRPr="00335313" w:rsidRDefault="00335313" w:rsidP="00335313">
            <w:pPr>
              <w:cnfStyle w:val="000000000000" w:firstRow="0" w:lastRow="0" w:firstColumn="0" w:lastColumn="0" w:oddVBand="0" w:evenVBand="0" w:oddHBand="0" w:evenHBand="0" w:firstRowFirstColumn="0" w:firstRowLastColumn="0" w:lastRowFirstColumn="0" w:lastRowLastColumn="0"/>
              <w:rPr>
                <w:rStyle w:val="Strong"/>
              </w:rPr>
            </w:pPr>
            <w:r w:rsidRPr="00335313">
              <w:t>-0.8</w:t>
            </w:r>
          </w:p>
        </w:tc>
      </w:tr>
      <w:tr w:rsidR="00335313" w:rsidRPr="000E0ED0" w:rsidTr="003353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3" w:type="pct"/>
          </w:tcPr>
          <w:p w:rsidR="00335313" w:rsidRPr="00335313" w:rsidRDefault="00335313" w:rsidP="00335313">
            <w:pPr>
              <w:rPr>
                <w:rStyle w:val="Strong"/>
              </w:rPr>
            </w:pPr>
            <w:r w:rsidRPr="00335313">
              <w:rPr>
                <w:rStyle w:val="Strong"/>
              </w:rPr>
              <w:t>Forecast opex for the EBSS target</w:t>
            </w:r>
          </w:p>
        </w:tc>
        <w:tc>
          <w:tcPr>
            <w:tcW w:w="669" w:type="pct"/>
          </w:tcPr>
          <w:p w:rsidR="00335313" w:rsidRPr="00335313" w:rsidRDefault="0006293C" w:rsidP="00335313">
            <w:pPr>
              <w:cnfStyle w:val="000000010000" w:firstRow="0" w:lastRow="0" w:firstColumn="0" w:lastColumn="0" w:oddVBand="0" w:evenVBand="0" w:oddHBand="0" w:evenHBand="1" w:firstRowFirstColumn="0" w:firstRowLastColumn="0" w:lastRowFirstColumn="0" w:lastRowLastColumn="0"/>
              <w:rPr>
                <w:rStyle w:val="Strong"/>
              </w:rPr>
            </w:pPr>
            <w:r>
              <w:t>60.8</w:t>
            </w:r>
          </w:p>
        </w:tc>
        <w:tc>
          <w:tcPr>
            <w:tcW w:w="1004" w:type="pct"/>
          </w:tcPr>
          <w:p w:rsidR="00335313" w:rsidRPr="00335313" w:rsidRDefault="0006293C" w:rsidP="00335313">
            <w:pPr>
              <w:cnfStyle w:val="000000010000" w:firstRow="0" w:lastRow="0" w:firstColumn="0" w:lastColumn="0" w:oddVBand="0" w:evenVBand="0" w:oddHBand="0" w:evenHBand="1" w:firstRowFirstColumn="0" w:firstRowLastColumn="0" w:lastRowFirstColumn="0" w:lastRowLastColumn="0"/>
              <w:rPr>
                <w:rStyle w:val="Strong"/>
              </w:rPr>
            </w:pPr>
            <w:r>
              <w:t>59.4</w:t>
            </w:r>
          </w:p>
        </w:tc>
        <w:tc>
          <w:tcPr>
            <w:tcW w:w="1004" w:type="pct"/>
          </w:tcPr>
          <w:p w:rsidR="00335313" w:rsidRPr="00335313" w:rsidRDefault="00592678" w:rsidP="0006293C">
            <w:pPr>
              <w:cnfStyle w:val="000000010000" w:firstRow="0" w:lastRow="0" w:firstColumn="0" w:lastColumn="0" w:oddVBand="0" w:evenVBand="0" w:oddHBand="0" w:evenHBand="1" w:firstRowFirstColumn="0" w:firstRowLastColumn="0" w:lastRowFirstColumn="0" w:lastRowLastColumn="0"/>
              <w:rPr>
                <w:rStyle w:val="Strong"/>
              </w:rPr>
            </w:pPr>
            <w:r>
              <w:t>1</w:t>
            </w:r>
            <w:r w:rsidR="0006293C">
              <w:t>20</w:t>
            </w:r>
            <w:r>
              <w:t>.2</w:t>
            </w:r>
          </w:p>
        </w:tc>
      </w:tr>
    </w:tbl>
    <w:p w:rsidR="00E41467" w:rsidRDefault="00E41467" w:rsidP="002B22D3">
      <w:pPr>
        <w:pStyle w:val="AERtablesource"/>
      </w:pPr>
      <w:r w:rsidRPr="00E41467">
        <w:t xml:space="preserve">Source: </w:t>
      </w:r>
      <w:r w:rsidRPr="00E41467">
        <w:tab/>
      </w:r>
      <w:r w:rsidR="00335313">
        <w:t>TasNetworks</w:t>
      </w:r>
      <w:r w:rsidR="00CF5928">
        <w:t>, Revised</w:t>
      </w:r>
      <w:r w:rsidR="00335313" w:rsidRPr="003806AA">
        <w:rPr>
          <w:rStyle w:val="Emphasis"/>
        </w:rPr>
        <w:t xml:space="preserve"> opex model</w:t>
      </w:r>
      <w:r w:rsidR="003806AA">
        <w:rPr>
          <w:rStyle w:val="Emphasis"/>
        </w:rPr>
        <w:t xml:space="preserve">, 14 December 2016, </w:t>
      </w:r>
      <w:r w:rsidR="003806AA" w:rsidRPr="003806AA">
        <w:rPr>
          <w:rStyle w:val="AERbody"/>
          <w:sz w:val="16"/>
        </w:rPr>
        <w:t>TasNetworks,</w:t>
      </w:r>
      <w:r w:rsidR="003806AA">
        <w:rPr>
          <w:rStyle w:val="Emphasis"/>
        </w:rPr>
        <w:t xml:space="preserve"> Revised</w:t>
      </w:r>
      <w:r w:rsidR="003806AA">
        <w:t xml:space="preserve"> </w:t>
      </w:r>
      <w:r w:rsidR="003806AA" w:rsidRPr="003806AA">
        <w:rPr>
          <w:rStyle w:val="Emphasis"/>
        </w:rPr>
        <w:t>PTRM</w:t>
      </w:r>
      <w:r w:rsidR="003806AA">
        <w:t>, 1 December 2016</w:t>
      </w:r>
      <w:r w:rsidRPr="00E41467">
        <w:t>.</w:t>
      </w:r>
      <w:r>
        <w:t xml:space="preserve"> Numbers may not add up to total due to rounding.</w:t>
      </w:r>
    </w:p>
    <w:p w:rsidR="002179D7" w:rsidRDefault="00DB282B" w:rsidP="002B22D3">
      <w:pPr>
        <w:pStyle w:val="AERtablesource"/>
      </w:pPr>
      <w:r>
        <w:t xml:space="preserve">Note: </w:t>
      </w:r>
      <w:r>
        <w:tab/>
        <w:t>* Where these categories of opex are forecast using a single year revealed cost approach</w:t>
      </w:r>
      <w:r w:rsidRPr="00DB282B">
        <w:t xml:space="preserve"> </w:t>
      </w:r>
      <w:r>
        <w:t>for the regulatory control period beginning in 2019–20, we will not exclude them from the EBSS.</w:t>
      </w:r>
      <w:r w:rsidR="002179D7">
        <w:t xml:space="preserve"> </w:t>
      </w:r>
    </w:p>
    <w:p w:rsidR="00332587" w:rsidRPr="00332587" w:rsidRDefault="00332587" w:rsidP="00F145B2">
      <w:r w:rsidRPr="00584395">
        <w:t>In addition to the excluded cost categories</w:t>
      </w:r>
      <w:r>
        <w:t xml:space="preserve"> in</w:t>
      </w:r>
      <w:r w:rsidR="00DA74C1">
        <w:t xml:space="preserve"> </w:t>
      </w:r>
      <w:r w:rsidR="00DA74C1">
        <w:fldChar w:fldCharType="begin"/>
      </w:r>
      <w:r w:rsidR="00DA74C1">
        <w:instrText xml:space="preserve"> REF _Ref402360609 \h </w:instrText>
      </w:r>
      <w:r w:rsidR="00DA74C1">
        <w:fldChar w:fldCharType="separate"/>
      </w:r>
      <w:r w:rsidR="00282018">
        <w:t xml:space="preserve">Table </w:t>
      </w:r>
      <w:r w:rsidR="00282018">
        <w:rPr>
          <w:noProof/>
        </w:rPr>
        <w:t>9</w:t>
      </w:r>
      <w:r w:rsidR="00282018">
        <w:t>.</w:t>
      </w:r>
      <w:r w:rsidR="00282018">
        <w:rPr>
          <w:noProof/>
        </w:rPr>
        <w:t>2</w:t>
      </w:r>
      <w:r w:rsidR="00DA74C1">
        <w:fldChar w:fldCharType="end"/>
      </w:r>
      <w:r w:rsidRPr="00584395">
        <w:t xml:space="preserve">, we will </w:t>
      </w:r>
      <w:r w:rsidR="00842FF2">
        <w:t xml:space="preserve">make other </w:t>
      </w:r>
      <w:r w:rsidR="00F176C6">
        <w:t>adjustments</w:t>
      </w:r>
      <w:r w:rsidR="00842FF2">
        <w:t xml:space="preserve"> to </w:t>
      </w:r>
      <w:r w:rsidRPr="00584395">
        <w:t xml:space="preserve">actual opex </w:t>
      </w:r>
      <w:r w:rsidR="00842FF2">
        <w:t xml:space="preserve">as discussed in section </w:t>
      </w:r>
      <w:r w:rsidR="00F176C6">
        <w:fldChar w:fldCharType="begin"/>
      </w:r>
      <w:r w:rsidR="00F176C6">
        <w:instrText xml:space="preserve"> REF _Ref475530132 \r \h </w:instrText>
      </w:r>
      <w:r w:rsidR="00F176C6">
        <w:fldChar w:fldCharType="separate"/>
      </w:r>
      <w:r w:rsidR="00282018">
        <w:t>9.4.2</w:t>
      </w:r>
      <w:r w:rsidR="00F176C6">
        <w:fldChar w:fldCharType="end"/>
      </w:r>
      <w:r w:rsidR="00842FF2">
        <w:t>.</w:t>
      </w:r>
      <w:r w:rsidR="00F176C6" w:rsidRPr="00584395" w:rsidDel="00F176C6">
        <w:t xml:space="preserve"> </w:t>
      </w:r>
    </w:p>
    <w:p w:rsidR="00132D43" w:rsidRDefault="004523B2" w:rsidP="00132D43">
      <w:pPr>
        <w:pStyle w:val="Heading2"/>
      </w:pPr>
      <w:bookmarkStart w:id="75" w:name="_Toc481060524"/>
      <w:r>
        <w:lastRenderedPageBreak/>
        <w:t>TasNetworks'</w:t>
      </w:r>
      <w:r w:rsidR="00132D43">
        <w:t xml:space="preserve"> </w:t>
      </w:r>
      <w:r w:rsidR="00C75681">
        <w:t xml:space="preserve">revised </w:t>
      </w:r>
      <w:r w:rsidR="00132D43">
        <w:t>proposal</w:t>
      </w:r>
      <w:bookmarkEnd w:id="75"/>
    </w:p>
    <w:p w:rsidR="003132AB" w:rsidRPr="003132AB" w:rsidRDefault="003132AB" w:rsidP="003132AB">
      <w:r>
        <w:t xml:space="preserve">In its revised proposal, TasNetworks accepted our </w:t>
      </w:r>
      <w:r w:rsidRPr="003132AB">
        <w:t xml:space="preserve">draft decision </w:t>
      </w:r>
      <w:r>
        <w:t>which</w:t>
      </w:r>
      <w:r w:rsidRPr="003132AB">
        <w:t xml:space="preserve"> identified an inconsistency between:</w:t>
      </w:r>
      <w:r>
        <w:rPr>
          <w:rStyle w:val="FootnoteReference"/>
        </w:rPr>
        <w:footnoteReference w:id="5"/>
      </w:r>
    </w:p>
    <w:p w:rsidR="003132AB" w:rsidRPr="003132AB" w:rsidRDefault="003132AB" w:rsidP="00F176C6">
      <w:pPr>
        <w:pStyle w:val="AERbulletlistfirststyle"/>
      </w:pPr>
      <w:r w:rsidRPr="003132AB">
        <w:t xml:space="preserve">the method </w:t>
      </w:r>
      <w:r>
        <w:t>it</w:t>
      </w:r>
      <w:r w:rsidRPr="003132AB">
        <w:t xml:space="preserve"> used to calculate the efficiency </w:t>
      </w:r>
      <w:r w:rsidR="007F2E35">
        <w:t>carryover</w:t>
      </w:r>
    </w:p>
    <w:p w:rsidR="003132AB" w:rsidRPr="003132AB" w:rsidRDefault="003132AB" w:rsidP="00F176C6">
      <w:pPr>
        <w:pStyle w:val="AERbulletlistfirststyle"/>
      </w:pPr>
      <w:r w:rsidRPr="003132AB">
        <w:t xml:space="preserve">the method </w:t>
      </w:r>
      <w:r>
        <w:t>it</w:t>
      </w:r>
      <w:r w:rsidRPr="003132AB">
        <w:t xml:space="preserve"> used to forecast </w:t>
      </w:r>
      <w:r>
        <w:t>its</w:t>
      </w:r>
      <w:r w:rsidRPr="003132AB">
        <w:t xml:space="preserve"> operating expenditure.</w:t>
      </w:r>
    </w:p>
    <w:p w:rsidR="003132AB" w:rsidRDefault="00761633" w:rsidP="003132AB">
      <w:r>
        <w:t>It agreed t</w:t>
      </w:r>
      <w:r w:rsidR="003132AB">
        <w:t>hese</w:t>
      </w:r>
      <w:r w:rsidR="00CC57AB">
        <w:t xml:space="preserve"> two aspects of our </w:t>
      </w:r>
      <w:r w:rsidR="000C2297">
        <w:t>decision</w:t>
      </w:r>
      <w:r w:rsidR="003132AB">
        <w:t xml:space="preserve"> need to be consistent because of </w:t>
      </w:r>
      <w:r w:rsidR="003132AB" w:rsidRPr="003132AB">
        <w:t xml:space="preserve">the link between the EBSS and the base year </w:t>
      </w:r>
      <w:r w:rsidR="003132AB">
        <w:t>used to</w:t>
      </w:r>
      <w:r w:rsidR="003132AB" w:rsidRPr="003132AB">
        <w:t xml:space="preserve"> forecast </w:t>
      </w:r>
      <w:r w:rsidR="003132AB">
        <w:t>opex.</w:t>
      </w:r>
      <w:r w:rsidR="003132AB" w:rsidRPr="003132AB">
        <w:t xml:space="preserve"> </w:t>
      </w:r>
    </w:p>
    <w:p w:rsidR="00132D43" w:rsidRDefault="003132AB" w:rsidP="003132AB">
      <w:r>
        <w:t>TasNetworks</w:t>
      </w:r>
      <w:r w:rsidRPr="003132AB">
        <w:t xml:space="preserve"> </w:t>
      </w:r>
      <w:r>
        <w:t>revised its EBSS carryover accordingly</w:t>
      </w:r>
      <w:r w:rsidRPr="003132AB">
        <w:t xml:space="preserve"> and updated the calculation for the latest data.</w:t>
      </w:r>
    </w:p>
    <w:p w:rsidR="00132D43" w:rsidRDefault="00132D43" w:rsidP="00132D43">
      <w:pPr>
        <w:pStyle w:val="Heading2"/>
      </w:pPr>
      <w:bookmarkStart w:id="76" w:name="_Toc481060525"/>
      <w:r>
        <w:t>Assessment approach</w:t>
      </w:r>
      <w:bookmarkEnd w:id="76"/>
    </w:p>
    <w:p w:rsidR="00E41467" w:rsidRPr="002D16B9" w:rsidRDefault="00E41467" w:rsidP="00E41467">
      <w:pPr>
        <w:numPr>
          <w:ilvl w:val="0"/>
          <w:numId w:val="24"/>
        </w:numPr>
      </w:pPr>
      <w:bookmarkStart w:id="77" w:name="_Toc387916854"/>
      <w:r>
        <w:t>Under t</w:t>
      </w:r>
      <w:r w:rsidRPr="002D16B9">
        <w:t xml:space="preserve">he National Electricity Rules (NER) </w:t>
      </w:r>
      <w:r>
        <w:t xml:space="preserve">we must </w:t>
      </w:r>
      <w:r w:rsidR="009534BB">
        <w:t>decide</w:t>
      </w:r>
      <w:r w:rsidRPr="002D16B9">
        <w:t xml:space="preserve">: </w:t>
      </w:r>
    </w:p>
    <w:p w:rsidR="00E41467" w:rsidRPr="002D16B9" w:rsidRDefault="00E41467" w:rsidP="00E41467">
      <w:pPr>
        <w:pStyle w:val="ListNumber"/>
        <w:numPr>
          <w:ilvl w:val="1"/>
          <w:numId w:val="24"/>
        </w:numPr>
      </w:pPr>
      <w:proofErr w:type="gramStart"/>
      <w:r>
        <w:t>t</w:t>
      </w:r>
      <w:r w:rsidRPr="002D16B9">
        <w:t>he</w:t>
      </w:r>
      <w:proofErr w:type="gramEnd"/>
      <w:r w:rsidRPr="002D16B9">
        <w:t xml:space="preserve"> </w:t>
      </w:r>
      <w:r w:rsidRPr="00061D4E">
        <w:t xml:space="preserve">revenue increments or decrements for each year </w:t>
      </w:r>
      <w:r>
        <w:t xml:space="preserve">of the 2017–19 regulatory control period </w:t>
      </w:r>
      <w:r w:rsidRPr="00061D4E">
        <w:t xml:space="preserve">arising from the application of the EBSS during the </w:t>
      </w:r>
      <w:r>
        <w:t>2012–17</w:t>
      </w:r>
      <w:r w:rsidRPr="00061D4E">
        <w:t xml:space="preserve"> </w:t>
      </w:r>
      <w:r>
        <w:t xml:space="preserve">regulatory control </w:t>
      </w:r>
      <w:r w:rsidRPr="00061D4E">
        <w:t>period</w:t>
      </w:r>
      <w:r>
        <w:t>.</w:t>
      </w:r>
      <w:r>
        <w:rPr>
          <w:rStyle w:val="FootnoteReference"/>
        </w:rPr>
        <w:footnoteReference w:id="6"/>
      </w:r>
      <w:r w:rsidRPr="002D16B9">
        <w:t xml:space="preserve"> </w:t>
      </w:r>
    </w:p>
    <w:p w:rsidR="00E41467" w:rsidRDefault="00E41467" w:rsidP="00E41467">
      <w:pPr>
        <w:pStyle w:val="ListNumber"/>
        <w:numPr>
          <w:ilvl w:val="1"/>
          <w:numId w:val="24"/>
        </w:numPr>
      </w:pPr>
      <w:r>
        <w:t xml:space="preserve">how </w:t>
      </w:r>
      <w:r w:rsidRPr="002D16B9">
        <w:t>the EBSS will a</w:t>
      </w:r>
      <w:r>
        <w:t>pply to TasNetworks in the 2017–19</w:t>
      </w:r>
      <w:r w:rsidRPr="002D16B9">
        <w:t xml:space="preserve"> </w:t>
      </w:r>
      <w:r>
        <w:t xml:space="preserve">regulatory control </w:t>
      </w:r>
      <w:r w:rsidRPr="002D16B9">
        <w:t>period.</w:t>
      </w:r>
      <w:r>
        <w:rPr>
          <w:rStyle w:val="FootnoteReference"/>
        </w:rPr>
        <w:footnoteReference w:id="7"/>
      </w:r>
    </w:p>
    <w:p w:rsidR="00E41467" w:rsidRDefault="00E41467" w:rsidP="00E41467">
      <w:pPr>
        <w:numPr>
          <w:ilvl w:val="0"/>
          <w:numId w:val="24"/>
        </w:numPr>
      </w:pPr>
      <w:r>
        <w:rPr>
          <w:rStyle w:val="AERbody"/>
        </w:rPr>
        <w:t>The EBSS must provide for a fair sharing between service providers and network users of opex efficiency gains and efficiency losses.</w:t>
      </w:r>
      <w:r>
        <w:rPr>
          <w:rStyle w:val="FootnoteReference"/>
        </w:rPr>
        <w:footnoteReference w:id="8"/>
      </w:r>
      <w:r>
        <w:rPr>
          <w:rStyle w:val="AERbody"/>
        </w:rPr>
        <w:t xml:space="preserve"> We must also have regard to the following matters when implementing the EBSS</w:t>
      </w:r>
      <w:r>
        <w:t>:</w:t>
      </w:r>
      <w:r>
        <w:rPr>
          <w:rStyle w:val="FootnoteReference"/>
        </w:rPr>
        <w:footnoteReference w:id="9"/>
      </w:r>
    </w:p>
    <w:p w:rsidR="00E41467" w:rsidRPr="006E608B" w:rsidRDefault="00E41467" w:rsidP="00E41467">
      <w:pPr>
        <w:pStyle w:val="AERbulletlistfirststyle"/>
      </w:pPr>
      <w:r>
        <w:t>the need to ensure that benefits to electricity consumers likely to result from the scheme are sufficient to warrant any reward or penalty under the scheme</w:t>
      </w:r>
    </w:p>
    <w:p w:rsidR="00E41467" w:rsidRPr="006E608B" w:rsidRDefault="00E41467" w:rsidP="00E41467">
      <w:pPr>
        <w:pStyle w:val="AERbulletlistfirststyle"/>
      </w:pPr>
      <w:r w:rsidRPr="007439B9">
        <w:t xml:space="preserve">the need to provide </w:t>
      </w:r>
      <w:r>
        <w:t>the network service provider</w:t>
      </w:r>
      <w:r w:rsidRPr="006E608B">
        <w:t xml:space="preserve"> with continuous incentives to reduce opex </w:t>
      </w:r>
    </w:p>
    <w:p w:rsidR="00E41467" w:rsidRPr="006E608B" w:rsidRDefault="00E41467" w:rsidP="00E41467">
      <w:pPr>
        <w:pStyle w:val="AERbulletlistfirststyle"/>
      </w:pPr>
      <w:r w:rsidRPr="007439B9">
        <w:t xml:space="preserve">the desirability of both rewarding the </w:t>
      </w:r>
      <w:r w:rsidRPr="006E608B">
        <w:t xml:space="preserve">service providers for efficiency gains and penalising them for efficiency losses </w:t>
      </w:r>
    </w:p>
    <w:p w:rsidR="00E41467" w:rsidRPr="006E608B" w:rsidRDefault="00E41467" w:rsidP="00E41467">
      <w:pPr>
        <w:pStyle w:val="AERbulletlistfirststyle"/>
      </w:pPr>
      <w:r w:rsidRPr="007439B9">
        <w:t>any incentives that service providers may have to capitalise expenditure</w:t>
      </w:r>
    </w:p>
    <w:p w:rsidR="00E41467" w:rsidRDefault="00E41467" w:rsidP="00E41467">
      <w:pPr>
        <w:pStyle w:val="AERbulletlistfirststyle"/>
      </w:pPr>
      <w:r w:rsidRPr="00DC57D9">
        <w:t>the possible effects of the scheme on incentives for the implementation of non–network alternatives.</w:t>
      </w:r>
      <w:bookmarkEnd w:id="77"/>
    </w:p>
    <w:p w:rsidR="00132D43" w:rsidRDefault="00132D43" w:rsidP="002B22D3">
      <w:pPr>
        <w:pStyle w:val="Heading3"/>
        <w:keepNext/>
        <w:tabs>
          <w:tab w:val="clear" w:pos="1021"/>
        </w:tabs>
        <w:ind w:left="142" w:hanging="142"/>
      </w:pPr>
      <w:bookmarkStart w:id="78" w:name="_Toc481060526"/>
      <w:r>
        <w:lastRenderedPageBreak/>
        <w:t>Interrelationships</w:t>
      </w:r>
      <w:bookmarkEnd w:id="78"/>
    </w:p>
    <w:p w:rsidR="00BF26E4" w:rsidRDefault="009534BB" w:rsidP="002B22D3">
      <w:pPr>
        <w:keepNext/>
      </w:pPr>
      <w:r w:rsidRPr="0060237E">
        <w:t>The EBSS is intrinsically linked to our opex revealed cost forecasting approach</w:t>
      </w:r>
      <w:r w:rsidR="007F2E35">
        <w:t>.</w:t>
      </w:r>
      <w:r w:rsidR="00BF26E4">
        <w:t xml:space="preserve"> </w:t>
      </w:r>
      <w:r w:rsidR="007F2E35">
        <w:t>W</w:t>
      </w:r>
      <w:r w:rsidR="00BF26E4">
        <w:t>hen we develop our opex forecast</w:t>
      </w:r>
      <w:r w:rsidR="007F2E35">
        <w:t>,</w:t>
      </w:r>
      <w:r w:rsidR="00BF26E4">
        <w:t xml:space="preserve"> the rules require us to </w:t>
      </w:r>
      <w:r w:rsidR="00BF26E4" w:rsidRPr="00BF26E4">
        <w:t>have regard to whether the opex forecast is consistent with any incentive schemes.</w:t>
      </w:r>
      <w:r w:rsidR="00BF26E4">
        <w:rPr>
          <w:rStyle w:val="FootnoteReference"/>
        </w:rPr>
        <w:footnoteReference w:id="10"/>
      </w:r>
      <w:r w:rsidR="00BF26E4" w:rsidRPr="00BF26E4">
        <w:t xml:space="preserve">  </w:t>
      </w:r>
    </w:p>
    <w:p w:rsidR="009534BB" w:rsidRDefault="009534BB" w:rsidP="009534BB">
      <w:r>
        <w:t>Our opex forecasting method relies on identifying an efficient opex amount in the base year (the ‘revealed costs’ of the service provider), which we use to develop a total opex forecast. Under this approach, a service provider has an incentive to spend more opex in the expected base year. Also, a service provider has less incentive to reduce opex towards the end of the regulatory control period, where the benefit of any efficiency gains is retained for less time.</w:t>
      </w:r>
    </w:p>
    <w:p w:rsidR="009534BB" w:rsidRDefault="009534BB" w:rsidP="009534BB">
      <w:r>
        <w:t>The application of the EBSS serves two important functions:</w:t>
      </w:r>
    </w:p>
    <w:p w:rsidR="009534BB" w:rsidRDefault="009534BB" w:rsidP="009534BB">
      <w:pPr>
        <w:pStyle w:val="AERbulletlistfirststyle"/>
      </w:pPr>
      <w:r>
        <w:t>it reduces the incentive for a</w:t>
      </w:r>
      <w:r w:rsidRPr="00434553">
        <w:t xml:space="preserve"> service provider to </w:t>
      </w:r>
      <w:r>
        <w:t>inflate opex</w:t>
      </w:r>
      <w:r w:rsidRPr="00434553">
        <w:t xml:space="preserve"> in the expected base year in order to </w:t>
      </w:r>
      <w:r>
        <w:t xml:space="preserve">gain a higher </w:t>
      </w:r>
      <w:r w:rsidRPr="00434553">
        <w:t xml:space="preserve">opex forecast for the next </w:t>
      </w:r>
      <w:r>
        <w:t>regulatory control period</w:t>
      </w:r>
      <w:r w:rsidRPr="00F86F62">
        <w:t xml:space="preserve"> </w:t>
      </w:r>
    </w:p>
    <w:p w:rsidR="009534BB" w:rsidRPr="00434553" w:rsidRDefault="009534BB" w:rsidP="009534BB">
      <w:pPr>
        <w:pStyle w:val="AERbulletlistfirststyle"/>
      </w:pPr>
      <w:r>
        <w:t xml:space="preserve">it </w:t>
      </w:r>
      <w:r w:rsidRPr="00434553">
        <w:t xml:space="preserve">provides a continuous incentive for </w:t>
      </w:r>
      <w:r>
        <w:t>a</w:t>
      </w:r>
      <w:r w:rsidRPr="00434553">
        <w:t xml:space="preserve"> service provider to pursue efficiency improvements across the </w:t>
      </w:r>
      <w:r>
        <w:t>regulatory control period. This is because t</w:t>
      </w:r>
      <w:r w:rsidRPr="007A1A7A">
        <w:t xml:space="preserve">he EBSS allows a service provider to retain </w:t>
      </w:r>
      <w:r>
        <w:t>efficiency gains</w:t>
      </w:r>
      <w:r w:rsidRPr="007A1A7A">
        <w:t xml:space="preserve"> for a total of six years, regardless of the year in which it </w:t>
      </w:r>
      <w:r>
        <w:t>was made.</w:t>
      </w:r>
    </w:p>
    <w:p w:rsidR="00F176C6" w:rsidRDefault="009534BB" w:rsidP="009534BB">
      <w:r w:rsidRPr="0060237E">
        <w:t xml:space="preserve">Where we do not propose to rely on the revealed costs of a service provider in forecasting opex, this has consequences for the service provider's incentives </w:t>
      </w:r>
      <w:r>
        <w:t xml:space="preserve">and </w:t>
      </w:r>
      <w:r w:rsidRPr="0060237E">
        <w:t>our decision on how we apply the EBSS.</w:t>
      </w:r>
      <w:r>
        <w:t xml:space="preserve"> </w:t>
      </w:r>
    </w:p>
    <w:p w:rsidR="00132D43" w:rsidRDefault="009534BB" w:rsidP="009534BB">
      <w:r w:rsidRPr="00834D6C">
        <w:t xml:space="preserve">When a business </w:t>
      </w:r>
      <w:r>
        <w:t>makes an incremental efficiency gain</w:t>
      </w:r>
      <w:r w:rsidRPr="00834D6C">
        <w:t xml:space="preserve">, it receives a reward through the EBSS, and consumers benefit through a lower revealed cost forecast for the subsequent period. This is how efficiency improvements are shared between consumers and the business. If we </w:t>
      </w:r>
      <w:r>
        <w:t>subject</w:t>
      </w:r>
      <w:r w:rsidRPr="00834D6C">
        <w:t xml:space="preserve"> costs </w:t>
      </w:r>
      <w:r>
        <w:t>to</w:t>
      </w:r>
      <w:r w:rsidRPr="00834D6C">
        <w:t xml:space="preserve"> the EBSS that are not forecast </w:t>
      </w:r>
      <w:r>
        <w:t>using</w:t>
      </w:r>
      <w:r w:rsidRPr="00834D6C">
        <w:t xml:space="preserve"> a revealed cost approach, a business </w:t>
      </w:r>
      <w:r>
        <w:t>would in theory</w:t>
      </w:r>
      <w:r w:rsidRPr="00834D6C">
        <w:t xml:space="preserve"> receive a reward for </w:t>
      </w:r>
      <w:r>
        <w:t>efficiency gains</w:t>
      </w:r>
      <w:r w:rsidRPr="00834D6C">
        <w:t xml:space="preserve"> through the EBSS (at a cost to consumers), but consumers </w:t>
      </w:r>
      <w:r>
        <w:t>would not</w:t>
      </w:r>
      <w:r w:rsidRPr="00834D6C">
        <w:t xml:space="preserve"> benefit through a lower revealed cost forecast in the subsequent period. </w:t>
      </w:r>
      <w:r w:rsidRPr="00816955">
        <w:t xml:space="preserve"> </w:t>
      </w:r>
    </w:p>
    <w:p w:rsidR="00CC57AB" w:rsidRDefault="00CC57AB" w:rsidP="009534BB">
      <w:r>
        <w:t>Therefore</w:t>
      </w:r>
      <w:r w:rsidRPr="00834D6C">
        <w:t>, we typically exclude costs where we do not rely on a revealed cost forecasting approach to forecast those costs.</w:t>
      </w:r>
    </w:p>
    <w:p w:rsidR="00132D43" w:rsidRDefault="00132D43" w:rsidP="00132D43">
      <w:pPr>
        <w:pStyle w:val="Heading2"/>
      </w:pPr>
      <w:bookmarkStart w:id="79" w:name="_Toc481060527"/>
      <w:r>
        <w:t xml:space="preserve">Reasons for </w:t>
      </w:r>
      <w:r w:rsidR="00C75681">
        <w:t>final</w:t>
      </w:r>
      <w:r>
        <w:t xml:space="preserve"> decision</w:t>
      </w:r>
      <w:bookmarkEnd w:id="79"/>
    </w:p>
    <w:p w:rsidR="009534BB" w:rsidRDefault="009534BB" w:rsidP="009534BB">
      <w:pPr>
        <w:rPr>
          <w:rStyle w:val="AERbody"/>
        </w:rPr>
      </w:pPr>
      <w:r w:rsidRPr="0030169A">
        <w:rPr>
          <w:rStyle w:val="AERbody"/>
        </w:rPr>
        <w:t>This section provides the reasons for the carryover amounts that arise from a</w:t>
      </w:r>
      <w:r>
        <w:rPr>
          <w:rStyle w:val="AERbody"/>
        </w:rPr>
        <w:t>pplying the EBSS during the 2012–17</w:t>
      </w:r>
      <w:r w:rsidRPr="0030169A">
        <w:rPr>
          <w:rStyle w:val="AERbody"/>
        </w:rPr>
        <w:t xml:space="preserve"> regulatory control period, and how we</w:t>
      </w:r>
      <w:r>
        <w:rPr>
          <w:rStyle w:val="AERbody"/>
        </w:rPr>
        <w:t xml:space="preserve"> will apply the EBSS in the 2017–19</w:t>
      </w:r>
      <w:r w:rsidRPr="0030169A">
        <w:rPr>
          <w:rStyle w:val="AERbody"/>
        </w:rPr>
        <w:t xml:space="preserve"> </w:t>
      </w:r>
      <w:r>
        <w:rPr>
          <w:rStyle w:val="AERbody"/>
        </w:rPr>
        <w:t xml:space="preserve">regulatory control </w:t>
      </w:r>
      <w:r w:rsidRPr="0030169A">
        <w:rPr>
          <w:rStyle w:val="AERbody"/>
        </w:rPr>
        <w:t>period.</w:t>
      </w:r>
    </w:p>
    <w:p w:rsidR="009534BB" w:rsidRPr="00C232E3" w:rsidRDefault="009534BB" w:rsidP="002B22D3">
      <w:pPr>
        <w:pStyle w:val="Heading3"/>
        <w:keepNext/>
        <w:ind w:left="720"/>
      </w:pPr>
      <w:bookmarkStart w:id="80" w:name="_Ref396474023"/>
      <w:bookmarkStart w:id="81" w:name="_Toc404160290"/>
      <w:bookmarkStart w:id="82" w:name="_Toc417636189"/>
      <w:bookmarkStart w:id="83" w:name="_Toc424111947"/>
      <w:bookmarkStart w:id="84" w:name="_Toc433036277"/>
      <w:bookmarkStart w:id="85" w:name="_Toc462144176"/>
      <w:bookmarkStart w:id="86" w:name="_Toc481060528"/>
      <w:r>
        <w:lastRenderedPageBreak/>
        <w:t>Carryover amounts from the 2012–17</w:t>
      </w:r>
      <w:r w:rsidRPr="00C232E3">
        <w:t xml:space="preserve"> regulatory control period</w:t>
      </w:r>
      <w:bookmarkEnd w:id="80"/>
      <w:bookmarkEnd w:id="81"/>
      <w:bookmarkEnd w:id="82"/>
      <w:bookmarkEnd w:id="83"/>
      <w:bookmarkEnd w:id="84"/>
      <w:bookmarkEnd w:id="85"/>
      <w:bookmarkEnd w:id="86"/>
    </w:p>
    <w:p w:rsidR="009534BB" w:rsidRDefault="009534BB" w:rsidP="002B22D3">
      <w:pPr>
        <w:keepNext/>
      </w:pPr>
      <w:r w:rsidRPr="0060237E">
        <w:t xml:space="preserve">We consider </w:t>
      </w:r>
      <w:r>
        <w:t>TasNetworks</w:t>
      </w:r>
      <w:r w:rsidRPr="0060237E">
        <w:t xml:space="preserve"> should rec</w:t>
      </w:r>
      <w:r>
        <w:t>eive a total EBSS carryover amount of $</w:t>
      </w:r>
      <w:r w:rsidR="00E438DF">
        <w:t>2</w:t>
      </w:r>
      <w:r w:rsidR="00CE54BE">
        <w:t>3</w:t>
      </w:r>
      <w:r w:rsidR="00E438DF">
        <w:t>.7</w:t>
      </w:r>
      <w:r>
        <w:t xml:space="preserve"> million ($2016–17</w:t>
      </w:r>
      <w:r w:rsidRPr="0060237E">
        <w:t>) from the application of</w:t>
      </w:r>
      <w:r>
        <w:t xml:space="preserve"> the EBSS during the 2012–17</w:t>
      </w:r>
      <w:r w:rsidRPr="0060237E">
        <w:t xml:space="preserve"> regulatory control period. </w:t>
      </w:r>
      <w:r>
        <w:t>This is consistent with TasNetworks' revised proposal</w:t>
      </w:r>
      <w:r w:rsidR="00CA740A">
        <w:t xml:space="preserve"> of $23.8 million ($2016–17)</w:t>
      </w:r>
      <w:r>
        <w:t xml:space="preserve">. </w:t>
      </w:r>
    </w:p>
    <w:p w:rsidR="009534BB" w:rsidRDefault="009534BB" w:rsidP="009534BB">
      <w:r>
        <w:t xml:space="preserve">In our draft decision, we calculated an EBSS carryover amount of $18.1 million </w:t>
      </w:r>
      <w:r>
        <w:br/>
        <w:t>($2016–17) from the application of the EBSS during the 2012–17 regulatory control period.</w:t>
      </w:r>
      <w:r>
        <w:rPr>
          <w:rStyle w:val="FootnoteReference"/>
        </w:rPr>
        <w:footnoteReference w:id="11"/>
      </w:r>
      <w:r>
        <w:t xml:space="preserve"> However, we stated we would update TasNetworks' EBSS carryover amounts using:</w:t>
      </w:r>
    </w:p>
    <w:p w:rsidR="009534BB" w:rsidRDefault="009534BB" w:rsidP="009534BB">
      <w:pPr>
        <w:pStyle w:val="AERbulletlistfirststyle"/>
      </w:pPr>
      <w:r>
        <w:t>actual audited opex for 2015–16</w:t>
      </w:r>
    </w:p>
    <w:p w:rsidR="009534BB" w:rsidRDefault="009534BB" w:rsidP="009534BB">
      <w:pPr>
        <w:pStyle w:val="AERbulletlistfirststyle"/>
      </w:pPr>
      <w:r>
        <w:t xml:space="preserve">the latest forecast of CPI for June 2017 in the RBA's </w:t>
      </w:r>
      <w:r w:rsidRPr="009E48E5">
        <w:rPr>
          <w:rStyle w:val="AERtextitalic"/>
        </w:rPr>
        <w:t>Statement on monetary policy</w:t>
      </w:r>
    </w:p>
    <w:p w:rsidR="009534BB" w:rsidRDefault="009534BB" w:rsidP="009534BB">
      <w:pPr>
        <w:pStyle w:val="AERbulletlistfirststyle"/>
      </w:pPr>
      <w:r>
        <w:t>the rate of return we determine in our final decision.</w:t>
      </w:r>
    </w:p>
    <w:p w:rsidR="009534BB" w:rsidRDefault="009534BB" w:rsidP="009534BB">
      <w:r>
        <w:t>The carryover amount of $</w:t>
      </w:r>
      <w:r w:rsidR="00E438DF">
        <w:t>2</w:t>
      </w:r>
      <w:r w:rsidR="007B471D">
        <w:t>3</w:t>
      </w:r>
      <w:r w:rsidR="00E438DF">
        <w:t>.7</w:t>
      </w:r>
      <w:r>
        <w:t xml:space="preserve"> million ($2016–17</w:t>
      </w:r>
      <w:r w:rsidRPr="0060237E">
        <w:t>)</w:t>
      </w:r>
      <w:r>
        <w:t xml:space="preserve"> reflects these updates.</w:t>
      </w:r>
    </w:p>
    <w:p w:rsidR="00651C12" w:rsidRDefault="00651C12" w:rsidP="00651C12">
      <w:r w:rsidRPr="00651C12">
        <w:fldChar w:fldCharType="begin"/>
      </w:r>
      <w:r w:rsidRPr="00651C12">
        <w:instrText xml:space="preserve"> REF _Ref459303940 \h </w:instrText>
      </w:r>
      <w:r w:rsidRPr="00651C12">
        <w:fldChar w:fldCharType="separate"/>
      </w:r>
      <w:r w:rsidR="00282018">
        <w:t xml:space="preserve">Table </w:t>
      </w:r>
      <w:r w:rsidR="00282018">
        <w:rPr>
          <w:noProof/>
        </w:rPr>
        <w:t>9</w:t>
      </w:r>
      <w:r w:rsidR="00282018">
        <w:t>.</w:t>
      </w:r>
      <w:r w:rsidR="00282018">
        <w:rPr>
          <w:noProof/>
        </w:rPr>
        <w:t>3</w:t>
      </w:r>
      <w:r w:rsidRPr="00651C12">
        <w:fldChar w:fldCharType="end"/>
      </w:r>
      <w:r w:rsidRPr="00651C12">
        <w:t xml:space="preserve"> compares our forecast carryover amounts with TasNetworks' </w:t>
      </w:r>
      <w:r w:rsidR="00E438DF">
        <w:t>revi</w:t>
      </w:r>
      <w:r>
        <w:t xml:space="preserve">sed </w:t>
      </w:r>
      <w:r w:rsidRPr="00651C12">
        <w:t xml:space="preserve">proposed carryover amounts. Normally the carryover amounts accrue over a five year period, </w:t>
      </w:r>
      <w:r w:rsidR="00E438DF">
        <w:t>however,</w:t>
      </w:r>
      <w:r w:rsidRPr="00651C12">
        <w:t xml:space="preserve"> we calculated a net present value equivalent amount over two years.</w:t>
      </w:r>
    </w:p>
    <w:p w:rsidR="00651C12" w:rsidRDefault="00651C12" w:rsidP="00651C12">
      <w:pPr>
        <w:pStyle w:val="Caption"/>
        <w:numPr>
          <w:ilvl w:val="0"/>
          <w:numId w:val="24"/>
        </w:numPr>
      </w:pPr>
      <w:bookmarkStart w:id="87" w:name="_Ref459303940"/>
      <w:r>
        <w:t xml:space="preserve">Table </w:t>
      </w:r>
      <w:r w:rsidRPr="00651C12">
        <w:fldChar w:fldCharType="begin"/>
      </w:r>
      <w:r>
        <w:instrText xml:space="preserve"> STYLEREF 1 \s </w:instrText>
      </w:r>
      <w:r w:rsidRPr="00651C12">
        <w:fldChar w:fldCharType="separate"/>
      </w:r>
      <w:r w:rsidR="00282018">
        <w:rPr>
          <w:noProof/>
        </w:rPr>
        <w:t>9</w:t>
      </w:r>
      <w:r w:rsidRPr="00651C12">
        <w:fldChar w:fldCharType="end"/>
      </w:r>
      <w:r>
        <w:t>.</w:t>
      </w:r>
      <w:r w:rsidRPr="00651C12">
        <w:fldChar w:fldCharType="begin"/>
      </w:r>
      <w:r>
        <w:instrText xml:space="preserve"> SEQ Table \* ARABIC \s 1 </w:instrText>
      </w:r>
      <w:r w:rsidRPr="00651C12">
        <w:fldChar w:fldCharType="separate"/>
      </w:r>
      <w:r w:rsidR="00282018">
        <w:rPr>
          <w:noProof/>
        </w:rPr>
        <w:t>3</w:t>
      </w:r>
      <w:r w:rsidRPr="00651C12">
        <w:fldChar w:fldCharType="end"/>
      </w:r>
      <w:bookmarkEnd w:id="87"/>
      <w:r>
        <w:tab/>
        <w:t>EBSS carryover amounts</w:t>
      </w:r>
    </w:p>
    <w:tbl>
      <w:tblPr>
        <w:tblStyle w:val="AERtable-numbers"/>
        <w:tblW w:w="5000" w:type="pct"/>
        <w:tblLayout w:type="fixed"/>
        <w:tblLook w:val="04A0" w:firstRow="1" w:lastRow="0" w:firstColumn="1" w:lastColumn="0" w:noHBand="0" w:noVBand="1"/>
      </w:tblPr>
      <w:tblGrid>
        <w:gridCol w:w="2240"/>
        <w:gridCol w:w="922"/>
        <w:gridCol w:w="922"/>
        <w:gridCol w:w="921"/>
        <w:gridCol w:w="923"/>
        <w:gridCol w:w="921"/>
        <w:gridCol w:w="921"/>
        <w:gridCol w:w="923"/>
      </w:tblGrid>
      <w:tr w:rsidR="00651C12" w:rsidTr="00FD31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tcPr>
          <w:p w:rsidR="00651C12" w:rsidRDefault="00651C12" w:rsidP="00651C12"/>
        </w:tc>
        <w:tc>
          <w:tcPr>
            <w:tcW w:w="530" w:type="pct"/>
          </w:tcPr>
          <w:p w:rsidR="00651C12" w:rsidRPr="00651C12" w:rsidRDefault="00651C12" w:rsidP="00651C12">
            <w:pPr>
              <w:cnfStyle w:val="100000000000" w:firstRow="1" w:lastRow="0" w:firstColumn="0" w:lastColumn="0" w:oddVBand="0" w:evenVBand="0" w:oddHBand="0" w:evenHBand="0" w:firstRowFirstColumn="0" w:firstRowLastColumn="0" w:lastRowFirstColumn="0" w:lastRowLastColumn="0"/>
            </w:pPr>
            <w:r>
              <w:t>2017–18</w:t>
            </w:r>
          </w:p>
        </w:tc>
        <w:tc>
          <w:tcPr>
            <w:tcW w:w="530" w:type="pct"/>
          </w:tcPr>
          <w:p w:rsidR="00651C12" w:rsidRPr="00651C12" w:rsidRDefault="00651C12" w:rsidP="00651C12">
            <w:pPr>
              <w:cnfStyle w:val="100000000000" w:firstRow="1" w:lastRow="0" w:firstColumn="0" w:lastColumn="0" w:oddVBand="0" w:evenVBand="0" w:oddHBand="0" w:evenHBand="0" w:firstRowFirstColumn="0" w:firstRowLastColumn="0" w:lastRowFirstColumn="0" w:lastRowLastColumn="0"/>
            </w:pPr>
            <w:r>
              <w:t>2018–19</w:t>
            </w:r>
          </w:p>
        </w:tc>
        <w:tc>
          <w:tcPr>
            <w:tcW w:w="530" w:type="pct"/>
          </w:tcPr>
          <w:p w:rsidR="00651C12" w:rsidRPr="00651C12" w:rsidRDefault="00651C12" w:rsidP="00651C12">
            <w:pPr>
              <w:cnfStyle w:val="100000000000" w:firstRow="1" w:lastRow="0" w:firstColumn="0" w:lastColumn="0" w:oddVBand="0" w:evenVBand="0" w:oddHBand="0" w:evenHBand="0" w:firstRowFirstColumn="0" w:firstRowLastColumn="0" w:lastRowFirstColumn="0" w:lastRowLastColumn="0"/>
            </w:pPr>
            <w:r>
              <w:t>2019–20</w:t>
            </w:r>
          </w:p>
        </w:tc>
        <w:tc>
          <w:tcPr>
            <w:tcW w:w="531" w:type="pct"/>
          </w:tcPr>
          <w:p w:rsidR="00651C12" w:rsidRPr="00651C12" w:rsidRDefault="00651C12" w:rsidP="00651C12">
            <w:pPr>
              <w:cnfStyle w:val="100000000000" w:firstRow="1" w:lastRow="0" w:firstColumn="0" w:lastColumn="0" w:oddVBand="0" w:evenVBand="0" w:oddHBand="0" w:evenHBand="0" w:firstRowFirstColumn="0" w:firstRowLastColumn="0" w:lastRowFirstColumn="0" w:lastRowLastColumn="0"/>
            </w:pPr>
            <w:r>
              <w:t>2010–21</w:t>
            </w:r>
          </w:p>
        </w:tc>
        <w:tc>
          <w:tcPr>
            <w:tcW w:w="530" w:type="pct"/>
          </w:tcPr>
          <w:p w:rsidR="00651C12" w:rsidRPr="00651C12" w:rsidRDefault="00651C12" w:rsidP="00651C12">
            <w:pPr>
              <w:cnfStyle w:val="100000000000" w:firstRow="1" w:lastRow="0" w:firstColumn="0" w:lastColumn="0" w:oddVBand="0" w:evenVBand="0" w:oddHBand="0" w:evenHBand="0" w:firstRowFirstColumn="0" w:firstRowLastColumn="0" w:lastRowFirstColumn="0" w:lastRowLastColumn="0"/>
            </w:pPr>
            <w:r>
              <w:t>2021–22</w:t>
            </w:r>
          </w:p>
        </w:tc>
        <w:tc>
          <w:tcPr>
            <w:tcW w:w="530" w:type="pct"/>
          </w:tcPr>
          <w:p w:rsidR="00651C12" w:rsidRPr="00651C12" w:rsidRDefault="00651C12" w:rsidP="00651C12">
            <w:pPr>
              <w:cnfStyle w:val="100000000000" w:firstRow="1" w:lastRow="0" w:firstColumn="0" w:lastColumn="0" w:oddVBand="0" w:evenVBand="0" w:oddHBand="0" w:evenHBand="0" w:firstRowFirstColumn="0" w:firstRowLastColumn="0" w:lastRowFirstColumn="0" w:lastRowLastColumn="0"/>
            </w:pPr>
            <w:r>
              <w:t>Total</w:t>
            </w:r>
          </w:p>
        </w:tc>
        <w:tc>
          <w:tcPr>
            <w:tcW w:w="531" w:type="pct"/>
          </w:tcPr>
          <w:p w:rsidR="00651C12" w:rsidRPr="00651C12" w:rsidRDefault="00651C12" w:rsidP="00651C12">
            <w:pPr>
              <w:cnfStyle w:val="100000000000" w:firstRow="1" w:lastRow="0" w:firstColumn="0" w:lastColumn="0" w:oddVBand="0" w:evenVBand="0" w:oddHBand="0" w:evenHBand="0" w:firstRowFirstColumn="0" w:firstRowLastColumn="0" w:lastRowFirstColumn="0" w:lastRowLastColumn="0"/>
            </w:pPr>
            <w:r>
              <w:t>NPV</w:t>
            </w:r>
          </w:p>
        </w:tc>
      </w:tr>
      <w:tr w:rsidR="00FD3158" w:rsidTr="0063242B">
        <w:tc>
          <w:tcPr>
            <w:cnfStyle w:val="001000000000" w:firstRow="0" w:lastRow="0" w:firstColumn="1" w:lastColumn="0" w:oddVBand="0" w:evenVBand="0" w:oddHBand="0" w:evenHBand="0" w:firstRowFirstColumn="0" w:firstRowLastColumn="0" w:lastRowFirstColumn="0" w:lastRowLastColumn="0"/>
            <w:tcW w:w="1288" w:type="pct"/>
          </w:tcPr>
          <w:p w:rsidR="00FD3158" w:rsidRPr="00FD3158" w:rsidRDefault="00FD3158" w:rsidP="00FD3158">
            <w:r w:rsidRPr="00FD3158">
              <w:t>TasNetworks' revised proposal</w:t>
            </w:r>
          </w:p>
        </w:tc>
        <w:tc>
          <w:tcPr>
            <w:tcW w:w="530" w:type="pct"/>
          </w:tcPr>
          <w:p w:rsidR="00FD3158" w:rsidRPr="00FD3158" w:rsidRDefault="00FD3158" w:rsidP="00FD3158">
            <w:pPr>
              <w:cnfStyle w:val="000000000000" w:firstRow="0" w:lastRow="0" w:firstColumn="0" w:lastColumn="0" w:oddVBand="0" w:evenVBand="0" w:oddHBand="0" w:evenHBand="0" w:firstRowFirstColumn="0" w:firstRowLastColumn="0" w:lastRowFirstColumn="0" w:lastRowLastColumn="0"/>
            </w:pPr>
            <w:r w:rsidRPr="00FD3158">
              <w:t xml:space="preserve">8.7 </w:t>
            </w:r>
          </w:p>
        </w:tc>
        <w:tc>
          <w:tcPr>
            <w:tcW w:w="530" w:type="pct"/>
          </w:tcPr>
          <w:p w:rsidR="00FD3158" w:rsidRPr="00FD3158" w:rsidRDefault="00FD3158" w:rsidP="00FD3158">
            <w:pPr>
              <w:cnfStyle w:val="000000000000" w:firstRow="0" w:lastRow="0" w:firstColumn="0" w:lastColumn="0" w:oddVBand="0" w:evenVBand="0" w:oddHBand="0" w:evenHBand="0" w:firstRowFirstColumn="0" w:firstRowLastColumn="0" w:lastRowFirstColumn="0" w:lastRowLastColumn="0"/>
            </w:pPr>
            <w:r w:rsidRPr="00FD3158">
              <w:t xml:space="preserve">4.5 </w:t>
            </w:r>
          </w:p>
        </w:tc>
        <w:tc>
          <w:tcPr>
            <w:tcW w:w="530" w:type="pct"/>
          </w:tcPr>
          <w:p w:rsidR="00FD3158" w:rsidRPr="00FD3158" w:rsidRDefault="00FD3158" w:rsidP="00FD3158">
            <w:pPr>
              <w:cnfStyle w:val="000000000000" w:firstRow="0" w:lastRow="0" w:firstColumn="0" w:lastColumn="0" w:oddVBand="0" w:evenVBand="0" w:oddHBand="0" w:evenHBand="0" w:firstRowFirstColumn="0" w:firstRowLastColumn="0" w:lastRowFirstColumn="0" w:lastRowLastColumn="0"/>
            </w:pPr>
            <w:r w:rsidRPr="00FD3158">
              <w:t xml:space="preserve">9.2 </w:t>
            </w:r>
          </w:p>
        </w:tc>
        <w:tc>
          <w:tcPr>
            <w:tcW w:w="531" w:type="pct"/>
          </w:tcPr>
          <w:p w:rsidR="00FD3158" w:rsidRPr="00FD3158" w:rsidRDefault="00FD3158" w:rsidP="00FD3158">
            <w:pPr>
              <w:cnfStyle w:val="000000000000" w:firstRow="0" w:lastRow="0" w:firstColumn="0" w:lastColumn="0" w:oddVBand="0" w:evenVBand="0" w:oddHBand="0" w:evenHBand="0" w:firstRowFirstColumn="0" w:firstRowLastColumn="0" w:lastRowFirstColumn="0" w:lastRowLastColumn="0"/>
            </w:pPr>
            <w:r w:rsidRPr="00FD3158">
              <w:t xml:space="preserve">0.0 </w:t>
            </w:r>
          </w:p>
        </w:tc>
        <w:tc>
          <w:tcPr>
            <w:tcW w:w="530" w:type="pct"/>
          </w:tcPr>
          <w:p w:rsidR="00FD3158" w:rsidRPr="00FD3158" w:rsidRDefault="00FD3158" w:rsidP="00FD3158">
            <w:pPr>
              <w:cnfStyle w:val="000000000000" w:firstRow="0" w:lastRow="0" w:firstColumn="0" w:lastColumn="0" w:oddVBand="0" w:evenVBand="0" w:oddHBand="0" w:evenHBand="0" w:firstRowFirstColumn="0" w:firstRowLastColumn="0" w:lastRowFirstColumn="0" w:lastRowLastColumn="0"/>
            </w:pPr>
            <w:r w:rsidRPr="00FD3158">
              <w:t xml:space="preserve">1.9 </w:t>
            </w:r>
          </w:p>
        </w:tc>
        <w:tc>
          <w:tcPr>
            <w:tcW w:w="530" w:type="pct"/>
          </w:tcPr>
          <w:p w:rsidR="00FD3158" w:rsidRPr="00FD3158" w:rsidRDefault="00FD3158" w:rsidP="00FD3158">
            <w:pPr>
              <w:cnfStyle w:val="000000000000" w:firstRow="0" w:lastRow="0" w:firstColumn="0" w:lastColumn="0" w:oddVBand="0" w:evenVBand="0" w:oddHBand="0" w:evenHBand="0" w:firstRowFirstColumn="0" w:firstRowLastColumn="0" w:lastRowFirstColumn="0" w:lastRowLastColumn="0"/>
            </w:pPr>
            <w:r w:rsidRPr="00FD3158">
              <w:t xml:space="preserve">24.4 </w:t>
            </w:r>
          </w:p>
        </w:tc>
        <w:tc>
          <w:tcPr>
            <w:tcW w:w="531" w:type="pct"/>
          </w:tcPr>
          <w:p w:rsidR="00FD3158" w:rsidRPr="00FD3158" w:rsidRDefault="00FD3158" w:rsidP="00FD3158">
            <w:pPr>
              <w:cnfStyle w:val="000000000000" w:firstRow="0" w:lastRow="0" w:firstColumn="0" w:lastColumn="0" w:oddVBand="0" w:evenVBand="0" w:oddHBand="0" w:evenHBand="0" w:firstRowFirstColumn="0" w:firstRowLastColumn="0" w:lastRowFirstColumn="0" w:lastRowLastColumn="0"/>
            </w:pPr>
            <w:r w:rsidRPr="00FD3158">
              <w:t>$22.8</w:t>
            </w:r>
          </w:p>
        </w:tc>
      </w:tr>
      <w:tr w:rsidR="00FD3158" w:rsidTr="006324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tcPr>
          <w:p w:rsidR="00FD3158" w:rsidRPr="00FD3158" w:rsidRDefault="00FD3158" w:rsidP="002B22D3">
            <w:pPr>
              <w:ind w:left="340"/>
              <w:rPr>
                <w:rFonts w:eastAsiaTheme="minorHAnsi" w:cstheme="minorBidi"/>
                <w:b/>
                <w:bCs/>
                <w:sz w:val="22"/>
                <w:szCs w:val="22"/>
                <w:lang w:eastAsia="en-US"/>
              </w:rPr>
            </w:pPr>
            <w:r w:rsidRPr="00FD3158">
              <w:t>Two year equivalent</w:t>
            </w:r>
          </w:p>
        </w:tc>
        <w:tc>
          <w:tcPr>
            <w:tcW w:w="530" w:type="pct"/>
          </w:tcPr>
          <w:p w:rsidR="00FD3158" w:rsidRPr="00FD3158" w:rsidRDefault="00FD3158" w:rsidP="00FD3158">
            <w:pPr>
              <w:cnfStyle w:val="000000010000" w:firstRow="0" w:lastRow="0" w:firstColumn="0" w:lastColumn="0" w:oddVBand="0" w:evenVBand="0" w:oddHBand="0" w:evenHBand="1" w:firstRowFirstColumn="0" w:firstRowLastColumn="0" w:lastRowFirstColumn="0" w:lastRowLastColumn="0"/>
            </w:pPr>
            <w:r w:rsidRPr="00FD3158">
              <w:t>11.9</w:t>
            </w:r>
          </w:p>
        </w:tc>
        <w:tc>
          <w:tcPr>
            <w:tcW w:w="530" w:type="pct"/>
          </w:tcPr>
          <w:p w:rsidR="00FD3158" w:rsidRPr="00FD3158" w:rsidRDefault="00FD3158" w:rsidP="00FD3158">
            <w:pPr>
              <w:cnfStyle w:val="000000010000" w:firstRow="0" w:lastRow="0" w:firstColumn="0" w:lastColumn="0" w:oddVBand="0" w:evenVBand="0" w:oddHBand="0" w:evenHBand="1" w:firstRowFirstColumn="0" w:firstRowLastColumn="0" w:lastRowFirstColumn="0" w:lastRowLastColumn="0"/>
            </w:pPr>
            <w:r w:rsidRPr="00FD3158">
              <w:t>11.9</w:t>
            </w:r>
          </w:p>
        </w:tc>
        <w:tc>
          <w:tcPr>
            <w:tcW w:w="530" w:type="pct"/>
          </w:tcPr>
          <w:p w:rsidR="00FD3158" w:rsidRPr="00FD3158" w:rsidRDefault="00FD3158" w:rsidP="00FD3158">
            <w:pPr>
              <w:cnfStyle w:val="000000010000" w:firstRow="0" w:lastRow="0" w:firstColumn="0" w:lastColumn="0" w:oddVBand="0" w:evenVBand="0" w:oddHBand="0" w:evenHBand="1" w:firstRowFirstColumn="0" w:firstRowLastColumn="0" w:lastRowFirstColumn="0" w:lastRowLastColumn="0"/>
            </w:pPr>
            <w:r w:rsidRPr="00FD3158">
              <w:t> </w:t>
            </w:r>
          </w:p>
        </w:tc>
        <w:tc>
          <w:tcPr>
            <w:tcW w:w="531" w:type="pct"/>
          </w:tcPr>
          <w:p w:rsidR="00FD3158" w:rsidRPr="00FD3158" w:rsidRDefault="00FD3158" w:rsidP="00FD3158">
            <w:pPr>
              <w:cnfStyle w:val="000000010000" w:firstRow="0" w:lastRow="0" w:firstColumn="0" w:lastColumn="0" w:oddVBand="0" w:evenVBand="0" w:oddHBand="0" w:evenHBand="1" w:firstRowFirstColumn="0" w:firstRowLastColumn="0" w:lastRowFirstColumn="0" w:lastRowLastColumn="0"/>
            </w:pPr>
            <w:r w:rsidRPr="00FD3158">
              <w:t> </w:t>
            </w:r>
          </w:p>
        </w:tc>
        <w:tc>
          <w:tcPr>
            <w:tcW w:w="530" w:type="pct"/>
          </w:tcPr>
          <w:p w:rsidR="00FD3158" w:rsidRPr="00FD3158" w:rsidRDefault="00FD3158" w:rsidP="00FD3158">
            <w:pPr>
              <w:cnfStyle w:val="000000010000" w:firstRow="0" w:lastRow="0" w:firstColumn="0" w:lastColumn="0" w:oddVBand="0" w:evenVBand="0" w:oddHBand="0" w:evenHBand="1" w:firstRowFirstColumn="0" w:firstRowLastColumn="0" w:lastRowFirstColumn="0" w:lastRowLastColumn="0"/>
            </w:pPr>
            <w:r w:rsidRPr="00FD3158">
              <w:t> </w:t>
            </w:r>
          </w:p>
        </w:tc>
        <w:tc>
          <w:tcPr>
            <w:tcW w:w="530" w:type="pct"/>
          </w:tcPr>
          <w:p w:rsidR="00FD3158" w:rsidRPr="00FD3158" w:rsidRDefault="00FD3158" w:rsidP="00FD3158">
            <w:pPr>
              <w:cnfStyle w:val="000000010000" w:firstRow="0" w:lastRow="0" w:firstColumn="0" w:lastColumn="0" w:oddVBand="0" w:evenVBand="0" w:oddHBand="0" w:evenHBand="1" w:firstRowFirstColumn="0" w:firstRowLastColumn="0" w:lastRowFirstColumn="0" w:lastRowLastColumn="0"/>
            </w:pPr>
            <w:r w:rsidRPr="00FD3158">
              <w:t xml:space="preserve">23.8 </w:t>
            </w:r>
          </w:p>
        </w:tc>
        <w:tc>
          <w:tcPr>
            <w:tcW w:w="531" w:type="pct"/>
          </w:tcPr>
          <w:p w:rsidR="00FD3158" w:rsidRPr="00FD3158" w:rsidRDefault="00FD3158" w:rsidP="00FD3158">
            <w:pPr>
              <w:cnfStyle w:val="000000010000" w:firstRow="0" w:lastRow="0" w:firstColumn="0" w:lastColumn="0" w:oddVBand="0" w:evenVBand="0" w:oddHBand="0" w:evenHBand="1" w:firstRowFirstColumn="0" w:firstRowLastColumn="0" w:lastRowFirstColumn="0" w:lastRowLastColumn="0"/>
            </w:pPr>
            <w:r w:rsidRPr="00FD3158">
              <w:t>$22.8</w:t>
            </w:r>
          </w:p>
        </w:tc>
      </w:tr>
      <w:tr w:rsidR="00FD3158" w:rsidTr="00FD3158">
        <w:tc>
          <w:tcPr>
            <w:cnfStyle w:val="001000000000" w:firstRow="0" w:lastRow="0" w:firstColumn="1" w:lastColumn="0" w:oddVBand="0" w:evenVBand="0" w:oddHBand="0" w:evenHBand="0" w:firstRowFirstColumn="0" w:firstRowLastColumn="0" w:lastRowFirstColumn="0" w:lastRowLastColumn="0"/>
            <w:tcW w:w="1288" w:type="pct"/>
          </w:tcPr>
          <w:p w:rsidR="00FD3158" w:rsidRPr="00FD3158" w:rsidRDefault="00FD3158" w:rsidP="00FD3158">
            <w:r w:rsidRPr="00FD3158">
              <w:t>Final decision</w:t>
            </w:r>
          </w:p>
        </w:tc>
        <w:tc>
          <w:tcPr>
            <w:tcW w:w="530" w:type="pct"/>
          </w:tcPr>
          <w:p w:rsidR="00FD3158" w:rsidRPr="00FD3158" w:rsidRDefault="00FD3158" w:rsidP="00FD3158">
            <w:pPr>
              <w:cnfStyle w:val="000000000000" w:firstRow="0" w:lastRow="0" w:firstColumn="0" w:lastColumn="0" w:oddVBand="0" w:evenVBand="0" w:oddHBand="0" w:evenHBand="0" w:firstRowFirstColumn="0" w:firstRowLastColumn="0" w:lastRowFirstColumn="0" w:lastRowLastColumn="0"/>
            </w:pPr>
            <w:r w:rsidRPr="00FD3158">
              <w:t xml:space="preserve">8.7 </w:t>
            </w:r>
          </w:p>
        </w:tc>
        <w:tc>
          <w:tcPr>
            <w:tcW w:w="530" w:type="pct"/>
          </w:tcPr>
          <w:p w:rsidR="00FD3158" w:rsidRPr="00FD3158" w:rsidRDefault="00FD3158" w:rsidP="00FD3158">
            <w:pPr>
              <w:cnfStyle w:val="000000000000" w:firstRow="0" w:lastRow="0" w:firstColumn="0" w:lastColumn="0" w:oddVBand="0" w:evenVBand="0" w:oddHBand="0" w:evenHBand="0" w:firstRowFirstColumn="0" w:firstRowLastColumn="0" w:lastRowFirstColumn="0" w:lastRowLastColumn="0"/>
            </w:pPr>
            <w:r w:rsidRPr="00FD3158">
              <w:t xml:space="preserve">4.5 </w:t>
            </w:r>
          </w:p>
        </w:tc>
        <w:tc>
          <w:tcPr>
            <w:tcW w:w="530" w:type="pct"/>
          </w:tcPr>
          <w:p w:rsidR="00FD3158" w:rsidRPr="00FD3158" w:rsidRDefault="00FD3158" w:rsidP="00FD3158">
            <w:pPr>
              <w:cnfStyle w:val="000000000000" w:firstRow="0" w:lastRow="0" w:firstColumn="0" w:lastColumn="0" w:oddVBand="0" w:evenVBand="0" w:oddHBand="0" w:evenHBand="0" w:firstRowFirstColumn="0" w:firstRowLastColumn="0" w:lastRowFirstColumn="0" w:lastRowLastColumn="0"/>
            </w:pPr>
            <w:r w:rsidRPr="00FD3158">
              <w:t xml:space="preserve">9.2 </w:t>
            </w:r>
          </w:p>
        </w:tc>
        <w:tc>
          <w:tcPr>
            <w:tcW w:w="531" w:type="pct"/>
          </w:tcPr>
          <w:p w:rsidR="00FD3158" w:rsidRPr="00FD3158" w:rsidRDefault="00FD3158" w:rsidP="00FD3158">
            <w:pPr>
              <w:cnfStyle w:val="000000000000" w:firstRow="0" w:lastRow="0" w:firstColumn="0" w:lastColumn="0" w:oddVBand="0" w:evenVBand="0" w:oddHBand="0" w:evenHBand="0" w:firstRowFirstColumn="0" w:firstRowLastColumn="0" w:lastRowFirstColumn="0" w:lastRowLastColumn="0"/>
            </w:pPr>
            <w:r w:rsidRPr="00FD3158">
              <w:t xml:space="preserve">0.0 </w:t>
            </w:r>
          </w:p>
        </w:tc>
        <w:tc>
          <w:tcPr>
            <w:tcW w:w="530" w:type="pct"/>
          </w:tcPr>
          <w:p w:rsidR="00FD3158" w:rsidRPr="00FD3158" w:rsidRDefault="00FD3158" w:rsidP="00FD3158">
            <w:pPr>
              <w:cnfStyle w:val="000000000000" w:firstRow="0" w:lastRow="0" w:firstColumn="0" w:lastColumn="0" w:oddVBand="0" w:evenVBand="0" w:oddHBand="0" w:evenHBand="0" w:firstRowFirstColumn="0" w:firstRowLastColumn="0" w:lastRowFirstColumn="0" w:lastRowLastColumn="0"/>
            </w:pPr>
            <w:r w:rsidRPr="00FD3158">
              <w:t xml:space="preserve">1.9 </w:t>
            </w:r>
          </w:p>
        </w:tc>
        <w:tc>
          <w:tcPr>
            <w:tcW w:w="530" w:type="pct"/>
          </w:tcPr>
          <w:p w:rsidR="00FD3158" w:rsidRPr="00FD3158" w:rsidRDefault="00FD3158" w:rsidP="00FD3158">
            <w:pPr>
              <w:cnfStyle w:val="000000000000" w:firstRow="0" w:lastRow="0" w:firstColumn="0" w:lastColumn="0" w:oddVBand="0" w:evenVBand="0" w:oddHBand="0" w:evenHBand="0" w:firstRowFirstColumn="0" w:firstRowLastColumn="0" w:lastRowFirstColumn="0" w:lastRowLastColumn="0"/>
            </w:pPr>
            <w:r w:rsidRPr="00FD3158">
              <w:t xml:space="preserve">24.3 </w:t>
            </w:r>
          </w:p>
        </w:tc>
        <w:tc>
          <w:tcPr>
            <w:tcW w:w="531" w:type="pct"/>
          </w:tcPr>
          <w:p w:rsidR="00FD3158" w:rsidRPr="00FD3158" w:rsidRDefault="00FD3158" w:rsidP="00A55F8B">
            <w:pPr>
              <w:cnfStyle w:val="000000000000" w:firstRow="0" w:lastRow="0" w:firstColumn="0" w:lastColumn="0" w:oddVBand="0" w:evenVBand="0" w:oddHBand="0" w:evenHBand="0" w:firstRowFirstColumn="0" w:firstRowLastColumn="0" w:lastRowFirstColumn="0" w:lastRowLastColumn="0"/>
            </w:pPr>
            <w:r w:rsidRPr="00FD3158">
              <w:t>$22.</w:t>
            </w:r>
            <w:r w:rsidR="00A55F8B">
              <w:t>5</w:t>
            </w:r>
          </w:p>
        </w:tc>
      </w:tr>
      <w:tr w:rsidR="00FD3158" w:rsidTr="006324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8" w:type="pct"/>
          </w:tcPr>
          <w:p w:rsidR="00FD3158" w:rsidRPr="00FD3158" w:rsidRDefault="00FD3158" w:rsidP="002B22D3">
            <w:pPr>
              <w:ind w:left="340"/>
              <w:rPr>
                <w:rFonts w:eastAsiaTheme="minorHAnsi" w:cstheme="minorBidi"/>
                <w:b/>
                <w:bCs/>
                <w:sz w:val="22"/>
                <w:szCs w:val="22"/>
                <w:lang w:eastAsia="en-US"/>
              </w:rPr>
            </w:pPr>
            <w:r w:rsidRPr="00FD3158">
              <w:t>Two year equivalent</w:t>
            </w:r>
          </w:p>
        </w:tc>
        <w:tc>
          <w:tcPr>
            <w:tcW w:w="530" w:type="pct"/>
          </w:tcPr>
          <w:p w:rsidR="00FD3158" w:rsidRPr="00FD3158" w:rsidRDefault="00FD3158" w:rsidP="00A55F8B">
            <w:pPr>
              <w:cnfStyle w:val="000000010000" w:firstRow="0" w:lastRow="0" w:firstColumn="0" w:lastColumn="0" w:oddVBand="0" w:evenVBand="0" w:oddHBand="0" w:evenHBand="1" w:firstRowFirstColumn="0" w:firstRowLastColumn="0" w:lastRowFirstColumn="0" w:lastRowLastColumn="0"/>
            </w:pPr>
            <w:r w:rsidRPr="00FD3158">
              <w:t>11.</w:t>
            </w:r>
            <w:r w:rsidR="00A55F8B">
              <w:t>8</w:t>
            </w:r>
          </w:p>
        </w:tc>
        <w:tc>
          <w:tcPr>
            <w:tcW w:w="530" w:type="pct"/>
          </w:tcPr>
          <w:p w:rsidR="00FD3158" w:rsidRPr="00FD3158" w:rsidRDefault="00FD3158" w:rsidP="00A55F8B">
            <w:pPr>
              <w:cnfStyle w:val="000000010000" w:firstRow="0" w:lastRow="0" w:firstColumn="0" w:lastColumn="0" w:oddVBand="0" w:evenVBand="0" w:oddHBand="0" w:evenHBand="1" w:firstRowFirstColumn="0" w:firstRowLastColumn="0" w:lastRowFirstColumn="0" w:lastRowLastColumn="0"/>
            </w:pPr>
            <w:r w:rsidRPr="00FD3158">
              <w:t>11.</w:t>
            </w:r>
            <w:r w:rsidR="00A55F8B">
              <w:t>8</w:t>
            </w:r>
          </w:p>
        </w:tc>
        <w:tc>
          <w:tcPr>
            <w:tcW w:w="530" w:type="pct"/>
          </w:tcPr>
          <w:p w:rsidR="00FD3158" w:rsidRPr="00FD3158" w:rsidRDefault="00FD3158" w:rsidP="00FD3158">
            <w:pPr>
              <w:cnfStyle w:val="000000010000" w:firstRow="0" w:lastRow="0" w:firstColumn="0" w:lastColumn="0" w:oddVBand="0" w:evenVBand="0" w:oddHBand="0" w:evenHBand="1" w:firstRowFirstColumn="0" w:firstRowLastColumn="0" w:lastRowFirstColumn="0" w:lastRowLastColumn="0"/>
            </w:pPr>
            <w:r w:rsidRPr="00FD3158">
              <w:t> </w:t>
            </w:r>
          </w:p>
        </w:tc>
        <w:tc>
          <w:tcPr>
            <w:tcW w:w="531" w:type="pct"/>
          </w:tcPr>
          <w:p w:rsidR="00FD3158" w:rsidRPr="00FD3158" w:rsidRDefault="00FD3158" w:rsidP="00FD3158">
            <w:pPr>
              <w:cnfStyle w:val="000000010000" w:firstRow="0" w:lastRow="0" w:firstColumn="0" w:lastColumn="0" w:oddVBand="0" w:evenVBand="0" w:oddHBand="0" w:evenHBand="1" w:firstRowFirstColumn="0" w:firstRowLastColumn="0" w:lastRowFirstColumn="0" w:lastRowLastColumn="0"/>
            </w:pPr>
            <w:r w:rsidRPr="00FD3158">
              <w:t> </w:t>
            </w:r>
          </w:p>
        </w:tc>
        <w:tc>
          <w:tcPr>
            <w:tcW w:w="530" w:type="pct"/>
          </w:tcPr>
          <w:p w:rsidR="00FD3158" w:rsidRPr="00FD3158" w:rsidRDefault="00FD3158" w:rsidP="00FD3158">
            <w:pPr>
              <w:cnfStyle w:val="000000010000" w:firstRow="0" w:lastRow="0" w:firstColumn="0" w:lastColumn="0" w:oddVBand="0" w:evenVBand="0" w:oddHBand="0" w:evenHBand="1" w:firstRowFirstColumn="0" w:firstRowLastColumn="0" w:lastRowFirstColumn="0" w:lastRowLastColumn="0"/>
            </w:pPr>
            <w:r w:rsidRPr="00FD3158">
              <w:t> </w:t>
            </w:r>
          </w:p>
        </w:tc>
        <w:tc>
          <w:tcPr>
            <w:tcW w:w="530" w:type="pct"/>
          </w:tcPr>
          <w:p w:rsidR="00FD3158" w:rsidRPr="00FD3158" w:rsidRDefault="00FD3158" w:rsidP="00A55F8B">
            <w:pPr>
              <w:cnfStyle w:val="000000010000" w:firstRow="0" w:lastRow="0" w:firstColumn="0" w:lastColumn="0" w:oddVBand="0" w:evenVBand="0" w:oddHBand="0" w:evenHBand="1" w:firstRowFirstColumn="0" w:firstRowLastColumn="0" w:lastRowFirstColumn="0" w:lastRowLastColumn="0"/>
            </w:pPr>
            <w:r w:rsidRPr="00FD3158">
              <w:t>23.</w:t>
            </w:r>
            <w:r w:rsidR="00A55F8B">
              <w:t>7</w:t>
            </w:r>
            <w:r w:rsidRPr="00FD3158">
              <w:t xml:space="preserve"> </w:t>
            </w:r>
          </w:p>
        </w:tc>
        <w:tc>
          <w:tcPr>
            <w:tcW w:w="531" w:type="pct"/>
          </w:tcPr>
          <w:p w:rsidR="00FD3158" w:rsidRPr="00FD3158" w:rsidRDefault="00FD3158" w:rsidP="00A55F8B">
            <w:pPr>
              <w:cnfStyle w:val="000000010000" w:firstRow="0" w:lastRow="0" w:firstColumn="0" w:lastColumn="0" w:oddVBand="0" w:evenVBand="0" w:oddHBand="0" w:evenHBand="1" w:firstRowFirstColumn="0" w:firstRowLastColumn="0" w:lastRowFirstColumn="0" w:lastRowLastColumn="0"/>
            </w:pPr>
            <w:r w:rsidRPr="00FD3158">
              <w:t>$22.</w:t>
            </w:r>
            <w:r w:rsidR="00A55F8B">
              <w:t>5</w:t>
            </w:r>
          </w:p>
        </w:tc>
      </w:tr>
    </w:tbl>
    <w:p w:rsidR="00E438DF" w:rsidRDefault="00E438DF" w:rsidP="00E438DF">
      <w:pPr>
        <w:pStyle w:val="AERtablesource"/>
        <w:numPr>
          <w:ilvl w:val="0"/>
          <w:numId w:val="24"/>
        </w:numPr>
      </w:pPr>
      <w:r>
        <w:t xml:space="preserve">Source: </w:t>
      </w:r>
      <w:r>
        <w:tab/>
        <w:t xml:space="preserve">TasNetworks, </w:t>
      </w:r>
      <w:r w:rsidRPr="006E2D37">
        <w:rPr>
          <w:rStyle w:val="AERtextitalic"/>
        </w:rPr>
        <w:t>R</w:t>
      </w:r>
      <w:r>
        <w:rPr>
          <w:rStyle w:val="AERtextitalic"/>
        </w:rPr>
        <w:t>evised r</w:t>
      </w:r>
      <w:r w:rsidRPr="006E2D37">
        <w:rPr>
          <w:rStyle w:val="AERtextitalic"/>
        </w:rPr>
        <w:t>egulatory proposal and proposed PTRM</w:t>
      </w:r>
      <w:r>
        <w:t>; AER analysis.</w:t>
      </w:r>
      <w:r w:rsidR="00A55F8B" w:rsidRPr="00A55F8B">
        <w:t xml:space="preserve"> </w:t>
      </w:r>
    </w:p>
    <w:p w:rsidR="00651C12" w:rsidRDefault="00651C12" w:rsidP="00651C12">
      <w:pPr>
        <w:pStyle w:val="AERtablesource"/>
        <w:numPr>
          <w:ilvl w:val="0"/>
          <w:numId w:val="24"/>
        </w:numPr>
      </w:pPr>
      <w:r>
        <w:t>Note:</w:t>
      </w:r>
      <w:r>
        <w:tab/>
        <w:t xml:space="preserve">Based on a real discount rate of </w:t>
      </w:r>
      <w:r w:rsidR="00A55F8B">
        <w:t>3.48</w:t>
      </w:r>
      <w:r>
        <w:t xml:space="preserve"> per cent, consistent with our </w:t>
      </w:r>
      <w:r w:rsidR="00A55F8B">
        <w:t>final</w:t>
      </w:r>
      <w:r>
        <w:t xml:space="preserve"> decision on the rate of return. </w:t>
      </w:r>
      <w:r w:rsidR="00A55F8B">
        <w:t>Because we updated our real discount rate to reflect our final decision, our NPV</w:t>
      </w:r>
      <w:r w:rsidR="002433EE">
        <w:t xml:space="preserve"> </w:t>
      </w:r>
      <w:r w:rsidR="00A55F8B">
        <w:t xml:space="preserve">calculation </w:t>
      </w:r>
      <w:r w:rsidR="002433EE">
        <w:t>differ</w:t>
      </w:r>
      <w:r w:rsidR="00A55F8B">
        <w:t>s from TasNetworks'</w:t>
      </w:r>
      <w:r w:rsidR="00730CDE">
        <w:t>.</w:t>
      </w:r>
      <w:r w:rsidR="00A55F8B" w:rsidRPr="00A55F8B">
        <w:t xml:space="preserve"> </w:t>
      </w:r>
    </w:p>
    <w:p w:rsidR="00332587" w:rsidRDefault="00332587" w:rsidP="002B22D3">
      <w:pPr>
        <w:pStyle w:val="Heading3"/>
        <w:keepNext/>
        <w:ind w:left="720"/>
      </w:pPr>
      <w:bookmarkStart w:id="88" w:name="_Toc462144177"/>
      <w:bookmarkStart w:id="89" w:name="_Ref475529959"/>
      <w:bookmarkStart w:id="90" w:name="_Ref475529967"/>
      <w:bookmarkStart w:id="91" w:name="_Ref475530132"/>
      <w:bookmarkStart w:id="92" w:name="_Toc481060529"/>
      <w:r>
        <w:lastRenderedPageBreak/>
        <w:t>Application of the EBSS in the 2017–19 regulatory control period</w:t>
      </w:r>
      <w:bookmarkEnd w:id="88"/>
      <w:bookmarkEnd w:id="89"/>
      <w:bookmarkEnd w:id="90"/>
      <w:bookmarkEnd w:id="91"/>
      <w:bookmarkEnd w:id="92"/>
    </w:p>
    <w:p w:rsidR="00332587" w:rsidRDefault="00332587" w:rsidP="002B22D3">
      <w:pPr>
        <w:keepNext/>
        <w:rPr>
          <w:rStyle w:val="AERbody"/>
          <w:rFonts w:eastAsia="Calibri" w:cs="Times New Roman"/>
          <w:szCs w:val="20"/>
          <w:lang w:eastAsia="en-AU"/>
        </w:rPr>
      </w:pPr>
      <w:r>
        <w:rPr>
          <w:rStyle w:val="AERbody"/>
        </w:rPr>
        <w:t>W</w:t>
      </w:r>
      <w:r w:rsidRPr="00A95046">
        <w:rPr>
          <w:rStyle w:val="AERbody"/>
        </w:rPr>
        <w:t>e will apply version two of the EBSS</w:t>
      </w:r>
      <w:r>
        <w:rPr>
          <w:rStyle w:val="FootnoteReference"/>
        </w:rPr>
        <w:footnoteReference w:id="12"/>
      </w:r>
      <w:r>
        <w:rPr>
          <w:rStyle w:val="AERbody"/>
        </w:rPr>
        <w:t xml:space="preserve"> </w:t>
      </w:r>
      <w:r w:rsidRPr="00A95046">
        <w:rPr>
          <w:rStyle w:val="AERbody"/>
        </w:rPr>
        <w:t xml:space="preserve">to </w:t>
      </w:r>
      <w:r>
        <w:rPr>
          <w:rStyle w:val="AERbody"/>
        </w:rPr>
        <w:t>TasNetworks in the 2017–19 regulatory control period, consistent with our draft decision.</w:t>
      </w:r>
    </w:p>
    <w:p w:rsidR="002E4DFF" w:rsidRDefault="002E4DFF" w:rsidP="002E4DFF">
      <w:pPr>
        <w:numPr>
          <w:ilvl w:val="0"/>
          <w:numId w:val="24"/>
        </w:numPr>
      </w:pPr>
      <w:r w:rsidRPr="00D975D7">
        <w:t xml:space="preserve">The length of the carryover period for the 2017–19 regulatory control period should be the same length as the regulatory control period commencing on 1 July 2019. </w:t>
      </w:r>
      <w:r>
        <w:t>This is consistent with our draft decision. Aligning t</w:t>
      </w:r>
      <w:r w:rsidRPr="00D975D7">
        <w:t xml:space="preserve">he length of the carryover period for the 2017–19 regulatory control period </w:t>
      </w:r>
      <w:r>
        <w:t xml:space="preserve">with the </w:t>
      </w:r>
      <w:r w:rsidRPr="00D975D7">
        <w:t xml:space="preserve">length </w:t>
      </w:r>
      <w:r w:rsidR="00DE467C">
        <w:t>of</w:t>
      </w:r>
      <w:r w:rsidR="00DE467C" w:rsidRPr="00D975D7">
        <w:t xml:space="preserve"> </w:t>
      </w:r>
      <w:r w:rsidRPr="00D975D7">
        <w:t>the regulatory control period commencing on 1 July 2019</w:t>
      </w:r>
      <w:r>
        <w:t xml:space="preserve"> should provide a continuous incentive</w:t>
      </w:r>
      <w:r w:rsidRPr="00D975D7">
        <w:t>.</w:t>
      </w:r>
      <w:r>
        <w:rPr>
          <w:rStyle w:val="FootnoteReference"/>
        </w:rPr>
        <w:footnoteReference w:id="13"/>
      </w:r>
    </w:p>
    <w:p w:rsidR="00332587" w:rsidRDefault="00332587" w:rsidP="00332587">
      <w:pPr>
        <w:numPr>
          <w:ilvl w:val="0"/>
          <w:numId w:val="24"/>
        </w:numPr>
      </w:pPr>
      <w:r w:rsidRPr="00E43204">
        <w:t xml:space="preserve">The EBSS allows </w:t>
      </w:r>
      <w:r>
        <w:t xml:space="preserve">us to </w:t>
      </w:r>
      <w:r w:rsidRPr="00E43204">
        <w:t>exclu</w:t>
      </w:r>
      <w:r>
        <w:t>de</w:t>
      </w:r>
      <w:r w:rsidRPr="00E43204">
        <w:t xml:space="preserve"> categories of costs </w:t>
      </w:r>
      <w:r>
        <w:t>that</w:t>
      </w:r>
      <w:r w:rsidRPr="00E43204">
        <w:t xml:space="preserve"> we do not </w:t>
      </w:r>
      <w:r>
        <w:t>forecast using</w:t>
      </w:r>
      <w:r w:rsidRPr="00E43204">
        <w:t xml:space="preserve"> a single year revealed cost forecasting approach. This is designed to fair</w:t>
      </w:r>
      <w:r>
        <w:t>ly</w:t>
      </w:r>
      <w:r w:rsidRPr="00E43204">
        <w:t xml:space="preserve"> shar</w:t>
      </w:r>
      <w:r>
        <w:t>e</w:t>
      </w:r>
      <w:r w:rsidRPr="00E43204">
        <w:t xml:space="preserve"> efficiency gains and losses. For instance</w:t>
      </w:r>
      <w:r>
        <w:t>,</w:t>
      </w:r>
      <w:r w:rsidRPr="00E43204">
        <w:t xml:space="preserve"> where a </w:t>
      </w:r>
      <w:r>
        <w:t>service provider</w:t>
      </w:r>
      <w:r w:rsidRPr="00E43204">
        <w:t xml:space="preserve"> achieves efficiency improvements, </w:t>
      </w:r>
      <w:r>
        <w:t>it</w:t>
      </w:r>
      <w:r w:rsidRPr="00E43204">
        <w:t xml:space="preserve"> receive</w:t>
      </w:r>
      <w:r>
        <w:t>s</w:t>
      </w:r>
      <w:r w:rsidRPr="00E43204">
        <w:t xml:space="preserve"> a benefit through the EBSS</w:t>
      </w:r>
      <w:r>
        <w:t xml:space="preserve"> and c</w:t>
      </w:r>
      <w:r w:rsidRPr="00E43204">
        <w:t>onsumers receive a benefit through lower forecast opex in the next period. This is the way consumer</w:t>
      </w:r>
      <w:r>
        <w:t>s</w:t>
      </w:r>
      <w:r w:rsidRPr="00E43204">
        <w:t xml:space="preserve"> and </w:t>
      </w:r>
      <w:r>
        <w:t>the service provider</w:t>
      </w:r>
      <w:r w:rsidRPr="00E43204">
        <w:t xml:space="preserve"> share in the benefits of an efficiency improvement.</w:t>
      </w:r>
    </w:p>
    <w:p w:rsidR="00332587" w:rsidRDefault="00332587" w:rsidP="00332587">
      <w:pPr>
        <w:numPr>
          <w:ilvl w:val="0"/>
          <w:numId w:val="24"/>
        </w:numPr>
      </w:pPr>
      <w:r w:rsidRPr="001A52DA">
        <w:t>If we do not use a single year revealed cost forecasting approach, lower actual opex will not necessarily be passed through to consumers. Consumer</w:t>
      </w:r>
      <w:r>
        <w:t>s</w:t>
      </w:r>
      <w:r w:rsidRPr="001A52DA">
        <w:t xml:space="preserve"> should not pay for EBSS benefits where </w:t>
      </w:r>
      <w:r>
        <w:t>they</w:t>
      </w:r>
      <w:r w:rsidRPr="001A52DA">
        <w:t xml:space="preserve"> do not receive the benefits of a lower </w:t>
      </w:r>
      <w:r>
        <w:t xml:space="preserve">opex </w:t>
      </w:r>
      <w:r w:rsidRPr="001A52DA">
        <w:t>forecast.</w:t>
      </w:r>
      <w:r w:rsidR="00E438DF">
        <w:t xml:space="preserve"> On this basis w</w:t>
      </w:r>
      <w:r>
        <w:t>e will exclude the following categories of costs from the EBSS:</w:t>
      </w:r>
    </w:p>
    <w:p w:rsidR="00332587" w:rsidRDefault="00332587" w:rsidP="00332587">
      <w:pPr>
        <w:pStyle w:val="AERbulletlistfirststyle"/>
      </w:pPr>
      <w:r>
        <w:t>debt raising costs</w:t>
      </w:r>
    </w:p>
    <w:p w:rsidR="00332587" w:rsidRDefault="00332587" w:rsidP="00332587">
      <w:pPr>
        <w:pStyle w:val="AERbulletlistfirststyle"/>
      </w:pPr>
      <w:r>
        <w:t>GSL payments</w:t>
      </w:r>
      <w:r w:rsidR="00FF0DF4">
        <w:t>.</w:t>
      </w:r>
    </w:p>
    <w:p w:rsidR="00FF0DF4" w:rsidRPr="00FF0DF4" w:rsidRDefault="00FF0DF4" w:rsidP="00FF0DF4">
      <w:r>
        <w:t>We will also exclude the following categories because they are subject to a true-up each year via the revenue cap mechanism:</w:t>
      </w:r>
    </w:p>
    <w:p w:rsidR="00332587" w:rsidRPr="00AD7A1D" w:rsidRDefault="00332587" w:rsidP="00332587">
      <w:pPr>
        <w:pStyle w:val="AERbulletlistfirststyle"/>
      </w:pPr>
      <w:r>
        <w:t>e</w:t>
      </w:r>
      <w:r w:rsidRPr="00AD7A1D">
        <w:t>lectrical safety inspection levy payments</w:t>
      </w:r>
    </w:p>
    <w:p w:rsidR="00332587" w:rsidRDefault="00332587" w:rsidP="00332587">
      <w:pPr>
        <w:pStyle w:val="AERbulletlistfirststyle"/>
      </w:pPr>
      <w:r w:rsidRPr="00AD7A1D">
        <w:t>NEM levy payments</w:t>
      </w:r>
      <w:r>
        <w:t>.</w:t>
      </w:r>
      <w:r w:rsidR="00913C0E">
        <w:rPr>
          <w:rStyle w:val="FootnoteReference"/>
        </w:rPr>
        <w:footnoteReference w:id="14"/>
      </w:r>
    </w:p>
    <w:p w:rsidR="00592678" w:rsidRDefault="00592678" w:rsidP="00E230B5">
      <w:r>
        <w:t xml:space="preserve">We will not exclude NEM and retail contestability costs as </w:t>
      </w:r>
      <w:r w:rsidR="001B1361">
        <w:t xml:space="preserve">initially </w:t>
      </w:r>
      <w:r w:rsidR="00CA740A">
        <w:t xml:space="preserve">proposed by TasNetworks as </w:t>
      </w:r>
      <w:r>
        <w:t xml:space="preserve">we consider it likely we will forecast these costs </w:t>
      </w:r>
      <w:r w:rsidRPr="00E438DF">
        <w:t>using a single year revealed cost approach for the regulatory control period beginning in 2019–20</w:t>
      </w:r>
      <w:r>
        <w:t>.</w:t>
      </w:r>
      <w:r w:rsidRPr="00E438DF">
        <w:t xml:space="preserve"> </w:t>
      </w:r>
    </w:p>
    <w:p w:rsidR="00FF0DF4" w:rsidRPr="007F2E35" w:rsidRDefault="00FF0DF4" w:rsidP="00FF0DF4">
      <w:r>
        <w:t>The demand management innovation allowance (DMIA) is not subject to the EBSS as it is not funded through the opex building block.</w:t>
      </w:r>
    </w:p>
    <w:p w:rsidR="00E230B5" w:rsidRPr="00E230B5" w:rsidRDefault="00E230B5" w:rsidP="00E230B5">
      <w:r w:rsidRPr="00E230B5">
        <w:t xml:space="preserve">In addition to the excluded cost categories </w:t>
      </w:r>
      <w:r w:rsidR="00730CDE">
        <w:t>listed above</w:t>
      </w:r>
      <w:r w:rsidRPr="00E230B5">
        <w:t xml:space="preserve">, we will adjust actual opex to reverse any movements in provisions. </w:t>
      </w:r>
    </w:p>
    <w:p w:rsidR="00E230B5" w:rsidRPr="00E230B5" w:rsidRDefault="007F2E35" w:rsidP="00E230B5">
      <w:r>
        <w:lastRenderedPageBreak/>
        <w:t>As required by the EBSS, w</w:t>
      </w:r>
      <w:r w:rsidR="00E230B5" w:rsidRPr="00E230B5">
        <w:t>e will also:</w:t>
      </w:r>
      <w:r w:rsidRPr="00E230B5">
        <w:rPr>
          <w:rStyle w:val="FootnoteReference"/>
        </w:rPr>
        <w:footnoteReference w:id="15"/>
      </w:r>
    </w:p>
    <w:p w:rsidR="00E230B5" w:rsidRPr="00E230B5" w:rsidRDefault="00E230B5" w:rsidP="00E230B5">
      <w:pPr>
        <w:pStyle w:val="AERbulletlistfirststyle"/>
      </w:pPr>
      <w:r w:rsidRPr="00E230B5">
        <w:t xml:space="preserve">adjust forecast opex to add (subtract) any approved revenue increments (decrements) made after </w:t>
      </w:r>
      <w:r w:rsidR="00F176C6">
        <w:t>this</w:t>
      </w:r>
      <w:r w:rsidRPr="00E230B5">
        <w:t xml:space="preserve"> regulatory determination, including approved pass through amounts</w:t>
      </w:r>
    </w:p>
    <w:p w:rsidR="00E230B5" w:rsidRPr="00E230B5" w:rsidRDefault="00E230B5" w:rsidP="00E230B5">
      <w:pPr>
        <w:pStyle w:val="AERbulletlistfirststyle"/>
      </w:pPr>
      <w:r w:rsidRPr="00E230B5">
        <w:t>adjust actual opex to add capitalised opex that has been excluded from the RAB</w:t>
      </w:r>
      <w:r w:rsidRPr="00E230B5">
        <w:rPr>
          <w:rStyle w:val="FootnoteReference"/>
        </w:rPr>
        <w:footnoteReference w:id="16"/>
      </w:r>
    </w:p>
    <w:p w:rsidR="00332587" w:rsidRPr="00332587" w:rsidRDefault="00E230B5" w:rsidP="00E230B5">
      <w:pPr>
        <w:pStyle w:val="AERbulletlistfirststyle"/>
      </w:pPr>
      <w:r w:rsidRPr="00E230B5">
        <w:t>exclude categories of opex not forecast using a single year revealed cost approach for the regulatory control period beginning in 2019–20 where doing so better achieves the requirements of clause 6.5.8 of the NER.</w:t>
      </w:r>
    </w:p>
    <w:sectPr w:rsidR="00332587" w:rsidRPr="00332587" w:rsidSect="00CF42AA">
      <w:headerReference w:type="default" r:id="rId15"/>
      <w:footerReference w:type="even" r:id="rId16"/>
      <w:footerReference w:type="default"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18" w:rsidRPr="00290C63" w:rsidRDefault="00282018" w:rsidP="00290C63">
      <w:r>
        <w:separator/>
      </w:r>
    </w:p>
    <w:p w:rsidR="00282018" w:rsidRDefault="00282018"/>
  </w:endnote>
  <w:endnote w:type="continuationSeparator" w:id="0">
    <w:p w:rsidR="00282018" w:rsidRPr="00290C63" w:rsidRDefault="00282018" w:rsidP="00290C63">
      <w:r>
        <w:continuationSeparator/>
      </w:r>
    </w:p>
    <w:p w:rsidR="00282018" w:rsidRDefault="00282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18" w:rsidRPr="00290C63" w:rsidRDefault="0028201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82018" w:rsidRDefault="00282018"/>
  <w:p w:rsidR="00282018" w:rsidRDefault="00282018"/>
  <w:p w:rsidR="00282018" w:rsidRDefault="00282018"/>
  <w:p w:rsidR="00282018" w:rsidRDefault="00282018"/>
  <w:p w:rsidR="00282018" w:rsidRDefault="00282018"/>
  <w:p w:rsidR="00282018" w:rsidRDefault="00282018"/>
  <w:p w:rsidR="00282018" w:rsidRDefault="002820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282018" w:rsidRPr="009B6F84" w:rsidRDefault="00282018">
        <w:pPr>
          <w:pStyle w:val="Footer"/>
          <w:rPr>
            <w:sz w:val="20"/>
          </w:rPr>
        </w:pPr>
        <w:r>
          <w:fldChar w:fldCharType="begin"/>
        </w:r>
        <w:r>
          <w:instrText xml:space="preserve"> PAGE   \* MERGEFORMAT </w:instrText>
        </w:r>
        <w:r>
          <w:fldChar w:fldCharType="separate"/>
        </w:r>
        <w:r w:rsidR="005F1AD2">
          <w:rPr>
            <w:noProof/>
          </w:rPr>
          <w:t>9-0</w:t>
        </w:r>
        <w:r>
          <w:rPr>
            <w:noProof/>
          </w:rPr>
          <w:fldChar w:fldCharType="end"/>
        </w:r>
        <w:r>
          <w:rPr>
            <w:noProof/>
          </w:rPr>
          <w:t xml:space="preserve">  </w:t>
        </w:r>
        <w:r>
          <w:t>Attachment 9 – EBSS</w:t>
        </w:r>
        <w:r w:rsidRPr="004523B2">
          <w:t xml:space="preserve"> | </w:t>
        </w:r>
        <w:r>
          <w:t>TasNetworks distribution final determination</w:t>
        </w:r>
        <w:r w:rsidRPr="004523B2">
          <w:t xml:space="preserve"> 201</w:t>
        </w:r>
        <w:r>
          <w:t>7</w:t>
        </w:r>
        <w:r w:rsidRPr="004523B2">
          <w:t>–</w:t>
        </w:r>
        <w:r>
          <w:t>19</w:t>
        </w:r>
      </w:p>
    </w:sdtContent>
  </w:sdt>
  <w:p w:rsidR="00282018" w:rsidRDefault="002820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18" w:rsidRPr="00290C63" w:rsidRDefault="0028201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82018" w:rsidRDefault="00282018">
    <w:pPr>
      <w:pStyle w:val="Footer"/>
    </w:pPr>
  </w:p>
  <w:p w:rsidR="00282018" w:rsidRDefault="00282018"/>
  <w:p w:rsidR="00282018" w:rsidRDefault="00282018"/>
  <w:p w:rsidR="00282018" w:rsidRDefault="00282018"/>
  <w:p w:rsidR="00282018" w:rsidRDefault="00282018"/>
  <w:p w:rsidR="00282018" w:rsidRDefault="00282018"/>
  <w:p w:rsidR="00282018" w:rsidRDefault="00282018"/>
  <w:p w:rsidR="00282018" w:rsidRDefault="0028201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18" w:rsidRPr="00290C63" w:rsidRDefault="0028201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282018" w:rsidRDefault="00282018"/>
  <w:p w:rsidR="00282018" w:rsidRDefault="00282018"/>
  <w:p w:rsidR="00282018" w:rsidRDefault="00282018"/>
  <w:p w:rsidR="00282018" w:rsidRDefault="00282018"/>
  <w:p w:rsidR="00282018" w:rsidRDefault="00282018"/>
  <w:p w:rsidR="00282018" w:rsidRDefault="00282018"/>
  <w:p w:rsidR="00282018" w:rsidRDefault="0028201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282018" w:rsidRPr="009B6F84" w:rsidRDefault="00282018">
        <w:pPr>
          <w:pStyle w:val="Footer"/>
          <w:rPr>
            <w:sz w:val="20"/>
          </w:rPr>
        </w:pPr>
        <w:r>
          <w:fldChar w:fldCharType="begin"/>
        </w:r>
        <w:r>
          <w:instrText xml:space="preserve"> PAGE   \* MERGEFORMAT </w:instrText>
        </w:r>
        <w:r>
          <w:fldChar w:fldCharType="separate"/>
        </w:r>
        <w:r w:rsidR="005F1AD2">
          <w:rPr>
            <w:noProof/>
          </w:rPr>
          <w:t>9-12</w:t>
        </w:r>
        <w:r>
          <w:rPr>
            <w:noProof/>
          </w:rPr>
          <w:fldChar w:fldCharType="end"/>
        </w:r>
        <w:r>
          <w:rPr>
            <w:noProof/>
          </w:rPr>
          <w:t xml:space="preserve">  </w:t>
        </w:r>
        <w:r>
          <w:t>Attachment 9 – EBSS</w:t>
        </w:r>
        <w:r w:rsidRPr="004523B2">
          <w:t xml:space="preserve"> | </w:t>
        </w:r>
        <w:r>
          <w:t>TasNetworks distribution final determination</w:t>
        </w:r>
        <w:r w:rsidRPr="004523B2">
          <w:t xml:space="preserve"> 201</w:t>
        </w:r>
        <w:r>
          <w:t>7</w:t>
        </w:r>
        <w:r w:rsidRPr="004523B2">
          <w:t>–</w:t>
        </w:r>
        <w:r>
          <w:t>19</w:t>
        </w:r>
      </w:p>
    </w:sdtContent>
  </w:sdt>
  <w:p w:rsidR="00282018" w:rsidRDefault="0028201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18" w:rsidRPr="00290C63" w:rsidRDefault="0028201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282018" w:rsidRDefault="00282018">
    <w:pPr>
      <w:pStyle w:val="Footer"/>
    </w:pPr>
  </w:p>
  <w:p w:rsidR="00282018" w:rsidRDefault="00282018"/>
  <w:p w:rsidR="00282018" w:rsidRDefault="00282018"/>
  <w:p w:rsidR="00282018" w:rsidRDefault="00282018"/>
  <w:p w:rsidR="00282018" w:rsidRDefault="00282018"/>
  <w:p w:rsidR="00282018" w:rsidRDefault="00282018"/>
  <w:p w:rsidR="00282018" w:rsidRDefault="00282018"/>
  <w:p w:rsidR="00282018" w:rsidRDefault="002820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18" w:rsidRPr="00290C63" w:rsidRDefault="00282018" w:rsidP="00290C63">
      <w:r>
        <w:separator/>
      </w:r>
    </w:p>
    <w:p w:rsidR="00282018" w:rsidRDefault="00282018"/>
  </w:footnote>
  <w:footnote w:type="continuationSeparator" w:id="0">
    <w:p w:rsidR="00282018" w:rsidRPr="00290C63" w:rsidRDefault="00282018" w:rsidP="00290C63">
      <w:r>
        <w:continuationSeparator/>
      </w:r>
    </w:p>
    <w:p w:rsidR="00282018" w:rsidRDefault="00282018"/>
  </w:footnote>
  <w:footnote w:id="1">
    <w:p w:rsidR="00282018" w:rsidRDefault="00282018" w:rsidP="00260469">
      <w:pPr>
        <w:pStyle w:val="FootnoteText"/>
      </w:pPr>
      <w:r>
        <w:rPr>
          <w:rStyle w:val="FootnoteReference"/>
        </w:rPr>
        <w:footnoteRef/>
      </w:r>
      <w:r>
        <w:t xml:space="preserve"> </w:t>
      </w:r>
      <w:r>
        <w:tab/>
        <w:t xml:space="preserve">AER, </w:t>
      </w:r>
      <w:r w:rsidRPr="00F20F95">
        <w:rPr>
          <w:rStyle w:val="AERtextitalic"/>
        </w:rPr>
        <w:t>Electricity distribution network service providers</w:t>
      </w:r>
      <w:r>
        <w:rPr>
          <w:rStyle w:val="AERtextitalic"/>
        </w:rPr>
        <w:t>—Efficiency benefit sharing scheme</w:t>
      </w:r>
      <w:r>
        <w:t xml:space="preserve">, June 2008. </w:t>
      </w:r>
    </w:p>
    <w:p w:rsidR="00282018" w:rsidRDefault="00282018" w:rsidP="00260469">
      <w:pPr>
        <w:pStyle w:val="FootnoteText"/>
      </w:pPr>
      <w:r>
        <w:tab/>
        <w:t xml:space="preserve">AER, </w:t>
      </w:r>
      <w:r>
        <w:rPr>
          <w:rStyle w:val="AERtextitalic"/>
        </w:rPr>
        <w:t>Aurora Energy - Final</w:t>
      </w:r>
      <w:r w:rsidRPr="00B9590D">
        <w:rPr>
          <w:rStyle w:val="AERtextitalic"/>
        </w:rPr>
        <w:t xml:space="preserve"> distribution determination 2012–17</w:t>
      </w:r>
      <w:r>
        <w:rPr>
          <w:rStyle w:val="AERtextitalic"/>
        </w:rPr>
        <w:t xml:space="preserve">- </w:t>
      </w:r>
      <w:r w:rsidRPr="00B9590D">
        <w:rPr>
          <w:rStyle w:val="AERtextitalic"/>
        </w:rPr>
        <w:t>attachments</w:t>
      </w:r>
      <w:r>
        <w:rPr>
          <w:rStyle w:val="AERtextitalic"/>
        </w:rPr>
        <w:t xml:space="preserve">, </w:t>
      </w:r>
      <w:r>
        <w:t>April 2012, p. 273.</w:t>
      </w:r>
    </w:p>
  </w:footnote>
  <w:footnote w:id="2">
    <w:p w:rsidR="00282018" w:rsidRDefault="00282018" w:rsidP="00E41467">
      <w:pPr>
        <w:pStyle w:val="FootnoteText"/>
      </w:pPr>
      <w:r>
        <w:rPr>
          <w:rStyle w:val="FootnoteReference"/>
        </w:rPr>
        <w:footnoteRef/>
      </w:r>
      <w:r>
        <w:t xml:space="preserve"> </w:t>
      </w:r>
      <w:r>
        <w:tab/>
        <w:t xml:space="preserve">AER, </w:t>
      </w:r>
      <w:r w:rsidRPr="00F20F95">
        <w:rPr>
          <w:rStyle w:val="AERtextitalic"/>
        </w:rPr>
        <w:t>Electricity distribution network service providers</w:t>
      </w:r>
      <w:r>
        <w:rPr>
          <w:rStyle w:val="AERtextitalic"/>
        </w:rPr>
        <w:t>—Efficiency benefit sharing scheme</w:t>
      </w:r>
      <w:r>
        <w:t>, June 2008.</w:t>
      </w:r>
    </w:p>
  </w:footnote>
  <w:footnote w:id="3">
    <w:p w:rsidR="00282018" w:rsidRDefault="00282018" w:rsidP="00E41467">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4">
    <w:p w:rsidR="00282018" w:rsidRDefault="00282018" w:rsidP="00E41467">
      <w:pPr>
        <w:pStyle w:val="FootnoteText"/>
      </w:pPr>
      <w:r>
        <w:rPr>
          <w:rStyle w:val="FootnoteReference"/>
        </w:rPr>
        <w:footnoteRef/>
      </w:r>
      <w:r>
        <w:t xml:space="preserve"> </w:t>
      </w:r>
      <w:r>
        <w:tab/>
        <w:t xml:space="preserve">AER, </w:t>
      </w:r>
      <w:r>
        <w:rPr>
          <w:rStyle w:val="AERtextitalic"/>
        </w:rPr>
        <w:t>Draft Decision –TasNetworks</w:t>
      </w:r>
      <w:r w:rsidRPr="000B361C">
        <w:rPr>
          <w:rStyle w:val="AERtextitalic"/>
        </w:rPr>
        <w:t xml:space="preserve"> </w:t>
      </w:r>
      <w:r>
        <w:rPr>
          <w:rStyle w:val="AERtextitalic"/>
        </w:rPr>
        <w:t>distribution determination 2017–19 –</w:t>
      </w:r>
      <w:r w:rsidRPr="000B361C">
        <w:rPr>
          <w:rStyle w:val="AERtextitalic"/>
        </w:rPr>
        <w:t xml:space="preserve">Attachment 9 </w:t>
      </w:r>
      <w:r>
        <w:rPr>
          <w:rStyle w:val="AERtextitalic"/>
        </w:rPr>
        <w:t>– Efficiency benefit sharing scheme</w:t>
      </w:r>
      <w:r>
        <w:t xml:space="preserve">, </w:t>
      </w:r>
      <w:r w:rsidRPr="00E61DBC">
        <w:rPr>
          <w:rStyle w:val="AERtextsize8"/>
        </w:rPr>
        <w:t>September 2016</w:t>
      </w:r>
      <w:r>
        <w:rPr>
          <w:rStyle w:val="AERtextitalic"/>
        </w:rPr>
        <w:t xml:space="preserve">, </w:t>
      </w:r>
      <w:r>
        <w:t xml:space="preserve">p. 9-7. </w:t>
      </w:r>
    </w:p>
  </w:footnote>
  <w:footnote w:id="5">
    <w:p w:rsidR="00282018" w:rsidRDefault="00282018">
      <w:pPr>
        <w:pStyle w:val="FootnoteText"/>
      </w:pPr>
      <w:r>
        <w:rPr>
          <w:rStyle w:val="FootnoteReference"/>
        </w:rPr>
        <w:footnoteRef/>
      </w:r>
      <w:r>
        <w:t xml:space="preserve"> </w:t>
      </w:r>
      <w:r>
        <w:tab/>
        <w:t xml:space="preserve">TasNetworks, </w:t>
      </w:r>
      <w:r>
        <w:rPr>
          <w:rStyle w:val="Emphasis"/>
        </w:rPr>
        <w:t>Distribution r</w:t>
      </w:r>
      <w:r w:rsidRPr="00761633">
        <w:rPr>
          <w:rStyle w:val="Emphasis"/>
        </w:rPr>
        <w:t>evised regulatory proposal</w:t>
      </w:r>
      <w:r>
        <w:rPr>
          <w:rStyle w:val="Emphasis"/>
        </w:rPr>
        <w:t xml:space="preserve"> 2017-2019</w:t>
      </w:r>
      <w:r>
        <w:t>, December 2016, pp. 7-8.</w:t>
      </w:r>
    </w:p>
  </w:footnote>
  <w:footnote w:id="6">
    <w:p w:rsidR="00282018" w:rsidRDefault="00282018" w:rsidP="00E41467">
      <w:pPr>
        <w:pStyle w:val="FootnoteText"/>
      </w:pPr>
      <w:r>
        <w:rPr>
          <w:rStyle w:val="FootnoteReference"/>
        </w:rPr>
        <w:footnoteRef/>
      </w:r>
      <w:r>
        <w:t xml:space="preserve"> </w:t>
      </w:r>
      <w:r>
        <w:tab/>
        <w:t>NER, cl. 6.4.3(a)(5).</w:t>
      </w:r>
    </w:p>
  </w:footnote>
  <w:footnote w:id="7">
    <w:p w:rsidR="00282018" w:rsidRDefault="00282018" w:rsidP="00E41467">
      <w:pPr>
        <w:pStyle w:val="FootnoteText"/>
      </w:pPr>
      <w:r>
        <w:rPr>
          <w:rStyle w:val="FootnoteReference"/>
        </w:rPr>
        <w:footnoteRef/>
      </w:r>
      <w:r>
        <w:t xml:space="preserve"> </w:t>
      </w:r>
      <w:r>
        <w:tab/>
        <w:t>NER, cll. 6.3.2(a)(3) and 6.12.1(9).</w:t>
      </w:r>
    </w:p>
  </w:footnote>
  <w:footnote w:id="8">
    <w:p w:rsidR="00282018" w:rsidRDefault="00282018" w:rsidP="00E41467">
      <w:pPr>
        <w:pStyle w:val="FootnoteText"/>
      </w:pPr>
      <w:r>
        <w:rPr>
          <w:rStyle w:val="FootnoteReference"/>
        </w:rPr>
        <w:footnoteRef/>
      </w:r>
      <w:r>
        <w:t xml:space="preserve"> </w:t>
      </w:r>
      <w:r>
        <w:tab/>
        <w:t>NER, cl. 6.5.8(a).</w:t>
      </w:r>
    </w:p>
  </w:footnote>
  <w:footnote w:id="9">
    <w:p w:rsidR="00282018" w:rsidRDefault="00282018" w:rsidP="00E41467">
      <w:pPr>
        <w:pStyle w:val="FootnoteText"/>
      </w:pPr>
      <w:r>
        <w:rPr>
          <w:rStyle w:val="FootnoteReference"/>
        </w:rPr>
        <w:footnoteRef/>
      </w:r>
      <w:r>
        <w:t xml:space="preserve"> </w:t>
      </w:r>
      <w:r>
        <w:tab/>
        <w:t>NER, cl. 6.5.8(c).</w:t>
      </w:r>
    </w:p>
  </w:footnote>
  <w:footnote w:id="10">
    <w:p w:rsidR="00282018" w:rsidRDefault="00282018">
      <w:pPr>
        <w:pStyle w:val="FootnoteText"/>
      </w:pPr>
      <w:r>
        <w:rPr>
          <w:rStyle w:val="FootnoteReference"/>
        </w:rPr>
        <w:footnoteRef/>
      </w:r>
      <w:r>
        <w:t xml:space="preserve"> </w:t>
      </w:r>
      <w:r>
        <w:tab/>
        <w:t>NER, cl.</w:t>
      </w:r>
      <w:r w:rsidRPr="0012372E">
        <w:t xml:space="preserve"> </w:t>
      </w:r>
      <w:r w:rsidRPr="00241DAB">
        <w:t>6.5.6</w:t>
      </w:r>
      <w:r w:rsidRPr="0012372E">
        <w:t>(</w:t>
      </w:r>
      <w:r>
        <w:t>e</w:t>
      </w:r>
      <w:r w:rsidRPr="0012372E">
        <w:t>)</w:t>
      </w:r>
      <w:r>
        <w:t>(8).</w:t>
      </w:r>
    </w:p>
  </w:footnote>
  <w:footnote w:id="11">
    <w:p w:rsidR="00282018" w:rsidRDefault="00282018" w:rsidP="00913C0E">
      <w:pPr>
        <w:pStyle w:val="FootnoteText"/>
      </w:pPr>
      <w:r>
        <w:rPr>
          <w:rStyle w:val="FootnoteReference"/>
        </w:rPr>
        <w:footnoteRef/>
      </w:r>
      <w:r>
        <w:t xml:space="preserve"> </w:t>
      </w:r>
      <w:r>
        <w:tab/>
        <w:t xml:space="preserve">AER, </w:t>
      </w:r>
      <w:r w:rsidRPr="00913C0E">
        <w:rPr>
          <w:rStyle w:val="AERtextitalic"/>
        </w:rPr>
        <w:t>Draft Decision –TasNetworks distribution determination 2017–19 –Attachment 9 – Efficiency benefit sharing scheme</w:t>
      </w:r>
      <w:r>
        <w:t xml:space="preserve">, </w:t>
      </w:r>
      <w:r w:rsidRPr="00913C0E">
        <w:rPr>
          <w:rStyle w:val="AERtextsize10"/>
          <w:sz w:val="16"/>
        </w:rPr>
        <w:t>September 2016</w:t>
      </w:r>
      <w:r>
        <w:rPr>
          <w:rStyle w:val="AERtextitalic"/>
        </w:rPr>
        <w:t xml:space="preserve">, </w:t>
      </w:r>
      <w:r>
        <w:t>p. 9-10.</w:t>
      </w:r>
    </w:p>
  </w:footnote>
  <w:footnote w:id="12">
    <w:p w:rsidR="00282018" w:rsidRDefault="00282018" w:rsidP="00332587">
      <w:pPr>
        <w:pStyle w:val="FootnoteText"/>
      </w:pPr>
      <w:r>
        <w:rPr>
          <w:rStyle w:val="FootnoteReference"/>
        </w:rPr>
        <w:footnoteRef/>
      </w:r>
      <w:r>
        <w:t xml:space="preserve"> </w:t>
      </w:r>
      <w:r>
        <w:tab/>
        <w:t xml:space="preserve">AER, </w:t>
      </w:r>
      <w:r w:rsidRPr="00EA74C7">
        <w:rPr>
          <w:rStyle w:val="AERtextitalic"/>
        </w:rPr>
        <w:t>Efficiency benefit sharing scheme for electricity network service providers</w:t>
      </w:r>
      <w:r>
        <w:t>, November 2013.</w:t>
      </w:r>
    </w:p>
  </w:footnote>
  <w:footnote w:id="13">
    <w:p w:rsidR="00282018" w:rsidRDefault="00282018" w:rsidP="002E4DFF">
      <w:pPr>
        <w:pStyle w:val="FootnoteText"/>
      </w:pPr>
      <w:r>
        <w:rPr>
          <w:rStyle w:val="FootnoteReference"/>
        </w:rPr>
        <w:footnoteRef/>
      </w:r>
      <w:r>
        <w:t xml:space="preserve"> </w:t>
      </w:r>
      <w:r>
        <w:tab/>
      </w:r>
      <w:r w:rsidRPr="00E03483">
        <w:t>NER, cl. 6.5.8(c)(2).</w:t>
      </w:r>
    </w:p>
  </w:footnote>
  <w:footnote w:id="14">
    <w:p w:rsidR="00282018" w:rsidRDefault="00282018">
      <w:pPr>
        <w:pStyle w:val="FootnoteText"/>
      </w:pPr>
      <w:r>
        <w:rPr>
          <w:rStyle w:val="FootnoteReference"/>
        </w:rPr>
        <w:footnoteRef/>
      </w:r>
      <w:r>
        <w:t xml:space="preserve"> </w:t>
      </w:r>
      <w:r>
        <w:tab/>
      </w:r>
      <w:r w:rsidRPr="00913C0E">
        <w:t>Where these categories of opex are forecast using a single year revealed cost approach for the regulatory control period beginning in 2019–20, we will not exclude them from the EBSS.</w:t>
      </w:r>
    </w:p>
  </w:footnote>
  <w:footnote w:id="15">
    <w:p w:rsidR="00282018" w:rsidRDefault="00282018" w:rsidP="007F2E35">
      <w:pPr>
        <w:pStyle w:val="FootnoteText"/>
      </w:pPr>
      <w:r>
        <w:rPr>
          <w:rStyle w:val="FootnoteReference"/>
        </w:rPr>
        <w:footnoteRef/>
      </w:r>
      <w:r>
        <w:t xml:space="preserve"> </w:t>
      </w:r>
      <w:r>
        <w:tab/>
      </w:r>
      <w:r w:rsidRPr="00584395">
        <w:t xml:space="preserve">AER, </w:t>
      </w:r>
      <w:r w:rsidRPr="00584395">
        <w:rPr>
          <w:rStyle w:val="AERtextitalic"/>
        </w:rPr>
        <w:t>Efficiency benefit sharing scheme for electricity network service providers</w:t>
      </w:r>
      <w:r w:rsidRPr="00584395">
        <w:t xml:space="preserve">, November 2013, </w:t>
      </w:r>
      <w:r>
        <w:t xml:space="preserve">section 1.4, </w:t>
      </w:r>
      <w:r w:rsidRPr="00584395">
        <w:t xml:space="preserve">p. </w:t>
      </w:r>
      <w:r>
        <w:t>7</w:t>
      </w:r>
      <w:r w:rsidRPr="00584395">
        <w:t>.</w:t>
      </w:r>
    </w:p>
  </w:footnote>
  <w:footnote w:id="16">
    <w:p w:rsidR="00282018" w:rsidRDefault="00282018" w:rsidP="00E230B5">
      <w:pPr>
        <w:pStyle w:val="FootnoteText"/>
      </w:pPr>
      <w:r>
        <w:rPr>
          <w:rStyle w:val="FootnoteReference"/>
        </w:rPr>
        <w:footnoteRef/>
      </w:r>
      <w:r>
        <w:t xml:space="preserve"> </w:t>
      </w:r>
      <w:r>
        <w:tab/>
        <w:t>NER, cl. 6.5.8(c)(4</w:t>
      </w:r>
      <w:r w:rsidRPr="00584395">
        <w:t>) requires us to have regard to any incentives the service provider may have to capitalise expenditure.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018" w:rsidRDefault="00282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39ACCE80"/>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orImoN8RtIsAzz4377rpZlfKjbAZ2Kz9jKEz0qK56U=" w:saltValue="jvKZAMsPeCSRkA3WiiMRUw==" w:algorithmName="SHA-256"/>
  <w:defaultTabStop w:val="34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final decision tasnetworks distribution determination - attachment 9 - ebss - april 2017 (D2016-00009108).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293C"/>
    <w:rsid w:val="00063247"/>
    <w:rsid w:val="0006624E"/>
    <w:rsid w:val="00070F9F"/>
    <w:rsid w:val="0007137B"/>
    <w:rsid w:val="00073B74"/>
    <w:rsid w:val="00076416"/>
    <w:rsid w:val="000805A8"/>
    <w:rsid w:val="0008190B"/>
    <w:rsid w:val="000836D9"/>
    <w:rsid w:val="00085663"/>
    <w:rsid w:val="00085EBF"/>
    <w:rsid w:val="00091B15"/>
    <w:rsid w:val="00093CE8"/>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297"/>
    <w:rsid w:val="000C2B40"/>
    <w:rsid w:val="000C3DF9"/>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1361"/>
    <w:rsid w:val="001B45A0"/>
    <w:rsid w:val="001B680E"/>
    <w:rsid w:val="001D055E"/>
    <w:rsid w:val="001E1B3F"/>
    <w:rsid w:val="001E7161"/>
    <w:rsid w:val="001F05A4"/>
    <w:rsid w:val="001F0708"/>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179D7"/>
    <w:rsid w:val="00223051"/>
    <w:rsid w:val="00224DB9"/>
    <w:rsid w:val="0022569A"/>
    <w:rsid w:val="0023005C"/>
    <w:rsid w:val="00231012"/>
    <w:rsid w:val="00233775"/>
    <w:rsid w:val="0023414B"/>
    <w:rsid w:val="00241DAB"/>
    <w:rsid w:val="002433EE"/>
    <w:rsid w:val="00243635"/>
    <w:rsid w:val="00247079"/>
    <w:rsid w:val="00251745"/>
    <w:rsid w:val="002552BA"/>
    <w:rsid w:val="00260016"/>
    <w:rsid w:val="00260469"/>
    <w:rsid w:val="00263AC0"/>
    <w:rsid w:val="00264264"/>
    <w:rsid w:val="0026689B"/>
    <w:rsid w:val="0026772D"/>
    <w:rsid w:val="002730B2"/>
    <w:rsid w:val="00274C7E"/>
    <w:rsid w:val="002777CF"/>
    <w:rsid w:val="002810F2"/>
    <w:rsid w:val="00282018"/>
    <w:rsid w:val="00286874"/>
    <w:rsid w:val="00290C63"/>
    <w:rsid w:val="00291A99"/>
    <w:rsid w:val="00293B6D"/>
    <w:rsid w:val="00294B08"/>
    <w:rsid w:val="0029518C"/>
    <w:rsid w:val="002963DD"/>
    <w:rsid w:val="00296B65"/>
    <w:rsid w:val="002A0A41"/>
    <w:rsid w:val="002A7DEF"/>
    <w:rsid w:val="002B0696"/>
    <w:rsid w:val="002B22D3"/>
    <w:rsid w:val="002C0222"/>
    <w:rsid w:val="002C1499"/>
    <w:rsid w:val="002C233C"/>
    <w:rsid w:val="002C517B"/>
    <w:rsid w:val="002D3509"/>
    <w:rsid w:val="002D5457"/>
    <w:rsid w:val="002D72E8"/>
    <w:rsid w:val="002D79AD"/>
    <w:rsid w:val="002E268F"/>
    <w:rsid w:val="002E4DFF"/>
    <w:rsid w:val="002E78DD"/>
    <w:rsid w:val="002E7B22"/>
    <w:rsid w:val="002F12EC"/>
    <w:rsid w:val="002F7986"/>
    <w:rsid w:val="00301B40"/>
    <w:rsid w:val="00301C82"/>
    <w:rsid w:val="003029EE"/>
    <w:rsid w:val="00304D38"/>
    <w:rsid w:val="00305CC8"/>
    <w:rsid w:val="00307F6D"/>
    <w:rsid w:val="003132AB"/>
    <w:rsid w:val="00314D83"/>
    <w:rsid w:val="0031571F"/>
    <w:rsid w:val="003177A2"/>
    <w:rsid w:val="00317E02"/>
    <w:rsid w:val="003271B5"/>
    <w:rsid w:val="00327A1E"/>
    <w:rsid w:val="00327E28"/>
    <w:rsid w:val="00331264"/>
    <w:rsid w:val="00332587"/>
    <w:rsid w:val="00334C8D"/>
    <w:rsid w:val="00335313"/>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4958"/>
    <w:rsid w:val="00375F71"/>
    <w:rsid w:val="00376219"/>
    <w:rsid w:val="0037663E"/>
    <w:rsid w:val="0037699E"/>
    <w:rsid w:val="00377A29"/>
    <w:rsid w:val="00377C69"/>
    <w:rsid w:val="003806AA"/>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22B2"/>
    <w:rsid w:val="003E3AAB"/>
    <w:rsid w:val="003E4FBF"/>
    <w:rsid w:val="003E7FE9"/>
    <w:rsid w:val="003F07D4"/>
    <w:rsid w:val="003F174D"/>
    <w:rsid w:val="003F2329"/>
    <w:rsid w:val="00400FD2"/>
    <w:rsid w:val="00403711"/>
    <w:rsid w:val="00404C52"/>
    <w:rsid w:val="004156D5"/>
    <w:rsid w:val="00415BA9"/>
    <w:rsid w:val="00415F31"/>
    <w:rsid w:val="0041691D"/>
    <w:rsid w:val="0042000C"/>
    <w:rsid w:val="0042090E"/>
    <w:rsid w:val="004214B1"/>
    <w:rsid w:val="00421F27"/>
    <w:rsid w:val="004238D8"/>
    <w:rsid w:val="00423A77"/>
    <w:rsid w:val="004324F4"/>
    <w:rsid w:val="00434544"/>
    <w:rsid w:val="00441F4E"/>
    <w:rsid w:val="00445D43"/>
    <w:rsid w:val="00446CD2"/>
    <w:rsid w:val="004523B2"/>
    <w:rsid w:val="0045475D"/>
    <w:rsid w:val="0045777E"/>
    <w:rsid w:val="00465258"/>
    <w:rsid w:val="00471BC6"/>
    <w:rsid w:val="00476221"/>
    <w:rsid w:val="004766F5"/>
    <w:rsid w:val="00480B4B"/>
    <w:rsid w:val="004838D8"/>
    <w:rsid w:val="00485DC4"/>
    <w:rsid w:val="00490ADC"/>
    <w:rsid w:val="00494D04"/>
    <w:rsid w:val="004A40BA"/>
    <w:rsid w:val="004A43D1"/>
    <w:rsid w:val="004A492B"/>
    <w:rsid w:val="004A5AC8"/>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57F0"/>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395"/>
    <w:rsid w:val="00584D8F"/>
    <w:rsid w:val="00587A18"/>
    <w:rsid w:val="00587ADE"/>
    <w:rsid w:val="00592678"/>
    <w:rsid w:val="005A0BEC"/>
    <w:rsid w:val="005A404D"/>
    <w:rsid w:val="005A4172"/>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F1AD2"/>
    <w:rsid w:val="005F387E"/>
    <w:rsid w:val="00601E0B"/>
    <w:rsid w:val="0060258B"/>
    <w:rsid w:val="00610EF9"/>
    <w:rsid w:val="00612F4F"/>
    <w:rsid w:val="00614EA0"/>
    <w:rsid w:val="00615C6B"/>
    <w:rsid w:val="00617D4C"/>
    <w:rsid w:val="00621DCE"/>
    <w:rsid w:val="00621FC5"/>
    <w:rsid w:val="00624F2C"/>
    <w:rsid w:val="0063242B"/>
    <w:rsid w:val="00632D6D"/>
    <w:rsid w:val="00636569"/>
    <w:rsid w:val="00636EF9"/>
    <w:rsid w:val="00642C3E"/>
    <w:rsid w:val="00644A01"/>
    <w:rsid w:val="00651C12"/>
    <w:rsid w:val="00651E2D"/>
    <w:rsid w:val="00652324"/>
    <w:rsid w:val="00654602"/>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6F684A"/>
    <w:rsid w:val="0070011E"/>
    <w:rsid w:val="00701CAB"/>
    <w:rsid w:val="007023BB"/>
    <w:rsid w:val="00704DD7"/>
    <w:rsid w:val="00707563"/>
    <w:rsid w:val="00715F61"/>
    <w:rsid w:val="00722132"/>
    <w:rsid w:val="007228F7"/>
    <w:rsid w:val="0072348C"/>
    <w:rsid w:val="00724A37"/>
    <w:rsid w:val="007303C3"/>
    <w:rsid w:val="00730CDE"/>
    <w:rsid w:val="00731188"/>
    <w:rsid w:val="007356CC"/>
    <w:rsid w:val="007368E6"/>
    <w:rsid w:val="007375DF"/>
    <w:rsid w:val="007429BE"/>
    <w:rsid w:val="00743223"/>
    <w:rsid w:val="00743349"/>
    <w:rsid w:val="0074403A"/>
    <w:rsid w:val="00746E01"/>
    <w:rsid w:val="007509D7"/>
    <w:rsid w:val="00751DCD"/>
    <w:rsid w:val="00755084"/>
    <w:rsid w:val="00757364"/>
    <w:rsid w:val="00757BDF"/>
    <w:rsid w:val="007609D0"/>
    <w:rsid w:val="00761454"/>
    <w:rsid w:val="00761633"/>
    <w:rsid w:val="0076193D"/>
    <w:rsid w:val="00763E5D"/>
    <w:rsid w:val="00767740"/>
    <w:rsid w:val="00767B5E"/>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471D"/>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2E35"/>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2FF2"/>
    <w:rsid w:val="00845865"/>
    <w:rsid w:val="0084799B"/>
    <w:rsid w:val="00850C90"/>
    <w:rsid w:val="00851209"/>
    <w:rsid w:val="0085171F"/>
    <w:rsid w:val="008658A1"/>
    <w:rsid w:val="0086716A"/>
    <w:rsid w:val="00870613"/>
    <w:rsid w:val="0087380F"/>
    <w:rsid w:val="0087648F"/>
    <w:rsid w:val="00876612"/>
    <w:rsid w:val="0087718C"/>
    <w:rsid w:val="00882BB1"/>
    <w:rsid w:val="008837AC"/>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3C0E"/>
    <w:rsid w:val="00916A2C"/>
    <w:rsid w:val="009233EE"/>
    <w:rsid w:val="00930B1A"/>
    <w:rsid w:val="00932612"/>
    <w:rsid w:val="009327DC"/>
    <w:rsid w:val="009338D9"/>
    <w:rsid w:val="009339BD"/>
    <w:rsid w:val="009356CF"/>
    <w:rsid w:val="00945E53"/>
    <w:rsid w:val="009460AA"/>
    <w:rsid w:val="00951978"/>
    <w:rsid w:val="00952C8B"/>
    <w:rsid w:val="009534B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37231"/>
    <w:rsid w:val="00A40068"/>
    <w:rsid w:val="00A40BE9"/>
    <w:rsid w:val="00A428EE"/>
    <w:rsid w:val="00A443C2"/>
    <w:rsid w:val="00A4478A"/>
    <w:rsid w:val="00A44852"/>
    <w:rsid w:val="00A50502"/>
    <w:rsid w:val="00A5087B"/>
    <w:rsid w:val="00A53409"/>
    <w:rsid w:val="00A53796"/>
    <w:rsid w:val="00A53848"/>
    <w:rsid w:val="00A55F8B"/>
    <w:rsid w:val="00A56945"/>
    <w:rsid w:val="00A56A6E"/>
    <w:rsid w:val="00A57D04"/>
    <w:rsid w:val="00A60A26"/>
    <w:rsid w:val="00A61598"/>
    <w:rsid w:val="00A61777"/>
    <w:rsid w:val="00A63646"/>
    <w:rsid w:val="00A63914"/>
    <w:rsid w:val="00A641A2"/>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0730F"/>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1BB0"/>
    <w:rsid w:val="00B93891"/>
    <w:rsid w:val="00B9562D"/>
    <w:rsid w:val="00BA0A0A"/>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BF26E4"/>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1929"/>
    <w:rsid w:val="00C75681"/>
    <w:rsid w:val="00C76178"/>
    <w:rsid w:val="00C84560"/>
    <w:rsid w:val="00C86679"/>
    <w:rsid w:val="00C8792F"/>
    <w:rsid w:val="00C90472"/>
    <w:rsid w:val="00C91D6E"/>
    <w:rsid w:val="00CA489E"/>
    <w:rsid w:val="00CA740A"/>
    <w:rsid w:val="00CB0279"/>
    <w:rsid w:val="00CB666B"/>
    <w:rsid w:val="00CB734B"/>
    <w:rsid w:val="00CC058C"/>
    <w:rsid w:val="00CC41B6"/>
    <w:rsid w:val="00CC57AB"/>
    <w:rsid w:val="00CC7ADA"/>
    <w:rsid w:val="00CC7F1D"/>
    <w:rsid w:val="00CD0A88"/>
    <w:rsid w:val="00CD125D"/>
    <w:rsid w:val="00CD283C"/>
    <w:rsid w:val="00CD3641"/>
    <w:rsid w:val="00CD66EA"/>
    <w:rsid w:val="00CD7432"/>
    <w:rsid w:val="00CE0FA5"/>
    <w:rsid w:val="00CE2A23"/>
    <w:rsid w:val="00CE31C8"/>
    <w:rsid w:val="00CE484B"/>
    <w:rsid w:val="00CE54BE"/>
    <w:rsid w:val="00CE5AFC"/>
    <w:rsid w:val="00CE7CBA"/>
    <w:rsid w:val="00CF0DEE"/>
    <w:rsid w:val="00CF42AA"/>
    <w:rsid w:val="00CF5928"/>
    <w:rsid w:val="00CF5EAA"/>
    <w:rsid w:val="00CF6AE3"/>
    <w:rsid w:val="00CF7075"/>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975D7"/>
    <w:rsid w:val="00DA4752"/>
    <w:rsid w:val="00DA4C09"/>
    <w:rsid w:val="00DA61F3"/>
    <w:rsid w:val="00DA74C1"/>
    <w:rsid w:val="00DA796F"/>
    <w:rsid w:val="00DA7CB3"/>
    <w:rsid w:val="00DB0D00"/>
    <w:rsid w:val="00DB0F93"/>
    <w:rsid w:val="00DB1A67"/>
    <w:rsid w:val="00DB282B"/>
    <w:rsid w:val="00DB3721"/>
    <w:rsid w:val="00DB5074"/>
    <w:rsid w:val="00DC0281"/>
    <w:rsid w:val="00DC1930"/>
    <w:rsid w:val="00DC1C76"/>
    <w:rsid w:val="00DC4DBF"/>
    <w:rsid w:val="00DC4E19"/>
    <w:rsid w:val="00DC65FE"/>
    <w:rsid w:val="00DC7981"/>
    <w:rsid w:val="00DD4C07"/>
    <w:rsid w:val="00DD577D"/>
    <w:rsid w:val="00DD5ADC"/>
    <w:rsid w:val="00DE1093"/>
    <w:rsid w:val="00DE467C"/>
    <w:rsid w:val="00DE4EFA"/>
    <w:rsid w:val="00DE5520"/>
    <w:rsid w:val="00DE563D"/>
    <w:rsid w:val="00DE7AB5"/>
    <w:rsid w:val="00DF0152"/>
    <w:rsid w:val="00DF1958"/>
    <w:rsid w:val="00E03483"/>
    <w:rsid w:val="00E04818"/>
    <w:rsid w:val="00E06442"/>
    <w:rsid w:val="00E06952"/>
    <w:rsid w:val="00E11E61"/>
    <w:rsid w:val="00E157B2"/>
    <w:rsid w:val="00E16055"/>
    <w:rsid w:val="00E230B5"/>
    <w:rsid w:val="00E2332D"/>
    <w:rsid w:val="00E23993"/>
    <w:rsid w:val="00E2574F"/>
    <w:rsid w:val="00E25951"/>
    <w:rsid w:val="00E25B8C"/>
    <w:rsid w:val="00E31CF6"/>
    <w:rsid w:val="00E34A4A"/>
    <w:rsid w:val="00E35AFC"/>
    <w:rsid w:val="00E41467"/>
    <w:rsid w:val="00E41D39"/>
    <w:rsid w:val="00E438DF"/>
    <w:rsid w:val="00E50A02"/>
    <w:rsid w:val="00E54106"/>
    <w:rsid w:val="00E54697"/>
    <w:rsid w:val="00E57A08"/>
    <w:rsid w:val="00E61DBC"/>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5B2"/>
    <w:rsid w:val="00F1485B"/>
    <w:rsid w:val="00F15882"/>
    <w:rsid w:val="00F170C7"/>
    <w:rsid w:val="00F171E0"/>
    <w:rsid w:val="00F176C6"/>
    <w:rsid w:val="00F20BD3"/>
    <w:rsid w:val="00F2722C"/>
    <w:rsid w:val="00F322E9"/>
    <w:rsid w:val="00F3231B"/>
    <w:rsid w:val="00F33808"/>
    <w:rsid w:val="00F33C90"/>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7E85"/>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02D9"/>
    <w:rsid w:val="00FD3158"/>
    <w:rsid w:val="00FD5614"/>
    <w:rsid w:val="00FD5E78"/>
    <w:rsid w:val="00FE0BE1"/>
    <w:rsid w:val="00FE11BB"/>
    <w:rsid w:val="00FE1DE9"/>
    <w:rsid w:val="00FE233A"/>
    <w:rsid w:val="00FE36AF"/>
    <w:rsid w:val="00FE39C2"/>
    <w:rsid w:val="00FE3C32"/>
    <w:rsid w:val="00FE64AE"/>
    <w:rsid w:val="00FF0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uiPriority w:val="99"/>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316107157">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24173830">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16327237">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D9153A-CC3B-42B6-BE53-805BFC7B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2A0B96EB.dotm</Template>
  <TotalTime>0</TotalTime>
  <Pages>13</Pages>
  <Words>2627</Words>
  <Characters>14979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AER final decision - TasNetworks - EBSS</vt:lpstr>
    </vt:vector>
  </TitlesOfParts>
  <LinksUpToDate>false</LinksUpToDate>
  <CharactersWithSpaces>17571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decision - TasNetworks - EBSS</dc:title>
  <dc:creator/>
  <cp:lastModifiedBy/>
  <cp:revision>1</cp:revision>
  <dcterms:created xsi:type="dcterms:W3CDTF">2017-04-27T02:47:00Z</dcterms:created>
  <dcterms:modified xsi:type="dcterms:W3CDTF">2017-04-27T02:47:00Z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final decision tasnetworks distribution determination - attachment 9 - ebss - april 2017 (D2016-00009108).docx</vt:lpwstr>
  </property>
</Properties>
</file>